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345F7">
      <w:pPr>
        <w:jc w:val="center"/>
        <w:rPr>
          <w:rFonts w:hint="eastAsia" w:ascii="宋体" w:hAnsi="宋体" w:cs="宋体"/>
          <w:bCs/>
          <w:kern w:val="0"/>
          <w:sz w:val="30"/>
          <w:szCs w:val="30"/>
        </w:rPr>
      </w:pPr>
      <w:r>
        <w:rPr>
          <w:rFonts w:hint="eastAsia" w:ascii="宋体" w:hAnsi="宋体" w:cs="宋体"/>
          <w:b/>
          <w:bCs/>
          <w:sz w:val="72"/>
          <w:szCs w:val="72"/>
        </w:rPr>
        <w:t>竞争性磋商文件</w:t>
      </w:r>
    </w:p>
    <w:p w14:paraId="0760E2C3">
      <w:pPr>
        <w:spacing w:after="240" w:line="360" w:lineRule="auto"/>
        <w:jc w:val="center"/>
        <w:rPr>
          <w:rFonts w:hint="eastAsia" w:ascii="宋体" w:hAnsi="宋体" w:cs="宋体"/>
          <w:bCs/>
          <w:kern w:val="0"/>
          <w:sz w:val="30"/>
          <w:szCs w:val="30"/>
        </w:rPr>
      </w:pPr>
    </w:p>
    <w:p w14:paraId="42887FC6">
      <w:pPr>
        <w:pStyle w:val="17"/>
        <w:widowControl/>
        <w:spacing w:line="460" w:lineRule="exact"/>
        <w:jc w:val="center"/>
        <w:rPr>
          <w:rFonts w:hint="default" w:ascii="宋体" w:hAnsi="宋体" w:cs="宋体"/>
          <w:bCs/>
          <w:color w:val="000000" w:themeColor="text1"/>
          <w:sz w:val="30"/>
          <w:szCs w:val="30"/>
          <w:lang w:val="en-US" w:eastAsia="zh-CN"/>
          <w14:textFill>
            <w14:solidFill>
              <w14:schemeClr w14:val="tx1"/>
            </w14:solidFill>
          </w14:textFill>
        </w:rPr>
      </w:pPr>
      <w:r>
        <w:rPr>
          <w:rFonts w:hint="eastAsia" w:ascii="宋体" w:hAnsi="宋体" w:cs="宋体"/>
          <w:bCs/>
          <w:color w:val="auto"/>
          <w:sz w:val="30"/>
          <w:szCs w:val="30"/>
        </w:rPr>
        <w:t>项目编号：</w:t>
      </w:r>
      <w:r>
        <w:rPr>
          <w:rFonts w:hint="eastAsia" w:cs="宋体"/>
          <w:bCs/>
          <w:color w:val="auto"/>
          <w:sz w:val="30"/>
          <w:szCs w:val="30"/>
          <w:lang w:val="en-US" w:eastAsia="zh-CN"/>
        </w:rPr>
        <w:t>HYTH(CS)2026-26-1</w:t>
      </w:r>
    </w:p>
    <w:p w14:paraId="0ED9D151">
      <w:pPr>
        <w:spacing w:after="240" w:line="360" w:lineRule="auto"/>
        <w:jc w:val="center"/>
        <w:rPr>
          <w:rFonts w:hint="eastAsia" w:ascii="宋体" w:hAnsi="宋体" w:cs="宋体"/>
          <w:bCs/>
          <w:color w:val="000000" w:themeColor="text1"/>
          <w:kern w:val="0"/>
          <w:sz w:val="30"/>
          <w:szCs w:val="30"/>
          <w14:textFill>
            <w14:solidFill>
              <w14:schemeClr w14:val="tx1"/>
            </w14:solidFill>
          </w14:textFill>
        </w:rPr>
      </w:pPr>
    </w:p>
    <w:p w14:paraId="1FC5326B">
      <w:pPr>
        <w:pStyle w:val="4"/>
        <w:spacing w:line="460" w:lineRule="exact"/>
        <w:rPr>
          <w:rFonts w:hint="eastAsia"/>
          <w:color w:val="000000" w:themeColor="text1"/>
          <w14:textFill>
            <w14:solidFill>
              <w14:schemeClr w14:val="tx1"/>
            </w14:solidFill>
          </w14:textFill>
        </w:rPr>
      </w:pPr>
    </w:p>
    <w:p w14:paraId="25311835">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602" w:firstLineChars="200"/>
        <w:jc w:val="both"/>
        <w:textAlignment w:val="auto"/>
        <w:rPr>
          <w:rFonts w:hint="eastAsia" w:ascii="宋体" w:hAnsi="宋体" w:eastAsia="宋体" w:cs="宋体"/>
          <w:b w:val="0"/>
          <w:bCs w:val="0"/>
          <w:color w:val="000000" w:themeColor="text1"/>
          <w:kern w:val="0"/>
          <w:sz w:val="30"/>
          <w:szCs w:val="30"/>
          <w:lang w:val="en-US" w:eastAsia="zh-CN" w:bidi="zh-CN"/>
          <w14:textFill>
            <w14:solidFill>
              <w14:schemeClr w14:val="tx1"/>
            </w14:solidFill>
          </w14:textFill>
        </w:rPr>
      </w:pPr>
      <w:r>
        <w:rPr>
          <w:rFonts w:hint="eastAsia" w:ascii="宋体" w:hAnsi="宋体" w:cs="宋体"/>
          <w:b/>
          <w:bCs/>
          <w:color w:val="000000" w:themeColor="text1"/>
          <w:kern w:val="0"/>
          <w:sz w:val="30"/>
          <w:szCs w:val="30"/>
          <w14:textFill>
            <w14:solidFill>
              <w14:schemeClr w14:val="tx1"/>
            </w14:solidFill>
          </w14:textFill>
        </w:rPr>
        <w:t>项目名称：</w:t>
      </w:r>
      <w:r>
        <w:rPr>
          <w:rFonts w:hint="eastAsia" w:cs="宋体"/>
          <w:b w:val="0"/>
          <w:bCs w:val="0"/>
          <w:color w:val="000000" w:themeColor="text1"/>
          <w:kern w:val="0"/>
          <w:sz w:val="30"/>
          <w:szCs w:val="30"/>
          <w:lang w:val="en-US" w:eastAsia="zh-CN"/>
          <w14:textFill>
            <w14:solidFill>
              <w14:schemeClr w14:val="tx1"/>
            </w14:solidFill>
          </w14:textFill>
        </w:rPr>
        <w:t>吐峪沟乡巷道硬化建设项目</w:t>
      </w:r>
    </w:p>
    <w:p w14:paraId="3FC39733">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560" w:firstLineChars="200"/>
        <w:jc w:val="both"/>
        <w:textAlignment w:val="auto"/>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p>
    <w:p w14:paraId="7C315D70">
      <w:pPr>
        <w:keepNext w:val="0"/>
        <w:keepLines w:val="0"/>
        <w:pageBreakBefore w:val="0"/>
        <w:widowControl w:val="0"/>
        <w:kinsoku/>
        <w:wordWrap/>
        <w:overflowPunct/>
        <w:topLinePunct w:val="0"/>
        <w:autoSpaceDE w:val="0"/>
        <w:autoSpaceDN w:val="0"/>
        <w:bidi w:val="0"/>
        <w:adjustRightInd/>
        <w:snapToGrid/>
        <w:spacing w:line="300" w:lineRule="exact"/>
        <w:ind w:firstLine="602" w:firstLineChars="200"/>
        <w:textAlignment w:val="auto"/>
        <w:rPr>
          <w:rFonts w:hint="eastAsia" w:ascii="宋体" w:hAnsi="宋体" w:eastAsia="宋体" w:cs="宋体"/>
          <w:b w:val="0"/>
          <w:bCs w:val="0"/>
          <w:color w:val="000000" w:themeColor="text1"/>
          <w:kern w:val="0"/>
          <w:sz w:val="30"/>
          <w:szCs w:val="30"/>
          <w:lang w:val="en-US" w:eastAsia="zh-CN"/>
          <w14:textFill>
            <w14:solidFill>
              <w14:schemeClr w14:val="tx1"/>
            </w14:solidFill>
          </w14:textFill>
        </w:rPr>
      </w:pPr>
      <w:r>
        <w:rPr>
          <w:rFonts w:hint="eastAsia" w:ascii="宋体" w:hAnsi="宋体" w:cs="宋体"/>
          <w:b/>
          <w:bCs/>
          <w:color w:val="000000" w:themeColor="text1"/>
          <w:kern w:val="0"/>
          <w:sz w:val="30"/>
          <w:szCs w:val="30"/>
          <w14:textFill>
            <w14:solidFill>
              <w14:schemeClr w14:val="tx1"/>
            </w14:solidFill>
          </w14:textFill>
        </w:rPr>
        <w:t>采 购人</w:t>
      </w:r>
      <w:r>
        <w:rPr>
          <w:rFonts w:hint="eastAsia" w:ascii="宋体" w:hAnsi="宋体" w:cs="宋体"/>
          <w:color w:val="000000" w:themeColor="text1"/>
          <w:kern w:val="0"/>
          <w:sz w:val="30"/>
          <w:szCs w:val="30"/>
          <w14:textFill>
            <w14:solidFill>
              <w14:schemeClr w14:val="tx1"/>
            </w14:solidFill>
          </w14:textFill>
        </w:rPr>
        <w:t>（盖章</w:t>
      </w:r>
      <w:r>
        <w:rPr>
          <w:rFonts w:hint="eastAsia" w:ascii="宋体" w:hAnsi="宋体" w:eastAsia="宋体" w:cs="宋体"/>
          <w:b w:val="0"/>
          <w:bCs w:val="0"/>
          <w:color w:val="000000" w:themeColor="text1"/>
          <w:kern w:val="0"/>
          <w:sz w:val="30"/>
          <w:szCs w:val="30"/>
          <w:lang w:val="en-US" w:eastAsia="zh-CN" w:bidi="zh-CN"/>
          <w14:textFill>
            <w14:solidFill>
              <w14:schemeClr w14:val="tx1"/>
            </w14:solidFill>
          </w14:textFill>
        </w:rPr>
        <w:t>）</w:t>
      </w:r>
      <w:r>
        <w:rPr>
          <w:rFonts w:hint="eastAsia" w:ascii="宋体" w:hAnsi="宋体" w:eastAsia="宋体" w:cs="宋体"/>
          <w:b w:val="0"/>
          <w:bCs w:val="0"/>
          <w:color w:val="000000" w:themeColor="text1"/>
          <w:kern w:val="0"/>
          <w:sz w:val="30"/>
          <w:szCs w:val="30"/>
          <w:lang w:val="en-US" w:eastAsia="zh-CN"/>
          <w14:textFill>
            <w14:solidFill>
              <w14:schemeClr w14:val="tx1"/>
            </w14:solidFill>
          </w14:textFill>
        </w:rPr>
        <w:t>：</w:t>
      </w:r>
      <w:r>
        <w:rPr>
          <w:rFonts w:hint="eastAsia" w:cs="宋体"/>
          <w:b w:val="0"/>
          <w:bCs w:val="0"/>
          <w:color w:val="000000" w:themeColor="text1"/>
          <w:kern w:val="0"/>
          <w:sz w:val="30"/>
          <w:szCs w:val="30"/>
          <w:lang w:val="en-US" w:eastAsia="zh-CN"/>
          <w14:textFill>
            <w14:solidFill>
              <w14:schemeClr w14:val="tx1"/>
            </w14:solidFill>
          </w14:textFill>
        </w:rPr>
        <w:t>鄯善县吐峪沟乡人民政府</w:t>
      </w:r>
    </w:p>
    <w:p w14:paraId="61B6B8E1">
      <w:pPr>
        <w:pStyle w:val="38"/>
        <w:keepNext w:val="0"/>
        <w:keepLines w:val="0"/>
        <w:pageBreakBefore w:val="0"/>
        <w:widowControl w:val="0"/>
        <w:kinsoku/>
        <w:wordWrap/>
        <w:overflowPunct/>
        <w:topLinePunct w:val="0"/>
        <w:autoSpaceDE w:val="0"/>
        <w:autoSpaceDN w:val="0"/>
        <w:bidi w:val="0"/>
        <w:adjustRightInd/>
        <w:snapToGrid/>
        <w:spacing w:before="120" w:after="120" w:line="300" w:lineRule="exact"/>
        <w:ind w:firstLine="0" w:firstLineChars="0"/>
        <w:textAlignment w:val="auto"/>
        <w:rPr>
          <w:color w:val="auto"/>
        </w:rPr>
      </w:pPr>
    </w:p>
    <w:p w14:paraId="5D2A9630">
      <w:pPr>
        <w:keepNext w:val="0"/>
        <w:keepLines w:val="0"/>
        <w:pageBreakBefore w:val="0"/>
        <w:widowControl w:val="0"/>
        <w:kinsoku/>
        <w:wordWrap/>
        <w:overflowPunct/>
        <w:topLinePunct w:val="0"/>
        <w:autoSpaceDE w:val="0"/>
        <w:autoSpaceDN w:val="0"/>
        <w:bidi w:val="0"/>
        <w:adjustRightInd/>
        <w:snapToGrid/>
        <w:spacing w:line="300" w:lineRule="exact"/>
        <w:ind w:firstLine="602" w:firstLineChars="200"/>
        <w:textAlignment w:val="auto"/>
        <w:rPr>
          <w:rFonts w:hint="default" w:ascii="宋体" w:hAnsi="宋体" w:eastAsia="宋体" w:cs="宋体"/>
          <w:b w:val="0"/>
          <w:bCs w:val="0"/>
          <w:kern w:val="0"/>
          <w:sz w:val="30"/>
          <w:szCs w:val="30"/>
          <w:lang w:val="en-US" w:eastAsia="zh-CN"/>
        </w:rPr>
      </w:pPr>
      <w:r>
        <w:rPr>
          <w:rFonts w:hint="eastAsia" w:ascii="宋体" w:hAnsi="宋体" w:eastAsia="宋体" w:cs="宋体"/>
          <w:b/>
          <w:bCs/>
          <w:kern w:val="0"/>
          <w:sz w:val="30"/>
          <w:szCs w:val="30"/>
          <w:lang w:val="zh-CN" w:eastAsia="zh-CN" w:bidi="zh-CN"/>
        </w:rPr>
        <w:t>联系人：</w:t>
      </w:r>
      <w:r>
        <w:rPr>
          <w:rFonts w:hint="eastAsia" w:ascii="宋体" w:hAnsi="宋体" w:eastAsia="宋体" w:cs="宋体"/>
          <w:b w:val="0"/>
          <w:bCs w:val="0"/>
          <w:kern w:val="0"/>
          <w:sz w:val="30"/>
          <w:szCs w:val="30"/>
          <w:lang w:val="en-US" w:eastAsia="zh-CN"/>
        </w:rPr>
        <w:t>陈鑫</w:t>
      </w:r>
    </w:p>
    <w:p w14:paraId="3BC1366C">
      <w:pPr>
        <w:pStyle w:val="6"/>
        <w:keepNext w:val="0"/>
        <w:keepLines w:val="0"/>
        <w:pageBreakBefore w:val="0"/>
        <w:widowControl w:val="0"/>
        <w:kinsoku/>
        <w:wordWrap/>
        <w:overflowPunct/>
        <w:topLinePunct w:val="0"/>
        <w:autoSpaceDE w:val="0"/>
        <w:autoSpaceDN w:val="0"/>
        <w:bidi w:val="0"/>
        <w:adjustRightInd/>
        <w:snapToGrid/>
        <w:spacing w:line="300" w:lineRule="exact"/>
        <w:textAlignment w:val="auto"/>
        <w:rPr>
          <w:color w:val="0000FF"/>
        </w:rPr>
      </w:pPr>
    </w:p>
    <w:p w14:paraId="532A6201">
      <w:pPr>
        <w:keepNext w:val="0"/>
        <w:keepLines w:val="0"/>
        <w:pageBreakBefore w:val="0"/>
        <w:widowControl w:val="0"/>
        <w:kinsoku/>
        <w:wordWrap/>
        <w:overflowPunct/>
        <w:topLinePunct w:val="0"/>
        <w:autoSpaceDE w:val="0"/>
        <w:autoSpaceDN w:val="0"/>
        <w:bidi w:val="0"/>
        <w:adjustRightInd/>
        <w:snapToGrid/>
        <w:spacing w:line="300" w:lineRule="exact"/>
        <w:ind w:firstLine="602" w:firstLineChars="200"/>
        <w:textAlignment w:val="auto"/>
        <w:rPr>
          <w:rFonts w:hint="default" w:ascii="宋体" w:hAnsi="宋体" w:eastAsia="宋体" w:cs="宋体"/>
          <w:b w:val="0"/>
          <w:bCs w:val="0"/>
          <w:color w:val="auto"/>
          <w:kern w:val="0"/>
          <w:sz w:val="30"/>
          <w:szCs w:val="30"/>
          <w:lang w:val="en-US" w:eastAsia="zh-CN"/>
        </w:rPr>
      </w:pPr>
      <w:r>
        <w:rPr>
          <w:rFonts w:hint="eastAsia" w:ascii="宋体" w:hAnsi="宋体" w:eastAsia="宋体" w:cs="宋体"/>
          <w:b/>
          <w:bCs/>
          <w:kern w:val="0"/>
          <w:sz w:val="30"/>
          <w:szCs w:val="30"/>
          <w:lang w:val="zh-CN" w:eastAsia="zh-CN" w:bidi="zh-CN"/>
        </w:rPr>
        <w:t>电  话：</w:t>
      </w:r>
      <w:r>
        <w:rPr>
          <w:rFonts w:hint="eastAsia" w:cs="宋体"/>
          <w:b w:val="0"/>
          <w:bCs w:val="0"/>
          <w:color w:val="auto"/>
          <w:kern w:val="0"/>
          <w:sz w:val="30"/>
          <w:szCs w:val="30"/>
          <w:lang w:val="en-US" w:eastAsia="zh-CN"/>
        </w:rPr>
        <w:t>14709958080</w:t>
      </w:r>
    </w:p>
    <w:p w14:paraId="74C979D8">
      <w:pPr>
        <w:keepNext w:val="0"/>
        <w:keepLines w:val="0"/>
        <w:pageBreakBefore w:val="0"/>
        <w:widowControl w:val="0"/>
        <w:kinsoku/>
        <w:wordWrap/>
        <w:overflowPunct/>
        <w:topLinePunct w:val="0"/>
        <w:autoSpaceDE w:val="0"/>
        <w:autoSpaceDN w:val="0"/>
        <w:bidi w:val="0"/>
        <w:adjustRightInd/>
        <w:snapToGrid/>
        <w:spacing w:line="300" w:lineRule="exact"/>
        <w:ind w:firstLine="440" w:firstLineChars="200"/>
        <w:textAlignment w:val="auto"/>
        <w:rPr>
          <w:rFonts w:hint="eastAsia"/>
          <w:color w:val="0000FF"/>
        </w:rPr>
      </w:pPr>
    </w:p>
    <w:p w14:paraId="7152DEC8">
      <w:pPr>
        <w:keepNext w:val="0"/>
        <w:keepLines w:val="0"/>
        <w:pageBreakBefore w:val="0"/>
        <w:widowControl w:val="0"/>
        <w:kinsoku/>
        <w:wordWrap/>
        <w:overflowPunct/>
        <w:topLinePunct w:val="0"/>
        <w:autoSpaceDE w:val="0"/>
        <w:autoSpaceDN w:val="0"/>
        <w:bidi w:val="0"/>
        <w:adjustRightInd/>
        <w:snapToGrid/>
        <w:spacing w:line="300" w:lineRule="exact"/>
        <w:ind w:firstLine="602" w:firstLineChars="200"/>
        <w:textAlignment w:val="auto"/>
        <w:rPr>
          <w:rFonts w:hint="default" w:ascii="宋体" w:hAnsi="宋体" w:eastAsia="宋体" w:cs="宋体"/>
          <w:b w:val="0"/>
          <w:bCs w:val="0"/>
          <w:kern w:val="0"/>
          <w:sz w:val="30"/>
          <w:szCs w:val="30"/>
          <w:lang w:val="en-US" w:eastAsia="zh-CN"/>
        </w:rPr>
      </w:pPr>
      <w:r>
        <w:rPr>
          <w:rFonts w:hint="eastAsia" w:ascii="宋体" w:hAnsi="宋体" w:cs="宋体"/>
          <w:b/>
          <w:bCs/>
          <w:color w:val="auto"/>
          <w:kern w:val="0"/>
          <w:sz w:val="30"/>
          <w:szCs w:val="30"/>
        </w:rPr>
        <w:t>地  址：</w:t>
      </w:r>
      <w:r>
        <w:rPr>
          <w:rFonts w:hint="eastAsia" w:ascii="宋体" w:hAnsi="宋体" w:eastAsia="宋体" w:cs="宋体"/>
          <w:b w:val="0"/>
          <w:bCs w:val="0"/>
          <w:kern w:val="0"/>
          <w:sz w:val="30"/>
          <w:szCs w:val="30"/>
          <w:lang w:val="en-US" w:eastAsia="zh-CN"/>
        </w:rPr>
        <w:t>鄯善县吐峪沟乡</w:t>
      </w:r>
    </w:p>
    <w:p w14:paraId="109F9172">
      <w:pPr>
        <w:pStyle w:val="6"/>
        <w:keepNext w:val="0"/>
        <w:keepLines w:val="0"/>
        <w:pageBreakBefore w:val="0"/>
        <w:widowControl w:val="0"/>
        <w:kinsoku/>
        <w:wordWrap/>
        <w:overflowPunct/>
        <w:topLinePunct w:val="0"/>
        <w:autoSpaceDE w:val="0"/>
        <w:autoSpaceDN w:val="0"/>
        <w:bidi w:val="0"/>
        <w:adjustRightInd/>
        <w:snapToGrid/>
        <w:spacing w:line="300" w:lineRule="exact"/>
        <w:textAlignment w:val="auto"/>
      </w:pPr>
    </w:p>
    <w:p w14:paraId="43F55050">
      <w:pPr>
        <w:keepNext w:val="0"/>
        <w:keepLines w:val="0"/>
        <w:pageBreakBefore w:val="0"/>
        <w:widowControl w:val="0"/>
        <w:kinsoku/>
        <w:wordWrap/>
        <w:overflowPunct/>
        <w:topLinePunct w:val="0"/>
        <w:autoSpaceDE w:val="0"/>
        <w:autoSpaceDN w:val="0"/>
        <w:bidi w:val="0"/>
        <w:adjustRightInd/>
        <w:snapToGrid/>
        <w:spacing w:line="300" w:lineRule="exact"/>
        <w:ind w:firstLine="602" w:firstLineChars="200"/>
        <w:textAlignment w:val="auto"/>
        <w:rPr>
          <w:rFonts w:hint="eastAsia" w:ascii="宋体" w:hAnsi="宋体" w:cs="宋体"/>
          <w:bCs/>
          <w:w w:val="96"/>
          <w:kern w:val="0"/>
          <w:sz w:val="30"/>
          <w:szCs w:val="30"/>
        </w:rPr>
      </w:pPr>
      <w:r>
        <w:rPr>
          <w:rFonts w:hint="eastAsia" w:ascii="宋体" w:hAnsi="宋体" w:cs="宋体"/>
          <w:b/>
          <w:bCs/>
          <w:kern w:val="0"/>
          <w:sz w:val="30"/>
          <w:szCs w:val="30"/>
        </w:rPr>
        <w:t>采购代理机构</w:t>
      </w:r>
      <w:r>
        <w:rPr>
          <w:rFonts w:hint="eastAsia" w:ascii="宋体" w:hAnsi="宋体" w:cs="宋体"/>
          <w:kern w:val="0"/>
          <w:sz w:val="30"/>
          <w:szCs w:val="30"/>
        </w:rPr>
        <w:t>（盖章）</w:t>
      </w:r>
      <w:r>
        <w:rPr>
          <w:rFonts w:hint="eastAsia" w:ascii="宋体" w:hAnsi="宋体" w:cs="宋体"/>
          <w:b/>
          <w:bCs/>
          <w:kern w:val="0"/>
          <w:sz w:val="30"/>
          <w:szCs w:val="30"/>
        </w:rPr>
        <w:t>：</w:t>
      </w:r>
      <w:r>
        <w:rPr>
          <w:rFonts w:hint="eastAsia" w:ascii="宋体" w:hAnsi="宋体" w:eastAsia="宋体" w:cs="宋体"/>
          <w:b w:val="0"/>
          <w:bCs w:val="0"/>
          <w:kern w:val="0"/>
          <w:sz w:val="30"/>
          <w:szCs w:val="30"/>
          <w:lang w:val="en-US" w:eastAsia="zh-CN"/>
        </w:rPr>
        <w:t>新疆华域天恒工程管理有限公司</w:t>
      </w:r>
    </w:p>
    <w:p w14:paraId="38225E52">
      <w:pPr>
        <w:pStyle w:val="38"/>
        <w:keepNext w:val="0"/>
        <w:keepLines w:val="0"/>
        <w:pageBreakBefore w:val="0"/>
        <w:widowControl w:val="0"/>
        <w:kinsoku/>
        <w:wordWrap/>
        <w:overflowPunct/>
        <w:topLinePunct w:val="0"/>
        <w:autoSpaceDE w:val="0"/>
        <w:autoSpaceDN w:val="0"/>
        <w:bidi w:val="0"/>
        <w:adjustRightInd/>
        <w:snapToGrid/>
        <w:spacing w:before="120" w:after="120" w:line="300" w:lineRule="exact"/>
        <w:ind w:firstLine="480"/>
        <w:textAlignment w:val="auto"/>
        <w:rPr>
          <w:rFonts w:hint="eastAsia"/>
        </w:rPr>
      </w:pPr>
    </w:p>
    <w:p w14:paraId="1F6A1C7F">
      <w:pPr>
        <w:keepNext w:val="0"/>
        <w:keepLines w:val="0"/>
        <w:pageBreakBefore w:val="0"/>
        <w:widowControl w:val="0"/>
        <w:kinsoku/>
        <w:wordWrap/>
        <w:overflowPunct/>
        <w:topLinePunct w:val="0"/>
        <w:autoSpaceDE w:val="0"/>
        <w:autoSpaceDN w:val="0"/>
        <w:bidi w:val="0"/>
        <w:adjustRightInd/>
        <w:snapToGrid/>
        <w:spacing w:line="300" w:lineRule="exact"/>
        <w:ind w:firstLine="602" w:firstLineChars="200"/>
        <w:textAlignment w:val="auto"/>
        <w:rPr>
          <w:rFonts w:hint="eastAsia" w:ascii="宋体" w:hAnsi="宋体" w:eastAsia="宋体" w:cs="宋体"/>
          <w:bCs/>
          <w:sz w:val="30"/>
          <w:szCs w:val="30"/>
          <w:lang w:eastAsia="zh-CN"/>
        </w:rPr>
      </w:pPr>
      <w:r>
        <w:rPr>
          <w:rFonts w:hint="eastAsia" w:ascii="宋体" w:hAnsi="宋体" w:cs="宋体"/>
          <w:b/>
          <w:bCs/>
          <w:kern w:val="0"/>
          <w:sz w:val="30"/>
          <w:szCs w:val="30"/>
        </w:rPr>
        <w:t>联系人</w:t>
      </w:r>
      <w:r>
        <w:rPr>
          <w:rFonts w:hint="eastAsia" w:ascii="宋体" w:hAnsi="宋体" w:cs="宋体"/>
          <w:b/>
          <w:bCs/>
          <w:sz w:val="30"/>
          <w:szCs w:val="30"/>
        </w:rPr>
        <w:t>：</w:t>
      </w:r>
      <w:r>
        <w:rPr>
          <w:rFonts w:hint="eastAsia" w:cs="宋体"/>
          <w:bCs/>
          <w:sz w:val="30"/>
          <w:szCs w:val="30"/>
          <w:lang w:val="en-US" w:eastAsia="zh-CN"/>
        </w:rPr>
        <w:t>马丽娜</w:t>
      </w:r>
    </w:p>
    <w:p w14:paraId="07E464D5">
      <w:pPr>
        <w:pStyle w:val="38"/>
        <w:keepNext w:val="0"/>
        <w:keepLines w:val="0"/>
        <w:pageBreakBefore w:val="0"/>
        <w:widowControl w:val="0"/>
        <w:kinsoku/>
        <w:wordWrap/>
        <w:overflowPunct/>
        <w:topLinePunct w:val="0"/>
        <w:autoSpaceDE w:val="0"/>
        <w:autoSpaceDN w:val="0"/>
        <w:bidi w:val="0"/>
        <w:adjustRightInd/>
        <w:snapToGrid/>
        <w:spacing w:before="120" w:after="120" w:line="300" w:lineRule="exact"/>
        <w:ind w:firstLine="480"/>
        <w:textAlignment w:val="auto"/>
        <w:rPr>
          <w:rFonts w:hint="eastAsia"/>
        </w:rPr>
      </w:pPr>
    </w:p>
    <w:p w14:paraId="73A5EFEF">
      <w:pPr>
        <w:keepNext w:val="0"/>
        <w:keepLines w:val="0"/>
        <w:pageBreakBefore w:val="0"/>
        <w:widowControl w:val="0"/>
        <w:kinsoku/>
        <w:wordWrap/>
        <w:overflowPunct/>
        <w:topLinePunct w:val="0"/>
        <w:autoSpaceDE w:val="0"/>
        <w:autoSpaceDN w:val="0"/>
        <w:bidi w:val="0"/>
        <w:adjustRightInd/>
        <w:snapToGrid/>
        <w:spacing w:line="300" w:lineRule="exact"/>
        <w:ind w:firstLine="602" w:firstLineChars="200"/>
        <w:textAlignment w:val="auto"/>
        <w:rPr>
          <w:rFonts w:hint="default" w:ascii="宋体" w:hAnsi="宋体" w:eastAsia="宋体" w:cs="宋体"/>
          <w:bCs/>
          <w:kern w:val="0"/>
          <w:sz w:val="30"/>
          <w:szCs w:val="30"/>
          <w:lang w:val="en-US" w:eastAsia="zh-CN"/>
        </w:rPr>
      </w:pPr>
      <w:r>
        <w:rPr>
          <w:rFonts w:hint="eastAsia" w:ascii="宋体" w:hAnsi="宋体" w:cs="宋体"/>
          <w:b/>
          <w:bCs/>
          <w:kern w:val="0"/>
          <w:sz w:val="30"/>
          <w:szCs w:val="30"/>
        </w:rPr>
        <w:t>电  话</w:t>
      </w:r>
      <w:r>
        <w:rPr>
          <w:rFonts w:hint="eastAsia" w:ascii="宋体" w:hAnsi="宋体" w:cs="宋体"/>
          <w:b/>
          <w:bCs/>
          <w:sz w:val="30"/>
          <w:szCs w:val="30"/>
        </w:rPr>
        <w:t>：</w:t>
      </w:r>
      <w:r>
        <w:rPr>
          <w:rFonts w:hint="eastAsia" w:ascii="仿宋" w:hAnsi="仿宋" w:eastAsia="仿宋" w:cs="仿宋"/>
          <w:color w:val="151515"/>
          <w:kern w:val="2"/>
          <w:sz w:val="32"/>
          <w:szCs w:val="32"/>
          <w:shd w:val="clear" w:color="auto" w:fill="FFFFFF"/>
          <w:lang w:val="en-US" w:eastAsia="zh-CN" w:bidi="ar-SA"/>
        </w:rPr>
        <w:t>13899314280</w:t>
      </w:r>
    </w:p>
    <w:p w14:paraId="0E604C81">
      <w:pPr>
        <w:pStyle w:val="38"/>
        <w:keepNext w:val="0"/>
        <w:keepLines w:val="0"/>
        <w:pageBreakBefore w:val="0"/>
        <w:widowControl w:val="0"/>
        <w:kinsoku/>
        <w:wordWrap/>
        <w:overflowPunct/>
        <w:topLinePunct w:val="0"/>
        <w:autoSpaceDE w:val="0"/>
        <w:autoSpaceDN w:val="0"/>
        <w:bidi w:val="0"/>
        <w:adjustRightInd/>
        <w:snapToGrid/>
        <w:spacing w:before="120" w:after="120" w:line="300" w:lineRule="exact"/>
        <w:ind w:firstLine="480"/>
        <w:textAlignment w:val="auto"/>
        <w:rPr>
          <w:rFonts w:hint="eastAsia"/>
        </w:rPr>
      </w:pPr>
    </w:p>
    <w:p w14:paraId="73FCEFE4">
      <w:pPr>
        <w:keepNext w:val="0"/>
        <w:keepLines w:val="0"/>
        <w:pageBreakBefore w:val="0"/>
        <w:widowControl w:val="0"/>
        <w:kinsoku/>
        <w:wordWrap/>
        <w:overflowPunct/>
        <w:topLinePunct w:val="0"/>
        <w:autoSpaceDE w:val="0"/>
        <w:autoSpaceDN w:val="0"/>
        <w:bidi w:val="0"/>
        <w:adjustRightInd/>
        <w:snapToGrid/>
        <w:spacing w:line="300" w:lineRule="exact"/>
        <w:ind w:firstLine="602" w:firstLineChars="200"/>
        <w:textAlignment w:val="auto"/>
        <w:rPr>
          <w:rFonts w:hint="eastAsia" w:ascii="宋体" w:hAnsi="宋体" w:eastAsia="宋体" w:cs="宋体"/>
          <w:b w:val="0"/>
          <w:bCs w:val="0"/>
          <w:kern w:val="0"/>
          <w:sz w:val="30"/>
          <w:szCs w:val="30"/>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026" w:right="1474" w:bottom="1531" w:left="1474" w:header="851" w:footer="794" w:gutter="0"/>
          <w:pgNumType w:fmt="decimal" w:start="1"/>
          <w:cols w:space="720" w:num="1"/>
          <w:titlePg/>
          <w:docGrid w:linePitch="312" w:charSpace="0"/>
        </w:sectPr>
      </w:pPr>
      <w:r>
        <w:rPr>
          <w:rFonts w:hint="eastAsia" w:ascii="宋体" w:hAnsi="宋体" w:cs="宋体"/>
          <w:b/>
          <w:bCs/>
          <w:kern w:val="0"/>
          <w:sz w:val="30"/>
          <w:szCs w:val="30"/>
        </w:rPr>
        <w:t>地  址：</w:t>
      </w:r>
      <w:r>
        <w:rPr>
          <w:rFonts w:hint="eastAsia" w:ascii="宋体" w:hAnsi="宋体" w:eastAsia="宋体" w:cs="宋体"/>
          <w:b w:val="0"/>
          <w:bCs w:val="0"/>
          <w:kern w:val="0"/>
          <w:sz w:val="30"/>
          <w:szCs w:val="30"/>
          <w:lang w:val="en-US" w:eastAsia="zh-CN"/>
        </w:rPr>
        <w:t>吐鲁番市高昌区示范区和平街11幢2层201号</w:t>
      </w:r>
    </w:p>
    <w:p w14:paraId="4AB8B26A">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jc w:val="center"/>
        <w:textAlignment w:val="auto"/>
        <w:rPr>
          <w:rFonts w:hint="eastAsia" w:ascii="微软雅黑" w:hAnsi="微软雅黑" w:eastAsia="微软雅黑" w:cs="微软雅黑"/>
          <w:b/>
          <w:bCs/>
          <w:color w:val="auto"/>
          <w:sz w:val="32"/>
          <w:szCs w:val="32"/>
          <w:highlight w:val="none"/>
          <w:lang w:val="en-US" w:eastAsia="zh-CN"/>
        </w:rPr>
      </w:pPr>
      <w:r>
        <w:rPr>
          <w:rFonts w:hint="eastAsia" w:ascii="微软雅黑" w:hAnsi="微软雅黑" w:eastAsia="微软雅黑" w:cs="微软雅黑"/>
          <w:b/>
          <w:bCs/>
          <w:color w:val="auto"/>
          <w:sz w:val="32"/>
          <w:szCs w:val="32"/>
          <w:highlight w:val="none"/>
          <w:lang w:val="en-US" w:eastAsia="zh-CN"/>
        </w:rPr>
        <w:t xml:space="preserve"> </w:t>
      </w:r>
      <w:bookmarkStart w:id="0" w:name="_Toc27580_WPSOffice_Level1"/>
    </w:p>
    <w:p w14:paraId="0AE93170">
      <w:pPr>
        <w:spacing w:before="0" w:beforeLines="0" w:after="0" w:afterLines="0" w:line="240" w:lineRule="auto"/>
        <w:ind w:left="0" w:leftChars="0" w:right="0" w:rightChars="0" w:firstLine="0" w:firstLineChars="0"/>
        <w:jc w:val="center"/>
        <w:rPr>
          <w:color w:val="auto"/>
          <w:highlight w:val="none"/>
        </w:rPr>
      </w:pPr>
      <w:bookmarkStart w:id="1" w:name="_Toc13968_WPSOffice_Type1"/>
      <w:r>
        <w:rPr>
          <w:rFonts w:ascii="宋体" w:hAnsi="宋体" w:eastAsia="宋体"/>
          <w:b/>
          <w:bCs/>
          <w:color w:val="auto"/>
          <w:sz w:val="40"/>
          <w:szCs w:val="44"/>
          <w:highlight w:val="none"/>
        </w:rPr>
        <w:t>目录</w:t>
      </w:r>
    </w:p>
    <w:p w14:paraId="225CB40A">
      <w:pPr>
        <w:pStyle w:val="37"/>
        <w:tabs>
          <w:tab w:val="right" w:leader="dot" w:pos="8848"/>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_Toc3822_WPSOffice_Level1 </w:instrText>
      </w:r>
      <w:r>
        <w:rPr>
          <w:color w:val="auto"/>
          <w:sz w:val="24"/>
          <w:szCs w:val="24"/>
          <w:highlight w:val="none"/>
        </w:rPr>
        <w:fldChar w:fldCharType="separate"/>
      </w:r>
      <w:r>
        <w:rPr>
          <w:rFonts w:hint="eastAsia" w:ascii="微软雅黑" w:hAnsi="微软雅黑" w:eastAsia="微软雅黑" w:cs="微软雅黑"/>
          <w:color w:val="auto"/>
          <w:sz w:val="24"/>
          <w:szCs w:val="24"/>
          <w:highlight w:val="none"/>
        </w:rPr>
        <w:t>第一部分 磋商</w:t>
      </w:r>
      <w:r>
        <w:rPr>
          <w:rFonts w:hint="eastAsia" w:ascii="微软雅黑" w:hAnsi="微软雅黑" w:eastAsia="微软雅黑" w:cs="微软雅黑"/>
          <w:color w:val="auto"/>
          <w:sz w:val="24"/>
          <w:szCs w:val="24"/>
          <w:highlight w:val="none"/>
          <w:lang w:val="en-US" w:eastAsia="zh-CN"/>
        </w:rPr>
        <w:t>公告</w:t>
      </w:r>
      <w:r>
        <w:rPr>
          <w:color w:val="auto"/>
          <w:sz w:val="24"/>
          <w:szCs w:val="24"/>
          <w:highlight w:val="none"/>
        </w:rPr>
        <w:tab/>
      </w:r>
      <w:r>
        <w:rPr>
          <w:rFonts w:hint="eastAsia"/>
          <w:color w:val="auto"/>
          <w:sz w:val="24"/>
          <w:szCs w:val="24"/>
          <w:highlight w:val="none"/>
          <w:lang w:val="en-US" w:eastAsia="zh-CN"/>
        </w:rPr>
        <w:t>3</w:t>
      </w:r>
      <w:r>
        <w:rPr>
          <w:color w:val="auto"/>
          <w:sz w:val="24"/>
          <w:szCs w:val="24"/>
          <w:highlight w:val="none"/>
        </w:rPr>
        <w:fldChar w:fldCharType="end"/>
      </w:r>
    </w:p>
    <w:p w14:paraId="42835902">
      <w:pPr>
        <w:pStyle w:val="37"/>
        <w:tabs>
          <w:tab w:val="right" w:leader="dot" w:pos="8848"/>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_Toc27580_WPSOffice_Level1 </w:instrText>
      </w:r>
      <w:r>
        <w:rPr>
          <w:color w:val="auto"/>
          <w:sz w:val="24"/>
          <w:szCs w:val="24"/>
          <w:highlight w:val="none"/>
        </w:rPr>
        <w:fldChar w:fldCharType="separate"/>
      </w:r>
      <w:r>
        <w:rPr>
          <w:rFonts w:hint="eastAsia" w:ascii="微软雅黑" w:hAnsi="微软雅黑" w:eastAsia="微软雅黑" w:cs="微软雅黑"/>
          <w:color w:val="auto"/>
          <w:sz w:val="24"/>
          <w:szCs w:val="24"/>
          <w:highlight w:val="none"/>
        </w:rPr>
        <w:t>第二部分 磋商须知</w:t>
      </w:r>
      <w:r>
        <w:rPr>
          <w:color w:val="auto"/>
          <w:sz w:val="24"/>
          <w:szCs w:val="24"/>
          <w:highlight w:val="none"/>
        </w:rPr>
        <w:tab/>
      </w:r>
      <w:r>
        <w:rPr>
          <w:rFonts w:hint="eastAsia"/>
          <w:color w:val="auto"/>
          <w:sz w:val="24"/>
          <w:szCs w:val="24"/>
          <w:highlight w:val="none"/>
          <w:lang w:val="en-US" w:eastAsia="zh-CN"/>
        </w:rPr>
        <w:t>7</w:t>
      </w:r>
      <w:r>
        <w:rPr>
          <w:color w:val="auto"/>
          <w:sz w:val="24"/>
          <w:szCs w:val="24"/>
          <w:highlight w:val="none"/>
        </w:rPr>
        <w:fldChar w:fldCharType="end"/>
      </w:r>
    </w:p>
    <w:p w14:paraId="5959EC9D">
      <w:pPr>
        <w:pStyle w:val="37"/>
        <w:tabs>
          <w:tab w:val="right" w:leader="dot" w:pos="8848"/>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_Toc26743_WPSOffice_Level1 </w:instrText>
      </w:r>
      <w:r>
        <w:rPr>
          <w:color w:val="auto"/>
          <w:sz w:val="24"/>
          <w:szCs w:val="24"/>
          <w:highlight w:val="none"/>
        </w:rPr>
        <w:fldChar w:fldCharType="separate"/>
      </w:r>
      <w:r>
        <w:rPr>
          <w:rFonts w:hint="eastAsia" w:ascii="微软雅黑" w:hAnsi="微软雅黑" w:eastAsia="微软雅黑" w:cs="微软雅黑"/>
          <w:color w:val="auto"/>
          <w:sz w:val="24"/>
          <w:szCs w:val="24"/>
          <w:highlight w:val="none"/>
        </w:rPr>
        <w:t>第三部分 采购项目需求</w:t>
      </w:r>
      <w:r>
        <w:rPr>
          <w:color w:val="auto"/>
          <w:sz w:val="24"/>
          <w:szCs w:val="24"/>
          <w:highlight w:val="none"/>
        </w:rPr>
        <w:tab/>
      </w:r>
      <w:bookmarkStart w:id="2" w:name="_Toc26743_WPSOffice_Level1Page"/>
      <w:r>
        <w:rPr>
          <w:color w:val="auto"/>
          <w:sz w:val="24"/>
          <w:szCs w:val="24"/>
          <w:highlight w:val="none"/>
        </w:rPr>
        <w:t>3</w:t>
      </w:r>
      <w:bookmarkEnd w:id="2"/>
      <w:r>
        <w:rPr>
          <w:rFonts w:hint="eastAsia"/>
          <w:color w:val="auto"/>
          <w:sz w:val="24"/>
          <w:szCs w:val="24"/>
          <w:highlight w:val="none"/>
          <w:lang w:val="en-US" w:eastAsia="zh-CN"/>
        </w:rPr>
        <w:t>2</w:t>
      </w:r>
      <w:r>
        <w:rPr>
          <w:color w:val="auto"/>
          <w:sz w:val="24"/>
          <w:szCs w:val="24"/>
          <w:highlight w:val="none"/>
        </w:rPr>
        <w:fldChar w:fldCharType="end"/>
      </w:r>
    </w:p>
    <w:p w14:paraId="04A2504E">
      <w:pPr>
        <w:pStyle w:val="37"/>
        <w:tabs>
          <w:tab w:val="right" w:leader="dot" w:pos="8848"/>
        </w:tabs>
        <w:rPr>
          <w:rFonts w:hint="default" w:eastAsia="宋体"/>
          <w:color w:val="auto"/>
          <w:sz w:val="24"/>
          <w:szCs w:val="24"/>
          <w:highlight w:val="none"/>
          <w:lang w:val="en-US" w:eastAsia="zh-CN"/>
        </w:rPr>
      </w:pPr>
      <w:r>
        <w:rPr>
          <w:color w:val="auto"/>
          <w:sz w:val="24"/>
          <w:szCs w:val="24"/>
          <w:highlight w:val="none"/>
        </w:rPr>
        <w:fldChar w:fldCharType="begin"/>
      </w:r>
      <w:r>
        <w:rPr>
          <w:color w:val="auto"/>
          <w:sz w:val="24"/>
          <w:szCs w:val="24"/>
          <w:highlight w:val="none"/>
        </w:rPr>
        <w:instrText xml:space="preserve"> HYPERLINK \l _Toc2627_WPSOffice_Level1 </w:instrText>
      </w:r>
      <w:r>
        <w:rPr>
          <w:color w:val="auto"/>
          <w:sz w:val="24"/>
          <w:szCs w:val="24"/>
          <w:highlight w:val="none"/>
        </w:rPr>
        <w:fldChar w:fldCharType="separate"/>
      </w:r>
      <w:r>
        <w:rPr>
          <w:rFonts w:hint="eastAsia" w:ascii="微软雅黑" w:hAnsi="微软雅黑" w:eastAsia="微软雅黑" w:cs="微软雅黑"/>
          <w:color w:val="auto"/>
          <w:sz w:val="24"/>
          <w:szCs w:val="24"/>
          <w:highlight w:val="none"/>
        </w:rPr>
        <w:t>第四部分 合同格式</w:t>
      </w:r>
      <w:r>
        <w:rPr>
          <w:color w:val="auto"/>
          <w:sz w:val="24"/>
          <w:szCs w:val="24"/>
          <w:highlight w:val="none"/>
        </w:rPr>
        <w:tab/>
      </w:r>
      <w:r>
        <w:rPr>
          <w:color w:val="auto"/>
          <w:sz w:val="24"/>
          <w:szCs w:val="24"/>
          <w:highlight w:val="none"/>
        </w:rPr>
        <w:fldChar w:fldCharType="end"/>
      </w:r>
      <w:r>
        <w:rPr>
          <w:rFonts w:hint="eastAsia"/>
          <w:color w:val="auto"/>
          <w:sz w:val="24"/>
          <w:szCs w:val="24"/>
          <w:highlight w:val="none"/>
          <w:lang w:val="en-US" w:eastAsia="zh-CN"/>
        </w:rPr>
        <w:t>36</w:t>
      </w:r>
    </w:p>
    <w:p w14:paraId="529D7CBC">
      <w:pPr>
        <w:pStyle w:val="37"/>
        <w:tabs>
          <w:tab w:val="right" w:leader="dot" w:pos="8848"/>
        </w:tabs>
        <w:rPr>
          <w:color w:val="auto"/>
          <w:highlight w:val="none"/>
        </w:rPr>
      </w:pPr>
      <w:r>
        <w:rPr>
          <w:color w:val="auto"/>
          <w:sz w:val="24"/>
          <w:szCs w:val="24"/>
          <w:highlight w:val="none"/>
        </w:rPr>
        <w:fldChar w:fldCharType="begin"/>
      </w:r>
      <w:r>
        <w:rPr>
          <w:color w:val="auto"/>
          <w:sz w:val="24"/>
          <w:szCs w:val="24"/>
          <w:highlight w:val="none"/>
        </w:rPr>
        <w:instrText xml:space="preserve"> HYPERLINK \l _Toc10386_WPSOffice_Level1 </w:instrText>
      </w:r>
      <w:r>
        <w:rPr>
          <w:color w:val="auto"/>
          <w:sz w:val="24"/>
          <w:szCs w:val="24"/>
          <w:highlight w:val="none"/>
        </w:rPr>
        <w:fldChar w:fldCharType="separate"/>
      </w:r>
      <w:r>
        <w:rPr>
          <w:rFonts w:hint="eastAsia" w:ascii="微软雅黑" w:hAnsi="微软雅黑" w:eastAsia="微软雅黑" w:cs="微软雅黑"/>
          <w:color w:val="auto"/>
          <w:sz w:val="24"/>
          <w:szCs w:val="24"/>
          <w:highlight w:val="none"/>
        </w:rPr>
        <w:t>第五部分 响应文件格式</w:t>
      </w:r>
      <w:r>
        <w:rPr>
          <w:color w:val="auto"/>
          <w:sz w:val="24"/>
          <w:szCs w:val="24"/>
          <w:highlight w:val="none"/>
        </w:rPr>
        <w:tab/>
      </w:r>
      <w:bookmarkStart w:id="3" w:name="_Toc10386_WPSOffice_Level1Page"/>
      <w:r>
        <w:rPr>
          <w:color w:val="auto"/>
          <w:sz w:val="24"/>
          <w:szCs w:val="24"/>
          <w:highlight w:val="none"/>
        </w:rPr>
        <w:t>5</w:t>
      </w:r>
      <w:bookmarkEnd w:id="3"/>
      <w:r>
        <w:rPr>
          <w:rFonts w:hint="eastAsia"/>
          <w:color w:val="auto"/>
          <w:sz w:val="24"/>
          <w:szCs w:val="24"/>
          <w:highlight w:val="none"/>
          <w:lang w:val="en-US" w:eastAsia="zh-CN"/>
        </w:rPr>
        <w:t>1</w:t>
      </w:r>
      <w:r>
        <w:rPr>
          <w:color w:val="auto"/>
          <w:sz w:val="24"/>
          <w:szCs w:val="24"/>
          <w:highlight w:val="none"/>
        </w:rPr>
        <w:fldChar w:fldCharType="end"/>
      </w:r>
    </w:p>
    <w:bookmarkEnd w:id="1"/>
    <w:p w14:paraId="19E32BD4">
      <w:pPr>
        <w:keepNext w:val="0"/>
        <w:keepLines w:val="0"/>
        <w:pageBreakBefore w:val="0"/>
        <w:widowControl w:val="0"/>
        <w:kinsoku/>
        <w:wordWrap/>
        <w:overflowPunct/>
        <w:topLinePunct w:val="0"/>
        <w:autoSpaceDE w:val="0"/>
        <w:autoSpaceDN w:val="0"/>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 </w:t>
      </w:r>
    </w:p>
    <w:p w14:paraId="53C23F0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sectPr>
          <w:headerReference r:id="rId11" w:type="default"/>
          <w:footerReference r:id="rId12" w:type="default"/>
          <w:pgSz w:w="11910" w:h="16840"/>
          <w:pgMar w:top="1984" w:right="1531" w:bottom="2098" w:left="1531" w:header="670" w:footer="1041" w:gutter="0"/>
          <w:pgNumType w:fmt="decimal"/>
          <w:cols w:space="720" w:num="1"/>
          <w:rtlGutter w:val="0"/>
          <w:docGrid w:linePitch="1" w:charSpace="0"/>
        </w:sectPr>
      </w:pPr>
    </w:p>
    <w:p w14:paraId="68215562">
      <w:pPr>
        <w:pStyle w:val="17"/>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jc w:val="center"/>
        <w:textAlignment w:val="auto"/>
        <w:rPr>
          <w:rFonts w:hint="eastAsia" w:ascii="仿宋" w:hAnsi="仿宋" w:eastAsia="仿宋"/>
          <w:b/>
          <w:color w:val="000000"/>
          <w:sz w:val="32"/>
          <w:szCs w:val="32"/>
          <w:highlight w:val="none"/>
        </w:rPr>
      </w:pPr>
      <w:r>
        <w:rPr>
          <w:rFonts w:hint="eastAsia" w:ascii="仿宋" w:hAnsi="仿宋" w:eastAsia="仿宋"/>
          <w:b/>
          <w:color w:val="000000"/>
          <w:sz w:val="32"/>
          <w:szCs w:val="32"/>
          <w:highlight w:val="none"/>
          <w:lang w:val="en-US" w:eastAsia="zh-CN"/>
        </w:rPr>
        <w:t>磋商</w:t>
      </w:r>
      <w:r>
        <w:rPr>
          <w:rFonts w:hint="eastAsia" w:ascii="仿宋" w:hAnsi="仿宋" w:eastAsia="仿宋"/>
          <w:b/>
          <w:color w:val="000000"/>
          <w:sz w:val="32"/>
          <w:szCs w:val="32"/>
          <w:highlight w:val="none"/>
        </w:rPr>
        <w:t>公告</w:t>
      </w:r>
    </w:p>
    <w:p w14:paraId="221280DE">
      <w:pPr>
        <w:keepNext w:val="0"/>
        <w:keepLines w:val="0"/>
        <w:widowControl/>
        <w:suppressLineNumbers w:val="0"/>
        <w:pBdr>
          <w:bottom w:val="none" w:color="auto" w:sz="0" w:space="0"/>
        </w:pBdr>
        <w:spacing w:line="450" w:lineRule="atLeast"/>
        <w:jc w:val="center"/>
        <w:rPr>
          <w:rFonts w:hint="eastAsia" w:cs="宋体"/>
          <w:b/>
          <w:bCs/>
          <w:kern w:val="0"/>
          <w:sz w:val="36"/>
          <w:szCs w:val="36"/>
          <w:lang w:val="en-US" w:eastAsia="zh-CN" w:bidi="ar"/>
        </w:rPr>
      </w:pPr>
      <w:r>
        <w:rPr>
          <w:rFonts w:hint="eastAsia" w:ascii="宋体" w:hAnsi="宋体" w:eastAsia="宋体" w:cs="宋体"/>
          <w:b/>
          <w:bCs/>
          <w:kern w:val="0"/>
          <w:sz w:val="36"/>
          <w:szCs w:val="36"/>
          <w:lang w:val="en-US" w:eastAsia="zh-CN" w:bidi="ar"/>
        </w:rPr>
        <w:t>吐鲁番市鄯善县</w:t>
      </w:r>
      <w:r>
        <w:rPr>
          <w:rFonts w:hint="eastAsia" w:cs="宋体"/>
          <w:b/>
          <w:bCs/>
          <w:kern w:val="0"/>
          <w:sz w:val="36"/>
          <w:szCs w:val="36"/>
          <w:lang w:val="en-US" w:eastAsia="zh-CN" w:bidi="ar"/>
        </w:rPr>
        <w:t>吐峪沟乡巷道硬化建设项目</w:t>
      </w:r>
    </w:p>
    <w:p w14:paraId="454294BE">
      <w:pPr>
        <w:keepNext w:val="0"/>
        <w:keepLines w:val="0"/>
        <w:widowControl/>
        <w:suppressLineNumbers w:val="0"/>
        <w:pBdr>
          <w:bottom w:val="none" w:color="auto" w:sz="0" w:space="0"/>
        </w:pBdr>
        <w:spacing w:line="450" w:lineRule="atLeast"/>
        <w:jc w:val="center"/>
        <w:rPr>
          <w:rFonts w:ascii="宋体" w:hAnsi="宋体" w:eastAsia="宋体" w:cs="宋体"/>
          <w:b/>
          <w:bCs/>
          <w:kern w:val="0"/>
          <w:sz w:val="36"/>
          <w:szCs w:val="36"/>
          <w:lang w:val="en-US" w:eastAsia="zh-CN" w:bidi="ar"/>
        </w:rPr>
      </w:pPr>
      <w:r>
        <w:rPr>
          <w:rFonts w:ascii="宋体" w:hAnsi="宋体" w:eastAsia="宋体" w:cs="宋体"/>
          <w:b/>
          <w:bCs/>
          <w:kern w:val="0"/>
          <w:sz w:val="36"/>
          <w:szCs w:val="36"/>
          <w:lang w:val="en-US" w:eastAsia="zh-CN" w:bidi="ar"/>
        </w:rPr>
        <w:t>竞争性</w:t>
      </w:r>
      <w:r>
        <w:rPr>
          <w:rFonts w:hint="eastAsia" w:ascii="宋体" w:hAnsi="宋体" w:eastAsia="宋体" w:cs="宋体"/>
          <w:b/>
          <w:bCs/>
          <w:kern w:val="0"/>
          <w:sz w:val="36"/>
          <w:szCs w:val="36"/>
          <w:lang w:val="en-US" w:eastAsia="zh-CN" w:bidi="ar"/>
        </w:rPr>
        <w:t>磋商</w:t>
      </w:r>
      <w:r>
        <w:rPr>
          <w:rFonts w:ascii="宋体" w:hAnsi="宋体" w:eastAsia="宋体" w:cs="宋体"/>
          <w:b/>
          <w:bCs/>
          <w:kern w:val="0"/>
          <w:sz w:val="36"/>
          <w:szCs w:val="36"/>
          <w:lang w:val="en-US" w:eastAsia="zh-CN" w:bidi="ar"/>
        </w:rPr>
        <w:t>公告</w:t>
      </w:r>
    </w:p>
    <w:p w14:paraId="4A65FF81">
      <w:pPr>
        <w:keepNext w:val="0"/>
        <w:keepLines w:val="0"/>
        <w:widowControl/>
        <w:suppressLineNumbers w:val="0"/>
        <w:pBdr>
          <w:bottom w:val="none" w:color="auto" w:sz="0" w:space="0"/>
        </w:pBdr>
        <w:spacing w:line="450" w:lineRule="atLeast"/>
        <w:jc w:val="center"/>
        <w:rPr>
          <w:rFonts w:ascii="宋体" w:hAnsi="宋体" w:eastAsia="宋体" w:cs="宋体"/>
          <w:b/>
          <w:bCs/>
          <w:kern w:val="0"/>
          <w:sz w:val="36"/>
          <w:szCs w:val="36"/>
          <w:lang w:val="en-US" w:eastAsia="zh-CN" w:bidi="ar"/>
        </w:rPr>
      </w:pPr>
    </w:p>
    <w:p w14:paraId="300A62AC">
      <w:pPr>
        <w:pStyle w:val="17"/>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sz w:val="28"/>
          <w:szCs w:val="28"/>
        </w:rPr>
      </w:pPr>
      <w:r>
        <w:rPr>
          <w:rFonts w:ascii="仿宋" w:hAnsi="仿宋" w:eastAsia="仿宋" w:cs="仿宋"/>
          <w:sz w:val="27"/>
          <w:szCs w:val="27"/>
        </w:rPr>
        <w:t xml:space="preserve">  </w:t>
      </w:r>
      <w:r>
        <w:rPr>
          <w:rFonts w:ascii="仿宋" w:hAnsi="仿宋" w:eastAsia="仿宋" w:cs="仿宋"/>
          <w:i w:val="0"/>
          <w:iCs w:val="0"/>
          <w:caps w:val="0"/>
          <w:color w:val="000000"/>
          <w:spacing w:val="0"/>
          <w:sz w:val="28"/>
          <w:szCs w:val="28"/>
        </w:rPr>
        <w:t>项目概况</w:t>
      </w:r>
    </w:p>
    <w:p w14:paraId="6C9E2C06">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pPr>
      <w:r>
        <w:rPr>
          <w:rFonts w:hint="eastAsia" w:ascii="仿宋" w:hAnsi="仿宋" w:eastAsia="仿宋" w:cs="仿宋"/>
          <w:i w:val="0"/>
          <w:iCs w:val="0"/>
          <w:caps w:val="0"/>
          <w:color w:val="000000"/>
          <w:spacing w:val="0"/>
          <w:sz w:val="28"/>
          <w:szCs w:val="28"/>
          <w:lang w:val="en-US" w:eastAsia="zh-CN"/>
        </w:rPr>
        <w:t>吐峪沟乡巷道硬化建设项目的潜在投</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标人应在政采云平台线上获取招标文件，并于</w:t>
      </w:r>
      <w:r>
        <w:rPr>
          <w:rFonts w:hint="eastAsia" w:ascii="仿宋" w:hAnsi="仿宋" w:eastAsia="仿宋" w:cs="仿宋"/>
          <w:i w:val="0"/>
          <w:iCs w:val="0"/>
          <w:caps w:val="0"/>
          <w:color w:val="000000" w:themeColor="text1"/>
          <w:spacing w:val="0"/>
          <w:sz w:val="28"/>
          <w:szCs w:val="28"/>
          <w14:textFill>
            <w14:solidFill>
              <w14:schemeClr w14:val="tx1"/>
            </w14:solidFill>
          </w14:textFill>
        </w:rPr>
        <w:t>202</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28"/>
          <w:szCs w:val="28"/>
          <w14:textFill>
            <w14:solidFill>
              <w14:schemeClr w14:val="tx1"/>
            </w14:solidFill>
          </w14:textFill>
        </w:rPr>
        <w:t>年0</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28"/>
          <w:szCs w:val="28"/>
          <w14:textFill>
            <w14:solidFill>
              <w14:schemeClr w14:val="tx1"/>
            </w14:solidFill>
          </w14:textFill>
        </w:rPr>
        <w:t>月</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04</w:t>
      </w:r>
      <w:r>
        <w:rPr>
          <w:rFonts w:hint="eastAsia" w:ascii="仿宋" w:hAnsi="仿宋" w:eastAsia="仿宋" w:cs="仿宋"/>
          <w:i w:val="0"/>
          <w:iCs w:val="0"/>
          <w:caps w:val="0"/>
          <w:color w:val="000000" w:themeColor="text1"/>
          <w:spacing w:val="0"/>
          <w:sz w:val="28"/>
          <w:szCs w:val="28"/>
          <w14:textFill>
            <w14:solidFill>
              <w14:schemeClr w14:val="tx1"/>
            </w14:solidFill>
          </w14:textFill>
        </w:rPr>
        <w:t>日</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10:00（北京时间）前递交投标文件。</w:t>
      </w:r>
    </w:p>
    <w:p w14:paraId="6E3570C4">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firstLine="0"/>
        <w:jc w:val="both"/>
        <w:textAlignment w:val="auto"/>
        <w:rPr>
          <w:rFonts w:ascii="黑体" w:hAnsi="宋体" w:eastAsia="黑体" w:cs="黑体"/>
          <w:i w:val="0"/>
          <w:iCs w:val="0"/>
          <w:caps w:val="0"/>
          <w:color w:val="000000" w:themeColor="text1"/>
          <w:spacing w:val="0"/>
          <w:sz w:val="28"/>
          <w:szCs w:val="28"/>
          <w14:textFill>
            <w14:solidFill>
              <w14:schemeClr w14:val="tx1"/>
            </w14:solidFill>
          </w14:textFill>
        </w:rPr>
      </w:pPr>
      <w:r>
        <w:rPr>
          <w:rStyle w:val="23"/>
          <w:rFonts w:ascii="黑体" w:hAnsi="宋体" w:eastAsia="黑体" w:cs="黑体"/>
          <w:i w:val="0"/>
          <w:iCs w:val="0"/>
          <w:caps w:val="0"/>
          <w:color w:val="000000" w:themeColor="text1"/>
          <w:spacing w:val="0"/>
          <w:sz w:val="28"/>
          <w:szCs w:val="28"/>
          <w14:textFill>
            <w14:solidFill>
              <w14:schemeClr w14:val="tx1"/>
            </w14:solidFill>
          </w14:textFill>
        </w:rPr>
        <w:t>一、项目基本情况</w:t>
      </w:r>
    </w:p>
    <w:p w14:paraId="70F61242">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default"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项目编号：HYTH(CS)2026-26-1</w:t>
      </w:r>
    </w:p>
    <w:p w14:paraId="04FC01E6">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default"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项目名称：吐峪沟乡巷道硬化建设项目</w:t>
      </w:r>
    </w:p>
    <w:p w14:paraId="37DF9432">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default"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采购方式：竞争性磋商</w:t>
      </w:r>
    </w:p>
    <w:p w14:paraId="6B56F2F9">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default"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0"/>
          <w:sz w:val="28"/>
          <w:szCs w:val="28"/>
          <w:lang w:val="en-US" w:eastAsia="zh-CN" w:bidi="ar"/>
        </w:rPr>
        <w:t>预算金额（</w:t>
      </w:r>
      <w:r>
        <w:rPr>
          <w:rFonts w:hint="eastAsia" w:ascii="仿宋" w:hAnsi="仿宋" w:eastAsia="仿宋" w:cs="仿宋"/>
          <w:i w:val="0"/>
          <w:iCs w:val="0"/>
          <w:caps w:val="0"/>
          <w:color w:val="auto"/>
          <w:spacing w:val="0"/>
          <w:kern w:val="2"/>
          <w:sz w:val="28"/>
          <w:szCs w:val="28"/>
          <w:lang w:val="en-US" w:eastAsia="zh-CN" w:bidi="ar-SA"/>
        </w:rPr>
        <w:t>元）：3035754</w:t>
      </w:r>
    </w:p>
    <w:p w14:paraId="41F43533">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最高限价（元）：2791947.01</w:t>
      </w:r>
    </w:p>
    <w:p w14:paraId="320666CB">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t>采购需求：</w:t>
      </w:r>
    </w:p>
    <w:p w14:paraId="480CB1E4">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t>   标项名称:吐峪沟乡巷道硬化建设项目</w:t>
      </w:r>
    </w:p>
    <w:p w14:paraId="150700F4">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t>   数量:1</w:t>
      </w:r>
    </w:p>
    <w:p w14:paraId="370E6E03">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default"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t>   预算金额（元）:3035754</w:t>
      </w:r>
    </w:p>
    <w:p w14:paraId="742FD639">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default"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t>单位：项</w:t>
      </w:r>
    </w:p>
    <w:p w14:paraId="414654D5">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default"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t>简要规格描述或项目基本概况介绍、用途：新建巷道25297.95平方米，其中：洋海夏村9097.95平方米，团结村9000平方米，碱滩坎村7200平方米。</w:t>
      </w:r>
    </w:p>
    <w:p w14:paraId="5CB0B8B7">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kern w:val="2"/>
          <w:sz w:val="28"/>
          <w:szCs w:val="28"/>
          <w:lang w:val="en-US" w:eastAsia="zh-CN" w:bidi="ar-SA"/>
          <w14:textFill>
            <w14:solidFill>
              <w14:schemeClr w14:val="tx1"/>
            </w14:solidFill>
          </w14:textFill>
        </w:rPr>
        <w:t>备注：</w:t>
      </w:r>
    </w:p>
    <w:p w14:paraId="55410837">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default" w:ascii="仿宋" w:hAnsi="仿宋" w:eastAsia="仿宋" w:cs="仿宋"/>
          <w:i w:val="0"/>
          <w:iCs w:val="0"/>
          <w:caps w:val="0"/>
          <w:color w:val="000000" w:themeColor="text1"/>
          <w:spacing w:val="0"/>
          <w:sz w:val="28"/>
          <w:szCs w:val="28"/>
          <w:lang w:val="en-US"/>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合同履约期限：</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合同签订后90日历天</w:t>
      </w:r>
    </w:p>
    <w:p w14:paraId="503B9500">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本项目（否）接受联合体投标。</w:t>
      </w:r>
    </w:p>
    <w:p w14:paraId="29C007D6">
      <w:pPr>
        <w:pStyle w:val="17"/>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000000" w:themeColor="text1"/>
          <w:sz w:val="28"/>
          <w:szCs w:val="28"/>
          <w14:textFill>
            <w14:solidFill>
              <w14:schemeClr w14:val="tx1"/>
            </w14:solidFill>
          </w14:textFill>
        </w:rPr>
      </w:pPr>
      <w:r>
        <w:rPr>
          <w:rStyle w:val="23"/>
          <w:rFonts w:ascii="黑体" w:hAnsi="宋体" w:eastAsia="黑体" w:cs="黑体"/>
          <w:i w:val="0"/>
          <w:iCs w:val="0"/>
          <w:caps w:val="0"/>
          <w:color w:val="000000" w:themeColor="text1"/>
          <w:spacing w:val="0"/>
          <w:sz w:val="28"/>
          <w:szCs w:val="28"/>
          <w14:textFill>
            <w14:solidFill>
              <w14:schemeClr w14:val="tx1"/>
            </w14:solidFill>
          </w14:textFill>
        </w:rPr>
        <w:t>二、申请人的资格要求：</w:t>
      </w:r>
    </w:p>
    <w:p w14:paraId="4EA55033">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1.满足《中华人民共和国政府采购法》第二十二条规定；</w:t>
      </w:r>
    </w:p>
    <w:p w14:paraId="3C1E1352">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eastAsia="仿宋"/>
          <w:color w:val="000000" w:themeColor="text1"/>
          <w:sz w:val="28"/>
          <w:szCs w:val="28"/>
          <w:lang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2.落实政府采购政策需满足的资格要求：</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专门面向中</w:t>
      </w:r>
      <w:r>
        <w:rPr>
          <w:rFonts w:hint="eastAsia" w:ascii="仿宋" w:hAnsi="仿宋" w:eastAsia="仿宋" w:cs="仿宋"/>
          <w:i w:val="0"/>
          <w:iCs w:val="0"/>
          <w:caps w:val="0"/>
          <w:color w:val="000000" w:themeColor="text1"/>
          <w:spacing w:val="0"/>
          <w:sz w:val="28"/>
          <w:szCs w:val="28"/>
          <w14:textFill>
            <w14:solidFill>
              <w14:schemeClr w14:val="tx1"/>
            </w14:solidFill>
          </w14:textFill>
        </w:rPr>
        <w:t>小企业</w:t>
      </w:r>
      <w:r>
        <w:rPr>
          <w:rFonts w:hint="eastAsia" w:ascii="仿宋" w:hAnsi="仿宋" w:eastAsia="仿宋" w:cs="仿宋"/>
          <w:i w:val="0"/>
          <w:iCs w:val="0"/>
          <w:caps w:val="0"/>
          <w:color w:val="000000" w:themeColor="text1"/>
          <w:spacing w:val="0"/>
          <w:sz w:val="28"/>
          <w:szCs w:val="28"/>
          <w:lang w:eastAsia="zh-CN"/>
          <w14:textFill>
            <w14:solidFill>
              <w14:schemeClr w14:val="tx1"/>
            </w14:solidFill>
          </w14:textFill>
        </w:rPr>
        <w:t>；</w:t>
      </w:r>
    </w:p>
    <w:p w14:paraId="5086068D">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themeColor="text1"/>
          <w:spacing w:val="0"/>
          <w:sz w:val="28"/>
          <w:szCs w:val="28"/>
          <w:lang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3.本项目的特定资格要求：</w:t>
      </w:r>
    </w:p>
    <w:p w14:paraId="13BE4402">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themeColor="text1"/>
          <w:spacing w:val="0"/>
          <w:sz w:val="28"/>
          <w:szCs w:val="28"/>
          <w:lang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(1)具备有效的</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市政公用</w:t>
      </w:r>
      <w:r>
        <w:rPr>
          <w:rFonts w:hint="eastAsia" w:ascii="仿宋" w:hAnsi="仿宋" w:eastAsia="仿宋" w:cs="仿宋"/>
          <w:i w:val="0"/>
          <w:iCs w:val="0"/>
          <w:caps w:val="0"/>
          <w:color w:val="000000" w:themeColor="text1"/>
          <w:spacing w:val="0"/>
          <w:sz w:val="28"/>
          <w:szCs w:val="28"/>
          <w14:textFill>
            <w14:solidFill>
              <w14:schemeClr w14:val="tx1"/>
            </w14:solidFill>
          </w14:textFill>
        </w:rPr>
        <w:t>工程施工总承包</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叁</w:t>
      </w:r>
      <w:r>
        <w:rPr>
          <w:rFonts w:hint="eastAsia" w:ascii="仿宋" w:hAnsi="仿宋" w:eastAsia="仿宋" w:cs="仿宋"/>
          <w:i w:val="0"/>
          <w:iCs w:val="0"/>
          <w:caps w:val="0"/>
          <w:color w:val="000000" w:themeColor="text1"/>
          <w:spacing w:val="0"/>
          <w:sz w:val="28"/>
          <w:szCs w:val="28"/>
          <w14:textFill>
            <w14:solidFill>
              <w14:schemeClr w14:val="tx1"/>
            </w14:solidFill>
          </w14:textFill>
        </w:rPr>
        <w:t>级（含）以上资质，</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市政公用</w:t>
      </w:r>
      <w:r>
        <w:rPr>
          <w:rFonts w:hint="eastAsia" w:ascii="仿宋" w:hAnsi="仿宋" w:eastAsia="仿宋" w:cs="仿宋"/>
          <w:i w:val="0"/>
          <w:iCs w:val="0"/>
          <w:caps w:val="0"/>
          <w:color w:val="000000" w:themeColor="text1"/>
          <w:spacing w:val="0"/>
          <w:sz w:val="28"/>
          <w:szCs w:val="28"/>
          <w14:textFill>
            <w14:solidFill>
              <w14:schemeClr w14:val="tx1"/>
            </w14:solidFill>
          </w14:textFill>
        </w:rPr>
        <w:t>工程专业二级(含)以上注册建造师执业资格及安全生产考核合格证书</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(B类)</w:t>
      </w:r>
      <w:r>
        <w:rPr>
          <w:rFonts w:hint="eastAsia" w:ascii="仿宋" w:hAnsi="仿宋" w:eastAsia="仿宋" w:cs="仿宋"/>
          <w:i w:val="0"/>
          <w:iCs w:val="0"/>
          <w:caps w:val="0"/>
          <w:color w:val="000000" w:themeColor="text1"/>
          <w:spacing w:val="0"/>
          <w:sz w:val="28"/>
          <w:szCs w:val="28"/>
          <w14:textFill>
            <w14:solidFill>
              <w14:schemeClr w14:val="tx1"/>
            </w14:solidFill>
          </w14:textFill>
        </w:rPr>
        <w:t>；</w:t>
      </w:r>
      <w:r>
        <w:rPr>
          <w:rFonts w:hint="eastAsia" w:ascii="仿宋" w:hAnsi="仿宋" w:eastAsia="仿宋" w:cs="仿宋"/>
          <w:i w:val="0"/>
          <w:iCs w:val="0"/>
          <w:caps w:val="0"/>
          <w:color w:val="000000" w:themeColor="text1"/>
          <w:spacing w:val="0"/>
          <w:sz w:val="28"/>
          <w:szCs w:val="28"/>
          <w:lang w:eastAsia="zh-CN"/>
          <w14:textFill>
            <w14:solidFill>
              <w14:schemeClr w14:val="tx1"/>
            </w14:solidFill>
          </w14:textFill>
        </w:rPr>
        <w:t>（</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2）</w:t>
      </w:r>
      <w:r>
        <w:rPr>
          <w:rFonts w:hint="eastAsia" w:ascii="仿宋" w:hAnsi="仿宋" w:eastAsia="仿宋" w:cs="仿宋"/>
          <w:i w:val="0"/>
          <w:iCs w:val="0"/>
          <w:caps w:val="0"/>
          <w:color w:val="000000" w:themeColor="text1"/>
          <w:spacing w:val="0"/>
          <w:sz w:val="28"/>
          <w:szCs w:val="28"/>
          <w14:textFill>
            <w14:solidFill>
              <w14:schemeClr w14:val="tx1"/>
            </w14:solidFill>
          </w14:textFill>
        </w:rPr>
        <w:t>投标人在人员、设备、资金等方面具有相应的施工能力，</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具备有效的</w:t>
      </w:r>
      <w:r>
        <w:rPr>
          <w:rFonts w:hint="eastAsia" w:ascii="仿宋" w:hAnsi="仿宋" w:eastAsia="仿宋" w:cs="仿宋"/>
          <w:i w:val="0"/>
          <w:iCs w:val="0"/>
          <w:caps w:val="0"/>
          <w:color w:val="000000" w:themeColor="text1"/>
          <w:spacing w:val="0"/>
          <w:sz w:val="28"/>
          <w:szCs w:val="28"/>
          <w14:textFill>
            <w14:solidFill>
              <w14:schemeClr w14:val="tx1"/>
            </w14:solidFill>
          </w14:textFill>
        </w:rPr>
        <w:t>安全生产许可证</w:t>
      </w:r>
      <w:r>
        <w:rPr>
          <w:rFonts w:hint="eastAsia" w:ascii="仿宋" w:hAnsi="仿宋" w:eastAsia="仿宋" w:cs="仿宋"/>
          <w:i w:val="0"/>
          <w:iCs w:val="0"/>
          <w:caps w:val="0"/>
          <w:color w:val="000000" w:themeColor="text1"/>
          <w:spacing w:val="0"/>
          <w:sz w:val="28"/>
          <w:szCs w:val="28"/>
          <w:lang w:eastAsia="zh-CN"/>
          <w14:textFill>
            <w14:solidFill>
              <w14:schemeClr w14:val="tx1"/>
            </w14:solidFill>
          </w14:textFill>
        </w:rPr>
        <w:t>。</w:t>
      </w:r>
    </w:p>
    <w:p w14:paraId="4E76B37B">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firstLine="0"/>
        <w:jc w:val="both"/>
        <w:textAlignment w:val="auto"/>
        <w:rPr>
          <w:rFonts w:ascii="黑体" w:hAnsi="宋体" w:eastAsia="黑体" w:cs="黑体"/>
          <w:i w:val="0"/>
          <w:iCs w:val="0"/>
          <w:caps w:val="0"/>
          <w:color w:val="000000" w:themeColor="text1"/>
          <w:spacing w:val="0"/>
          <w:sz w:val="28"/>
          <w:szCs w:val="28"/>
          <w14:textFill>
            <w14:solidFill>
              <w14:schemeClr w14:val="tx1"/>
            </w14:solidFill>
          </w14:textFill>
        </w:rPr>
      </w:pPr>
      <w:r>
        <w:rPr>
          <w:rStyle w:val="23"/>
          <w:rFonts w:ascii="黑体" w:hAnsi="宋体" w:eastAsia="黑体" w:cs="黑体"/>
          <w:i w:val="0"/>
          <w:iCs w:val="0"/>
          <w:caps w:val="0"/>
          <w:color w:val="000000" w:themeColor="text1"/>
          <w:spacing w:val="0"/>
          <w:sz w:val="28"/>
          <w:szCs w:val="28"/>
          <w14:textFill>
            <w14:solidFill>
              <w14:schemeClr w14:val="tx1"/>
            </w14:solidFill>
          </w14:textFill>
        </w:rPr>
        <w:t>三、获取</w:t>
      </w:r>
      <w:r>
        <w:rPr>
          <w:rStyle w:val="23"/>
          <w:rFonts w:hint="eastAsia" w:ascii="黑体" w:eastAsia="黑体" w:cs="黑体"/>
          <w:i w:val="0"/>
          <w:iCs w:val="0"/>
          <w:caps w:val="0"/>
          <w:color w:val="000000" w:themeColor="text1"/>
          <w:spacing w:val="0"/>
          <w:sz w:val="28"/>
          <w:szCs w:val="28"/>
          <w:lang w:val="en-US" w:eastAsia="zh-CN"/>
          <w14:textFill>
            <w14:solidFill>
              <w14:schemeClr w14:val="tx1"/>
            </w14:solidFill>
          </w14:textFill>
        </w:rPr>
        <w:t>采购</w:t>
      </w:r>
      <w:r>
        <w:rPr>
          <w:rStyle w:val="23"/>
          <w:rFonts w:ascii="黑体" w:hAnsi="宋体" w:eastAsia="黑体" w:cs="黑体"/>
          <w:i w:val="0"/>
          <w:iCs w:val="0"/>
          <w:caps w:val="0"/>
          <w:color w:val="000000" w:themeColor="text1"/>
          <w:spacing w:val="0"/>
          <w:sz w:val="28"/>
          <w:szCs w:val="28"/>
          <w14:textFill>
            <w14:solidFill>
              <w14:schemeClr w14:val="tx1"/>
            </w14:solidFill>
          </w14:textFill>
        </w:rPr>
        <w:t>文件</w:t>
      </w:r>
    </w:p>
    <w:p w14:paraId="4BD535BA">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时间：</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14:textFill>
            <w14:solidFill>
              <w14:schemeClr w14:val="tx1"/>
            </w14:solidFill>
          </w14:textFill>
        </w:rPr>
        <w:t>202</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28"/>
          <w:szCs w:val="28"/>
          <w14:textFill>
            <w14:solidFill>
              <w14:schemeClr w14:val="tx1"/>
            </w14:solidFill>
          </w14:textFill>
        </w:rPr>
        <w:t>年</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05</w:t>
      </w:r>
      <w:r>
        <w:rPr>
          <w:rFonts w:hint="eastAsia" w:ascii="仿宋" w:hAnsi="仿宋" w:eastAsia="仿宋" w:cs="仿宋"/>
          <w:i w:val="0"/>
          <w:iCs w:val="0"/>
          <w:caps w:val="0"/>
          <w:color w:val="000000" w:themeColor="text1"/>
          <w:spacing w:val="0"/>
          <w:sz w:val="28"/>
          <w:szCs w:val="28"/>
          <w14:textFill>
            <w14:solidFill>
              <w14:schemeClr w14:val="tx1"/>
            </w14:solidFill>
          </w14:textFill>
        </w:rPr>
        <w:t>月</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23</w:t>
      </w:r>
      <w:r>
        <w:rPr>
          <w:rFonts w:hint="eastAsia" w:ascii="仿宋" w:hAnsi="仿宋" w:eastAsia="仿宋" w:cs="仿宋"/>
          <w:i w:val="0"/>
          <w:iCs w:val="0"/>
          <w:caps w:val="0"/>
          <w:color w:val="000000" w:themeColor="text1"/>
          <w:spacing w:val="0"/>
          <w:sz w:val="28"/>
          <w:szCs w:val="28"/>
          <w14:textFill>
            <w14:solidFill>
              <w14:schemeClr w14:val="tx1"/>
            </w14:solidFill>
          </w14:textFill>
        </w:rPr>
        <w:t>日至202</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28"/>
          <w:szCs w:val="28"/>
          <w14:textFill>
            <w14:solidFill>
              <w14:schemeClr w14:val="tx1"/>
            </w14:solidFill>
          </w14:textFill>
        </w:rPr>
        <w:t>年</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06</w:t>
      </w:r>
      <w:r>
        <w:rPr>
          <w:rFonts w:hint="eastAsia" w:ascii="仿宋" w:hAnsi="仿宋" w:eastAsia="仿宋" w:cs="仿宋"/>
          <w:i w:val="0"/>
          <w:iCs w:val="0"/>
          <w:caps w:val="0"/>
          <w:color w:val="000000" w:themeColor="text1"/>
          <w:spacing w:val="0"/>
          <w:sz w:val="28"/>
          <w:szCs w:val="28"/>
          <w14:textFill>
            <w14:solidFill>
              <w14:schemeClr w14:val="tx1"/>
            </w14:solidFill>
          </w14:textFill>
        </w:rPr>
        <w:t>月</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03</w:t>
      </w:r>
      <w:r>
        <w:rPr>
          <w:rFonts w:hint="eastAsia" w:ascii="仿宋" w:hAnsi="仿宋" w:eastAsia="仿宋" w:cs="仿宋"/>
          <w:i w:val="0"/>
          <w:iCs w:val="0"/>
          <w:caps w:val="0"/>
          <w:color w:val="000000" w:themeColor="text1"/>
          <w:spacing w:val="0"/>
          <w:sz w:val="28"/>
          <w:szCs w:val="28"/>
          <w14:textFill>
            <w14:solidFill>
              <w14:schemeClr w14:val="tx1"/>
            </w14:solidFill>
          </w14:textFill>
        </w:rPr>
        <w:t>日，每天上午</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09</w:t>
      </w:r>
      <w:r>
        <w:rPr>
          <w:rFonts w:hint="eastAsia" w:ascii="仿宋" w:hAnsi="仿宋" w:eastAsia="仿宋" w:cs="仿宋"/>
          <w:i w:val="0"/>
          <w:iCs w:val="0"/>
          <w:caps w:val="0"/>
          <w:color w:val="000000" w:themeColor="text1"/>
          <w:spacing w:val="0"/>
          <w:sz w:val="28"/>
          <w:szCs w:val="28"/>
          <w14:textFill>
            <w14:solidFill>
              <w14:schemeClr w14:val="tx1"/>
            </w14:solidFill>
          </w14:textFill>
        </w:rPr>
        <w:t>:</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3</w:t>
      </w:r>
      <w:r>
        <w:rPr>
          <w:rFonts w:hint="eastAsia" w:ascii="仿宋" w:hAnsi="仿宋" w:eastAsia="仿宋" w:cs="仿宋"/>
          <w:i w:val="0"/>
          <w:iCs w:val="0"/>
          <w:caps w:val="0"/>
          <w:color w:val="000000" w:themeColor="text1"/>
          <w:spacing w:val="0"/>
          <w:sz w:val="28"/>
          <w:szCs w:val="28"/>
          <w14:textFill>
            <w14:solidFill>
              <w14:schemeClr w14:val="tx1"/>
            </w14:solidFill>
          </w14:textFill>
        </w:rPr>
        <w:t>0至13:30，下午1</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28"/>
          <w:szCs w:val="28"/>
          <w14:textFill>
            <w14:solidFill>
              <w14:schemeClr w14:val="tx1"/>
            </w14:solidFill>
          </w14:textFill>
        </w:rPr>
        <w:t>:30至</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20</w:t>
      </w:r>
      <w:r>
        <w:rPr>
          <w:rFonts w:hint="eastAsia" w:ascii="仿宋" w:hAnsi="仿宋" w:eastAsia="仿宋" w:cs="仿宋"/>
          <w:i w:val="0"/>
          <w:iCs w:val="0"/>
          <w:caps w:val="0"/>
          <w:color w:val="000000" w:themeColor="text1"/>
          <w:spacing w:val="0"/>
          <w:sz w:val="28"/>
          <w:szCs w:val="28"/>
          <w14:textFill>
            <w14:solidFill>
              <w14:schemeClr w14:val="tx1"/>
            </w14:solidFill>
          </w14:textFill>
        </w:rPr>
        <w:t>:</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00</w:t>
      </w:r>
      <w:r>
        <w:rPr>
          <w:rFonts w:hint="eastAsia" w:ascii="仿宋" w:hAnsi="仿宋" w:eastAsia="仿宋" w:cs="仿宋"/>
          <w:i w:val="0"/>
          <w:iCs w:val="0"/>
          <w:caps w:val="0"/>
          <w:color w:val="000000" w:themeColor="text1"/>
          <w:spacing w:val="0"/>
          <w:sz w:val="28"/>
          <w:szCs w:val="28"/>
          <w14:textFill>
            <w14:solidFill>
              <w14:schemeClr w14:val="tx1"/>
            </w14:solidFill>
          </w14:textFill>
        </w:rPr>
        <w:t>（北京时间，法定节假日除外）</w:t>
      </w:r>
    </w:p>
    <w:p w14:paraId="2899E830">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eastAsia="仿宋"/>
          <w:color w:val="000000" w:themeColor="text1"/>
          <w:sz w:val="28"/>
          <w:szCs w:val="28"/>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地点：政采云平台线上</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获取</w:t>
      </w:r>
    </w:p>
    <w:p w14:paraId="7C0EEC9E">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方式：供应商登录政采云平台https://www.zcygov.cn/在线申请获取采购文件（进入“项目采购”应用，在获取采购文件菜单中选择项目，申请获取采购文件），或者点击采购公告底部潜在供应商“获取采购文件”，页面跳转后</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登录</w:t>
      </w:r>
      <w:r>
        <w:rPr>
          <w:rFonts w:hint="eastAsia" w:ascii="仿宋" w:hAnsi="仿宋" w:eastAsia="仿宋" w:cs="仿宋"/>
          <w:i w:val="0"/>
          <w:iCs w:val="0"/>
          <w:caps w:val="0"/>
          <w:color w:val="000000" w:themeColor="text1"/>
          <w:spacing w:val="0"/>
          <w:sz w:val="28"/>
          <w:szCs w:val="28"/>
          <w14:textFill>
            <w14:solidFill>
              <w14:schemeClr w14:val="tx1"/>
            </w14:solidFill>
          </w14:textFill>
        </w:rPr>
        <w:t>，直接获取采购文件。</w:t>
      </w:r>
    </w:p>
    <w:p w14:paraId="53A9BC3B">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售价（元）：0</w:t>
      </w:r>
    </w:p>
    <w:p w14:paraId="2D57B668">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firstLine="0"/>
        <w:jc w:val="both"/>
        <w:textAlignment w:val="auto"/>
        <w:rPr>
          <w:rFonts w:hint="eastAsia" w:ascii="黑体" w:hAnsi="宋体" w:eastAsia="黑体" w:cs="黑体"/>
          <w:i w:val="0"/>
          <w:iCs w:val="0"/>
          <w:caps w:val="0"/>
          <w:color w:val="000000" w:themeColor="text1"/>
          <w:spacing w:val="0"/>
          <w:sz w:val="28"/>
          <w:szCs w:val="28"/>
          <w:lang w:eastAsia="zh-CN"/>
          <w14:textFill>
            <w14:solidFill>
              <w14:schemeClr w14:val="tx1"/>
            </w14:solidFill>
          </w14:textFill>
        </w:rPr>
      </w:pPr>
      <w:r>
        <w:rPr>
          <w:rStyle w:val="23"/>
          <w:rFonts w:ascii="黑体" w:hAnsi="宋体" w:eastAsia="黑体" w:cs="黑体"/>
          <w:i w:val="0"/>
          <w:iCs w:val="0"/>
          <w:caps w:val="0"/>
          <w:color w:val="000000" w:themeColor="text1"/>
          <w:spacing w:val="0"/>
          <w:sz w:val="28"/>
          <w:szCs w:val="28"/>
          <w14:textFill>
            <w14:solidFill>
              <w14:schemeClr w14:val="tx1"/>
            </w14:solidFill>
          </w14:textFill>
        </w:rPr>
        <w:t>四、</w:t>
      </w:r>
      <w:r>
        <w:rPr>
          <w:rStyle w:val="23"/>
          <w:rFonts w:hint="eastAsia" w:ascii="黑体" w:eastAsia="黑体" w:cs="黑体"/>
          <w:i w:val="0"/>
          <w:iCs w:val="0"/>
          <w:caps w:val="0"/>
          <w:color w:val="000000" w:themeColor="text1"/>
          <w:spacing w:val="0"/>
          <w:sz w:val="28"/>
          <w:szCs w:val="28"/>
          <w:lang w:val="en-US" w:eastAsia="zh-CN"/>
          <w14:textFill>
            <w14:solidFill>
              <w14:schemeClr w14:val="tx1"/>
            </w14:solidFill>
          </w14:textFill>
        </w:rPr>
        <w:t>响应文件提交</w:t>
      </w:r>
    </w:p>
    <w:p w14:paraId="5AAC745A">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提交投标文件截止时间：202</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28"/>
          <w:szCs w:val="28"/>
          <w14:textFill>
            <w14:solidFill>
              <w14:schemeClr w14:val="tx1"/>
            </w14:solidFill>
          </w14:textFill>
        </w:rPr>
        <w:t>年0</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28"/>
          <w:szCs w:val="28"/>
          <w14:textFill>
            <w14:solidFill>
              <w14:schemeClr w14:val="tx1"/>
            </w14:solidFill>
          </w14:textFill>
        </w:rPr>
        <w:t>月</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04</w:t>
      </w:r>
      <w:r>
        <w:rPr>
          <w:rFonts w:hint="eastAsia" w:ascii="仿宋" w:hAnsi="仿宋" w:eastAsia="仿宋" w:cs="仿宋"/>
          <w:i w:val="0"/>
          <w:iCs w:val="0"/>
          <w:caps w:val="0"/>
          <w:color w:val="000000" w:themeColor="text1"/>
          <w:spacing w:val="0"/>
          <w:sz w:val="28"/>
          <w:szCs w:val="28"/>
          <w14:textFill>
            <w14:solidFill>
              <w14:schemeClr w14:val="tx1"/>
            </w14:solidFill>
          </w14:textFill>
        </w:rPr>
        <w:t>日</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10:00</w:t>
      </w:r>
      <w:r>
        <w:rPr>
          <w:rFonts w:hint="eastAsia" w:ascii="仿宋" w:hAnsi="仿宋" w:eastAsia="仿宋" w:cs="仿宋"/>
          <w:i w:val="0"/>
          <w:iCs w:val="0"/>
          <w:caps w:val="0"/>
          <w:color w:val="000000" w:themeColor="text1"/>
          <w:spacing w:val="0"/>
          <w:sz w:val="28"/>
          <w:szCs w:val="28"/>
          <w14:textFill>
            <w14:solidFill>
              <w14:schemeClr w14:val="tx1"/>
            </w14:solidFill>
          </w14:textFill>
        </w:rPr>
        <w:t>（北京时间）</w:t>
      </w:r>
    </w:p>
    <w:p w14:paraId="1A609B86">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投标地点：将响应文件上传至政采云平台https://www.zcygov.cn/对应位置（逾期未上传的或不符合规定的响应文件将被拒绝接收）。 </w:t>
      </w:r>
    </w:p>
    <w:p w14:paraId="66A609E4">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firstLine="0"/>
        <w:jc w:val="both"/>
        <w:textAlignment w:val="auto"/>
        <w:rPr>
          <w:rFonts w:ascii="黑体" w:hAnsi="宋体" w:eastAsia="黑体" w:cs="黑体"/>
          <w:i w:val="0"/>
          <w:iCs w:val="0"/>
          <w:caps w:val="0"/>
          <w:color w:val="000000" w:themeColor="text1"/>
          <w:spacing w:val="0"/>
          <w:sz w:val="28"/>
          <w:szCs w:val="28"/>
          <w14:textFill>
            <w14:solidFill>
              <w14:schemeClr w14:val="tx1"/>
            </w14:solidFill>
          </w14:textFill>
        </w:rPr>
      </w:pPr>
      <w:r>
        <w:rPr>
          <w:rStyle w:val="23"/>
          <w:rFonts w:ascii="黑体" w:hAnsi="宋体" w:eastAsia="黑体" w:cs="黑体"/>
          <w:i w:val="0"/>
          <w:iCs w:val="0"/>
          <w:caps w:val="0"/>
          <w:color w:val="000000" w:themeColor="text1"/>
          <w:spacing w:val="0"/>
          <w:sz w:val="28"/>
          <w:szCs w:val="28"/>
          <w14:textFill>
            <w14:solidFill>
              <w14:schemeClr w14:val="tx1"/>
            </w14:solidFill>
          </w14:textFill>
        </w:rPr>
        <w:t>五、响应文件开启</w:t>
      </w:r>
      <w:r>
        <w:rPr>
          <w:rFonts w:ascii="黑体" w:hAnsi="宋体" w:eastAsia="黑体" w:cs="黑体"/>
          <w:i w:val="0"/>
          <w:iCs w:val="0"/>
          <w:caps w:val="0"/>
          <w:color w:val="000000" w:themeColor="text1"/>
          <w:spacing w:val="0"/>
          <w:sz w:val="28"/>
          <w:szCs w:val="28"/>
          <w14:textFill>
            <w14:solidFill>
              <w14:schemeClr w14:val="tx1"/>
            </w14:solidFill>
          </w14:textFill>
        </w:rPr>
        <w:t> </w:t>
      </w:r>
    </w:p>
    <w:p w14:paraId="5E1D3FA4">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ascii="仿宋" w:hAnsi="仿宋" w:eastAsia="仿宋" w:cs="仿宋"/>
          <w:i w:val="0"/>
          <w:iCs w:val="0"/>
          <w:caps w:val="0"/>
          <w:color w:val="000000" w:themeColor="text1"/>
          <w:spacing w:val="0"/>
          <w:sz w:val="28"/>
          <w:szCs w:val="28"/>
          <w14:textFill>
            <w14:solidFill>
              <w14:schemeClr w14:val="tx1"/>
            </w14:solidFill>
          </w14:textFill>
        </w:rPr>
        <w:t> </w:t>
      </w:r>
      <w:r>
        <w:rPr>
          <w:rFonts w:hint="eastAsia" w:ascii="仿宋" w:hAnsi="仿宋" w:eastAsia="仿宋" w:cs="仿宋"/>
          <w:i w:val="0"/>
          <w:iCs w:val="0"/>
          <w:caps w:val="0"/>
          <w:color w:val="000000" w:themeColor="text1"/>
          <w:spacing w:val="0"/>
          <w:sz w:val="28"/>
          <w:szCs w:val="28"/>
          <w14:textFill>
            <w14:solidFill>
              <w14:schemeClr w14:val="tx1"/>
            </w14:solidFill>
          </w14:textFill>
        </w:rPr>
        <w:t>开启时间：</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2026</w:t>
      </w:r>
      <w:r>
        <w:rPr>
          <w:rFonts w:hint="eastAsia" w:ascii="仿宋" w:hAnsi="仿宋" w:eastAsia="仿宋" w:cs="仿宋"/>
          <w:i w:val="0"/>
          <w:iCs w:val="0"/>
          <w:caps w:val="0"/>
          <w:color w:val="000000" w:themeColor="text1"/>
          <w:spacing w:val="0"/>
          <w:sz w:val="28"/>
          <w:szCs w:val="28"/>
          <w14:textFill>
            <w14:solidFill>
              <w14:schemeClr w14:val="tx1"/>
            </w14:solidFill>
          </w14:textFill>
        </w:rPr>
        <w:t>年0</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28"/>
          <w:szCs w:val="28"/>
          <w14:textFill>
            <w14:solidFill>
              <w14:schemeClr w14:val="tx1"/>
            </w14:solidFill>
          </w14:textFill>
        </w:rPr>
        <w:t>月</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04</w:t>
      </w:r>
      <w:r>
        <w:rPr>
          <w:rFonts w:hint="eastAsia" w:ascii="仿宋" w:hAnsi="仿宋" w:eastAsia="仿宋" w:cs="仿宋"/>
          <w:i w:val="0"/>
          <w:iCs w:val="0"/>
          <w:caps w:val="0"/>
          <w:color w:val="000000" w:themeColor="text1"/>
          <w:spacing w:val="0"/>
          <w:sz w:val="28"/>
          <w:szCs w:val="28"/>
          <w14:textFill>
            <w14:solidFill>
              <w14:schemeClr w14:val="tx1"/>
            </w14:solidFill>
          </w14:textFill>
        </w:rPr>
        <w:t>日</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10:00</w:t>
      </w:r>
      <w:r>
        <w:rPr>
          <w:rFonts w:hint="eastAsia" w:ascii="仿宋" w:hAnsi="仿宋" w:eastAsia="仿宋" w:cs="仿宋"/>
          <w:i w:val="0"/>
          <w:iCs w:val="0"/>
          <w:caps w:val="0"/>
          <w:color w:val="000000" w:themeColor="text1"/>
          <w:spacing w:val="0"/>
          <w:sz w:val="28"/>
          <w:szCs w:val="28"/>
          <w14:textFill>
            <w14:solidFill>
              <w14:schemeClr w14:val="tx1"/>
            </w14:solidFill>
          </w14:textFill>
        </w:rPr>
        <w:t>（北京时间）</w:t>
      </w:r>
    </w:p>
    <w:p w14:paraId="372CB504">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themeColor="text1"/>
          <w:spacing w:val="0"/>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 地点：政采云网上不见面开标系统。 </w:t>
      </w:r>
    </w:p>
    <w:p w14:paraId="1E57C992">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firstLine="0"/>
        <w:jc w:val="both"/>
        <w:textAlignment w:val="auto"/>
        <w:rPr>
          <w:rFonts w:ascii="黑体" w:hAnsi="宋体" w:eastAsia="黑体" w:cs="黑体"/>
          <w:i w:val="0"/>
          <w:iCs w:val="0"/>
          <w:caps w:val="0"/>
          <w:color w:val="000000"/>
          <w:spacing w:val="0"/>
          <w:sz w:val="28"/>
          <w:szCs w:val="28"/>
        </w:rPr>
      </w:pPr>
      <w:r>
        <w:rPr>
          <w:rStyle w:val="23"/>
          <w:rFonts w:hint="eastAsia" w:ascii="黑体" w:eastAsia="黑体" w:cs="黑体"/>
          <w:i w:val="0"/>
          <w:iCs w:val="0"/>
          <w:caps w:val="0"/>
          <w:color w:val="000000"/>
          <w:spacing w:val="0"/>
          <w:sz w:val="28"/>
          <w:szCs w:val="28"/>
          <w:lang w:val="en-US" w:eastAsia="zh-CN"/>
        </w:rPr>
        <w:t>六</w:t>
      </w:r>
      <w:r>
        <w:rPr>
          <w:rStyle w:val="23"/>
          <w:rFonts w:ascii="黑体" w:hAnsi="宋体" w:eastAsia="黑体" w:cs="黑体"/>
          <w:i w:val="0"/>
          <w:iCs w:val="0"/>
          <w:caps w:val="0"/>
          <w:color w:val="000000"/>
          <w:spacing w:val="0"/>
          <w:sz w:val="28"/>
          <w:szCs w:val="28"/>
        </w:rPr>
        <w:t>、公告期限</w:t>
      </w:r>
    </w:p>
    <w:p w14:paraId="416459E5">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ascii="微软雅黑" w:hAnsi="微软雅黑" w:eastAsia="微软雅黑" w:cs="微软雅黑"/>
          <w:i w:val="0"/>
          <w:iCs w:val="0"/>
          <w:caps w:val="0"/>
          <w:color w:val="000000"/>
          <w:spacing w:val="0"/>
          <w:sz w:val="28"/>
          <w:szCs w:val="28"/>
        </w:rPr>
      </w:pPr>
      <w:r>
        <w:rPr>
          <w:rFonts w:hint="eastAsia" w:ascii="仿宋" w:hAnsi="仿宋" w:eastAsia="仿宋" w:cs="仿宋"/>
          <w:i w:val="0"/>
          <w:iCs w:val="0"/>
          <w:caps w:val="0"/>
          <w:color w:val="000000"/>
          <w:spacing w:val="0"/>
          <w:sz w:val="28"/>
          <w:szCs w:val="28"/>
        </w:rPr>
        <w:t>自本公告发布之日起</w:t>
      </w:r>
      <w:r>
        <w:rPr>
          <w:rFonts w:hint="eastAsia" w:ascii="仿宋" w:hAnsi="仿宋" w:eastAsia="仿宋" w:cs="仿宋"/>
          <w:i w:val="0"/>
          <w:iCs w:val="0"/>
          <w:caps w:val="0"/>
          <w:color w:val="000000"/>
          <w:spacing w:val="0"/>
          <w:sz w:val="28"/>
          <w:szCs w:val="28"/>
          <w:lang w:val="en-US" w:eastAsia="zh-CN"/>
        </w:rPr>
        <w:t>3</w:t>
      </w:r>
      <w:r>
        <w:rPr>
          <w:rFonts w:hint="eastAsia" w:ascii="仿宋" w:hAnsi="仿宋" w:eastAsia="仿宋" w:cs="仿宋"/>
          <w:i w:val="0"/>
          <w:iCs w:val="0"/>
          <w:caps w:val="0"/>
          <w:color w:val="000000"/>
          <w:spacing w:val="0"/>
          <w:sz w:val="28"/>
          <w:szCs w:val="28"/>
        </w:rPr>
        <w:t>个工作日。</w:t>
      </w:r>
    </w:p>
    <w:p w14:paraId="66FCC6CB">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firstLine="0"/>
        <w:jc w:val="both"/>
        <w:textAlignment w:val="auto"/>
        <w:rPr>
          <w:rFonts w:ascii="黑体" w:hAnsi="宋体" w:eastAsia="黑体" w:cs="黑体"/>
          <w:i w:val="0"/>
          <w:iCs w:val="0"/>
          <w:caps w:val="0"/>
          <w:color w:val="000000"/>
          <w:spacing w:val="0"/>
          <w:sz w:val="28"/>
          <w:szCs w:val="28"/>
        </w:rPr>
      </w:pPr>
      <w:r>
        <w:rPr>
          <w:rStyle w:val="23"/>
          <w:rFonts w:hint="eastAsia" w:ascii="黑体" w:eastAsia="黑体" w:cs="黑体"/>
          <w:i w:val="0"/>
          <w:iCs w:val="0"/>
          <w:caps w:val="0"/>
          <w:color w:val="000000"/>
          <w:spacing w:val="0"/>
          <w:sz w:val="28"/>
          <w:szCs w:val="28"/>
          <w:lang w:val="en-US" w:eastAsia="zh-CN"/>
        </w:rPr>
        <w:t>七</w:t>
      </w:r>
      <w:r>
        <w:rPr>
          <w:rStyle w:val="23"/>
          <w:rFonts w:ascii="黑体" w:hAnsi="宋体" w:eastAsia="黑体" w:cs="黑体"/>
          <w:i w:val="0"/>
          <w:iCs w:val="0"/>
          <w:caps w:val="0"/>
          <w:color w:val="000000"/>
          <w:spacing w:val="0"/>
          <w:sz w:val="28"/>
          <w:szCs w:val="28"/>
        </w:rPr>
        <w:t>、其他补充事宜</w:t>
      </w:r>
    </w:p>
    <w:p w14:paraId="112185B9">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1、本项目实行网上投标，采用电子投标文件。</w:t>
      </w:r>
    </w:p>
    <w:p w14:paraId="3B0D767C">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w:t>
      </w:r>
    </w:p>
    <w:p w14:paraId="55EC3B23">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3、供应商将政采云电子交易客户端下载、安装完成后，可通过账号密码或CA登录客户端进行投标文件的制作。在使用政采云投标客户端时，建议使用WIN7及以上操作系统。</w:t>
      </w:r>
    </w:p>
    <w:p w14:paraId="72774CDA">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微软雅黑" w:hAnsi="微软雅黑" w:eastAsia="微软雅黑" w:cs="微软雅黑"/>
          <w:i w:val="0"/>
          <w:iCs w:val="0"/>
          <w:caps w:val="0"/>
          <w:color w:val="000000"/>
          <w:spacing w:val="0"/>
          <w:sz w:val="24"/>
          <w:szCs w:val="24"/>
          <w:lang w:eastAsia="zh-CN"/>
        </w:rPr>
      </w:pPr>
      <w:r>
        <w:rPr>
          <w:rFonts w:hint="eastAsia" w:ascii="微软雅黑" w:hAnsi="微软雅黑" w:eastAsia="微软雅黑" w:cs="微软雅黑"/>
          <w:i w:val="0"/>
          <w:iCs w:val="0"/>
          <w:caps w:val="0"/>
          <w:color w:val="000000"/>
          <w:spacing w:val="0"/>
          <w:sz w:val="24"/>
          <w:szCs w:val="24"/>
        </w:rPr>
        <w:t>特别提示：</w:t>
      </w:r>
    </w:p>
    <w:p w14:paraId="31E424D7">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仿宋" w:hAnsi="仿宋" w:eastAsia="仿宋" w:cs="仿宋"/>
          <w:i w:val="0"/>
          <w:iCs w:val="0"/>
          <w:caps w:val="0"/>
          <w:spacing w:val="0"/>
          <w:sz w:val="24"/>
          <w:szCs w:val="24"/>
        </w:rPr>
      </w:pPr>
      <w:r>
        <w:rPr>
          <w:rFonts w:hint="eastAsia" w:ascii="仿宋" w:hAnsi="仿宋" w:eastAsia="仿宋" w:cs="仿宋"/>
          <w:i w:val="0"/>
          <w:iCs w:val="0"/>
          <w:caps w:val="0"/>
          <w:spacing w:val="0"/>
          <w:sz w:val="24"/>
          <w:szCs w:val="24"/>
        </w:rPr>
        <w:t>1、采购限额标准以上，200万元以下的货物和服务采购项目、400万元以下的工程采购项目，适宜由中小企业提供的，采购人应当专门面向中小企业采购。</w:t>
      </w:r>
    </w:p>
    <w:p w14:paraId="3B0EDF22">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仿宋" w:hAnsi="仿宋" w:eastAsia="仿宋" w:cs="仿宋"/>
          <w:i w:val="0"/>
          <w:iCs w:val="0"/>
          <w:caps w:val="0"/>
          <w:spacing w:val="0"/>
          <w:sz w:val="24"/>
          <w:szCs w:val="24"/>
        </w:rPr>
      </w:pPr>
      <w:r>
        <w:rPr>
          <w:rFonts w:hint="eastAsia" w:ascii="仿宋" w:hAnsi="仿宋" w:eastAsia="仿宋" w:cs="仿宋"/>
          <w:i w:val="0"/>
          <w:iCs w:val="0"/>
          <w:caps w:val="0"/>
          <w:spacing w:val="0"/>
          <w:sz w:val="24"/>
          <w:szCs w:val="24"/>
        </w:rPr>
        <w:t>2、超过200万元的货物和服务采购项目，预留该部分采购项目预算总额的30%以上专门面向中小企业采购，其中预留给小微企业的比例不低于60%。</w:t>
      </w:r>
    </w:p>
    <w:p w14:paraId="424C2FAE">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仿宋" w:hAnsi="仿宋" w:eastAsia="仿宋" w:cs="仿宋"/>
          <w:i w:val="0"/>
          <w:iCs w:val="0"/>
          <w:caps w:val="0"/>
          <w:spacing w:val="0"/>
          <w:sz w:val="24"/>
          <w:szCs w:val="24"/>
        </w:rPr>
      </w:pPr>
      <w:r>
        <w:rPr>
          <w:rFonts w:hint="eastAsia" w:ascii="仿宋" w:hAnsi="仿宋" w:eastAsia="仿宋" w:cs="仿宋"/>
          <w:i w:val="0"/>
          <w:iCs w:val="0"/>
          <w:caps w:val="0"/>
          <w:spacing w:val="0"/>
          <w:sz w:val="24"/>
          <w:szCs w:val="24"/>
        </w:rPr>
        <w:t>3、超过400万元的工程采购项目中适宜由中小企业提供的，预留该部分采购项目预算总额的40%以上专门面向中小企业采购，其中预留给小微企业的比例不低于60%。</w:t>
      </w:r>
    </w:p>
    <w:p w14:paraId="58E7CDE1">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仿宋" w:hAnsi="仿宋" w:eastAsia="仿宋" w:cs="仿宋"/>
          <w:i w:val="0"/>
          <w:iCs w:val="0"/>
          <w:caps w:val="0"/>
          <w:spacing w:val="0"/>
          <w:sz w:val="24"/>
          <w:szCs w:val="24"/>
        </w:rPr>
      </w:pPr>
      <w:r>
        <w:rPr>
          <w:rFonts w:hint="eastAsia" w:ascii="仿宋" w:hAnsi="仿宋" w:eastAsia="仿宋" w:cs="仿宋"/>
          <w:i w:val="0"/>
          <w:iCs w:val="0"/>
          <w:caps w:val="0"/>
          <w:spacing w:val="0"/>
          <w:sz w:val="24"/>
          <w:szCs w:val="24"/>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3623281">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仿宋" w:hAnsi="仿宋" w:eastAsia="仿宋" w:cs="仿宋"/>
          <w:i w:val="0"/>
          <w:iCs w:val="0"/>
          <w:caps w:val="0"/>
          <w:spacing w:val="0"/>
          <w:sz w:val="24"/>
          <w:szCs w:val="24"/>
        </w:rPr>
      </w:pPr>
      <w:r>
        <w:rPr>
          <w:rFonts w:hint="eastAsia" w:ascii="仿宋" w:hAnsi="仿宋" w:eastAsia="仿宋" w:cs="仿宋"/>
          <w:i w:val="0"/>
          <w:iCs w:val="0"/>
          <w:caps w:val="0"/>
          <w:spacing w:val="0"/>
          <w:sz w:val="24"/>
          <w:szCs w:val="24"/>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51A47DDC">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firstLine="0"/>
        <w:jc w:val="both"/>
        <w:textAlignment w:val="auto"/>
        <w:rPr>
          <w:rFonts w:ascii="黑体" w:hAnsi="宋体" w:eastAsia="黑体" w:cs="黑体"/>
          <w:i w:val="0"/>
          <w:iCs w:val="0"/>
          <w:caps w:val="0"/>
          <w:color w:val="000000"/>
          <w:spacing w:val="0"/>
          <w:sz w:val="28"/>
          <w:szCs w:val="28"/>
        </w:rPr>
      </w:pPr>
      <w:r>
        <w:rPr>
          <w:rStyle w:val="23"/>
          <w:rFonts w:ascii="黑体" w:hAnsi="宋体" w:eastAsia="黑体" w:cs="黑体"/>
          <w:i w:val="0"/>
          <w:iCs w:val="0"/>
          <w:caps w:val="0"/>
          <w:color w:val="000000"/>
          <w:spacing w:val="0"/>
          <w:sz w:val="28"/>
          <w:szCs w:val="28"/>
        </w:rPr>
        <w:t>七、对本次采购提出询问，请按以下方式联系</w:t>
      </w:r>
    </w:p>
    <w:p w14:paraId="08AB8CEB">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1.采购人信息</w:t>
      </w:r>
    </w:p>
    <w:p w14:paraId="377CC3AC">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rPr>
        <w:t>名 称</w:t>
      </w:r>
      <w:r>
        <w:rPr>
          <w:rFonts w:hint="eastAsia" w:ascii="仿宋" w:hAnsi="仿宋" w:eastAsia="仿宋" w:cs="仿宋"/>
          <w:i w:val="0"/>
          <w:iCs w:val="0"/>
          <w:caps w:val="0"/>
          <w:color w:val="000000"/>
          <w:spacing w:val="0"/>
          <w:sz w:val="28"/>
          <w:szCs w:val="28"/>
          <w:lang w:val="en-US" w:eastAsia="zh-CN"/>
        </w:rPr>
        <w:t>：</w:t>
      </w:r>
      <w:r>
        <w:rPr>
          <w:rFonts w:hint="eastAsia" w:ascii="仿宋" w:hAnsi="仿宋" w:eastAsia="仿宋" w:cs="仿宋"/>
          <w:i w:val="0"/>
          <w:iCs w:val="0"/>
          <w:caps w:val="0"/>
          <w:color w:val="000000"/>
          <w:spacing w:val="0"/>
          <w:sz w:val="28"/>
          <w:szCs w:val="28"/>
          <w:lang w:eastAsia="zh-CN"/>
        </w:rPr>
        <w:t>鄯善县吐峪沟乡人民政府</w:t>
      </w:r>
    </w:p>
    <w:p w14:paraId="4B0FB5A3">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rPr>
        <w:t xml:space="preserve">地 </w:t>
      </w:r>
      <w:r>
        <w:rPr>
          <w:rFonts w:hint="eastAsia" w:ascii="仿宋" w:hAnsi="仿宋" w:eastAsia="仿宋" w:cs="仿宋"/>
          <w:i w:val="0"/>
          <w:iCs w:val="0"/>
          <w:caps w:val="0"/>
          <w:color w:val="000000"/>
          <w:spacing w:val="0"/>
          <w:sz w:val="28"/>
          <w:szCs w:val="28"/>
          <w:lang w:val="en-US" w:eastAsia="zh-CN"/>
        </w:rPr>
        <w:t>址：</w:t>
      </w:r>
      <w:r>
        <w:rPr>
          <w:rFonts w:hint="eastAsia" w:ascii="仿宋" w:hAnsi="仿宋" w:eastAsia="仿宋" w:cs="仿宋"/>
          <w:i w:val="0"/>
          <w:iCs w:val="0"/>
          <w:caps w:val="0"/>
          <w:color w:val="000000"/>
          <w:spacing w:val="0"/>
          <w:sz w:val="28"/>
          <w:szCs w:val="28"/>
        </w:rPr>
        <w:t>鄯善县吐峪沟乡</w:t>
      </w:r>
    </w:p>
    <w:p w14:paraId="78A7109F">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default"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rPr>
        <w:t>联系方式</w:t>
      </w:r>
      <w:r>
        <w:rPr>
          <w:rFonts w:hint="eastAsia" w:ascii="仿宋" w:hAnsi="仿宋" w:eastAsia="仿宋" w:cs="仿宋"/>
          <w:i w:val="0"/>
          <w:iCs w:val="0"/>
          <w:caps w:val="0"/>
          <w:color w:val="000000"/>
          <w:spacing w:val="0"/>
          <w:sz w:val="28"/>
          <w:szCs w:val="28"/>
          <w:lang w:val="en-US" w:eastAsia="zh-CN"/>
        </w:rPr>
        <w:t>：14709958080</w:t>
      </w:r>
    </w:p>
    <w:p w14:paraId="68EF78DF">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2.采购代理机构信息</w:t>
      </w:r>
    </w:p>
    <w:p w14:paraId="5677E977">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jc w:val="left"/>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名 称：</w:t>
      </w:r>
      <w:r>
        <w:rPr>
          <w:rFonts w:hint="eastAsia" w:ascii="仿宋" w:hAnsi="仿宋" w:eastAsia="仿宋" w:cs="仿宋"/>
          <w:i w:val="0"/>
          <w:iCs w:val="0"/>
          <w:caps w:val="0"/>
          <w:color w:val="000000"/>
          <w:spacing w:val="0"/>
          <w:sz w:val="28"/>
          <w:szCs w:val="28"/>
          <w:lang w:val="en-US" w:eastAsia="zh-CN"/>
        </w:rPr>
        <w:t>新疆</w:t>
      </w:r>
      <w:r>
        <w:rPr>
          <w:rFonts w:hint="eastAsia" w:ascii="仿宋" w:hAnsi="仿宋" w:eastAsia="仿宋" w:cs="仿宋"/>
          <w:i w:val="0"/>
          <w:iCs w:val="0"/>
          <w:caps w:val="0"/>
          <w:color w:val="000000"/>
          <w:spacing w:val="0"/>
          <w:sz w:val="28"/>
          <w:szCs w:val="28"/>
        </w:rPr>
        <w:t>华域天恒工程管理有限公司</w:t>
      </w:r>
    </w:p>
    <w:p w14:paraId="1796192F">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jc w:val="left"/>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地 址：吐鲁番市高昌区示范区和平街11幢2层201号</w:t>
      </w:r>
    </w:p>
    <w:p w14:paraId="3826F08E">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default"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rPr>
        <w:t>联系方式：13</w:t>
      </w:r>
      <w:r>
        <w:rPr>
          <w:rFonts w:hint="eastAsia" w:ascii="仿宋" w:hAnsi="仿宋" w:eastAsia="仿宋" w:cs="仿宋"/>
          <w:i w:val="0"/>
          <w:iCs w:val="0"/>
          <w:caps w:val="0"/>
          <w:color w:val="000000"/>
          <w:spacing w:val="0"/>
          <w:sz w:val="28"/>
          <w:szCs w:val="28"/>
          <w:lang w:val="en-US" w:eastAsia="zh-CN"/>
        </w:rPr>
        <w:t>899314280</w:t>
      </w:r>
    </w:p>
    <w:p w14:paraId="5AB6B8D8">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3.项目联系方式</w:t>
      </w:r>
    </w:p>
    <w:p w14:paraId="6BC87DBB">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spacing w:val="0"/>
          <w:sz w:val="28"/>
          <w:szCs w:val="28"/>
          <w:lang w:eastAsia="zh-CN"/>
        </w:rPr>
      </w:pPr>
      <w:r>
        <w:rPr>
          <w:rFonts w:hint="eastAsia" w:ascii="仿宋" w:hAnsi="仿宋" w:eastAsia="仿宋" w:cs="仿宋"/>
          <w:i w:val="0"/>
          <w:iCs w:val="0"/>
          <w:caps w:val="0"/>
          <w:color w:val="000000"/>
          <w:spacing w:val="0"/>
          <w:sz w:val="28"/>
          <w:szCs w:val="28"/>
        </w:rPr>
        <w:t>项目联系人：</w:t>
      </w:r>
      <w:r>
        <w:rPr>
          <w:rStyle w:val="26"/>
          <w:rFonts w:hint="eastAsia" w:ascii="仿宋" w:hAnsi="仿宋" w:eastAsia="仿宋" w:cs="仿宋"/>
          <w:i w:val="0"/>
          <w:iCs w:val="0"/>
          <w:caps w:val="0"/>
          <w:color w:val="000000"/>
          <w:spacing w:val="0"/>
          <w:sz w:val="28"/>
          <w:szCs w:val="28"/>
          <w:lang w:val="en-US" w:eastAsia="zh-CN"/>
        </w:rPr>
        <w:t>马丽娜</w:t>
      </w:r>
    </w:p>
    <w:p w14:paraId="525E4E6B">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电 话：13</w:t>
      </w:r>
      <w:r>
        <w:rPr>
          <w:rFonts w:hint="eastAsia" w:ascii="仿宋" w:hAnsi="仿宋" w:eastAsia="仿宋" w:cs="仿宋"/>
          <w:i w:val="0"/>
          <w:iCs w:val="0"/>
          <w:caps w:val="0"/>
          <w:color w:val="000000"/>
          <w:spacing w:val="0"/>
          <w:sz w:val="28"/>
          <w:szCs w:val="28"/>
          <w:lang w:val="en-US" w:eastAsia="zh-CN"/>
        </w:rPr>
        <w:t>899314280</w:t>
      </w:r>
    </w:p>
    <w:p w14:paraId="78B703C0">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rFonts w:hint="eastAsia" w:ascii="仿宋" w:hAnsi="仿宋" w:eastAsia="仿宋" w:cs="仿宋"/>
          <w:i w:val="0"/>
          <w:iCs w:val="0"/>
          <w:caps w:val="0"/>
          <w:color w:val="000000"/>
          <w:spacing w:val="0"/>
          <w:sz w:val="28"/>
          <w:szCs w:val="28"/>
        </w:rPr>
      </w:pPr>
    </w:p>
    <w:p w14:paraId="45AC5224">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lang w:val="en-US" w:eastAsia="zh-CN"/>
        </w:rPr>
        <w:t>新疆</w:t>
      </w:r>
      <w:r>
        <w:rPr>
          <w:rFonts w:hint="eastAsia" w:ascii="仿宋" w:hAnsi="仿宋" w:eastAsia="仿宋" w:cs="仿宋"/>
          <w:i w:val="0"/>
          <w:iCs w:val="0"/>
          <w:caps w:val="0"/>
          <w:color w:val="000000"/>
          <w:spacing w:val="0"/>
          <w:sz w:val="28"/>
          <w:szCs w:val="28"/>
        </w:rPr>
        <w:t>华域天恒工程管理有限公司</w:t>
      </w:r>
    </w:p>
    <w:p w14:paraId="7D809185">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sz w:val="28"/>
          <w:szCs w:val="28"/>
        </w:rPr>
      </w:pPr>
      <w:r>
        <w:rPr>
          <w:rFonts w:hint="eastAsia" w:ascii="仿宋" w:hAnsi="仿宋" w:eastAsia="仿宋" w:cs="仿宋"/>
          <w:i w:val="0"/>
          <w:iCs w:val="0"/>
          <w:caps w:val="0"/>
          <w:color w:val="000000"/>
          <w:spacing w:val="0"/>
          <w:sz w:val="28"/>
          <w:szCs w:val="28"/>
          <w:lang w:val="en-US" w:eastAsia="zh-CN"/>
        </w:rPr>
        <w:t>2026年05月22日</w:t>
      </w:r>
    </w:p>
    <w:p w14:paraId="7D2FDF1D">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0F3FC46A">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pPr>
    </w:p>
    <w:p w14:paraId="4104A375">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rFonts w:hint="eastAsia" w:ascii="仿宋" w:hAnsi="仿宋" w:eastAsia="仿宋" w:cs="仿宋"/>
          <w:i w:val="0"/>
          <w:iCs w:val="0"/>
          <w:caps w:val="0"/>
          <w:color w:val="000000"/>
          <w:spacing w:val="0"/>
          <w:sz w:val="28"/>
          <w:szCs w:val="28"/>
          <w:lang w:val="en-US" w:eastAsia="zh-CN"/>
        </w:rPr>
      </w:pPr>
    </w:p>
    <w:p w14:paraId="00843884">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rFonts w:hint="eastAsia" w:ascii="仿宋" w:hAnsi="仿宋" w:eastAsia="仿宋" w:cs="仿宋"/>
          <w:i w:val="0"/>
          <w:iCs w:val="0"/>
          <w:caps w:val="0"/>
          <w:color w:val="000000"/>
          <w:spacing w:val="0"/>
          <w:sz w:val="28"/>
          <w:szCs w:val="28"/>
          <w:lang w:val="en-US" w:eastAsia="zh-CN"/>
        </w:rPr>
      </w:pPr>
    </w:p>
    <w:p w14:paraId="1F6C05E2">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rFonts w:hint="eastAsia" w:ascii="仿宋" w:hAnsi="仿宋" w:eastAsia="仿宋" w:cs="仿宋"/>
          <w:i w:val="0"/>
          <w:iCs w:val="0"/>
          <w:caps w:val="0"/>
          <w:color w:val="000000"/>
          <w:spacing w:val="0"/>
          <w:sz w:val="28"/>
          <w:szCs w:val="28"/>
          <w:lang w:val="en-US" w:eastAsia="zh-CN"/>
        </w:rPr>
      </w:pPr>
    </w:p>
    <w:p w14:paraId="01DF859B">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rFonts w:hint="eastAsia" w:ascii="仿宋" w:hAnsi="仿宋" w:eastAsia="仿宋" w:cs="仿宋"/>
          <w:i w:val="0"/>
          <w:iCs w:val="0"/>
          <w:caps w:val="0"/>
          <w:color w:val="000000"/>
          <w:spacing w:val="0"/>
          <w:sz w:val="28"/>
          <w:szCs w:val="28"/>
          <w:lang w:val="en-US" w:eastAsia="zh-CN"/>
        </w:rPr>
      </w:pPr>
    </w:p>
    <w:p w14:paraId="53D80E56">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rFonts w:hint="eastAsia" w:ascii="仿宋" w:hAnsi="仿宋" w:eastAsia="仿宋" w:cs="仿宋"/>
          <w:i w:val="0"/>
          <w:iCs w:val="0"/>
          <w:caps w:val="0"/>
          <w:color w:val="000000"/>
          <w:spacing w:val="0"/>
          <w:sz w:val="28"/>
          <w:szCs w:val="28"/>
          <w:lang w:val="en-US" w:eastAsia="zh-CN"/>
        </w:rPr>
      </w:pPr>
    </w:p>
    <w:p w14:paraId="4EAEAD19">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rFonts w:hint="eastAsia" w:ascii="仿宋" w:hAnsi="仿宋" w:eastAsia="仿宋" w:cs="仿宋"/>
          <w:i w:val="0"/>
          <w:iCs w:val="0"/>
          <w:caps w:val="0"/>
          <w:color w:val="000000"/>
          <w:spacing w:val="0"/>
          <w:sz w:val="28"/>
          <w:szCs w:val="28"/>
          <w:lang w:val="en-US" w:eastAsia="zh-CN"/>
        </w:rPr>
      </w:pPr>
    </w:p>
    <w:p w14:paraId="6FE586BA">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rFonts w:hint="eastAsia" w:ascii="仿宋" w:hAnsi="仿宋" w:eastAsia="仿宋" w:cs="仿宋"/>
          <w:i w:val="0"/>
          <w:iCs w:val="0"/>
          <w:caps w:val="0"/>
          <w:color w:val="000000"/>
          <w:spacing w:val="0"/>
          <w:sz w:val="28"/>
          <w:szCs w:val="28"/>
          <w:lang w:val="en-US" w:eastAsia="zh-CN"/>
        </w:rPr>
      </w:pPr>
    </w:p>
    <w:p w14:paraId="22466E45">
      <w:pPr>
        <w:pStyle w:val="17"/>
        <w:keepNext w:val="0"/>
        <w:keepLines w:val="0"/>
        <w:pageBreakBefore w:val="0"/>
        <w:widowControl/>
        <w:suppressLineNumbers w:val="0"/>
        <w:kinsoku/>
        <w:wordWrap/>
        <w:overflowPunct/>
        <w:topLinePunct w:val="0"/>
        <w:autoSpaceDE/>
        <w:autoSpaceDN/>
        <w:bidi w:val="0"/>
        <w:adjustRightInd/>
        <w:snapToGrid/>
        <w:spacing w:line="280" w:lineRule="exact"/>
        <w:ind w:left="0" w:firstLine="420"/>
        <w:jc w:val="right"/>
        <w:textAlignment w:val="auto"/>
        <w:rPr>
          <w:rFonts w:hint="eastAsia" w:ascii="仿宋" w:hAnsi="仿宋" w:eastAsia="仿宋" w:cs="仿宋"/>
          <w:i w:val="0"/>
          <w:iCs w:val="0"/>
          <w:caps w:val="0"/>
          <w:color w:val="000000"/>
          <w:spacing w:val="0"/>
          <w:sz w:val="28"/>
          <w:szCs w:val="28"/>
          <w:lang w:val="en-US" w:eastAsia="zh-CN"/>
        </w:rPr>
      </w:pPr>
    </w:p>
    <w:p w14:paraId="6CAB8F7F">
      <w:pPr>
        <w:pStyle w:val="17"/>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仿宋" w:hAnsi="仿宋" w:eastAsia="仿宋" w:cs="仿宋"/>
          <w:i w:val="0"/>
          <w:iCs w:val="0"/>
          <w:caps w:val="0"/>
          <w:color w:val="000000"/>
          <w:spacing w:val="0"/>
          <w:sz w:val="28"/>
          <w:szCs w:val="28"/>
          <w:lang w:val="en-US" w:eastAsia="zh-CN"/>
        </w:rPr>
      </w:pPr>
    </w:p>
    <w:p w14:paraId="5EBDD957">
      <w:pPr>
        <w:pStyle w:val="17"/>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仿宋" w:hAnsi="仿宋" w:eastAsia="仿宋" w:cs="仿宋"/>
          <w:i w:val="0"/>
          <w:iCs w:val="0"/>
          <w:caps w:val="0"/>
          <w:color w:val="000000"/>
          <w:spacing w:val="0"/>
          <w:sz w:val="28"/>
          <w:szCs w:val="28"/>
          <w:lang w:val="en-US" w:eastAsia="zh-CN"/>
        </w:rPr>
      </w:pPr>
    </w:p>
    <w:p w14:paraId="715684A9">
      <w:pPr>
        <w:pStyle w:val="17"/>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仿宋" w:hAnsi="仿宋" w:eastAsia="仿宋" w:cs="仿宋"/>
          <w:i w:val="0"/>
          <w:iCs w:val="0"/>
          <w:caps w:val="0"/>
          <w:color w:val="000000"/>
          <w:spacing w:val="0"/>
          <w:sz w:val="28"/>
          <w:szCs w:val="28"/>
          <w:lang w:val="en-US" w:eastAsia="zh-CN"/>
        </w:rPr>
      </w:pPr>
    </w:p>
    <w:p w14:paraId="30DA8D31">
      <w:pPr>
        <w:pStyle w:val="17"/>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仿宋" w:hAnsi="仿宋" w:eastAsia="仿宋" w:cs="仿宋"/>
          <w:i w:val="0"/>
          <w:iCs w:val="0"/>
          <w:caps w:val="0"/>
          <w:color w:val="000000"/>
          <w:spacing w:val="0"/>
          <w:sz w:val="28"/>
          <w:szCs w:val="28"/>
          <w:lang w:val="en-US" w:eastAsia="zh-CN"/>
        </w:rPr>
      </w:pPr>
    </w:p>
    <w:p w14:paraId="7DA52CD2">
      <w:pPr>
        <w:pStyle w:val="17"/>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仿宋" w:hAnsi="仿宋" w:eastAsia="仿宋" w:cs="仿宋"/>
          <w:i w:val="0"/>
          <w:iCs w:val="0"/>
          <w:caps w:val="0"/>
          <w:color w:val="000000"/>
          <w:spacing w:val="0"/>
          <w:sz w:val="28"/>
          <w:szCs w:val="28"/>
          <w:lang w:val="en-US" w:eastAsia="zh-CN"/>
        </w:rPr>
      </w:pPr>
    </w:p>
    <w:p w14:paraId="7597FE3B">
      <w:pPr>
        <w:pStyle w:val="17"/>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仿宋" w:hAnsi="仿宋" w:eastAsia="仿宋" w:cs="仿宋"/>
          <w:i w:val="0"/>
          <w:iCs w:val="0"/>
          <w:caps w:val="0"/>
          <w:color w:val="000000"/>
          <w:spacing w:val="0"/>
          <w:sz w:val="28"/>
          <w:szCs w:val="28"/>
          <w:lang w:val="en-US" w:eastAsia="zh-CN"/>
        </w:rPr>
      </w:pPr>
    </w:p>
    <w:p w14:paraId="39601159">
      <w:pPr>
        <w:pStyle w:val="17"/>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仿宋" w:hAnsi="仿宋" w:eastAsia="仿宋" w:cs="仿宋"/>
          <w:i w:val="0"/>
          <w:iCs w:val="0"/>
          <w:caps w:val="0"/>
          <w:color w:val="000000"/>
          <w:spacing w:val="0"/>
          <w:sz w:val="28"/>
          <w:szCs w:val="28"/>
          <w:lang w:val="en-US" w:eastAsia="zh-CN"/>
        </w:rPr>
      </w:pPr>
    </w:p>
    <w:p w14:paraId="320C00FF">
      <w:pPr>
        <w:pStyle w:val="17"/>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仿宋" w:hAnsi="仿宋" w:eastAsia="仿宋" w:cs="仿宋"/>
          <w:i w:val="0"/>
          <w:iCs w:val="0"/>
          <w:caps w:val="0"/>
          <w:color w:val="000000"/>
          <w:spacing w:val="0"/>
          <w:sz w:val="28"/>
          <w:szCs w:val="28"/>
          <w:lang w:val="en-US" w:eastAsia="zh-CN"/>
        </w:rPr>
      </w:pPr>
    </w:p>
    <w:p w14:paraId="1A76CA0B">
      <w:pPr>
        <w:rPr>
          <w:rFonts w:hint="eastAsia"/>
        </w:rPr>
      </w:pPr>
    </w:p>
    <w:p w14:paraId="3DFD355E">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jc w:val="center"/>
        <w:textAlignment w:val="auto"/>
        <w:rPr>
          <w:rFonts w:hint="eastAsia" w:ascii="宋体" w:hAnsi="宋体" w:eastAsia="宋体" w:cs="宋体"/>
          <w:color w:val="auto"/>
          <w:sz w:val="24"/>
          <w:szCs w:val="24"/>
          <w:highlight w:val="none"/>
        </w:rPr>
      </w:pPr>
      <w:r>
        <w:rPr>
          <w:rFonts w:hint="eastAsia" w:ascii="微软雅黑" w:hAnsi="微软雅黑" w:eastAsia="微软雅黑" w:cs="微软雅黑"/>
          <w:b/>
          <w:bCs/>
          <w:color w:val="auto"/>
          <w:sz w:val="32"/>
          <w:szCs w:val="32"/>
          <w:highlight w:val="none"/>
        </w:rPr>
        <w:t>第二部分</w:t>
      </w:r>
      <w:r>
        <w:rPr>
          <w:rFonts w:hint="eastAsia" w:ascii="微软雅黑" w:hAnsi="微软雅黑" w:eastAsia="微软雅黑" w:cs="微软雅黑"/>
          <w:b/>
          <w:bCs/>
          <w:color w:val="auto"/>
          <w:sz w:val="32"/>
          <w:szCs w:val="32"/>
          <w:highlight w:val="none"/>
        </w:rPr>
        <w:tab/>
      </w:r>
      <w:r>
        <w:rPr>
          <w:rFonts w:hint="eastAsia" w:ascii="微软雅黑" w:hAnsi="微软雅黑" w:eastAsia="微软雅黑" w:cs="微软雅黑"/>
          <w:b/>
          <w:bCs/>
          <w:color w:val="auto"/>
          <w:sz w:val="32"/>
          <w:szCs w:val="32"/>
          <w:highlight w:val="none"/>
        </w:rPr>
        <w:t>磋商须知</w:t>
      </w:r>
      <w:bookmarkEnd w:id="0"/>
    </w:p>
    <w:p w14:paraId="218AF733">
      <w:pPr>
        <w:rPr>
          <w:rFonts w:hint="eastAsia"/>
          <w:color w:val="auto"/>
          <w:highlight w:val="none"/>
        </w:rPr>
      </w:pPr>
    </w:p>
    <w:p w14:paraId="0AF1954A">
      <w:pPr>
        <w:keepNext w:val="0"/>
        <w:keepLines w:val="0"/>
        <w:pageBreakBefore w:val="0"/>
        <w:widowControl w:val="0"/>
        <w:numPr>
          <w:ilvl w:val="0"/>
          <w:numId w:val="2"/>
        </w:numPr>
        <w:kinsoku/>
        <w:wordWrap/>
        <w:overflowPunct/>
        <w:topLinePunct w:val="0"/>
        <w:autoSpaceDE w:val="0"/>
        <w:autoSpaceDN w:val="0"/>
        <w:bidi w:val="0"/>
        <w:adjustRightInd/>
        <w:snapToGrid/>
        <w:spacing w:line="440" w:lineRule="exact"/>
        <w:ind w:firstLine="640" w:firstLineChars="200"/>
        <w:jc w:val="center"/>
        <w:textAlignment w:val="auto"/>
        <w:rPr>
          <w:rFonts w:hint="eastAsia" w:ascii="微软雅黑" w:hAnsi="微软雅黑" w:eastAsia="微软雅黑" w:cs="微软雅黑"/>
          <w:b/>
          <w:bCs/>
          <w:color w:val="auto"/>
          <w:sz w:val="32"/>
          <w:szCs w:val="32"/>
          <w:highlight w:val="none"/>
        </w:rPr>
      </w:pPr>
      <w:r>
        <w:rPr>
          <w:rFonts w:hint="eastAsia" w:ascii="微软雅黑" w:hAnsi="微软雅黑" w:eastAsia="微软雅黑" w:cs="微软雅黑"/>
          <w:b/>
          <w:bCs/>
          <w:color w:val="auto"/>
          <w:sz w:val="32"/>
          <w:szCs w:val="32"/>
          <w:highlight w:val="none"/>
        </w:rPr>
        <w:t xml:space="preserve">磋商须知前附表 </w:t>
      </w:r>
    </w:p>
    <w:tbl>
      <w:tblPr>
        <w:tblStyle w:val="20"/>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2470"/>
        <w:gridCol w:w="5426"/>
      </w:tblGrid>
      <w:tr w14:paraId="1F21D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68" w:type="dxa"/>
            <w:noWrap w:val="0"/>
            <w:vAlign w:val="center"/>
          </w:tcPr>
          <w:p w14:paraId="68058B40">
            <w:pPr>
              <w:pStyle w:val="29"/>
              <w:keepNext w:val="0"/>
              <w:keepLines w:val="0"/>
              <w:pageBreakBefore w:val="0"/>
              <w:widowControl/>
              <w:kinsoku/>
              <w:wordWrap/>
              <w:overflowPunct/>
              <w:topLinePunct w:val="0"/>
              <w:bidi w:val="0"/>
              <w:snapToGrid/>
              <w:spacing w:line="320" w:lineRule="exact"/>
              <w:textAlignment w:val="auto"/>
              <w:rPr>
                <w:rFonts w:ascii="宋体" w:hAnsi="宋体" w:eastAsia="宋体"/>
                <w:b/>
                <w:color w:val="auto"/>
                <w:sz w:val="24"/>
                <w:highlight w:val="none"/>
              </w:rPr>
            </w:pPr>
            <w:r>
              <w:rPr>
                <w:rFonts w:ascii="宋体" w:hAnsi="宋体" w:eastAsia="宋体"/>
                <w:b/>
                <w:color w:val="auto"/>
                <w:sz w:val="24"/>
                <w:highlight w:val="none"/>
              </w:rPr>
              <w:t>条款号</w:t>
            </w:r>
          </w:p>
        </w:tc>
        <w:tc>
          <w:tcPr>
            <w:tcW w:w="2470" w:type="dxa"/>
            <w:noWrap w:val="0"/>
            <w:vAlign w:val="center"/>
          </w:tcPr>
          <w:p w14:paraId="1870AF9E">
            <w:pPr>
              <w:pStyle w:val="29"/>
              <w:keepNext w:val="0"/>
              <w:keepLines w:val="0"/>
              <w:pageBreakBefore w:val="0"/>
              <w:widowControl/>
              <w:kinsoku/>
              <w:wordWrap/>
              <w:overflowPunct/>
              <w:topLinePunct w:val="0"/>
              <w:bidi w:val="0"/>
              <w:snapToGrid/>
              <w:spacing w:line="320" w:lineRule="exact"/>
              <w:jc w:val="center"/>
              <w:textAlignment w:val="auto"/>
              <w:rPr>
                <w:rFonts w:ascii="宋体" w:hAnsi="宋体" w:eastAsia="宋体"/>
                <w:b/>
                <w:color w:val="auto"/>
                <w:sz w:val="24"/>
                <w:highlight w:val="none"/>
              </w:rPr>
            </w:pPr>
            <w:r>
              <w:rPr>
                <w:rFonts w:ascii="宋体" w:hAnsi="宋体" w:eastAsia="宋体"/>
                <w:b/>
                <w:color w:val="auto"/>
                <w:sz w:val="24"/>
                <w:highlight w:val="none"/>
              </w:rPr>
              <w:t>条 款 名 称</w:t>
            </w:r>
          </w:p>
        </w:tc>
        <w:tc>
          <w:tcPr>
            <w:tcW w:w="5426" w:type="dxa"/>
            <w:noWrap w:val="0"/>
            <w:vAlign w:val="center"/>
          </w:tcPr>
          <w:p w14:paraId="5D29E4D6">
            <w:pPr>
              <w:pStyle w:val="29"/>
              <w:keepNext w:val="0"/>
              <w:keepLines w:val="0"/>
              <w:pageBreakBefore w:val="0"/>
              <w:widowControl/>
              <w:kinsoku/>
              <w:wordWrap/>
              <w:overflowPunct/>
              <w:topLinePunct w:val="0"/>
              <w:bidi w:val="0"/>
              <w:snapToGrid/>
              <w:spacing w:line="320" w:lineRule="exact"/>
              <w:jc w:val="center"/>
              <w:textAlignment w:val="auto"/>
              <w:rPr>
                <w:rFonts w:ascii="宋体" w:hAnsi="宋体" w:eastAsia="宋体"/>
                <w:b/>
                <w:color w:val="auto"/>
                <w:sz w:val="24"/>
                <w:highlight w:val="none"/>
              </w:rPr>
            </w:pPr>
            <w:r>
              <w:rPr>
                <w:rFonts w:ascii="宋体" w:hAnsi="宋体" w:eastAsia="宋体"/>
                <w:b/>
                <w:color w:val="auto"/>
                <w:sz w:val="24"/>
                <w:highlight w:val="none"/>
              </w:rPr>
              <w:t>编  列  内  容</w:t>
            </w:r>
          </w:p>
        </w:tc>
      </w:tr>
      <w:tr w14:paraId="3FD5A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68" w:type="dxa"/>
            <w:noWrap w:val="0"/>
            <w:vAlign w:val="center"/>
          </w:tcPr>
          <w:p w14:paraId="69C11A98">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1</w:t>
            </w:r>
          </w:p>
        </w:tc>
        <w:tc>
          <w:tcPr>
            <w:tcW w:w="2470" w:type="dxa"/>
            <w:noWrap w:val="0"/>
            <w:vAlign w:val="center"/>
          </w:tcPr>
          <w:p w14:paraId="2A629CC2">
            <w:pPr>
              <w:pStyle w:val="29"/>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项目名称</w:t>
            </w:r>
          </w:p>
        </w:tc>
        <w:tc>
          <w:tcPr>
            <w:tcW w:w="5426" w:type="dxa"/>
            <w:noWrap w:val="0"/>
            <w:vAlign w:val="center"/>
          </w:tcPr>
          <w:p w14:paraId="17A7DA39">
            <w:pPr>
              <w:pStyle w:val="29"/>
              <w:keepNext w:val="0"/>
              <w:keepLines w:val="0"/>
              <w:pageBreakBefore w:val="0"/>
              <w:widowControl/>
              <w:kinsoku/>
              <w:wordWrap/>
              <w:overflowPunct/>
              <w:topLinePunct w:val="0"/>
              <w:bidi w:val="0"/>
              <w:snapToGrid/>
              <w:spacing w:line="320" w:lineRule="exact"/>
              <w:textAlignment w:val="auto"/>
              <w:rPr>
                <w:rFonts w:hint="default" w:eastAsia="宋体" w:cs="Times New Roman"/>
                <w:color w:val="auto"/>
                <w:sz w:val="24"/>
                <w:highlight w:val="none"/>
                <w:lang w:val="en-US" w:eastAsia="zh-CN"/>
              </w:rPr>
            </w:pPr>
            <w:bookmarkStart w:id="4" w:name="EBab956008dbe54ba7a71901d90aab5e33"/>
            <w:bookmarkEnd w:id="4"/>
            <w:r>
              <w:rPr>
                <w:rFonts w:hint="eastAsia" w:eastAsia="宋体" w:cs="Times New Roman"/>
                <w:color w:val="auto"/>
                <w:sz w:val="24"/>
                <w:highlight w:val="none"/>
                <w:lang w:val="en-US" w:eastAsia="zh-CN"/>
              </w:rPr>
              <w:t>吐峪沟乡巷道硬化建设项目</w:t>
            </w:r>
          </w:p>
        </w:tc>
      </w:tr>
      <w:tr w14:paraId="239A0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168" w:type="dxa"/>
            <w:noWrap w:val="0"/>
            <w:vAlign w:val="center"/>
          </w:tcPr>
          <w:p w14:paraId="2A60E3B1">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2</w:t>
            </w:r>
          </w:p>
        </w:tc>
        <w:tc>
          <w:tcPr>
            <w:tcW w:w="2470" w:type="dxa"/>
            <w:noWrap w:val="0"/>
            <w:vAlign w:val="center"/>
          </w:tcPr>
          <w:p w14:paraId="5710153E">
            <w:pPr>
              <w:pStyle w:val="29"/>
              <w:keepNext w:val="0"/>
              <w:keepLines w:val="0"/>
              <w:pageBreakBefore w:val="0"/>
              <w:widowControl/>
              <w:kinsoku/>
              <w:wordWrap/>
              <w:overflowPunct/>
              <w:topLinePunct w:val="0"/>
              <w:bidi w:val="0"/>
              <w:snapToGrid/>
              <w:spacing w:line="320" w:lineRule="exact"/>
              <w:jc w:val="center"/>
              <w:textAlignment w:val="auto"/>
              <w:rPr>
                <w:rFonts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采购内容及</w:t>
            </w:r>
            <w:r>
              <w:rPr>
                <w:rFonts w:ascii="宋体" w:hAnsi="宋体" w:eastAsia="宋体" w:cs="Times New Roman"/>
                <w:color w:val="auto"/>
                <w:sz w:val="24"/>
                <w:highlight w:val="none"/>
              </w:rPr>
              <w:t>质量要求</w:t>
            </w:r>
          </w:p>
        </w:tc>
        <w:tc>
          <w:tcPr>
            <w:tcW w:w="5426" w:type="dxa"/>
            <w:noWrap w:val="0"/>
            <w:vAlign w:val="center"/>
          </w:tcPr>
          <w:p w14:paraId="156CE304">
            <w:pPr>
              <w:pStyle w:val="29"/>
              <w:keepNext w:val="0"/>
              <w:keepLines w:val="0"/>
              <w:pageBreakBefore w:val="0"/>
              <w:widowControl/>
              <w:kinsoku/>
              <w:wordWrap/>
              <w:overflowPunct/>
              <w:topLinePunct w:val="0"/>
              <w:bidi w:val="0"/>
              <w:snapToGrid/>
              <w:spacing w:line="320" w:lineRule="exact"/>
              <w:textAlignment w:val="auto"/>
              <w:rPr>
                <w:rFonts w:hint="eastAsia" w:eastAsia="宋体" w:cs="Times New Roman"/>
                <w:color w:val="auto"/>
                <w:sz w:val="24"/>
                <w:highlight w:val="none"/>
                <w:lang w:val="en-US" w:eastAsia="zh-CN"/>
              </w:rPr>
            </w:pPr>
            <w:r>
              <w:rPr>
                <w:rFonts w:hint="eastAsia" w:eastAsia="宋体" w:cs="Times New Roman"/>
                <w:color w:val="auto"/>
                <w:sz w:val="24"/>
                <w:highlight w:val="none"/>
                <w:lang w:val="en-US" w:eastAsia="zh-CN"/>
              </w:rPr>
              <w:t>采购内容：新建巷道25297.95平方米，其中：洋海夏村9097.95平方米，团结村9000平方米，碱滩坎村7200平方米。</w:t>
            </w:r>
          </w:p>
          <w:p w14:paraId="2CE771A6">
            <w:pPr>
              <w:pStyle w:val="29"/>
              <w:keepNext w:val="0"/>
              <w:keepLines w:val="0"/>
              <w:pageBreakBefore w:val="0"/>
              <w:widowControl/>
              <w:kinsoku/>
              <w:wordWrap/>
              <w:overflowPunct/>
              <w:topLinePunct w:val="0"/>
              <w:bidi w:val="0"/>
              <w:snapToGrid/>
              <w:spacing w:line="320" w:lineRule="exact"/>
              <w:textAlignment w:val="auto"/>
              <w:rPr>
                <w:rFonts w:hint="eastAsia" w:eastAsia="宋体" w:cs="Times New Roman"/>
                <w:color w:val="auto"/>
                <w:sz w:val="24"/>
                <w:highlight w:val="none"/>
                <w:lang w:val="en-US" w:eastAsia="zh-CN"/>
              </w:rPr>
            </w:pPr>
            <w:r>
              <w:rPr>
                <w:rFonts w:hint="eastAsia" w:eastAsia="宋体" w:cs="Times New Roman"/>
                <w:color w:val="auto"/>
                <w:sz w:val="24"/>
                <w:highlight w:val="none"/>
                <w:lang w:val="en-US" w:eastAsia="zh-CN"/>
              </w:rPr>
              <w:t>质量标准：</w:t>
            </w:r>
            <w:bookmarkStart w:id="5" w:name="EB842ea8786d484386adc9fd3f4803a0e9"/>
            <w:bookmarkEnd w:id="5"/>
            <w:r>
              <w:rPr>
                <w:rFonts w:hint="eastAsia" w:eastAsia="宋体" w:cs="Times New Roman"/>
                <w:color w:val="auto"/>
                <w:sz w:val="24"/>
                <w:highlight w:val="none"/>
                <w:lang w:val="en-US" w:eastAsia="zh-CN"/>
              </w:rPr>
              <w:t>合格</w:t>
            </w:r>
          </w:p>
          <w:p w14:paraId="0A3EB8B7">
            <w:pPr>
              <w:pStyle w:val="29"/>
              <w:keepNext w:val="0"/>
              <w:keepLines w:val="0"/>
              <w:pageBreakBefore w:val="0"/>
              <w:widowControl/>
              <w:kinsoku/>
              <w:wordWrap/>
              <w:overflowPunct/>
              <w:topLinePunct w:val="0"/>
              <w:bidi w:val="0"/>
              <w:snapToGrid/>
              <w:spacing w:line="320" w:lineRule="exact"/>
              <w:textAlignment w:val="auto"/>
              <w:rPr>
                <w:rFonts w:hint="eastAsia" w:ascii="Calibri" w:hAnsi="Calibri" w:eastAsia="宋体" w:cs="Times New Roman"/>
                <w:color w:val="auto"/>
                <w:kern w:val="2"/>
                <w:sz w:val="24"/>
                <w:szCs w:val="22"/>
                <w:highlight w:val="none"/>
                <w:lang w:val="en-US" w:eastAsia="zh-CN" w:bidi="ar-SA"/>
              </w:rPr>
            </w:pPr>
            <w:r>
              <w:rPr>
                <w:rFonts w:hint="eastAsia" w:eastAsia="宋体" w:cs="Times New Roman"/>
                <w:color w:val="auto"/>
                <w:sz w:val="24"/>
                <w:highlight w:val="none"/>
                <w:lang w:val="en-US" w:eastAsia="zh-CN"/>
              </w:rPr>
              <w:t>质保期：符合国家规定</w:t>
            </w:r>
          </w:p>
        </w:tc>
      </w:tr>
      <w:tr w14:paraId="54F4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68" w:type="dxa"/>
            <w:noWrap w:val="0"/>
            <w:vAlign w:val="center"/>
          </w:tcPr>
          <w:p w14:paraId="14EA6383">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3</w:t>
            </w:r>
          </w:p>
        </w:tc>
        <w:tc>
          <w:tcPr>
            <w:tcW w:w="2470" w:type="dxa"/>
            <w:noWrap w:val="0"/>
            <w:vAlign w:val="center"/>
          </w:tcPr>
          <w:p w14:paraId="2B117470">
            <w:pPr>
              <w:pStyle w:val="29"/>
              <w:keepNext w:val="0"/>
              <w:keepLines w:val="0"/>
              <w:pageBreakBefore w:val="0"/>
              <w:widowControl/>
              <w:kinsoku/>
              <w:wordWrap/>
              <w:overflowPunct/>
              <w:topLinePunct w:val="0"/>
              <w:bidi w:val="0"/>
              <w:snapToGrid/>
              <w:spacing w:line="320" w:lineRule="exact"/>
              <w:jc w:val="center"/>
              <w:textAlignment w:val="auto"/>
              <w:rPr>
                <w:rFonts w:ascii="宋体" w:hAnsi="宋体" w:eastAsia="宋体"/>
                <w:color w:val="auto"/>
                <w:sz w:val="24"/>
                <w:highlight w:val="none"/>
              </w:rPr>
            </w:pPr>
            <w:r>
              <w:rPr>
                <w:rFonts w:ascii="宋体" w:hAnsi="宋体" w:eastAsia="宋体" w:cs="Times New Roman"/>
                <w:color w:val="auto"/>
                <w:sz w:val="24"/>
                <w:highlight w:val="none"/>
              </w:rPr>
              <w:t>信誉要求</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不良行为记录</w:t>
            </w:r>
            <w:r>
              <w:rPr>
                <w:rFonts w:hint="eastAsia" w:ascii="宋体" w:hAnsi="宋体" w:eastAsia="宋体" w:cs="Times New Roman"/>
                <w:color w:val="auto"/>
                <w:sz w:val="24"/>
                <w:highlight w:val="none"/>
                <w:lang w:eastAsia="zh-CN"/>
              </w:rPr>
              <w:t>）</w:t>
            </w:r>
          </w:p>
        </w:tc>
        <w:tc>
          <w:tcPr>
            <w:tcW w:w="5426" w:type="dxa"/>
            <w:noWrap w:val="0"/>
            <w:vAlign w:val="center"/>
          </w:tcPr>
          <w:p w14:paraId="5A354B5F">
            <w:pPr>
              <w:pStyle w:val="29"/>
              <w:keepNext w:val="0"/>
              <w:keepLines w:val="0"/>
              <w:pageBreakBefore w:val="0"/>
              <w:widowControl/>
              <w:kinsoku/>
              <w:wordWrap/>
              <w:overflowPunct/>
              <w:topLinePunct w:val="0"/>
              <w:bidi w:val="0"/>
              <w:snapToGrid/>
              <w:spacing w:line="320" w:lineRule="exact"/>
              <w:textAlignment w:val="auto"/>
              <w:rPr>
                <w:rFonts w:hint="eastAsia" w:eastAsia="宋体" w:cs="Times New Roman"/>
                <w:color w:val="auto"/>
                <w:sz w:val="24"/>
                <w:highlight w:val="none"/>
                <w:lang w:val="en-US" w:eastAsia="zh-CN"/>
              </w:rPr>
            </w:pPr>
            <w:bookmarkStart w:id="6" w:name="EB797d1b4079594a778b9f2da7a47c4236"/>
            <w:bookmarkEnd w:id="6"/>
            <w:r>
              <w:rPr>
                <w:rFonts w:hint="eastAsia" w:eastAsia="宋体" w:cs="Times New Roman"/>
                <w:color w:val="auto"/>
                <w:sz w:val="24"/>
                <w:highlight w:val="none"/>
                <w:lang w:val="en-US" w:eastAsia="zh-CN"/>
              </w:rPr>
              <w:t>投标人未被列入“信用中国”网站“记录失信被执行人或重大税收违法案件当事人名单或政府采购严重违法失信行为”记录名单；不处于中国政府采购网“政府采购严重违法失信行为信息记录”中的禁止参加政府采购活动期间；未列入国家企业信用信息公示系统严重违法失信名单及其他不符合规定条件；</w:t>
            </w:r>
          </w:p>
        </w:tc>
      </w:tr>
      <w:tr w14:paraId="7386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68" w:type="dxa"/>
            <w:noWrap w:val="0"/>
            <w:vAlign w:val="center"/>
          </w:tcPr>
          <w:p w14:paraId="2045322C">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4</w:t>
            </w:r>
          </w:p>
        </w:tc>
        <w:tc>
          <w:tcPr>
            <w:tcW w:w="2470" w:type="dxa"/>
            <w:noWrap w:val="0"/>
            <w:vAlign w:val="center"/>
          </w:tcPr>
          <w:p w14:paraId="6350FEAA">
            <w:pPr>
              <w:pStyle w:val="29"/>
              <w:keepNext w:val="0"/>
              <w:keepLines w:val="0"/>
              <w:pageBreakBefore w:val="0"/>
              <w:widowControl/>
              <w:kinsoku/>
              <w:wordWrap/>
              <w:overflowPunct/>
              <w:topLinePunct w:val="0"/>
              <w:bidi w:val="0"/>
              <w:snapToGrid/>
              <w:spacing w:line="320" w:lineRule="exact"/>
              <w:jc w:val="center"/>
              <w:textAlignment w:val="auto"/>
              <w:rPr>
                <w:rFonts w:ascii="宋体" w:hAnsi="宋体" w:eastAsia="宋体"/>
                <w:color w:val="auto"/>
                <w:sz w:val="24"/>
                <w:highlight w:val="none"/>
              </w:rPr>
            </w:pPr>
            <w:r>
              <w:rPr>
                <w:rFonts w:ascii="宋体" w:hAnsi="宋体" w:eastAsia="宋体"/>
                <w:color w:val="auto"/>
                <w:sz w:val="24"/>
                <w:highlight w:val="none"/>
              </w:rPr>
              <w:t>踏勘</w:t>
            </w:r>
            <w:r>
              <w:rPr>
                <w:rFonts w:hint="eastAsia" w:ascii="宋体" w:hAnsi="宋体" w:eastAsia="宋体"/>
                <w:color w:val="auto"/>
                <w:sz w:val="24"/>
                <w:highlight w:val="none"/>
              </w:rPr>
              <w:t>现场</w:t>
            </w:r>
          </w:p>
        </w:tc>
        <w:tc>
          <w:tcPr>
            <w:tcW w:w="5426" w:type="dxa"/>
            <w:noWrap w:val="0"/>
            <w:vAlign w:val="center"/>
          </w:tcPr>
          <w:p w14:paraId="030E5D0C">
            <w:pPr>
              <w:pStyle w:val="29"/>
              <w:keepNext w:val="0"/>
              <w:keepLines w:val="0"/>
              <w:pageBreakBefore w:val="0"/>
              <w:widowControl/>
              <w:kinsoku/>
              <w:wordWrap/>
              <w:overflowPunct/>
              <w:topLinePunct w:val="0"/>
              <w:bidi w:val="0"/>
              <w:snapToGrid/>
              <w:spacing w:line="320" w:lineRule="exact"/>
              <w:textAlignment w:val="auto"/>
              <w:rPr>
                <w:rFonts w:hint="eastAsia" w:eastAsia="宋体" w:cs="Times New Roman"/>
                <w:color w:val="auto"/>
                <w:sz w:val="24"/>
                <w:highlight w:val="none"/>
                <w:lang w:val="en-US" w:eastAsia="zh-CN"/>
              </w:rPr>
            </w:pPr>
            <w:bookmarkStart w:id="7" w:name="EB711ab04762684375a014a19528cf06dd"/>
            <w:bookmarkEnd w:id="7"/>
            <w:r>
              <w:rPr>
                <w:rFonts w:hint="eastAsia" w:eastAsia="宋体" w:cs="Times New Roman"/>
                <w:color w:val="auto"/>
                <w:sz w:val="24"/>
                <w:highlight w:val="none"/>
                <w:lang w:val="en-US" w:eastAsia="zh-CN"/>
              </w:rPr>
              <w:t>☑不组织</w:t>
            </w:r>
          </w:p>
          <w:p w14:paraId="3FC65470">
            <w:pPr>
              <w:pStyle w:val="29"/>
              <w:keepNext w:val="0"/>
              <w:keepLines w:val="0"/>
              <w:pageBreakBefore w:val="0"/>
              <w:widowControl/>
              <w:kinsoku/>
              <w:wordWrap/>
              <w:overflowPunct/>
              <w:topLinePunct w:val="0"/>
              <w:bidi w:val="0"/>
              <w:snapToGrid/>
              <w:spacing w:line="320" w:lineRule="exact"/>
              <w:textAlignment w:val="auto"/>
              <w:rPr>
                <w:rFonts w:hint="eastAsia" w:eastAsia="宋体" w:cs="Times New Roman"/>
                <w:color w:val="auto"/>
                <w:sz w:val="24"/>
                <w:highlight w:val="none"/>
                <w:lang w:val="en-US" w:eastAsia="zh-CN"/>
              </w:rPr>
            </w:pPr>
            <w:bookmarkStart w:id="8" w:name="EBafd1a84b6f804a9890ee96b9f6d8258d"/>
            <w:bookmarkEnd w:id="8"/>
            <w:r>
              <w:rPr>
                <w:rFonts w:hint="eastAsia" w:eastAsia="宋体" w:cs="Times New Roman"/>
                <w:color w:val="auto"/>
                <w:sz w:val="24"/>
                <w:highlight w:val="none"/>
                <w:lang w:val="en-US" w:eastAsia="zh-CN"/>
              </w:rPr>
              <w:t>□组织，</w:t>
            </w:r>
          </w:p>
          <w:p w14:paraId="1CA72A3F">
            <w:pPr>
              <w:pStyle w:val="29"/>
              <w:keepNext w:val="0"/>
              <w:keepLines w:val="0"/>
              <w:pageBreakBefore w:val="0"/>
              <w:widowControl/>
              <w:kinsoku/>
              <w:wordWrap/>
              <w:overflowPunct/>
              <w:topLinePunct w:val="0"/>
              <w:bidi w:val="0"/>
              <w:snapToGrid/>
              <w:spacing w:line="320" w:lineRule="exact"/>
              <w:textAlignment w:val="auto"/>
              <w:rPr>
                <w:rFonts w:hint="eastAsia" w:eastAsia="宋体" w:cs="Times New Roman"/>
                <w:color w:val="auto"/>
                <w:sz w:val="24"/>
                <w:highlight w:val="none"/>
                <w:lang w:val="en-US" w:eastAsia="zh-CN"/>
              </w:rPr>
            </w:pPr>
            <w:r>
              <w:rPr>
                <w:rFonts w:hint="eastAsia" w:eastAsia="宋体" w:cs="Times New Roman"/>
                <w:color w:val="auto"/>
                <w:sz w:val="24"/>
                <w:highlight w:val="none"/>
                <w:lang w:val="en-US" w:eastAsia="zh-CN"/>
              </w:rPr>
              <w:t>踏勘时间：</w:t>
            </w:r>
            <w:bookmarkStart w:id="9" w:name="EB29d5e1ef164c4dffb6d1d51a9bb4054e"/>
            <w:bookmarkEnd w:id="9"/>
            <w:r>
              <w:rPr>
                <w:rFonts w:hint="eastAsia" w:eastAsia="宋体" w:cs="Times New Roman"/>
                <w:color w:val="auto"/>
                <w:sz w:val="24"/>
                <w:highlight w:val="none"/>
                <w:lang w:val="en-US" w:eastAsia="zh-CN"/>
              </w:rPr>
              <w:t>/</w:t>
            </w:r>
          </w:p>
          <w:p w14:paraId="2873C3C8">
            <w:pPr>
              <w:pStyle w:val="29"/>
              <w:keepNext w:val="0"/>
              <w:keepLines w:val="0"/>
              <w:pageBreakBefore w:val="0"/>
              <w:widowControl/>
              <w:kinsoku/>
              <w:wordWrap/>
              <w:overflowPunct/>
              <w:topLinePunct w:val="0"/>
              <w:bidi w:val="0"/>
              <w:snapToGrid/>
              <w:spacing w:line="320" w:lineRule="exact"/>
              <w:textAlignment w:val="auto"/>
              <w:rPr>
                <w:rFonts w:hint="eastAsia" w:eastAsia="宋体" w:cs="Times New Roman"/>
                <w:color w:val="auto"/>
                <w:sz w:val="24"/>
                <w:highlight w:val="none"/>
                <w:lang w:val="en-US" w:eastAsia="zh-CN"/>
              </w:rPr>
            </w:pPr>
            <w:r>
              <w:rPr>
                <w:rFonts w:hint="eastAsia" w:eastAsia="宋体" w:cs="Times New Roman"/>
                <w:color w:val="auto"/>
                <w:sz w:val="24"/>
                <w:highlight w:val="none"/>
                <w:lang w:val="en-US" w:eastAsia="zh-CN"/>
              </w:rPr>
              <w:t>踏勘集中地点：</w:t>
            </w:r>
            <w:bookmarkStart w:id="10" w:name="EB7d3ba06a341f4914bebd605d4573d668"/>
            <w:bookmarkEnd w:id="10"/>
            <w:r>
              <w:rPr>
                <w:rFonts w:hint="eastAsia" w:eastAsia="宋体" w:cs="Times New Roman"/>
                <w:color w:val="auto"/>
                <w:sz w:val="24"/>
                <w:highlight w:val="none"/>
                <w:lang w:val="en-US" w:eastAsia="zh-CN"/>
              </w:rPr>
              <w:t>/</w:t>
            </w:r>
          </w:p>
          <w:p w14:paraId="5BB4FB34">
            <w:pPr>
              <w:pStyle w:val="29"/>
              <w:keepNext w:val="0"/>
              <w:keepLines w:val="0"/>
              <w:pageBreakBefore w:val="0"/>
              <w:widowControl/>
              <w:kinsoku/>
              <w:wordWrap/>
              <w:overflowPunct/>
              <w:topLinePunct w:val="0"/>
              <w:bidi w:val="0"/>
              <w:snapToGrid/>
              <w:spacing w:line="320" w:lineRule="exact"/>
              <w:textAlignment w:val="auto"/>
              <w:rPr>
                <w:rFonts w:hint="default" w:eastAsia="宋体" w:cs="Times New Roman"/>
                <w:color w:val="auto"/>
                <w:sz w:val="24"/>
                <w:highlight w:val="none"/>
                <w:lang w:val="en-US" w:eastAsia="zh-CN"/>
              </w:rPr>
            </w:pPr>
            <w:r>
              <w:rPr>
                <w:rFonts w:hint="eastAsia" w:eastAsia="宋体" w:cs="Times New Roman"/>
                <w:color w:val="auto"/>
                <w:sz w:val="24"/>
                <w:highlight w:val="none"/>
                <w:lang w:val="en-US" w:eastAsia="zh-CN"/>
              </w:rPr>
              <w:t>踏勘联系人及方式：/</w:t>
            </w:r>
          </w:p>
        </w:tc>
      </w:tr>
      <w:tr w14:paraId="509F7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68" w:type="dxa"/>
            <w:noWrap w:val="0"/>
            <w:vAlign w:val="center"/>
          </w:tcPr>
          <w:p w14:paraId="46529F10">
            <w:pPr>
              <w:pStyle w:val="29"/>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5</w:t>
            </w:r>
          </w:p>
        </w:tc>
        <w:tc>
          <w:tcPr>
            <w:tcW w:w="2470" w:type="dxa"/>
            <w:noWrap w:val="0"/>
            <w:vAlign w:val="center"/>
          </w:tcPr>
          <w:p w14:paraId="6D92173F">
            <w:pPr>
              <w:pStyle w:val="29"/>
              <w:keepNext w:val="0"/>
              <w:keepLines w:val="0"/>
              <w:pageBreakBefore w:val="0"/>
              <w:widowControl/>
              <w:kinsoku/>
              <w:wordWrap/>
              <w:overflowPunct/>
              <w:topLinePunct w:val="0"/>
              <w:bidi w:val="0"/>
              <w:snapToGrid/>
              <w:spacing w:line="320" w:lineRule="exact"/>
              <w:jc w:val="center"/>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磋商响应</w:t>
            </w:r>
            <w:r>
              <w:rPr>
                <w:rFonts w:ascii="宋体" w:hAnsi="宋体" w:eastAsia="宋体"/>
                <w:color w:val="auto"/>
                <w:sz w:val="24"/>
                <w:highlight w:val="none"/>
              </w:rPr>
              <w:t>有效期</w:t>
            </w:r>
          </w:p>
        </w:tc>
        <w:tc>
          <w:tcPr>
            <w:tcW w:w="5426" w:type="dxa"/>
            <w:noWrap w:val="0"/>
            <w:vAlign w:val="center"/>
          </w:tcPr>
          <w:p w14:paraId="6955DBA1">
            <w:pPr>
              <w:pStyle w:val="29"/>
              <w:keepNext w:val="0"/>
              <w:keepLines w:val="0"/>
              <w:pageBreakBefore w:val="0"/>
              <w:widowControl/>
              <w:kinsoku/>
              <w:wordWrap/>
              <w:overflowPunct/>
              <w:topLinePunct w:val="0"/>
              <w:bidi w:val="0"/>
              <w:snapToGrid/>
              <w:spacing w:line="320" w:lineRule="exact"/>
              <w:textAlignment w:val="auto"/>
              <w:rPr>
                <w:rFonts w:ascii="宋体" w:hAnsi="宋体" w:eastAsia="宋体"/>
                <w:color w:val="auto"/>
                <w:sz w:val="24"/>
                <w:highlight w:val="none"/>
              </w:rPr>
            </w:pPr>
            <w:bookmarkStart w:id="11" w:name="EBdaf02b35eef04948bb826c544b7758c6"/>
            <w:bookmarkEnd w:id="11"/>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9</w:t>
            </w:r>
            <w:r>
              <w:rPr>
                <w:rFonts w:hint="eastAsia" w:ascii="宋体" w:hAnsi="宋体" w:eastAsia="宋体"/>
                <w:color w:val="auto"/>
                <w:sz w:val="24"/>
                <w:highlight w:val="none"/>
                <w:u w:val="single"/>
              </w:rPr>
              <w:t xml:space="preserve">0 </w:t>
            </w:r>
            <w:r>
              <w:rPr>
                <w:rFonts w:hint="eastAsia" w:ascii="宋体" w:hAnsi="宋体" w:eastAsia="宋体"/>
                <w:color w:val="auto"/>
                <w:sz w:val="24"/>
                <w:highlight w:val="none"/>
              </w:rPr>
              <w:t>天</w:t>
            </w:r>
          </w:p>
        </w:tc>
      </w:tr>
      <w:tr w14:paraId="6F7CB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68" w:type="dxa"/>
            <w:noWrap w:val="0"/>
            <w:vAlign w:val="center"/>
          </w:tcPr>
          <w:p w14:paraId="64B608F2">
            <w:pPr>
              <w:pStyle w:val="29"/>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w:t>
            </w:r>
          </w:p>
        </w:tc>
        <w:tc>
          <w:tcPr>
            <w:tcW w:w="2470" w:type="dxa"/>
            <w:noWrap w:val="0"/>
            <w:vAlign w:val="top"/>
          </w:tcPr>
          <w:p w14:paraId="08B25503">
            <w:pPr>
              <w:keepNext w:val="0"/>
              <w:keepLines w:val="0"/>
              <w:pageBreakBefore w:val="0"/>
              <w:widowControl w:val="0"/>
              <w:kinsoku/>
              <w:wordWrap/>
              <w:overflowPunct/>
              <w:topLinePunct w:val="0"/>
              <w:autoSpaceDE w:val="0"/>
              <w:autoSpaceDN w:val="0"/>
              <w:bidi w:val="0"/>
              <w:adjustRightInd/>
              <w:snapToGrid/>
              <w:spacing w:line="320" w:lineRule="exact"/>
              <w:ind w:firstLine="480" w:firstLineChars="200"/>
              <w:jc w:val="center"/>
              <w:textAlignment w:val="auto"/>
              <w:rPr>
                <w:rFonts w:hint="eastAsia" w:ascii="宋体" w:hAnsi="宋体" w:eastAsia="宋体" w:cs="宋体"/>
                <w:color w:val="auto"/>
                <w:sz w:val="24"/>
                <w:szCs w:val="24"/>
                <w:highlight w:val="none"/>
              </w:rPr>
            </w:pPr>
          </w:p>
          <w:p w14:paraId="651CE35B">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240" w:firstLineChars="100"/>
              <w:jc w:val="center"/>
              <w:textAlignment w:val="auto"/>
              <w:rPr>
                <w:rFonts w:ascii="宋体" w:hAnsi="宋体" w:eastAsia="宋体"/>
                <w:color w:val="auto"/>
                <w:sz w:val="24"/>
                <w:highlight w:val="none"/>
              </w:rPr>
            </w:pPr>
            <w:r>
              <w:rPr>
                <w:rFonts w:hint="eastAsia" w:ascii="宋体" w:hAnsi="宋体" w:eastAsia="宋体" w:cs="宋体"/>
                <w:color w:val="auto"/>
                <w:sz w:val="24"/>
                <w:szCs w:val="24"/>
                <w:highlight w:val="none"/>
              </w:rPr>
              <w:t>评审方法</w:t>
            </w:r>
          </w:p>
        </w:tc>
        <w:tc>
          <w:tcPr>
            <w:tcW w:w="5426" w:type="dxa"/>
            <w:noWrap w:val="0"/>
            <w:vAlign w:val="top"/>
          </w:tcPr>
          <w:p w14:paraId="613710C6">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textAlignment w:val="auto"/>
              <w:rPr>
                <w:rFonts w:hint="default" w:ascii="宋体" w:hAnsi="宋体" w:eastAsia="宋体"/>
                <w:color w:val="auto"/>
                <w:kern w:val="0"/>
                <w:sz w:val="24"/>
                <w:highlight w:val="none"/>
                <w:lang w:val="en-US" w:eastAsia="zh-CN"/>
              </w:rPr>
            </w:pPr>
            <w:bookmarkStart w:id="12" w:name="EB8d5c7d73ca244b28bcae3699d53bc511"/>
            <w:bookmarkEnd w:id="12"/>
            <w:bookmarkStart w:id="13" w:name="EB93f4d92dc67243458e6fe4614c19bd8f"/>
            <w:bookmarkEnd w:id="13"/>
            <w:r>
              <w:rPr>
                <w:rFonts w:hint="eastAsia" w:ascii="宋体" w:hAnsi="宋体" w:eastAsia="宋体" w:cs="宋体"/>
                <w:color w:val="auto"/>
                <w:sz w:val="24"/>
                <w:szCs w:val="24"/>
                <w:highlight w:val="none"/>
              </w:rPr>
              <w:t>综合评分法</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 xml:space="preserve">经磋商确定最终采购需求和提交最后报价的供应商后，由磋商小组采用综合评分法对提交最后报价的供应商的响应文件和最后报价进行综合评分。 </w:t>
            </w:r>
          </w:p>
        </w:tc>
      </w:tr>
      <w:tr w14:paraId="44CA3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68" w:type="dxa"/>
            <w:noWrap w:val="0"/>
            <w:vAlign w:val="center"/>
          </w:tcPr>
          <w:p w14:paraId="132BDDEB">
            <w:pPr>
              <w:pStyle w:val="29"/>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w:t>
            </w:r>
          </w:p>
        </w:tc>
        <w:tc>
          <w:tcPr>
            <w:tcW w:w="2470" w:type="dxa"/>
            <w:noWrap w:val="0"/>
            <w:vAlign w:val="top"/>
          </w:tcPr>
          <w:p w14:paraId="2228D5FB">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480" w:firstLineChars="200"/>
              <w:jc w:val="center"/>
              <w:textAlignment w:val="auto"/>
              <w:rPr>
                <w:rFonts w:hint="eastAsia" w:ascii="宋体" w:hAnsi="宋体" w:eastAsia="宋体" w:cs="宋体"/>
                <w:color w:val="auto"/>
                <w:sz w:val="24"/>
                <w:szCs w:val="24"/>
                <w:highlight w:val="none"/>
              </w:rPr>
            </w:pPr>
          </w:p>
          <w:p w14:paraId="1C7EB923">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firstLine="480" w:firstLineChars="200"/>
              <w:jc w:val="center"/>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rPr>
              <w:t>★报价</w:t>
            </w:r>
          </w:p>
        </w:tc>
        <w:tc>
          <w:tcPr>
            <w:tcW w:w="5426" w:type="dxa"/>
            <w:noWrap w:val="0"/>
            <w:vAlign w:val="top"/>
          </w:tcPr>
          <w:p w14:paraId="15036EC9">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textAlignment w:val="auto"/>
              <w:rPr>
                <w:rFonts w:hint="eastAsia" w:cs="宋体"/>
                <w:b/>
                <w:bCs/>
                <w:color w:val="000000" w:themeColor="text1"/>
                <w:sz w:val="24"/>
                <w:szCs w:val="24"/>
                <w:highlight w:val="none"/>
                <w:lang w:val="en-US" w:eastAsia="zh-CN"/>
                <w14:textFill>
                  <w14:solidFill>
                    <w14:schemeClr w14:val="tx1"/>
                  </w14:solidFill>
                </w14:textFill>
              </w:rPr>
            </w:pPr>
            <w:r>
              <w:rPr>
                <w:rFonts w:hint="eastAsia" w:cs="宋体"/>
                <w:b/>
                <w:bCs/>
                <w:color w:val="000000" w:themeColor="text1"/>
                <w:sz w:val="24"/>
                <w:szCs w:val="24"/>
                <w:highlight w:val="none"/>
                <w:lang w:val="en-US" w:eastAsia="zh-CN"/>
                <w14:textFill>
                  <w14:solidFill>
                    <w14:schemeClr w14:val="tx1"/>
                  </w14:solidFill>
                </w14:textFill>
              </w:rPr>
              <w:t>本工程的投标报价采用总价方式进行报价。</w:t>
            </w:r>
          </w:p>
          <w:p w14:paraId="1AF5DC94">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textAlignment w:val="auto"/>
              <w:rPr>
                <w:rFonts w:hint="eastAsia" w:ascii="宋体" w:hAnsi="宋体" w:eastAsia="宋体" w:cs="宋体"/>
                <w:color w:val="000000" w:themeColor="text1"/>
                <w:sz w:val="24"/>
                <w:szCs w:val="24"/>
                <w:highlight w:val="none"/>
                <w:lang w:val="zh-CN" w:eastAsia="zh-CN" w:bidi="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报价（含首次报价或最后报价）超出本项目采购预算金额的为无效报价，其响应文件将被认定为无效响应。 </w:t>
            </w:r>
            <w:r>
              <w:rPr>
                <w:rFonts w:hint="eastAsia" w:cs="宋体"/>
                <w:b/>
                <w:bCs/>
                <w:color w:val="000000" w:themeColor="text1"/>
                <w:sz w:val="24"/>
                <w:szCs w:val="24"/>
                <w:highlight w:val="none"/>
                <w:lang w:val="en-US" w:eastAsia="zh-CN"/>
                <w14:textFill>
                  <w14:solidFill>
                    <w14:schemeClr w14:val="tx1"/>
                  </w14:solidFill>
                </w14:textFill>
              </w:rPr>
              <w:t>供应商最后报价下浮金额，视为总价让利（不改变清单投标单价）。</w:t>
            </w:r>
          </w:p>
        </w:tc>
      </w:tr>
      <w:tr w14:paraId="7B44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168" w:type="dxa"/>
            <w:noWrap w:val="0"/>
            <w:vAlign w:val="center"/>
          </w:tcPr>
          <w:p w14:paraId="0A5F7EA6">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w:t>
            </w:r>
          </w:p>
        </w:tc>
        <w:tc>
          <w:tcPr>
            <w:tcW w:w="2470" w:type="dxa"/>
            <w:noWrap w:val="0"/>
            <w:vAlign w:val="top"/>
          </w:tcPr>
          <w:p w14:paraId="1963A01C">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60E8E96C">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en-US" w:eastAsia="zh-CN"/>
              </w:rPr>
              <w:t>磋商保</w:t>
            </w:r>
            <w:r>
              <w:rPr>
                <w:rFonts w:hint="eastAsia" w:ascii="宋体" w:hAnsi="宋体" w:eastAsia="宋体" w:cs="宋体"/>
                <w:color w:val="auto"/>
                <w:kern w:val="0"/>
                <w:sz w:val="24"/>
                <w:szCs w:val="24"/>
                <w:highlight w:val="none"/>
              </w:rPr>
              <w:t>证金</w:t>
            </w:r>
          </w:p>
        </w:tc>
        <w:tc>
          <w:tcPr>
            <w:tcW w:w="5426" w:type="dxa"/>
            <w:noWrap w:val="0"/>
            <w:vAlign w:val="top"/>
          </w:tcPr>
          <w:p w14:paraId="1F74A654">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zh-CN" w:eastAsia="zh-CN"/>
                <w14:textFill>
                  <w14:solidFill>
                    <w14:schemeClr w14:val="tx1"/>
                  </w14:solidFill>
                </w14:textFill>
              </w:rPr>
            </w:pPr>
            <w:r>
              <w:rPr>
                <w:rFonts w:hint="eastAsia" w:ascii="宋体" w:hAnsi="宋体" w:eastAsia="宋体" w:cs="宋体"/>
                <w:b/>
                <w:color w:val="000000" w:themeColor="text1"/>
                <w:sz w:val="24"/>
                <w:szCs w:val="24"/>
                <w:lang w:val="zh-CN" w:eastAsia="zh-CN"/>
                <w14:textFill>
                  <w14:solidFill>
                    <w14:schemeClr w14:val="tx1"/>
                  </w14:solidFill>
                </w14:textFill>
              </w:rPr>
              <w:t>投标保证金金额：人民币</w:t>
            </w:r>
            <w:r>
              <w:rPr>
                <w:rFonts w:hint="eastAsia" w:cs="宋体"/>
                <w:b/>
                <w:color w:val="000000" w:themeColor="text1"/>
                <w:sz w:val="24"/>
                <w:szCs w:val="24"/>
                <w:lang w:val="en-US" w:eastAsia="zh-CN"/>
                <w14:textFill>
                  <w14:solidFill>
                    <w14:schemeClr w14:val="tx1"/>
                  </w14:solidFill>
                </w14:textFill>
              </w:rPr>
              <w:t>肆</w:t>
            </w:r>
            <w:r>
              <w:rPr>
                <w:rFonts w:hint="eastAsia" w:ascii="宋体" w:hAnsi="宋体" w:eastAsia="宋体" w:cs="宋体"/>
                <w:b/>
                <w:color w:val="000000" w:themeColor="text1"/>
                <w:sz w:val="24"/>
                <w:szCs w:val="24"/>
                <w:lang w:val="zh-CN" w:eastAsia="zh-CN"/>
                <w14:textFill>
                  <w14:solidFill>
                    <w14:schemeClr w14:val="tx1"/>
                  </w14:solidFill>
                </w14:textFill>
              </w:rPr>
              <w:t>万元整（</w:t>
            </w:r>
            <w:r>
              <w:rPr>
                <w:rFonts w:hint="eastAsia" w:cs="宋体"/>
                <w:b/>
                <w:color w:val="000000" w:themeColor="text1"/>
                <w:sz w:val="24"/>
                <w:szCs w:val="24"/>
                <w:lang w:val="en-US" w:eastAsia="zh-CN"/>
                <w14:textFill>
                  <w14:solidFill>
                    <w14:schemeClr w14:val="tx1"/>
                  </w14:solidFill>
                </w14:textFill>
              </w:rPr>
              <w:t>4</w:t>
            </w:r>
            <w:r>
              <w:rPr>
                <w:rFonts w:hint="eastAsia" w:ascii="宋体" w:hAnsi="宋体" w:eastAsia="宋体" w:cs="宋体"/>
                <w:b/>
                <w:color w:val="000000" w:themeColor="text1"/>
                <w:sz w:val="24"/>
                <w:szCs w:val="24"/>
                <w:lang w:val="en-US" w:eastAsia="zh-CN"/>
                <w14:textFill>
                  <w14:solidFill>
                    <w14:schemeClr w14:val="tx1"/>
                  </w14:solidFill>
                </w14:textFill>
              </w:rPr>
              <w:t>00</w:t>
            </w:r>
            <w:r>
              <w:rPr>
                <w:rFonts w:hint="eastAsia" w:ascii="宋体" w:hAnsi="宋体" w:eastAsia="宋体" w:cs="宋体"/>
                <w:b/>
                <w:color w:val="000000" w:themeColor="text1"/>
                <w:sz w:val="24"/>
                <w:szCs w:val="24"/>
                <w:lang w:val="zh-CN" w:eastAsia="zh-CN"/>
                <w14:textFill>
                  <w14:solidFill>
                    <w14:schemeClr w14:val="tx1"/>
                  </w14:solidFill>
                </w14:textFill>
              </w:rPr>
              <w:t>00.00元整）</w:t>
            </w:r>
          </w:p>
          <w:p w14:paraId="1321A057">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投标保证金可采用的其他形式：电汇、转账或保函，转出账户必须与投标单位名称一致，否则不予受理。</w:t>
            </w:r>
          </w:p>
          <w:p w14:paraId="24869A1D">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zh-CN" w:eastAsia="zh-CN"/>
                <w14:textFill>
                  <w14:solidFill>
                    <w14:schemeClr w14:val="tx1"/>
                  </w14:solidFill>
                </w14:textFill>
              </w:rPr>
            </w:pPr>
            <w:r>
              <w:rPr>
                <w:rFonts w:hint="eastAsia" w:ascii="宋体" w:hAnsi="宋体" w:eastAsia="宋体" w:cs="宋体"/>
                <w:b/>
                <w:color w:val="000000" w:themeColor="text1"/>
                <w:sz w:val="24"/>
                <w:szCs w:val="24"/>
                <w:lang w:val="zh-CN"/>
                <w14:textFill>
                  <w14:solidFill>
                    <w14:schemeClr w14:val="tx1"/>
                  </w14:solidFill>
                </w14:textFill>
              </w:rPr>
              <w:t>投标保证金形式：</w:t>
            </w:r>
            <w:r>
              <w:rPr>
                <w:rFonts w:hint="eastAsia" w:ascii="宋体" w:hAnsi="宋体" w:eastAsia="宋体" w:cs="宋体"/>
                <w:b/>
                <w:color w:val="000000" w:themeColor="text1"/>
                <w:sz w:val="24"/>
                <w:szCs w:val="24"/>
                <w:lang w:val="zh-CN" w:eastAsia="zh-CN"/>
                <w14:textFill>
                  <w14:solidFill>
                    <w14:schemeClr w14:val="tx1"/>
                  </w14:solidFill>
                </w14:textFill>
              </w:rPr>
              <w:t>非现金形式。为减少收取/退还保证金的手续，采用电汇、网银转账</w:t>
            </w:r>
            <w:r>
              <w:rPr>
                <w:rFonts w:hint="eastAsia" w:ascii="宋体" w:hAnsi="宋体" w:eastAsia="宋体" w:cs="宋体"/>
                <w:b/>
                <w:color w:val="000000" w:themeColor="text1"/>
                <w:sz w:val="24"/>
                <w:szCs w:val="24"/>
                <w:lang w:val="en-US" w:eastAsia="zh-CN"/>
                <w14:textFill>
                  <w14:solidFill>
                    <w14:schemeClr w14:val="tx1"/>
                  </w14:solidFill>
                </w14:textFill>
              </w:rPr>
              <w:t>或保函</w:t>
            </w:r>
            <w:r>
              <w:rPr>
                <w:rFonts w:hint="eastAsia" w:ascii="宋体" w:hAnsi="宋体" w:eastAsia="宋体" w:cs="宋体"/>
                <w:b/>
                <w:color w:val="000000" w:themeColor="text1"/>
                <w:sz w:val="24"/>
                <w:szCs w:val="24"/>
                <w:lang w:val="zh-CN" w:eastAsia="zh-CN"/>
                <w14:textFill>
                  <w14:solidFill>
                    <w14:schemeClr w14:val="tx1"/>
                  </w14:solidFill>
                </w14:textFill>
              </w:rPr>
              <w:t>方式缴纳保证金。</w:t>
            </w:r>
          </w:p>
          <w:p w14:paraId="68E12AAC">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（1）若采用电汇或转账</w:t>
            </w:r>
            <w:r>
              <w:rPr>
                <w:rFonts w:hint="eastAsia" w:ascii="宋体" w:hAnsi="宋体" w:eastAsia="宋体" w:cs="宋体"/>
                <w:b/>
                <w:color w:val="000000" w:themeColor="text1"/>
                <w:sz w:val="24"/>
                <w:szCs w:val="24"/>
                <w:lang w:val="zh-CN"/>
                <w14:textFill>
                  <w14:solidFill>
                    <w14:schemeClr w14:val="tx1"/>
                  </w14:solidFill>
                </w14:textFill>
              </w:rPr>
              <w:t>投标保证金</w:t>
            </w:r>
            <w:r>
              <w:rPr>
                <w:rFonts w:hint="eastAsia" w:ascii="宋体" w:hAnsi="宋体" w:eastAsia="宋体" w:cs="宋体"/>
                <w:b/>
                <w:color w:val="000000" w:themeColor="text1"/>
                <w:sz w:val="24"/>
                <w:szCs w:val="24"/>
                <w:lang w:val="zh-CN" w:eastAsia="zh-CN"/>
                <w14:textFill>
                  <w14:solidFill>
                    <w14:schemeClr w14:val="tx1"/>
                  </w14:solidFill>
                </w14:textFill>
              </w:rPr>
              <w:t>于</w:t>
            </w:r>
            <w:r>
              <w:rPr>
                <w:rFonts w:hint="eastAsia" w:cs="宋体"/>
                <w:b/>
                <w:color w:val="000000" w:themeColor="text1"/>
                <w:sz w:val="24"/>
                <w:szCs w:val="24"/>
                <w:lang w:val="en-US" w:eastAsia="zh-CN"/>
                <w14:textFill>
                  <w14:solidFill>
                    <w14:schemeClr w14:val="tx1"/>
                  </w14:solidFill>
                </w14:textFill>
              </w:rPr>
              <w:t>投标截止日期</w:t>
            </w:r>
            <w:r>
              <w:rPr>
                <w:rFonts w:hint="eastAsia" w:ascii="宋体" w:hAnsi="宋体" w:eastAsia="宋体" w:cs="宋体"/>
                <w:b/>
                <w:color w:val="000000" w:themeColor="text1"/>
                <w:sz w:val="24"/>
                <w:szCs w:val="24"/>
                <w:lang w:val="zh-CN"/>
                <w14:textFill>
                  <w14:solidFill>
                    <w14:schemeClr w14:val="tx1"/>
                  </w14:solidFill>
                </w14:textFill>
              </w:rPr>
              <w:t>之前从投标人基本账户以网银或银行电汇形式汇至本公司账户，否则其投标文件将被拒绝评审，投标人提交投标保证金应充分考虑资金在途时间。</w:t>
            </w:r>
          </w:p>
          <w:p w14:paraId="54BD9D46">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zh-CN"/>
                <w14:textFill>
                  <w14:solidFill>
                    <w14:schemeClr w14:val="tx1"/>
                  </w14:solidFill>
                </w14:textFill>
              </w:rPr>
              <w:t>户名：新疆华域天恒工程管理有限公司</w:t>
            </w:r>
          </w:p>
          <w:p w14:paraId="25033787">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zh-CN"/>
                <w14:textFill>
                  <w14:solidFill>
                    <w14:schemeClr w14:val="tx1"/>
                  </w14:solidFill>
                </w14:textFill>
              </w:rPr>
              <w:t xml:space="preserve">开户银行：中国农业银行股份有限公司吐鲁番高昌支行  </w:t>
            </w:r>
          </w:p>
          <w:p w14:paraId="7699D72E">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zh-CN"/>
                <w14:textFill>
                  <w14:solidFill>
                    <w14:schemeClr w14:val="tx1"/>
                  </w14:solidFill>
                </w14:textFill>
              </w:rPr>
              <w:t xml:space="preserve">帐号：3026 5301 0400 1229 8     </w:t>
            </w:r>
          </w:p>
          <w:p w14:paraId="065F7452">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zh-CN"/>
                <w14:textFill>
                  <w14:solidFill>
                    <w14:schemeClr w14:val="tx1"/>
                  </w14:solidFill>
                </w14:textFill>
              </w:rPr>
              <w:t>行号：1038 8302 6535</w:t>
            </w:r>
          </w:p>
          <w:p w14:paraId="3B51ED11">
            <w:pPr>
              <w:keepNext w:val="0"/>
              <w:keepLines w:val="0"/>
              <w:pageBreakBefore w:val="0"/>
              <w:numPr>
                <w:ilvl w:val="0"/>
                <w:numId w:val="3"/>
              </w:numPr>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若采用保函形式：采用保函形式应按以下要求办理：</w:t>
            </w:r>
            <w:r>
              <w:rPr>
                <w:rFonts w:hint="eastAsia" w:ascii="宋体" w:hAnsi="宋体" w:eastAsia="宋体" w:cs="宋体"/>
                <w:b/>
                <w:color w:val="000000" w:themeColor="text1"/>
                <w:sz w:val="24"/>
                <w:szCs w:val="24"/>
                <w:lang w:val="zh-CN"/>
                <w14:textFill>
                  <w14:solidFill>
                    <w14:schemeClr w14:val="tx1"/>
                  </w14:solidFill>
                </w14:textFill>
              </w:rPr>
              <w:t>备注：1、</w:t>
            </w:r>
            <w:r>
              <w:rPr>
                <w:rFonts w:hint="eastAsia" w:ascii="宋体" w:hAnsi="宋体" w:eastAsia="宋体" w:cs="宋体"/>
                <w:b/>
                <w:color w:val="000000" w:themeColor="text1"/>
                <w:sz w:val="24"/>
                <w:szCs w:val="24"/>
                <w:lang w:val="en-US" w:eastAsia="zh-CN"/>
                <w14:textFill>
                  <w14:solidFill>
                    <w14:schemeClr w14:val="tx1"/>
                  </w14:solidFill>
                </w14:textFill>
              </w:rPr>
              <w:t>保函须在招标文件规定的投标截止时间前办理完成</w:t>
            </w:r>
            <w:r>
              <w:rPr>
                <w:rFonts w:hint="eastAsia" w:ascii="宋体" w:hAnsi="宋体" w:cs="宋体"/>
                <w:b/>
                <w:color w:val="000000" w:themeColor="text1"/>
                <w:sz w:val="24"/>
                <w:szCs w:val="24"/>
                <w:lang w:val="en-US" w:eastAsia="zh-CN"/>
                <w14:textFill>
                  <w14:solidFill>
                    <w14:schemeClr w14:val="tx1"/>
                  </w14:solidFill>
                </w14:textFill>
              </w:rPr>
              <w:t>；</w:t>
            </w:r>
            <w:r>
              <w:rPr>
                <w:rFonts w:hint="eastAsia" w:ascii="宋体" w:hAnsi="宋体" w:eastAsia="宋体" w:cs="宋体"/>
                <w:b/>
                <w:color w:val="000000" w:themeColor="text1"/>
                <w:sz w:val="24"/>
                <w:szCs w:val="24"/>
                <w:lang w:val="en-US" w:eastAsia="zh-CN"/>
                <w14:textFill>
                  <w14:solidFill>
                    <w14:schemeClr w14:val="tx1"/>
                  </w14:solidFill>
                </w14:textFill>
              </w:rPr>
              <w:t>2.</w:t>
            </w:r>
            <w:r>
              <w:rPr>
                <w:rFonts w:hint="eastAsia" w:ascii="宋体" w:hAnsi="宋体" w:eastAsia="宋体" w:cs="宋体"/>
                <w:b/>
                <w:color w:val="000000" w:themeColor="text1"/>
                <w:sz w:val="24"/>
                <w:szCs w:val="24"/>
                <w:lang w:val="zh-CN"/>
                <w14:textFill>
                  <w14:solidFill>
                    <w14:schemeClr w14:val="tx1"/>
                  </w14:solidFill>
                </w14:textFill>
              </w:rPr>
              <w:t>保函金额不得少于保证金金额；</w:t>
            </w:r>
            <w:r>
              <w:rPr>
                <w:rFonts w:hint="eastAsia" w:ascii="宋体" w:hAnsi="宋体" w:eastAsia="宋体" w:cs="宋体"/>
                <w:b/>
                <w:color w:val="000000" w:themeColor="text1"/>
                <w:sz w:val="24"/>
                <w:szCs w:val="24"/>
                <w:lang w:val="en-US" w:eastAsia="zh-CN"/>
                <w14:textFill>
                  <w14:solidFill>
                    <w14:schemeClr w14:val="tx1"/>
                  </w14:solidFill>
                </w14:textFill>
              </w:rPr>
              <w:t>3</w:t>
            </w:r>
            <w:r>
              <w:rPr>
                <w:rFonts w:hint="eastAsia" w:ascii="宋体" w:hAnsi="宋体" w:eastAsia="宋体" w:cs="宋体"/>
                <w:b/>
                <w:color w:val="000000" w:themeColor="text1"/>
                <w:sz w:val="24"/>
                <w:szCs w:val="24"/>
                <w:lang w:val="zh-CN"/>
                <w14:textFill>
                  <w14:solidFill>
                    <w14:schemeClr w14:val="tx1"/>
                  </w14:solidFill>
                </w14:textFill>
              </w:rPr>
              <w:t>、保函的有效期不得少于本项目投标有效期；</w:t>
            </w:r>
            <w:r>
              <w:rPr>
                <w:rFonts w:hint="eastAsia" w:ascii="宋体" w:hAnsi="宋体" w:eastAsia="宋体" w:cs="宋体"/>
                <w:b/>
                <w:color w:val="000000" w:themeColor="text1"/>
                <w:sz w:val="24"/>
                <w:szCs w:val="24"/>
                <w:lang w:val="en-US" w:eastAsia="zh-CN"/>
                <w14:textFill>
                  <w14:solidFill>
                    <w14:schemeClr w14:val="tx1"/>
                  </w14:solidFill>
                </w14:textFill>
              </w:rPr>
              <w:t>4</w:t>
            </w:r>
            <w:r>
              <w:rPr>
                <w:rFonts w:hint="eastAsia" w:ascii="宋体" w:hAnsi="宋体" w:eastAsia="宋体" w:cs="宋体"/>
                <w:b/>
                <w:color w:val="000000" w:themeColor="text1"/>
                <w:sz w:val="24"/>
                <w:szCs w:val="24"/>
                <w:lang w:val="zh-CN"/>
                <w14:textFill>
                  <w14:solidFill>
                    <w14:schemeClr w14:val="tx1"/>
                  </w14:solidFill>
                </w14:textFill>
              </w:rPr>
              <w:t>、保函应是针对本项目开具的；</w:t>
            </w:r>
            <w:r>
              <w:rPr>
                <w:rFonts w:hint="eastAsia" w:ascii="宋体" w:hAnsi="宋体" w:eastAsia="宋体" w:cs="宋体"/>
                <w:b/>
                <w:color w:val="000000" w:themeColor="text1"/>
                <w:sz w:val="24"/>
                <w:szCs w:val="24"/>
                <w:lang w:val="en-US" w:eastAsia="zh-CN"/>
                <w14:textFill>
                  <w14:solidFill>
                    <w14:schemeClr w14:val="tx1"/>
                  </w14:solidFill>
                </w14:textFill>
              </w:rPr>
              <w:t>5、</w:t>
            </w:r>
            <w:r>
              <w:rPr>
                <w:rFonts w:hint="eastAsia" w:ascii="宋体" w:hAnsi="宋体" w:eastAsia="宋体" w:cs="宋体"/>
                <w:b/>
                <w:color w:val="000000" w:themeColor="text1"/>
                <w:sz w:val="24"/>
                <w:szCs w:val="24"/>
                <w:lang w:val="zh-CN"/>
                <w14:textFill>
                  <w14:solidFill>
                    <w14:schemeClr w14:val="tx1"/>
                  </w14:solidFill>
                </w14:textFill>
              </w:rPr>
              <w:t>保函</w:t>
            </w:r>
            <w:r>
              <w:rPr>
                <w:rFonts w:hint="eastAsia" w:ascii="宋体" w:hAnsi="宋体" w:eastAsia="宋体" w:cs="宋体"/>
                <w:b/>
                <w:color w:val="000000" w:themeColor="text1"/>
                <w:sz w:val="24"/>
                <w:szCs w:val="24"/>
                <w:lang w:val="zh-CN" w:eastAsia="zh-CN"/>
                <w14:textFill>
                  <w14:solidFill>
                    <w14:schemeClr w14:val="tx1"/>
                  </w14:solidFill>
                </w14:textFill>
              </w:rPr>
              <w:t>是</w:t>
            </w:r>
            <w:r>
              <w:rPr>
                <w:rFonts w:hint="eastAsia" w:ascii="宋体" w:hAnsi="宋体" w:eastAsia="宋体" w:cs="宋体"/>
                <w:b/>
                <w:color w:val="000000" w:themeColor="text1"/>
                <w:sz w:val="24"/>
                <w:szCs w:val="24"/>
                <w:lang w:val="zh-CN"/>
                <w14:textFill>
                  <w14:solidFill>
                    <w14:schemeClr w14:val="tx1"/>
                  </w14:solidFill>
                </w14:textFill>
              </w:rPr>
              <w:t>投标</w:t>
            </w:r>
            <w:r>
              <w:rPr>
                <w:rFonts w:hint="eastAsia" w:ascii="宋体" w:hAnsi="宋体" w:eastAsia="宋体" w:cs="宋体"/>
                <w:b/>
                <w:color w:val="000000" w:themeColor="text1"/>
                <w:sz w:val="24"/>
                <w:szCs w:val="24"/>
                <w:lang w:val="zh-CN" w:eastAsia="zh-CN"/>
                <w14:textFill>
                  <w14:solidFill>
                    <w14:schemeClr w14:val="tx1"/>
                  </w14:solidFill>
                </w14:textFill>
              </w:rPr>
              <w:t>文件中组成部分；</w:t>
            </w:r>
            <w:r>
              <w:rPr>
                <w:rFonts w:hint="eastAsia" w:ascii="宋体" w:hAnsi="宋体" w:eastAsia="宋体" w:cs="宋体"/>
                <w:b/>
                <w:color w:val="000000" w:themeColor="text1"/>
                <w:sz w:val="24"/>
                <w:szCs w:val="24"/>
                <w:lang w:val="en-US" w:eastAsia="zh-CN"/>
                <w14:textFill>
                  <w14:solidFill>
                    <w14:schemeClr w14:val="tx1"/>
                  </w14:solidFill>
                </w14:textFill>
              </w:rPr>
              <w:t>6.保函按照“一项目一保函”的原则</w:t>
            </w:r>
            <w:r>
              <w:rPr>
                <w:rFonts w:hint="eastAsia" w:ascii="宋体" w:hAnsi="宋体" w:cs="宋体"/>
                <w:b/>
                <w:color w:val="000000" w:themeColor="text1"/>
                <w:sz w:val="24"/>
                <w:szCs w:val="24"/>
                <w:lang w:val="en-US" w:eastAsia="zh-CN"/>
                <w14:textFill>
                  <w14:solidFill>
                    <w14:schemeClr w14:val="tx1"/>
                  </w14:solidFill>
                </w14:textFill>
              </w:rPr>
              <w:t>；</w:t>
            </w:r>
            <w:r>
              <w:rPr>
                <w:rFonts w:hint="eastAsia" w:ascii="宋体" w:hAnsi="宋体" w:eastAsia="宋体" w:cs="宋体"/>
                <w:b/>
                <w:color w:val="000000" w:themeColor="text1"/>
                <w:sz w:val="24"/>
                <w:szCs w:val="24"/>
                <w:lang w:val="en-US" w:eastAsia="zh-CN"/>
                <w14:textFill>
                  <w14:solidFill>
                    <w14:schemeClr w14:val="tx1"/>
                  </w14:solidFill>
                </w14:textFill>
              </w:rPr>
              <w:t>7.投标单位提供的保函必须真实有效，否则后果自负。</w:t>
            </w:r>
          </w:p>
          <w:p w14:paraId="26C39243">
            <w:pPr>
              <w:keepNext w:val="0"/>
              <w:keepLines w:val="0"/>
              <w:pageBreakBefore w:val="0"/>
              <w:numPr>
                <w:ilvl w:val="0"/>
                <w:numId w:val="0"/>
              </w:numPr>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zh-CN"/>
                <w14:textFill>
                  <w14:solidFill>
                    <w14:schemeClr w14:val="tx1"/>
                  </w14:solidFill>
                </w14:textFill>
              </w:rPr>
              <w:t>注：投标人向银行办理投标保证金汇（转）款时，应在用途栏（备注栏）准确注明“（简写项目名称）投标保证金”字样，由于未按要求注明信息而导致的一切后果由投标人承担。</w:t>
            </w:r>
          </w:p>
          <w:p w14:paraId="05A9276B">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zh-CN" w:eastAsia="zh-CN"/>
                <w14:textFill>
                  <w14:solidFill>
                    <w14:schemeClr w14:val="tx1"/>
                  </w14:solidFill>
                </w14:textFill>
              </w:rPr>
            </w:pPr>
            <w:r>
              <w:rPr>
                <w:rFonts w:hint="eastAsia" w:ascii="宋体" w:hAnsi="宋体" w:eastAsia="宋体" w:cs="宋体"/>
                <w:b/>
                <w:color w:val="000000" w:themeColor="text1"/>
                <w:sz w:val="24"/>
                <w:szCs w:val="24"/>
                <w:lang w:val="zh-CN" w:eastAsia="zh-CN"/>
                <w14:textFill>
                  <w14:solidFill>
                    <w14:schemeClr w14:val="tx1"/>
                  </w14:solidFill>
                </w14:textFill>
              </w:rPr>
              <w:t>未按时提交投标保证金的投标文件无效。</w:t>
            </w:r>
          </w:p>
          <w:p w14:paraId="185F4721">
            <w:pPr>
              <w:keepNext w:val="0"/>
              <w:keepLines w:val="0"/>
              <w:pageBreakBefore w:val="0"/>
              <w:kinsoku/>
              <w:wordWrap/>
              <w:overflowPunct/>
              <w:topLinePunct w:val="0"/>
              <w:bidi w:val="0"/>
              <w:snapToGrid/>
              <w:spacing w:line="320" w:lineRule="exact"/>
              <w:jc w:val="left"/>
              <w:textAlignment w:val="auto"/>
              <w:rPr>
                <w:rFonts w:hint="eastAsia" w:ascii="宋体" w:hAnsi="宋体" w:eastAsia="宋体" w:cs="宋体"/>
                <w:b/>
                <w:color w:val="000000" w:themeColor="text1"/>
                <w:sz w:val="24"/>
                <w:szCs w:val="24"/>
                <w:lang w:val="zh-CN" w:eastAsia="zh-CN"/>
                <w14:textFill>
                  <w14:solidFill>
                    <w14:schemeClr w14:val="tx1"/>
                  </w14:solidFill>
                </w14:textFill>
              </w:rPr>
            </w:pPr>
            <w:r>
              <w:rPr>
                <w:rFonts w:hint="eastAsia" w:ascii="宋体" w:hAnsi="宋体" w:eastAsia="宋体" w:cs="宋体"/>
                <w:b/>
                <w:color w:val="000000" w:themeColor="text1"/>
                <w:sz w:val="24"/>
                <w:szCs w:val="24"/>
                <w:lang w:val="zh-CN" w:eastAsia="zh-CN"/>
                <w14:textFill>
                  <w14:solidFill>
                    <w14:schemeClr w14:val="tx1"/>
                  </w14:solidFill>
                </w14:textFill>
              </w:rPr>
              <w:t>* 退投标保证金程序：</w:t>
            </w:r>
          </w:p>
          <w:p w14:paraId="6E308599">
            <w:pPr>
              <w:pStyle w:val="29"/>
              <w:keepNext w:val="0"/>
              <w:keepLines w:val="0"/>
              <w:pageBreakBefore w:val="0"/>
              <w:widowControl/>
              <w:kinsoku/>
              <w:wordWrap/>
              <w:overflowPunct/>
              <w:topLinePunct w:val="0"/>
              <w:bidi w:val="0"/>
              <w:snapToGrid/>
              <w:spacing w:line="320" w:lineRule="exac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lang w:val="zh-CN" w:eastAsia="zh-CN"/>
                <w14:textFill>
                  <w14:solidFill>
                    <w14:schemeClr w14:val="tx1"/>
                  </w14:solidFill>
                </w14:textFill>
              </w:rPr>
              <w:t xml:space="preserve">  退还投标保证金时间：中标公示期满后5个工作日内，未中标单位保证金可退还，在合同签订后中标</w:t>
            </w:r>
            <w:r>
              <w:rPr>
                <w:rFonts w:hint="eastAsia" w:ascii="宋体" w:hAnsi="宋体" w:eastAsia="宋体" w:cs="宋体"/>
                <w:b/>
                <w:color w:val="000000" w:themeColor="text1"/>
                <w:sz w:val="24"/>
                <w:szCs w:val="24"/>
                <w:lang w:val="en-US" w:eastAsia="zh-CN"/>
                <w14:textFill>
                  <w14:solidFill>
                    <w14:schemeClr w14:val="tx1"/>
                  </w14:solidFill>
                </w14:textFill>
              </w:rPr>
              <w:t>单位</w:t>
            </w:r>
            <w:r>
              <w:rPr>
                <w:rFonts w:hint="eastAsia" w:ascii="宋体" w:hAnsi="宋体" w:eastAsia="宋体" w:cs="宋体"/>
                <w:b/>
                <w:color w:val="000000" w:themeColor="text1"/>
                <w:sz w:val="24"/>
                <w:szCs w:val="24"/>
                <w:lang w:val="zh-CN" w:eastAsia="zh-CN"/>
                <w14:textFill>
                  <w14:solidFill>
                    <w14:schemeClr w14:val="tx1"/>
                  </w14:solidFill>
                </w14:textFill>
              </w:rPr>
              <w:t>的保证金可退还。</w:t>
            </w:r>
          </w:p>
        </w:tc>
      </w:tr>
      <w:tr w14:paraId="1A27A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jc w:val="center"/>
        </w:trPr>
        <w:tc>
          <w:tcPr>
            <w:tcW w:w="1168" w:type="dxa"/>
            <w:noWrap w:val="0"/>
            <w:vAlign w:val="center"/>
          </w:tcPr>
          <w:p w14:paraId="55A9D2FF">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w:t>
            </w:r>
          </w:p>
        </w:tc>
        <w:tc>
          <w:tcPr>
            <w:tcW w:w="2470" w:type="dxa"/>
            <w:noWrap w:val="0"/>
            <w:vAlign w:val="center"/>
          </w:tcPr>
          <w:p w14:paraId="0395C326">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auto"/>
                <w:kern w:val="0"/>
                <w:sz w:val="24"/>
                <w:szCs w:val="24"/>
                <w:highlight w:val="none"/>
                <w:lang w:val="en-US" w:eastAsia="zh-CN"/>
              </w:rPr>
            </w:pPr>
          </w:p>
          <w:p w14:paraId="1F024B31">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auto"/>
                <w:kern w:val="0"/>
                <w:sz w:val="24"/>
                <w:szCs w:val="24"/>
                <w:highlight w:val="none"/>
                <w:lang w:val="en-US" w:eastAsia="zh-CN"/>
              </w:rPr>
            </w:pPr>
          </w:p>
          <w:p w14:paraId="22D0A59B">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合格供应商的资格要求</w:t>
            </w:r>
          </w:p>
          <w:p w14:paraId="670815EE">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auto"/>
                <w:kern w:val="0"/>
                <w:sz w:val="24"/>
                <w:szCs w:val="24"/>
                <w:highlight w:val="none"/>
                <w:lang w:val="en-US" w:eastAsia="zh-CN"/>
              </w:rPr>
            </w:pPr>
          </w:p>
        </w:tc>
        <w:tc>
          <w:tcPr>
            <w:tcW w:w="5426" w:type="dxa"/>
            <w:noWrap w:val="0"/>
            <w:vAlign w:val="center"/>
          </w:tcPr>
          <w:p w14:paraId="561C4C44">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(1)具备有效的市政公用工程施工总承包叁级（含）以上资质，市政公用工程专业二级(含)以上注册建造师执业资格及安全生产考核合格证书</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(B类)</w:t>
            </w:r>
            <w:r>
              <w:rPr>
                <w:rFonts w:hint="eastAsia" w:ascii="宋体" w:hAnsi="宋体" w:eastAsia="宋体" w:cs="宋体"/>
                <w:color w:val="auto"/>
                <w:kern w:val="0"/>
                <w:sz w:val="24"/>
                <w:szCs w:val="24"/>
                <w:highlight w:val="none"/>
                <w:lang w:val="en-US" w:eastAsia="zh-CN"/>
              </w:rPr>
              <w:t>；（2）投标人在人员、设备、资金等方面具有相应的施工能力，具备有效的安全生产许可证。</w:t>
            </w:r>
          </w:p>
        </w:tc>
      </w:tr>
      <w:tr w14:paraId="0DD2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168" w:type="dxa"/>
            <w:noWrap w:val="0"/>
            <w:vAlign w:val="center"/>
          </w:tcPr>
          <w:p w14:paraId="546C4362">
            <w:pPr>
              <w:pStyle w:val="29"/>
              <w:keepNext w:val="0"/>
              <w:keepLines w:val="0"/>
              <w:pageBreakBefore w:val="0"/>
              <w:widowControl/>
              <w:kinsoku/>
              <w:wordWrap/>
              <w:overflowPunct/>
              <w:topLinePunct w:val="0"/>
              <w:bidi w:val="0"/>
              <w:snapToGrid/>
              <w:spacing w:line="320" w:lineRule="exact"/>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c>
          <w:tcPr>
            <w:tcW w:w="2470" w:type="dxa"/>
            <w:noWrap w:val="0"/>
            <w:vAlign w:val="center"/>
          </w:tcPr>
          <w:p w14:paraId="356016C3">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3C9025D3">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是否为专门面向中小企业采购</w:t>
            </w:r>
          </w:p>
        </w:tc>
        <w:tc>
          <w:tcPr>
            <w:tcW w:w="5426" w:type="dxa"/>
            <w:noWrap w:val="0"/>
            <w:vAlign w:val="center"/>
          </w:tcPr>
          <w:p w14:paraId="14B9E74F">
            <w:pPr>
              <w:pStyle w:val="29"/>
              <w:keepNext w:val="0"/>
              <w:keepLines w:val="0"/>
              <w:pageBreakBefore w:val="0"/>
              <w:widowControl/>
              <w:kinsoku/>
              <w:wordWrap/>
              <w:overflowPunct/>
              <w:topLinePunct w:val="0"/>
              <w:bidi w:val="0"/>
              <w:snapToGrid/>
              <w:spacing w:line="320" w:lineRule="exact"/>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 是（专门面向中小企业采购，投标单位需出具《中小企业声明函；本项目所属行业：建筑业。</w:t>
            </w:r>
          </w:p>
        </w:tc>
      </w:tr>
      <w:tr w14:paraId="4CAEB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168" w:type="dxa"/>
            <w:noWrap w:val="0"/>
            <w:vAlign w:val="center"/>
          </w:tcPr>
          <w:p w14:paraId="497F403B">
            <w:pPr>
              <w:pStyle w:val="29"/>
              <w:keepNext w:val="0"/>
              <w:keepLines w:val="0"/>
              <w:pageBreakBefore w:val="0"/>
              <w:widowControl/>
              <w:kinsoku/>
              <w:wordWrap/>
              <w:overflowPunct/>
              <w:topLinePunct w:val="0"/>
              <w:bidi w:val="0"/>
              <w:snapToGrid/>
              <w:spacing w:line="320" w:lineRule="exact"/>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11</w:t>
            </w:r>
          </w:p>
        </w:tc>
        <w:tc>
          <w:tcPr>
            <w:tcW w:w="2470" w:type="dxa"/>
            <w:noWrap w:val="0"/>
            <w:vAlign w:val="center"/>
          </w:tcPr>
          <w:p w14:paraId="0DFCF766">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是否允许联合体投标</w:t>
            </w:r>
          </w:p>
        </w:tc>
        <w:tc>
          <w:tcPr>
            <w:tcW w:w="5426" w:type="dxa"/>
            <w:noWrap w:val="0"/>
            <w:vAlign w:val="center"/>
          </w:tcPr>
          <w:p w14:paraId="5CB1F597">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 否    </w:t>
            </w:r>
          </w:p>
        </w:tc>
      </w:tr>
      <w:tr w14:paraId="4A99D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168" w:type="dxa"/>
            <w:noWrap w:val="0"/>
            <w:vAlign w:val="center"/>
          </w:tcPr>
          <w:p w14:paraId="60EBFF26">
            <w:pPr>
              <w:pStyle w:val="29"/>
              <w:keepNext w:val="0"/>
              <w:keepLines w:val="0"/>
              <w:pageBreakBefore w:val="0"/>
              <w:widowControl/>
              <w:kinsoku/>
              <w:wordWrap/>
              <w:overflowPunct/>
              <w:topLinePunct w:val="0"/>
              <w:bidi w:val="0"/>
              <w:snapToGrid/>
              <w:spacing w:line="320" w:lineRule="exact"/>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w:t>
            </w:r>
          </w:p>
        </w:tc>
        <w:tc>
          <w:tcPr>
            <w:tcW w:w="2470" w:type="dxa"/>
            <w:noWrap w:val="0"/>
            <w:vAlign w:val="center"/>
          </w:tcPr>
          <w:p w14:paraId="4FD2D3A0">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联合体的其他资格要求</w:t>
            </w:r>
          </w:p>
        </w:tc>
        <w:tc>
          <w:tcPr>
            <w:tcW w:w="5426" w:type="dxa"/>
            <w:noWrap w:val="0"/>
            <w:vAlign w:val="center"/>
          </w:tcPr>
          <w:p w14:paraId="7102B863">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不允许联合体投标</w:t>
            </w:r>
          </w:p>
        </w:tc>
      </w:tr>
      <w:tr w14:paraId="76745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168" w:type="dxa"/>
            <w:noWrap w:val="0"/>
            <w:vAlign w:val="center"/>
          </w:tcPr>
          <w:p w14:paraId="71A89198">
            <w:pPr>
              <w:pStyle w:val="29"/>
              <w:keepNext w:val="0"/>
              <w:keepLines w:val="0"/>
              <w:pageBreakBefore w:val="0"/>
              <w:widowControl/>
              <w:kinsoku/>
              <w:wordWrap/>
              <w:overflowPunct/>
              <w:topLinePunct w:val="0"/>
              <w:bidi w:val="0"/>
              <w:snapToGrid/>
              <w:spacing w:line="320" w:lineRule="exact"/>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13</w:t>
            </w:r>
          </w:p>
        </w:tc>
        <w:tc>
          <w:tcPr>
            <w:tcW w:w="2470" w:type="dxa"/>
            <w:noWrap w:val="0"/>
            <w:vAlign w:val="center"/>
          </w:tcPr>
          <w:p w14:paraId="01C58429">
            <w:pPr>
              <w:pStyle w:val="29"/>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项目预算金额及最高限价</w:t>
            </w:r>
          </w:p>
        </w:tc>
        <w:tc>
          <w:tcPr>
            <w:tcW w:w="5426" w:type="dxa"/>
            <w:noWrap w:val="0"/>
            <w:vAlign w:val="center"/>
          </w:tcPr>
          <w:p w14:paraId="3611C870">
            <w:pPr>
              <w:pStyle w:val="29"/>
              <w:keepNext w:val="0"/>
              <w:keepLines w:val="0"/>
              <w:pageBreakBefore w:val="0"/>
              <w:widowControl/>
              <w:kinsoku/>
              <w:wordWrap/>
              <w:overflowPunct/>
              <w:topLinePunct w:val="0"/>
              <w:bidi w:val="0"/>
              <w:snapToGrid/>
              <w:spacing w:line="320" w:lineRule="exact"/>
              <w:jc w:val="left"/>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项目预算金额：3035754.00元； </w:t>
            </w:r>
          </w:p>
          <w:p w14:paraId="20C8CB35">
            <w:pPr>
              <w:pStyle w:val="29"/>
              <w:keepNext w:val="0"/>
              <w:keepLines w:val="0"/>
              <w:pageBreakBefore w:val="0"/>
              <w:widowControl/>
              <w:kinsoku/>
              <w:wordWrap/>
              <w:overflowPunct/>
              <w:topLinePunct w:val="0"/>
              <w:bidi w:val="0"/>
              <w:snapToGrid/>
              <w:spacing w:line="320" w:lineRule="exact"/>
              <w:jc w:val="left"/>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最高限价：2791947.01元（各投标单位报价不得超过最</w:t>
            </w:r>
            <w:bookmarkStart w:id="534" w:name="_GoBack"/>
            <w:bookmarkEnd w:id="534"/>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高限价，否则将按废标处理。）</w:t>
            </w:r>
          </w:p>
        </w:tc>
      </w:tr>
      <w:tr w14:paraId="6DF0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68" w:type="dxa"/>
            <w:noWrap w:val="0"/>
            <w:vAlign w:val="center"/>
          </w:tcPr>
          <w:p w14:paraId="1EF2BAB3">
            <w:pPr>
              <w:pStyle w:val="29"/>
              <w:keepNext w:val="0"/>
              <w:keepLines w:val="0"/>
              <w:pageBreakBefore w:val="0"/>
              <w:widowControl/>
              <w:kinsoku/>
              <w:wordWrap/>
              <w:overflowPunct/>
              <w:topLinePunct w:val="0"/>
              <w:bidi w:val="0"/>
              <w:snapToGrid/>
              <w:spacing w:line="320" w:lineRule="exact"/>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14</w:t>
            </w:r>
          </w:p>
        </w:tc>
        <w:tc>
          <w:tcPr>
            <w:tcW w:w="2470" w:type="dxa"/>
            <w:noWrap w:val="0"/>
            <w:vAlign w:val="center"/>
          </w:tcPr>
          <w:p w14:paraId="118FCB12">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项目资金来源</w:t>
            </w:r>
          </w:p>
        </w:tc>
        <w:tc>
          <w:tcPr>
            <w:tcW w:w="5426" w:type="dxa"/>
            <w:noWrap w:val="0"/>
            <w:vAlign w:val="center"/>
          </w:tcPr>
          <w:p w14:paraId="53330EB9">
            <w:pPr>
              <w:pStyle w:val="29"/>
              <w:keepNext w:val="0"/>
              <w:keepLines w:val="0"/>
              <w:pageBreakBefore w:val="0"/>
              <w:widowControl/>
              <w:kinsoku/>
              <w:wordWrap/>
              <w:overflowPunct/>
              <w:topLinePunct w:val="0"/>
              <w:bidi w:val="0"/>
              <w:snapToGrid/>
              <w:spacing w:line="32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2026年中央财政衔接推进乡村振兴补助资金（巩固拓展脱贫攻坚成果和乡村振兴任务）</w:t>
            </w:r>
          </w:p>
        </w:tc>
      </w:tr>
      <w:tr w14:paraId="1B3BF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68" w:type="dxa"/>
            <w:noWrap w:val="0"/>
            <w:vAlign w:val="center"/>
          </w:tcPr>
          <w:p w14:paraId="12C35246">
            <w:pPr>
              <w:pStyle w:val="29"/>
              <w:keepNext w:val="0"/>
              <w:keepLines w:val="0"/>
              <w:pageBreakBefore w:val="0"/>
              <w:widowControl/>
              <w:kinsoku/>
              <w:wordWrap/>
              <w:overflowPunct/>
              <w:topLinePunct w:val="0"/>
              <w:bidi w:val="0"/>
              <w:snapToGrid/>
              <w:spacing w:line="320" w:lineRule="exact"/>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15</w:t>
            </w:r>
          </w:p>
        </w:tc>
        <w:tc>
          <w:tcPr>
            <w:tcW w:w="2470" w:type="dxa"/>
            <w:noWrap w:val="0"/>
            <w:vAlign w:val="center"/>
          </w:tcPr>
          <w:p w14:paraId="1B4EC1FF">
            <w:pPr>
              <w:pStyle w:val="29"/>
              <w:keepNext w:val="0"/>
              <w:keepLines w:val="0"/>
              <w:pageBreakBefore w:val="0"/>
              <w:widowControl/>
              <w:kinsoku/>
              <w:wordWrap/>
              <w:overflowPunct/>
              <w:topLinePunct w:val="0"/>
              <w:bidi w:val="0"/>
              <w:snapToGrid/>
              <w:spacing w:line="320" w:lineRule="exact"/>
              <w:ind w:firstLine="480" w:firstLineChars="200"/>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工期</w:t>
            </w:r>
          </w:p>
        </w:tc>
        <w:tc>
          <w:tcPr>
            <w:tcW w:w="5426" w:type="dxa"/>
            <w:noWrap w:val="0"/>
            <w:vAlign w:val="center"/>
          </w:tcPr>
          <w:p w14:paraId="74EF20E0">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合同签订后90日历天</w:t>
            </w:r>
          </w:p>
        </w:tc>
      </w:tr>
      <w:tr w14:paraId="1670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1168" w:type="dxa"/>
            <w:noWrap w:val="0"/>
            <w:vAlign w:val="center"/>
          </w:tcPr>
          <w:p w14:paraId="2574CEB8">
            <w:pPr>
              <w:pStyle w:val="29"/>
              <w:keepNext w:val="0"/>
              <w:keepLines w:val="0"/>
              <w:pageBreakBefore w:val="0"/>
              <w:widowControl/>
              <w:kinsoku/>
              <w:wordWrap/>
              <w:overflowPunct/>
              <w:topLinePunct w:val="0"/>
              <w:bidi w:val="0"/>
              <w:snapToGrid/>
              <w:spacing w:line="320" w:lineRule="exact"/>
              <w:ind w:firstLine="480" w:firstLineChars="200"/>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16</w:t>
            </w:r>
          </w:p>
        </w:tc>
        <w:tc>
          <w:tcPr>
            <w:tcW w:w="2470" w:type="dxa"/>
            <w:noWrap w:val="0"/>
            <w:vAlign w:val="center"/>
          </w:tcPr>
          <w:p w14:paraId="75B65EEF">
            <w:pPr>
              <w:pStyle w:val="29"/>
              <w:keepNext w:val="0"/>
              <w:keepLines w:val="0"/>
              <w:pageBreakBefore w:val="0"/>
              <w:widowControl/>
              <w:kinsoku/>
              <w:wordWrap/>
              <w:overflowPunct/>
              <w:topLinePunct w:val="0"/>
              <w:bidi w:val="0"/>
              <w:snapToGrid/>
              <w:spacing w:line="320" w:lineRule="exact"/>
              <w:ind w:firstLine="240" w:firstLineChars="100"/>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1BFA77AE">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响应文件提交截止时间</w:t>
            </w:r>
          </w:p>
        </w:tc>
        <w:tc>
          <w:tcPr>
            <w:tcW w:w="5426" w:type="dxa"/>
            <w:noWrap w:val="0"/>
            <w:vAlign w:val="center"/>
          </w:tcPr>
          <w:p w14:paraId="2E093061">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截止时间：2026年06月04日10:00（北京时间）　　　　　　　　　　　　　</w:t>
            </w:r>
          </w:p>
          <w:p w14:paraId="46F12EEB">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响应文件递交至：政采云投标客户端投标（https://www.zcygov.cn/），本项目采用不见面开标，加密的电子磋商文件在投标截止时间前通过CA在政采云平台上传。　</w:t>
            </w:r>
          </w:p>
        </w:tc>
      </w:tr>
      <w:tr w14:paraId="73A16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168" w:type="dxa"/>
            <w:noWrap w:val="0"/>
            <w:vAlign w:val="center"/>
          </w:tcPr>
          <w:p w14:paraId="1D584B4B">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17</w:t>
            </w:r>
          </w:p>
        </w:tc>
        <w:tc>
          <w:tcPr>
            <w:tcW w:w="2470" w:type="dxa"/>
            <w:noWrap w:val="0"/>
            <w:vAlign w:val="center"/>
          </w:tcPr>
          <w:p w14:paraId="5A643CC7">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52B9CADD">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0EF136E2">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164C6188">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p w14:paraId="28A106C5">
            <w:pPr>
              <w:pStyle w:val="29"/>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磋商时间及地点</w:t>
            </w:r>
          </w:p>
        </w:tc>
        <w:tc>
          <w:tcPr>
            <w:tcW w:w="5426" w:type="dxa"/>
            <w:noWrap w:val="0"/>
            <w:vAlign w:val="top"/>
          </w:tcPr>
          <w:p w14:paraId="34372E84">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磋商时间：2026年06月04日10:00（北京时间）</w:t>
            </w:r>
          </w:p>
          <w:p w14:paraId="3BB7CEEB">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磋商地点：政采云投标客户端https://www.zcygov.cn/磋商文件开启当日，供应商无需到达开标现场，仅需通过政采云平台“不见面”开标大厅完成远程解密。大厅操作提示：①开标前一小时在系统进行在线签到②30分钟内完成在线解密③开标结束后30分钟内完成“开标一览表”在线签章。注意：如未在规定时间进行以上操作，将导致投标（响应）无效。</w:t>
            </w:r>
          </w:p>
        </w:tc>
      </w:tr>
      <w:tr w14:paraId="2406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8" w:type="dxa"/>
            <w:noWrap w:val="0"/>
            <w:vAlign w:val="center"/>
          </w:tcPr>
          <w:p w14:paraId="40FBA142">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19</w:t>
            </w:r>
          </w:p>
        </w:tc>
        <w:tc>
          <w:tcPr>
            <w:tcW w:w="2470" w:type="dxa"/>
            <w:noWrap w:val="0"/>
            <w:vAlign w:val="center"/>
          </w:tcPr>
          <w:p w14:paraId="288F6467">
            <w:pPr>
              <w:pStyle w:val="29"/>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采购人是否委托磋商小组直接确定成交供应商</w:t>
            </w:r>
          </w:p>
        </w:tc>
        <w:tc>
          <w:tcPr>
            <w:tcW w:w="5426" w:type="dxa"/>
            <w:noWrap w:val="0"/>
            <w:vAlign w:val="center"/>
          </w:tcPr>
          <w:p w14:paraId="482434D2">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是</w:t>
            </w:r>
          </w:p>
        </w:tc>
      </w:tr>
      <w:tr w14:paraId="2F3E6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168" w:type="dxa"/>
            <w:noWrap w:val="0"/>
            <w:vAlign w:val="center"/>
          </w:tcPr>
          <w:p w14:paraId="20E8E687">
            <w:pPr>
              <w:pStyle w:val="29"/>
              <w:keepNext w:val="0"/>
              <w:keepLines w:val="0"/>
              <w:pageBreakBefore w:val="0"/>
              <w:widowControl/>
              <w:kinsoku/>
              <w:wordWrap/>
              <w:overflowPunct/>
              <w:topLinePunct w:val="0"/>
              <w:bidi w:val="0"/>
              <w:snapToGrid/>
              <w:spacing w:line="320" w:lineRule="exac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20</w:t>
            </w:r>
          </w:p>
        </w:tc>
        <w:tc>
          <w:tcPr>
            <w:tcW w:w="2470" w:type="dxa"/>
            <w:noWrap w:val="0"/>
            <w:vAlign w:val="center"/>
          </w:tcPr>
          <w:p w14:paraId="7946E34A">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是否提交履约保证金</w:t>
            </w:r>
          </w:p>
        </w:tc>
        <w:tc>
          <w:tcPr>
            <w:tcW w:w="5426" w:type="dxa"/>
            <w:noWrap w:val="0"/>
            <w:vAlign w:val="center"/>
          </w:tcPr>
          <w:p w14:paraId="43B8AC42">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否  </w:t>
            </w:r>
          </w:p>
        </w:tc>
      </w:tr>
      <w:tr w14:paraId="1422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168" w:type="dxa"/>
            <w:noWrap w:val="0"/>
            <w:vAlign w:val="center"/>
          </w:tcPr>
          <w:p w14:paraId="3FCB1BB9">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21</w:t>
            </w:r>
          </w:p>
        </w:tc>
        <w:tc>
          <w:tcPr>
            <w:tcW w:w="2470" w:type="dxa"/>
            <w:noWrap w:val="0"/>
            <w:vAlign w:val="center"/>
          </w:tcPr>
          <w:p w14:paraId="725C4FC7">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其他政府采购政策</w:t>
            </w:r>
          </w:p>
        </w:tc>
        <w:tc>
          <w:tcPr>
            <w:tcW w:w="5426" w:type="dxa"/>
            <w:noWrap w:val="0"/>
            <w:vAlign w:val="center"/>
          </w:tcPr>
          <w:p w14:paraId="40F2121A">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（一）满足《中华人民共和国政府采购法》第二十二条规定；</w:t>
            </w:r>
          </w:p>
          <w:p w14:paraId="52148D04">
            <w:pPr>
              <w:pStyle w:val="29"/>
              <w:keepNext w:val="0"/>
              <w:keepLines w:val="0"/>
              <w:pageBreakBefore w:val="0"/>
              <w:widowControl/>
              <w:kinsoku/>
              <w:wordWrap/>
              <w:overflowPunct/>
              <w:topLinePunct w:val="0"/>
              <w:bidi w:val="0"/>
              <w:snapToGrid/>
              <w:spacing w:line="320" w:lineRule="exact"/>
              <w:jc w:val="both"/>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（二）落实政府采购政策需满足的资格要求：(1)财政部、发展改革委、生态环境部、市场监管总局《关于调整优化节能产品、环境标志产品政府采购执行机制的通知》（财库〔2019〕9号）； (2)财政部、工业和信息化部《关于印发《政府采购促进中小企业发展管理办法》的通知》（财库[2020]46号）；(3)财政部、民政部、中国残疾人联合会《关于促进残疾人就业政府采购政策的通知》（财库[2017]141号）；(4)财政部、司法部《关于政府采购支持监狱企业发展有关问题的通知》（财库[2014]68号）。</w:t>
            </w:r>
          </w:p>
        </w:tc>
      </w:tr>
      <w:tr w14:paraId="6B61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168" w:type="dxa"/>
            <w:noWrap w:val="0"/>
            <w:vAlign w:val="center"/>
          </w:tcPr>
          <w:p w14:paraId="2876CAE3">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22</w:t>
            </w:r>
          </w:p>
        </w:tc>
        <w:tc>
          <w:tcPr>
            <w:tcW w:w="2470" w:type="dxa"/>
            <w:noWrap w:val="0"/>
            <w:vAlign w:val="center"/>
          </w:tcPr>
          <w:p w14:paraId="625D4B77">
            <w:pPr>
              <w:pStyle w:val="29"/>
              <w:keepNext w:val="0"/>
              <w:keepLines w:val="0"/>
              <w:pageBreakBefore w:val="0"/>
              <w:widowControl/>
              <w:kinsoku/>
              <w:wordWrap/>
              <w:overflowPunct/>
              <w:topLinePunct w:val="0"/>
              <w:bidi w:val="0"/>
              <w:snapToGrid/>
              <w:spacing w:line="320" w:lineRule="exact"/>
              <w:ind w:firstLine="240" w:firstLineChars="10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磋商文件份数</w:t>
            </w:r>
          </w:p>
        </w:tc>
        <w:tc>
          <w:tcPr>
            <w:tcW w:w="5426" w:type="dxa"/>
            <w:noWrap w:val="0"/>
            <w:vAlign w:val="top"/>
          </w:tcPr>
          <w:p w14:paraId="652BCA05">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加密的电子响应文件应在递交截止时间前通过政采云平台上传完成</w:t>
            </w:r>
          </w:p>
        </w:tc>
      </w:tr>
      <w:tr w14:paraId="430D8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168" w:type="dxa"/>
            <w:noWrap w:val="0"/>
            <w:vAlign w:val="center"/>
          </w:tcPr>
          <w:p w14:paraId="2D732C46">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23</w:t>
            </w:r>
          </w:p>
        </w:tc>
        <w:tc>
          <w:tcPr>
            <w:tcW w:w="2470" w:type="dxa"/>
            <w:noWrap w:val="0"/>
            <w:vAlign w:val="center"/>
          </w:tcPr>
          <w:p w14:paraId="1D2EC20A">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71285E81">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3491538B">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实质性要求和条件</w:t>
            </w:r>
          </w:p>
        </w:tc>
        <w:tc>
          <w:tcPr>
            <w:tcW w:w="5426" w:type="dxa"/>
            <w:noWrap w:val="0"/>
            <w:vAlign w:val="top"/>
          </w:tcPr>
          <w:p w14:paraId="051EB086">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实质性要求和条件：除法律、法规和规章规定外，采购文件中用“拒绝”、“不接受”、“无效”、“不得”等文字规定或采购文件初步审查表中的内容以及标注“★”符号的条款为实质性要求条款（即重要条款），对其中任何一条的偏离，在评标时将其视为无效投标。</w:t>
            </w:r>
          </w:p>
        </w:tc>
      </w:tr>
      <w:tr w14:paraId="3DF1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168" w:type="dxa"/>
            <w:noWrap w:val="0"/>
            <w:vAlign w:val="center"/>
          </w:tcPr>
          <w:p w14:paraId="5D17F5FD">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24</w:t>
            </w:r>
          </w:p>
        </w:tc>
        <w:tc>
          <w:tcPr>
            <w:tcW w:w="2470" w:type="dxa"/>
            <w:noWrap w:val="0"/>
            <w:vAlign w:val="center"/>
          </w:tcPr>
          <w:p w14:paraId="24DE7156">
            <w:pPr>
              <w:pStyle w:val="29"/>
              <w:keepNext w:val="0"/>
              <w:keepLines w:val="0"/>
              <w:pageBreakBefore w:val="0"/>
              <w:widowControl/>
              <w:kinsoku/>
              <w:wordWrap/>
              <w:overflowPunct/>
              <w:topLinePunct w:val="0"/>
              <w:bidi w:val="0"/>
              <w:snapToGrid/>
              <w:spacing w:line="320" w:lineRule="exact"/>
              <w:ind w:firstLine="240" w:firstLineChars="100"/>
              <w:jc w:val="center"/>
              <w:textAlignment w:val="auto"/>
              <w:rPr>
                <w:rFonts w:hint="eastAsia" w:ascii="宋体" w:hAnsi="宋体" w:eastAsia="宋体" w:cs="宋体"/>
                <w:color w:val="auto"/>
                <w:kern w:val="0"/>
                <w:sz w:val="24"/>
                <w:szCs w:val="24"/>
                <w:highlight w:val="none"/>
                <w:lang w:val="en-US" w:eastAsia="zh-CN"/>
              </w:rPr>
            </w:pPr>
          </w:p>
          <w:p w14:paraId="1DBC0BE6">
            <w:pPr>
              <w:pStyle w:val="29"/>
              <w:keepNext w:val="0"/>
              <w:keepLines w:val="0"/>
              <w:pageBreakBefore w:val="0"/>
              <w:widowControl/>
              <w:kinsoku/>
              <w:wordWrap/>
              <w:overflowPunct/>
              <w:topLinePunct w:val="0"/>
              <w:bidi w:val="0"/>
              <w:snapToGrid/>
              <w:spacing w:line="320" w:lineRule="exact"/>
              <w:ind w:firstLine="480" w:firstLineChars="20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报价说明</w:t>
            </w:r>
          </w:p>
        </w:tc>
        <w:tc>
          <w:tcPr>
            <w:tcW w:w="5426" w:type="dxa"/>
            <w:noWrap w:val="0"/>
            <w:vAlign w:val="top"/>
          </w:tcPr>
          <w:p w14:paraId="781BF3DA">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采用竞争性磋商，通过磋商，仅对满足竞争性磋商文件实质性要求的供应商，进行第二次最终报价，但最终报价不得高于第一次报价，否则其投标将被否决。</w:t>
            </w:r>
          </w:p>
        </w:tc>
      </w:tr>
      <w:tr w14:paraId="73675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168" w:type="dxa"/>
            <w:noWrap w:val="0"/>
            <w:vAlign w:val="center"/>
          </w:tcPr>
          <w:p w14:paraId="78E6935A">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p>
          <w:p w14:paraId="61BB4879">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p>
          <w:p w14:paraId="0F3292C1">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p>
          <w:p w14:paraId="6FEA34A4">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p>
          <w:p w14:paraId="520B955C">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p>
          <w:p w14:paraId="4B921367">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p>
          <w:p w14:paraId="2B994CCC">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p>
          <w:p w14:paraId="09F6BCFB">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24</w:t>
            </w:r>
          </w:p>
        </w:tc>
        <w:tc>
          <w:tcPr>
            <w:tcW w:w="2470" w:type="dxa"/>
            <w:noWrap w:val="0"/>
            <w:vAlign w:val="center"/>
          </w:tcPr>
          <w:p w14:paraId="3C6E2982">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0EDF36D8">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49B37733">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783E4E9D">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39FF52A2">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2062D39D">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53D375F2">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11CB8B2F">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7E93985B">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47CD0713">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1BF52AB3">
            <w:pPr>
              <w:pStyle w:val="29"/>
              <w:keepNext w:val="0"/>
              <w:keepLines w:val="0"/>
              <w:pageBreakBefore w:val="0"/>
              <w:widowControl/>
              <w:kinsoku/>
              <w:wordWrap/>
              <w:overflowPunct/>
              <w:topLinePunct w:val="0"/>
              <w:bidi w:val="0"/>
              <w:snapToGrid/>
              <w:spacing w:line="320" w:lineRule="exact"/>
              <w:ind w:firstLine="240" w:firstLineChars="10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磋商文件解密时长</w:t>
            </w:r>
          </w:p>
        </w:tc>
        <w:tc>
          <w:tcPr>
            <w:tcW w:w="5426" w:type="dxa"/>
            <w:noWrap w:val="0"/>
            <w:vAlign w:val="top"/>
          </w:tcPr>
          <w:p w14:paraId="3460AC85">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磋商文件解密时长：30分钟（过时未进行解密的磋商文件，开标现场不进行解密时间延长。）</w:t>
            </w:r>
          </w:p>
          <w:p w14:paraId="1F8FA258">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开标当日仅需在任意地点通过政采云平台不见面开标系统（登录地址详见网站操作手册）完成远程解密、提疑澄清、开标唱标、结果公布等交互环节。供应商必须在规定的时间内使用能正确解密响应文件的“CA锁”完成远程解密，因供应商原因未能解密、解密失败或解密超时，视为供应商撤销其响应文件，系统内磋商文件将被退回；因网上招投标平台发生故障，导致无法按时完成磋商文件解密或开、评标工作无法进行的，可根据实际情况相应延迟解密时间或调整开、评标时间。</w:t>
            </w:r>
          </w:p>
          <w:p w14:paraId="7289B3B5">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（友情提示：若供应商已领取副锁（含多把副锁）请注意正副锁的使用差别，务必使用生成磋商文件的那把锁解密）</w:t>
            </w:r>
          </w:p>
        </w:tc>
      </w:tr>
      <w:tr w14:paraId="78EEE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168" w:type="dxa"/>
            <w:noWrap w:val="0"/>
            <w:vAlign w:val="center"/>
          </w:tcPr>
          <w:p w14:paraId="04FE4A1D">
            <w:pPr>
              <w:pStyle w:val="29"/>
              <w:keepNext w:val="0"/>
              <w:keepLines w:val="0"/>
              <w:pageBreakBefore w:val="0"/>
              <w:widowControl/>
              <w:kinsoku/>
              <w:wordWrap/>
              <w:overflowPunct/>
              <w:topLinePunct w:val="0"/>
              <w:bidi w:val="0"/>
              <w:snapToGrid/>
              <w:spacing w:line="32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25</w:t>
            </w:r>
          </w:p>
        </w:tc>
        <w:tc>
          <w:tcPr>
            <w:tcW w:w="2470" w:type="dxa"/>
            <w:noWrap w:val="0"/>
            <w:vAlign w:val="center"/>
          </w:tcPr>
          <w:p w14:paraId="532CB930">
            <w:pPr>
              <w:pStyle w:val="2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6B004372">
            <w:pPr>
              <w:pStyle w:val="2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40A85244">
            <w:pPr>
              <w:pStyle w:val="2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359B63A4">
            <w:pPr>
              <w:pStyle w:val="2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43B278CC">
            <w:pPr>
              <w:pStyle w:val="2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3B296A2B">
            <w:pPr>
              <w:pStyle w:val="2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6FABB8B7">
            <w:pPr>
              <w:pStyle w:val="2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168BDCC5">
            <w:pPr>
              <w:pStyle w:val="2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5B14C00C">
            <w:pPr>
              <w:pStyle w:val="29"/>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04EEBBFE">
            <w:pPr>
              <w:pStyle w:val="29"/>
              <w:keepNext w:val="0"/>
              <w:keepLines w:val="0"/>
              <w:pageBreakBefore w:val="0"/>
              <w:widowControl/>
              <w:kinsoku/>
              <w:wordWrap/>
              <w:overflowPunct/>
              <w:topLinePunct w:val="0"/>
              <w:autoSpaceDE/>
              <w:autoSpaceDN/>
              <w:bidi w:val="0"/>
              <w:adjustRightInd/>
              <w:snapToGrid/>
              <w:spacing w:line="320" w:lineRule="exact"/>
              <w:ind w:firstLine="960" w:firstLineChars="400"/>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备注</w:t>
            </w:r>
          </w:p>
        </w:tc>
        <w:tc>
          <w:tcPr>
            <w:tcW w:w="5426" w:type="dxa"/>
            <w:noWrap w:val="0"/>
            <w:vAlign w:val="top"/>
          </w:tcPr>
          <w:p w14:paraId="27F35686">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1、各供应商必须针对项目制作磋商文件并报价，磋商文件均必须满足招标文件份数与制作等要求，否则将导致投标被拒绝。</w:t>
            </w:r>
          </w:p>
          <w:p w14:paraId="413DDFCD">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2、当出现下列情形之一，磋商文件将予以退回：</w:t>
            </w:r>
          </w:p>
          <w:p w14:paraId="2ACE8286">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（1）供应商在磋商文件递交截止时间前未成功上传加密电子磋商文件；</w:t>
            </w:r>
          </w:p>
          <w:p w14:paraId="3DA3D4CC">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（2）供应商使用解密的CA数字证书与上传加密磋商文件使用的CA数字证书不一致；</w:t>
            </w:r>
          </w:p>
          <w:p w14:paraId="08D1688A">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（3）供应商解密时CA数字证书已过期，导致无法正常解密；</w:t>
            </w:r>
          </w:p>
          <w:p w14:paraId="6B501EF7">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（4）加密磋商文件时，CA数字证书未过期，解密时，显示CA数字证书已过期，导致无法正常解密；</w:t>
            </w:r>
          </w:p>
          <w:p w14:paraId="633B8A85">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（5）未在规定的磋商文件解密时间内进行解密的；</w:t>
            </w:r>
          </w:p>
          <w:p w14:paraId="09F670FE">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（6）供应商个人原因导致无法解密的其他情形。 </w:t>
            </w:r>
          </w:p>
          <w:p w14:paraId="2997391F">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3、供应商应在投标截止时间前将投标时使用的计算机安装相关的浏览器（推荐使用谷歌浏览器）、CA驱动等软件，方便磋商文件解密时能够正常解密。</w:t>
            </w:r>
          </w:p>
          <w:p w14:paraId="18A219AF">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4、供应商需在投标截止时间前自行测试开标时使用的计算机，如因供应商自身原因导致磋商文件解密失败的，由供应商自行承担相应后果。</w:t>
            </w:r>
          </w:p>
          <w:p w14:paraId="7B09EEFC">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本次采购，供应商须按招标文件第二章“投标须知”中规定的内容提交磋商文件。并根据第六章“磋商文件格式”中的全部内容进行磋商文件的编制，在评标过程中若发现供应商的磋商文件内容未按照招标文件编制，编制内容存在缺失或提供无效资料的，将导致投标被拒绝。所有资料均不允许在投标截止时间后补正。</w:t>
            </w:r>
          </w:p>
          <w:p w14:paraId="17B8390F">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注：</w:t>
            </w:r>
          </w:p>
          <w:p w14:paraId="2319B1E7">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1、无论何种原因，在磋商文件中未提供相应材料的，评审小组将视同其未提供。</w:t>
            </w:r>
          </w:p>
          <w:p w14:paraId="19143704">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2、各供应商应在开标前应确保成为新疆政府采购网正式注册入库供应商，并完成CA数字证书（符合国密标准）申领。如需咨询，请联系新疆CA服务热线0991-2819290；</w:t>
            </w:r>
          </w:p>
          <w:p w14:paraId="1C207579">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供应商将政采云电子交易客户端下载、安装完成后，可通过账号密码或CA登录客户端进行响应文件的制作。在使用政采云投标客户端时，建议使用WIN7及以上操作系统。客户端请至新疆政府采购网（http://www.ccgp-xinjiang.gov.cn/）下载专区查看，如有问题可拨打政采云客户服务热线95763进行咨询。</w:t>
            </w:r>
          </w:p>
          <w:p w14:paraId="23B52538">
            <w:pPr>
              <w:pStyle w:val="29"/>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4、供应商首次参加政府采购活动的，可前往新疆政府采购网（ http://www.ccgp-xinjiang.gov.cn/）下载操作指南。（步骤：进入新疆政府采购网（http://www.ccgp-xinjiang.gov.cn/）点击主页面的办事指南—选择并下载供应商政采云平台操作指南。）</w:t>
            </w:r>
          </w:p>
        </w:tc>
      </w:tr>
      <w:tr w14:paraId="6EE23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1168" w:type="dxa"/>
            <w:noWrap w:val="0"/>
            <w:vAlign w:val="center"/>
          </w:tcPr>
          <w:p w14:paraId="244DF2C8">
            <w:pPr>
              <w:pStyle w:val="29"/>
              <w:keepNext w:val="0"/>
              <w:keepLines w:val="0"/>
              <w:pageBreakBefore w:val="0"/>
              <w:widowControl/>
              <w:kinsoku/>
              <w:wordWrap/>
              <w:overflowPunct/>
              <w:topLinePunct w:val="0"/>
              <w:bidi w:val="0"/>
              <w:snapToGrid/>
              <w:spacing w:line="32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26</w:t>
            </w:r>
          </w:p>
        </w:tc>
        <w:tc>
          <w:tcPr>
            <w:tcW w:w="2470" w:type="dxa"/>
            <w:noWrap w:val="0"/>
            <w:vAlign w:val="center"/>
          </w:tcPr>
          <w:p w14:paraId="56848A90">
            <w:pPr>
              <w:pStyle w:val="43"/>
              <w:keepNext w:val="0"/>
              <w:keepLines w:val="0"/>
              <w:pageBreakBefore w:val="0"/>
              <w:kinsoku/>
              <w:wordWrap/>
              <w:overflowPunct/>
              <w:topLinePunct w:val="0"/>
              <w:bidi w:val="0"/>
              <w:snapToGrid/>
              <w:spacing w:line="320" w:lineRule="exact"/>
              <w:ind w:left="96" w:leftChars="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推荐的成交候选人数量</w:t>
            </w:r>
          </w:p>
        </w:tc>
        <w:tc>
          <w:tcPr>
            <w:tcW w:w="5426" w:type="dxa"/>
            <w:noWrap w:val="0"/>
            <w:vAlign w:val="center"/>
          </w:tcPr>
          <w:p w14:paraId="79C65704">
            <w:pPr>
              <w:pStyle w:val="43"/>
              <w:keepNext w:val="0"/>
              <w:keepLines w:val="0"/>
              <w:pageBreakBefore w:val="0"/>
              <w:kinsoku/>
              <w:wordWrap/>
              <w:overflowPunct/>
              <w:topLinePunct w:val="0"/>
              <w:bidi w:val="0"/>
              <w:snapToGrid/>
              <w:spacing w:line="320" w:lineRule="exact"/>
              <w:ind w:left="96" w:left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 家</w:t>
            </w:r>
          </w:p>
        </w:tc>
      </w:tr>
      <w:tr w14:paraId="2B215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168" w:type="dxa"/>
            <w:noWrap w:val="0"/>
            <w:vAlign w:val="center"/>
          </w:tcPr>
          <w:p w14:paraId="6BA41335">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27</w:t>
            </w:r>
          </w:p>
        </w:tc>
        <w:tc>
          <w:tcPr>
            <w:tcW w:w="2470" w:type="dxa"/>
            <w:noWrap w:val="0"/>
            <w:vAlign w:val="center"/>
          </w:tcPr>
          <w:p w14:paraId="295A0B25">
            <w:pPr>
              <w:pStyle w:val="43"/>
              <w:keepNext w:val="0"/>
              <w:keepLines w:val="0"/>
              <w:pageBreakBefore w:val="0"/>
              <w:kinsoku/>
              <w:wordWrap/>
              <w:overflowPunct/>
              <w:topLinePunct w:val="0"/>
              <w:bidi w:val="0"/>
              <w:snapToGrid/>
              <w:spacing w:line="320" w:lineRule="exact"/>
              <w:ind w:left="96" w:lef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lang w:val="zh-CN"/>
              </w:rPr>
              <w:t>招标代理费</w:t>
            </w:r>
          </w:p>
        </w:tc>
        <w:tc>
          <w:tcPr>
            <w:tcW w:w="5426" w:type="dxa"/>
            <w:noWrap w:val="0"/>
            <w:vAlign w:val="center"/>
          </w:tcPr>
          <w:p w14:paraId="0889BA5A">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auto"/>
                <w:kern w:val="0"/>
                <w:sz w:val="24"/>
                <w:szCs w:val="24"/>
                <w:highlight w:val="none"/>
                <w:lang w:val="zh-CN" w:eastAsia="zh-CN"/>
              </w:rPr>
              <w:t>代理费收取方式：</w:t>
            </w: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电汇或银行转账</w:t>
            </w:r>
          </w:p>
          <w:p w14:paraId="61352BE2">
            <w:pPr>
              <w:pStyle w:val="29"/>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代理费收取标准：参照计价格【2002】1980号及发改办价格【2003】857号相关内容</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下浮10％收取</w:t>
            </w: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，由中标人支付。</w:t>
            </w:r>
          </w:p>
        </w:tc>
      </w:tr>
      <w:tr w14:paraId="29424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68" w:type="dxa"/>
            <w:noWrap w:val="0"/>
            <w:vAlign w:val="center"/>
          </w:tcPr>
          <w:p w14:paraId="7FD0B743">
            <w:pPr>
              <w:pStyle w:val="29"/>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tc>
        <w:tc>
          <w:tcPr>
            <w:tcW w:w="2470" w:type="dxa"/>
            <w:noWrap w:val="0"/>
            <w:vAlign w:val="center"/>
          </w:tcPr>
          <w:p w14:paraId="26D3ACC1">
            <w:pPr>
              <w:pStyle w:val="43"/>
              <w:keepNext w:val="0"/>
              <w:keepLines w:val="0"/>
              <w:pageBreakBefore w:val="0"/>
              <w:kinsoku/>
              <w:wordWrap/>
              <w:overflowPunct/>
              <w:topLinePunct w:val="0"/>
              <w:bidi w:val="0"/>
              <w:snapToGrid/>
              <w:spacing w:line="320" w:lineRule="exact"/>
              <w:ind w:left="96" w:leftChars="0"/>
              <w:jc w:val="center"/>
              <w:textAlignment w:val="auto"/>
              <w:rPr>
                <w:rFonts w:hint="eastAsia" w:ascii="宋体" w:hAnsi="宋体" w:eastAsia="宋体" w:cs="宋体"/>
                <w:color w:val="auto"/>
                <w:sz w:val="24"/>
                <w:szCs w:val="24"/>
                <w:lang w:val="zh-CN"/>
              </w:rPr>
            </w:pPr>
            <w:r>
              <w:rPr>
                <w:rFonts w:hint="eastAsia" w:cs="宋体"/>
                <w:b/>
                <w:bCs/>
                <w:color w:val="auto"/>
                <w:sz w:val="24"/>
                <w:szCs w:val="24"/>
                <w:lang w:val="en-US" w:eastAsia="zh-CN"/>
              </w:rPr>
              <w:t>注</w:t>
            </w:r>
          </w:p>
        </w:tc>
        <w:tc>
          <w:tcPr>
            <w:tcW w:w="5426" w:type="dxa"/>
            <w:noWrap w:val="0"/>
            <w:vAlign w:val="center"/>
          </w:tcPr>
          <w:p w14:paraId="49F4CAF7">
            <w:pPr>
              <w:keepNext w:val="0"/>
              <w:keepLines w:val="0"/>
              <w:pageBreakBefore w:val="0"/>
              <w:tabs>
                <w:tab w:val="left" w:pos="7665"/>
              </w:tabs>
              <w:kinsoku/>
              <w:wordWrap/>
              <w:overflowPunct/>
              <w:topLinePunct w:val="0"/>
              <w:bidi w:val="0"/>
              <w:snapToGrid/>
              <w:spacing w:line="320" w:lineRule="exact"/>
              <w:ind w:left="0" w:leftChars="0" w:right="0" w:rightChars="0"/>
              <w:jc w:val="left"/>
              <w:textAlignment w:val="auto"/>
              <w:rPr>
                <w:rFonts w:hint="eastAsia" w:ascii="宋体" w:hAnsi="宋体" w:eastAsia="宋体" w:cs="宋体"/>
                <w:color w:val="auto"/>
                <w:sz w:val="24"/>
                <w:szCs w:val="24"/>
                <w:highlight w:val="none"/>
                <w:lang w:val="zh-CN"/>
              </w:rPr>
            </w:pPr>
            <w:r>
              <w:rPr>
                <w:rFonts w:hint="eastAsia" w:ascii="宋体" w:hAnsi="宋体" w:cs="宋体"/>
                <w:b/>
                <w:bCs/>
                <w:sz w:val="24"/>
                <w:szCs w:val="24"/>
                <w:lang w:val="en-US" w:eastAsia="zh-CN"/>
              </w:rPr>
              <w:t>采购文件内容如有不一致的以前附表为准。</w:t>
            </w:r>
          </w:p>
        </w:tc>
      </w:tr>
    </w:tbl>
    <w:p w14:paraId="1AEF9156">
      <w:pPr>
        <w:pStyle w:val="29"/>
        <w:widowControl/>
        <w:spacing w:line="334" w:lineRule="exact"/>
        <w:rPr>
          <w:rFonts w:hint="eastAsia" w:ascii="宋体" w:hAnsi="宋体" w:eastAsia="宋体" w:cs="宋体"/>
          <w:color w:val="auto"/>
          <w:kern w:val="0"/>
          <w:sz w:val="24"/>
          <w:szCs w:val="24"/>
          <w:highlight w:val="none"/>
          <w:lang w:val="en-US" w:eastAsia="zh-CN"/>
        </w:rPr>
      </w:pPr>
    </w:p>
    <w:p w14:paraId="744E7F83">
      <w:pPr>
        <w:pStyle w:val="29"/>
        <w:widowControl/>
        <w:spacing w:line="334" w:lineRule="exact"/>
        <w:rPr>
          <w:rFonts w:hint="eastAsia" w:ascii="宋体" w:hAnsi="宋体" w:eastAsia="宋体" w:cs="宋体"/>
          <w:color w:val="auto"/>
          <w:kern w:val="0"/>
          <w:sz w:val="24"/>
          <w:szCs w:val="24"/>
          <w:highlight w:val="none"/>
          <w:lang w:val="en-US" w:eastAsia="zh-CN"/>
        </w:rPr>
      </w:pPr>
    </w:p>
    <w:p w14:paraId="62AB6FCB">
      <w:pPr>
        <w:pStyle w:val="29"/>
        <w:widowControl/>
        <w:spacing w:line="334" w:lineRule="exact"/>
        <w:rPr>
          <w:rFonts w:hint="eastAsia" w:ascii="宋体" w:hAnsi="宋体" w:eastAsia="宋体" w:cs="宋体"/>
          <w:color w:val="auto"/>
          <w:kern w:val="0"/>
          <w:sz w:val="24"/>
          <w:szCs w:val="24"/>
          <w:highlight w:val="none"/>
          <w:lang w:val="en-US" w:eastAsia="zh-CN"/>
        </w:rPr>
      </w:pPr>
    </w:p>
    <w:p w14:paraId="2A5E419E">
      <w:pPr>
        <w:pStyle w:val="29"/>
        <w:widowControl/>
        <w:spacing w:line="334" w:lineRule="exact"/>
        <w:rPr>
          <w:rFonts w:hint="eastAsia" w:ascii="宋体" w:hAnsi="宋体" w:eastAsia="宋体" w:cs="宋体"/>
          <w:color w:val="auto"/>
          <w:kern w:val="0"/>
          <w:sz w:val="24"/>
          <w:szCs w:val="24"/>
          <w:highlight w:val="none"/>
          <w:lang w:val="en-US" w:eastAsia="zh-CN"/>
        </w:rPr>
      </w:pPr>
    </w:p>
    <w:p w14:paraId="384FAD21">
      <w:pPr>
        <w:pStyle w:val="29"/>
        <w:widowControl/>
        <w:spacing w:line="334" w:lineRule="exact"/>
        <w:rPr>
          <w:rFonts w:hint="eastAsia" w:ascii="宋体" w:hAnsi="宋体" w:eastAsia="宋体" w:cs="宋体"/>
          <w:color w:val="auto"/>
          <w:kern w:val="0"/>
          <w:sz w:val="24"/>
          <w:szCs w:val="24"/>
          <w:highlight w:val="none"/>
          <w:lang w:val="en-US" w:eastAsia="zh-CN"/>
        </w:rPr>
      </w:pPr>
    </w:p>
    <w:p w14:paraId="66DAB78E">
      <w:pPr>
        <w:pStyle w:val="29"/>
        <w:widowControl/>
        <w:spacing w:line="334" w:lineRule="exact"/>
        <w:rPr>
          <w:rFonts w:hint="eastAsia" w:ascii="宋体" w:hAnsi="宋体" w:eastAsia="宋体" w:cs="宋体"/>
          <w:color w:val="auto"/>
          <w:kern w:val="0"/>
          <w:sz w:val="24"/>
          <w:szCs w:val="24"/>
          <w:highlight w:val="none"/>
          <w:lang w:val="en-US" w:eastAsia="zh-CN"/>
        </w:rPr>
      </w:pPr>
    </w:p>
    <w:p w14:paraId="578ABF81">
      <w:pPr>
        <w:pStyle w:val="29"/>
        <w:widowControl/>
        <w:spacing w:line="334" w:lineRule="exact"/>
        <w:rPr>
          <w:rFonts w:hint="eastAsia" w:ascii="宋体" w:hAnsi="宋体" w:eastAsia="宋体" w:cs="宋体"/>
          <w:color w:val="auto"/>
          <w:kern w:val="0"/>
          <w:sz w:val="24"/>
          <w:szCs w:val="24"/>
          <w:highlight w:val="none"/>
          <w:lang w:val="en-US" w:eastAsia="zh-CN"/>
        </w:rPr>
      </w:pPr>
    </w:p>
    <w:p w14:paraId="0B745EFC">
      <w:pPr>
        <w:pStyle w:val="29"/>
        <w:widowControl/>
        <w:spacing w:line="334" w:lineRule="exact"/>
        <w:rPr>
          <w:rFonts w:hint="eastAsia" w:ascii="宋体" w:hAnsi="宋体" w:eastAsia="宋体" w:cs="宋体"/>
          <w:color w:val="auto"/>
          <w:kern w:val="0"/>
          <w:sz w:val="24"/>
          <w:szCs w:val="24"/>
          <w:highlight w:val="none"/>
          <w:lang w:val="en-US" w:eastAsia="zh-CN"/>
        </w:rPr>
      </w:pPr>
    </w:p>
    <w:p w14:paraId="1B13F2FC">
      <w:pPr>
        <w:pStyle w:val="29"/>
        <w:widowControl/>
        <w:spacing w:line="334" w:lineRule="exact"/>
        <w:rPr>
          <w:rFonts w:hint="eastAsia" w:ascii="宋体" w:hAnsi="宋体" w:eastAsia="宋体" w:cs="宋体"/>
          <w:color w:val="auto"/>
          <w:kern w:val="0"/>
          <w:sz w:val="24"/>
          <w:szCs w:val="24"/>
          <w:highlight w:val="none"/>
          <w:lang w:val="en-US" w:eastAsia="zh-CN"/>
        </w:rPr>
      </w:pPr>
    </w:p>
    <w:p w14:paraId="5DDCBB4A">
      <w:pPr>
        <w:pStyle w:val="29"/>
        <w:widowControl/>
        <w:spacing w:line="334" w:lineRule="exact"/>
        <w:rPr>
          <w:rFonts w:hint="eastAsia" w:ascii="宋体" w:hAnsi="宋体" w:eastAsia="宋体" w:cs="宋体"/>
          <w:color w:val="auto"/>
          <w:kern w:val="0"/>
          <w:sz w:val="24"/>
          <w:szCs w:val="24"/>
          <w:highlight w:val="none"/>
          <w:lang w:val="en-US" w:eastAsia="zh-CN"/>
        </w:rPr>
      </w:pPr>
    </w:p>
    <w:p w14:paraId="7C4C6153">
      <w:pPr>
        <w:pStyle w:val="29"/>
        <w:widowControl/>
        <w:spacing w:line="334" w:lineRule="exact"/>
        <w:rPr>
          <w:rFonts w:hint="eastAsia" w:ascii="宋体" w:hAnsi="宋体" w:eastAsia="宋体" w:cs="宋体"/>
          <w:color w:val="auto"/>
          <w:kern w:val="0"/>
          <w:sz w:val="24"/>
          <w:szCs w:val="24"/>
          <w:highlight w:val="none"/>
          <w:lang w:val="en-US" w:eastAsia="zh-CN"/>
        </w:rPr>
      </w:pPr>
    </w:p>
    <w:p w14:paraId="654600F3">
      <w:pPr>
        <w:pStyle w:val="29"/>
        <w:widowControl/>
        <w:spacing w:line="334" w:lineRule="exact"/>
        <w:rPr>
          <w:rFonts w:hint="eastAsia" w:ascii="宋体" w:hAnsi="宋体" w:eastAsia="宋体" w:cs="宋体"/>
          <w:color w:val="auto"/>
          <w:kern w:val="0"/>
          <w:sz w:val="24"/>
          <w:szCs w:val="24"/>
          <w:highlight w:val="none"/>
          <w:lang w:val="en-US" w:eastAsia="zh-CN"/>
        </w:rPr>
      </w:pPr>
    </w:p>
    <w:p w14:paraId="45819E48">
      <w:pPr>
        <w:pStyle w:val="29"/>
        <w:widowControl/>
        <w:spacing w:line="334" w:lineRule="exact"/>
        <w:rPr>
          <w:rFonts w:hint="eastAsia" w:ascii="宋体" w:hAnsi="宋体" w:eastAsia="宋体" w:cs="宋体"/>
          <w:color w:val="auto"/>
          <w:kern w:val="0"/>
          <w:sz w:val="24"/>
          <w:szCs w:val="24"/>
          <w:highlight w:val="none"/>
          <w:lang w:val="en-US" w:eastAsia="zh-CN"/>
        </w:rPr>
      </w:pPr>
    </w:p>
    <w:p w14:paraId="6998A58B">
      <w:pPr>
        <w:pStyle w:val="29"/>
        <w:widowControl/>
        <w:spacing w:line="334" w:lineRule="exact"/>
        <w:rPr>
          <w:rFonts w:hint="eastAsia" w:ascii="宋体" w:hAnsi="宋体" w:eastAsia="宋体" w:cs="宋体"/>
          <w:color w:val="auto"/>
          <w:kern w:val="0"/>
          <w:sz w:val="24"/>
          <w:szCs w:val="24"/>
          <w:highlight w:val="none"/>
          <w:lang w:val="en-US" w:eastAsia="zh-CN"/>
        </w:rPr>
      </w:pPr>
    </w:p>
    <w:p w14:paraId="53C6F1FB">
      <w:pPr>
        <w:pStyle w:val="29"/>
        <w:widowControl/>
        <w:spacing w:line="334" w:lineRule="exact"/>
        <w:rPr>
          <w:rFonts w:hint="eastAsia" w:ascii="宋体" w:hAnsi="宋体" w:eastAsia="宋体" w:cs="宋体"/>
          <w:color w:val="auto"/>
          <w:kern w:val="0"/>
          <w:sz w:val="24"/>
          <w:szCs w:val="24"/>
          <w:highlight w:val="none"/>
          <w:lang w:val="en-US" w:eastAsia="zh-CN"/>
        </w:rPr>
      </w:pPr>
    </w:p>
    <w:p w14:paraId="46604B5C">
      <w:pPr>
        <w:pStyle w:val="29"/>
        <w:widowControl/>
        <w:spacing w:line="334" w:lineRule="exact"/>
        <w:rPr>
          <w:rFonts w:hint="eastAsia" w:ascii="宋体" w:hAnsi="宋体" w:eastAsia="宋体" w:cs="宋体"/>
          <w:color w:val="auto"/>
          <w:kern w:val="0"/>
          <w:sz w:val="24"/>
          <w:szCs w:val="24"/>
          <w:highlight w:val="none"/>
          <w:lang w:val="en-US" w:eastAsia="zh-CN"/>
        </w:rPr>
      </w:pPr>
    </w:p>
    <w:p w14:paraId="7C9947B3">
      <w:pPr>
        <w:pStyle w:val="29"/>
        <w:widowControl/>
        <w:spacing w:line="334" w:lineRule="exact"/>
        <w:rPr>
          <w:rFonts w:hint="eastAsia" w:ascii="宋体" w:hAnsi="宋体" w:eastAsia="宋体" w:cs="宋体"/>
          <w:color w:val="auto"/>
          <w:kern w:val="0"/>
          <w:sz w:val="24"/>
          <w:szCs w:val="24"/>
          <w:highlight w:val="none"/>
          <w:lang w:val="en-US" w:eastAsia="zh-CN"/>
        </w:rPr>
      </w:pPr>
    </w:p>
    <w:p w14:paraId="1F313747">
      <w:pPr>
        <w:pStyle w:val="29"/>
        <w:widowControl/>
        <w:spacing w:line="334" w:lineRule="exact"/>
        <w:rPr>
          <w:rFonts w:hint="eastAsia" w:ascii="宋体" w:hAnsi="宋体" w:eastAsia="宋体" w:cs="宋体"/>
          <w:color w:val="auto"/>
          <w:kern w:val="0"/>
          <w:sz w:val="24"/>
          <w:szCs w:val="24"/>
          <w:highlight w:val="none"/>
          <w:lang w:val="en-US" w:eastAsia="zh-CN"/>
        </w:rPr>
      </w:pPr>
    </w:p>
    <w:p w14:paraId="1AFE8552">
      <w:pPr>
        <w:pStyle w:val="29"/>
        <w:widowControl/>
        <w:spacing w:line="334" w:lineRule="exact"/>
        <w:rPr>
          <w:rFonts w:hint="eastAsia" w:ascii="宋体" w:hAnsi="宋体" w:eastAsia="宋体" w:cs="宋体"/>
          <w:color w:val="auto"/>
          <w:kern w:val="0"/>
          <w:sz w:val="24"/>
          <w:szCs w:val="24"/>
          <w:highlight w:val="none"/>
          <w:lang w:val="en-US" w:eastAsia="zh-CN"/>
        </w:rPr>
      </w:pPr>
    </w:p>
    <w:p w14:paraId="7D3E0629">
      <w:pPr>
        <w:pStyle w:val="29"/>
        <w:widowControl/>
        <w:spacing w:line="334" w:lineRule="exact"/>
        <w:rPr>
          <w:rFonts w:hint="eastAsia" w:ascii="宋体" w:hAnsi="宋体" w:eastAsia="宋体" w:cs="宋体"/>
          <w:color w:val="auto"/>
          <w:kern w:val="0"/>
          <w:sz w:val="24"/>
          <w:szCs w:val="24"/>
          <w:highlight w:val="none"/>
          <w:lang w:val="en-US" w:eastAsia="zh-CN"/>
        </w:rPr>
      </w:pPr>
    </w:p>
    <w:p w14:paraId="5069AB7E">
      <w:pPr>
        <w:pStyle w:val="29"/>
        <w:widowControl/>
        <w:spacing w:line="334" w:lineRule="exact"/>
        <w:rPr>
          <w:rFonts w:hint="eastAsia" w:ascii="宋体" w:hAnsi="宋体" w:eastAsia="宋体" w:cs="宋体"/>
          <w:color w:val="auto"/>
          <w:kern w:val="0"/>
          <w:sz w:val="24"/>
          <w:szCs w:val="24"/>
          <w:highlight w:val="none"/>
          <w:lang w:val="en-US" w:eastAsia="zh-CN"/>
        </w:rPr>
      </w:pPr>
    </w:p>
    <w:p w14:paraId="3B1CB693">
      <w:pPr>
        <w:pStyle w:val="29"/>
        <w:widowControl/>
        <w:spacing w:line="334" w:lineRule="exact"/>
        <w:rPr>
          <w:rFonts w:hint="eastAsia" w:ascii="宋体" w:hAnsi="宋体" w:eastAsia="宋体" w:cs="宋体"/>
          <w:color w:val="auto"/>
          <w:kern w:val="0"/>
          <w:sz w:val="24"/>
          <w:szCs w:val="24"/>
          <w:highlight w:val="none"/>
          <w:lang w:val="en-US" w:eastAsia="zh-CN"/>
        </w:rPr>
      </w:pPr>
    </w:p>
    <w:p w14:paraId="0DB062DD">
      <w:pPr>
        <w:pStyle w:val="29"/>
        <w:widowControl/>
        <w:spacing w:line="334" w:lineRule="exact"/>
        <w:rPr>
          <w:rFonts w:hint="eastAsia" w:ascii="宋体" w:hAnsi="宋体" w:eastAsia="宋体" w:cs="宋体"/>
          <w:color w:val="auto"/>
          <w:kern w:val="0"/>
          <w:sz w:val="24"/>
          <w:szCs w:val="24"/>
          <w:highlight w:val="none"/>
          <w:lang w:val="en-US" w:eastAsia="zh-CN"/>
        </w:rPr>
      </w:pPr>
    </w:p>
    <w:p w14:paraId="5A6B0B53">
      <w:pPr>
        <w:pStyle w:val="29"/>
        <w:widowControl/>
        <w:spacing w:line="334" w:lineRule="exact"/>
        <w:rPr>
          <w:rFonts w:hint="eastAsia" w:ascii="宋体" w:hAnsi="宋体" w:eastAsia="宋体" w:cs="宋体"/>
          <w:color w:val="auto"/>
          <w:kern w:val="0"/>
          <w:sz w:val="24"/>
          <w:szCs w:val="24"/>
          <w:highlight w:val="none"/>
          <w:lang w:val="en-US" w:eastAsia="zh-CN"/>
        </w:rPr>
      </w:pPr>
    </w:p>
    <w:p w14:paraId="2D8F64E8">
      <w:pPr>
        <w:pStyle w:val="29"/>
        <w:widowControl/>
        <w:spacing w:line="334" w:lineRule="exact"/>
        <w:rPr>
          <w:rFonts w:hint="eastAsia" w:ascii="宋体" w:hAnsi="宋体" w:eastAsia="宋体" w:cs="宋体"/>
          <w:color w:val="auto"/>
          <w:kern w:val="0"/>
          <w:sz w:val="24"/>
          <w:szCs w:val="24"/>
          <w:highlight w:val="none"/>
          <w:lang w:val="en-US" w:eastAsia="zh-CN"/>
        </w:rPr>
      </w:pPr>
    </w:p>
    <w:p w14:paraId="7383B29F">
      <w:pPr>
        <w:pStyle w:val="29"/>
        <w:widowControl/>
        <w:spacing w:line="334" w:lineRule="exact"/>
        <w:rPr>
          <w:rFonts w:hint="eastAsia" w:ascii="宋体" w:hAnsi="宋体" w:eastAsia="宋体" w:cs="宋体"/>
          <w:color w:val="auto"/>
          <w:kern w:val="0"/>
          <w:sz w:val="24"/>
          <w:szCs w:val="24"/>
          <w:highlight w:val="none"/>
          <w:lang w:val="en-US" w:eastAsia="zh-CN"/>
        </w:rPr>
      </w:pPr>
    </w:p>
    <w:p w14:paraId="58458D51">
      <w:pPr>
        <w:pStyle w:val="29"/>
        <w:widowControl/>
        <w:spacing w:line="334" w:lineRule="exact"/>
        <w:rPr>
          <w:rFonts w:hint="eastAsia" w:ascii="宋体" w:hAnsi="宋体" w:eastAsia="宋体" w:cs="宋体"/>
          <w:color w:val="auto"/>
          <w:kern w:val="0"/>
          <w:sz w:val="24"/>
          <w:szCs w:val="24"/>
          <w:highlight w:val="none"/>
          <w:lang w:val="en-US" w:eastAsia="zh-CN"/>
        </w:rPr>
      </w:pPr>
    </w:p>
    <w:p w14:paraId="3B5062C2">
      <w:pPr>
        <w:pStyle w:val="29"/>
        <w:widowControl/>
        <w:spacing w:line="334" w:lineRule="exact"/>
        <w:rPr>
          <w:rFonts w:hint="eastAsia" w:ascii="宋体" w:hAnsi="宋体" w:eastAsia="宋体" w:cs="宋体"/>
          <w:color w:val="auto"/>
          <w:kern w:val="0"/>
          <w:sz w:val="24"/>
          <w:szCs w:val="24"/>
          <w:highlight w:val="none"/>
          <w:lang w:val="en-US" w:eastAsia="zh-CN"/>
        </w:rPr>
      </w:pPr>
    </w:p>
    <w:p w14:paraId="7E4DAA8D">
      <w:pPr>
        <w:pStyle w:val="29"/>
        <w:widowControl/>
        <w:spacing w:line="334" w:lineRule="exact"/>
        <w:rPr>
          <w:rFonts w:hint="eastAsia" w:ascii="宋体" w:hAnsi="宋体" w:eastAsia="宋体" w:cs="宋体"/>
          <w:color w:val="auto"/>
          <w:kern w:val="0"/>
          <w:sz w:val="24"/>
          <w:szCs w:val="24"/>
          <w:highlight w:val="none"/>
          <w:lang w:val="en-US" w:eastAsia="zh-CN"/>
        </w:rPr>
      </w:pPr>
    </w:p>
    <w:p w14:paraId="654FCC12">
      <w:pPr>
        <w:pStyle w:val="29"/>
        <w:widowControl/>
        <w:spacing w:line="334" w:lineRule="exact"/>
        <w:rPr>
          <w:rFonts w:hint="eastAsia" w:ascii="宋体" w:hAnsi="宋体" w:eastAsia="宋体" w:cs="宋体"/>
          <w:color w:val="auto"/>
          <w:kern w:val="0"/>
          <w:sz w:val="24"/>
          <w:szCs w:val="24"/>
          <w:highlight w:val="none"/>
          <w:lang w:val="en-US" w:eastAsia="zh-CN"/>
        </w:rPr>
      </w:pPr>
    </w:p>
    <w:p w14:paraId="52D45949">
      <w:pPr>
        <w:pStyle w:val="29"/>
        <w:widowControl/>
        <w:spacing w:line="334" w:lineRule="exact"/>
        <w:rPr>
          <w:rFonts w:hint="eastAsia" w:ascii="宋体" w:hAnsi="宋体" w:eastAsia="宋体" w:cs="宋体"/>
          <w:color w:val="auto"/>
          <w:kern w:val="0"/>
          <w:sz w:val="24"/>
          <w:szCs w:val="24"/>
          <w:highlight w:val="none"/>
          <w:lang w:val="en-US" w:eastAsia="zh-CN"/>
        </w:rPr>
      </w:pPr>
    </w:p>
    <w:p w14:paraId="450DAC05">
      <w:pPr>
        <w:pStyle w:val="29"/>
        <w:widowControl/>
        <w:spacing w:line="334" w:lineRule="exact"/>
        <w:rPr>
          <w:rFonts w:hint="eastAsia" w:ascii="宋体" w:hAnsi="宋体" w:eastAsia="宋体" w:cs="宋体"/>
          <w:color w:val="auto"/>
          <w:kern w:val="0"/>
          <w:sz w:val="24"/>
          <w:szCs w:val="24"/>
          <w:highlight w:val="none"/>
          <w:lang w:val="en-US" w:eastAsia="zh-CN"/>
        </w:rPr>
      </w:pPr>
    </w:p>
    <w:p w14:paraId="524DFD08">
      <w:pPr>
        <w:pStyle w:val="29"/>
        <w:widowControl/>
        <w:spacing w:line="334" w:lineRule="exact"/>
        <w:rPr>
          <w:rFonts w:hint="eastAsia" w:ascii="宋体" w:hAnsi="宋体" w:eastAsia="宋体" w:cs="宋体"/>
          <w:color w:val="auto"/>
          <w:kern w:val="0"/>
          <w:sz w:val="24"/>
          <w:szCs w:val="24"/>
          <w:highlight w:val="none"/>
          <w:lang w:val="en-US" w:eastAsia="zh-CN"/>
        </w:rPr>
      </w:pPr>
    </w:p>
    <w:p w14:paraId="041E3C4A">
      <w:pPr>
        <w:pStyle w:val="29"/>
        <w:widowControl/>
        <w:spacing w:line="334" w:lineRule="exact"/>
        <w:rPr>
          <w:rFonts w:hint="eastAsia" w:ascii="宋体" w:hAnsi="宋体" w:eastAsia="宋体" w:cs="宋体"/>
          <w:color w:val="auto"/>
          <w:kern w:val="0"/>
          <w:sz w:val="24"/>
          <w:szCs w:val="24"/>
          <w:highlight w:val="none"/>
          <w:lang w:val="en-US" w:eastAsia="zh-CN"/>
        </w:rPr>
      </w:pPr>
    </w:p>
    <w:p w14:paraId="250ED52F">
      <w:pPr>
        <w:keepNext w:val="0"/>
        <w:keepLines w:val="0"/>
        <w:pageBreakBefore w:val="0"/>
        <w:widowControl w:val="0"/>
        <w:numPr>
          <w:ilvl w:val="0"/>
          <w:numId w:val="4"/>
        </w:numPr>
        <w:kinsoku/>
        <w:wordWrap/>
        <w:overflowPunct/>
        <w:topLinePunct w:val="0"/>
        <w:autoSpaceDE w:val="0"/>
        <w:autoSpaceDN w:val="0"/>
        <w:bidi w:val="0"/>
        <w:adjustRightInd/>
        <w:snapToGrid/>
        <w:spacing w:line="440" w:lineRule="exact"/>
        <w:ind w:firstLine="640" w:firstLineChars="200"/>
        <w:jc w:val="center"/>
        <w:textAlignment w:val="auto"/>
        <w:rPr>
          <w:rFonts w:hint="eastAsia" w:ascii="微软雅黑" w:hAnsi="微软雅黑" w:eastAsia="微软雅黑" w:cs="微软雅黑"/>
          <w:b/>
          <w:bCs/>
          <w:color w:val="auto"/>
          <w:sz w:val="32"/>
          <w:szCs w:val="32"/>
          <w:highlight w:val="none"/>
        </w:rPr>
      </w:pPr>
      <w:r>
        <w:rPr>
          <w:rFonts w:hint="eastAsia" w:ascii="微软雅黑" w:hAnsi="微软雅黑" w:eastAsia="微软雅黑" w:cs="微软雅黑"/>
          <w:b/>
          <w:bCs/>
          <w:color w:val="auto"/>
          <w:sz w:val="32"/>
          <w:szCs w:val="32"/>
          <w:highlight w:val="none"/>
        </w:rPr>
        <w:t xml:space="preserve">磋商须知 </w:t>
      </w:r>
    </w:p>
    <w:p w14:paraId="718015C5">
      <w:pPr>
        <w:pStyle w:val="7"/>
        <w:numPr>
          <w:ilvl w:val="0"/>
          <w:numId w:val="0"/>
        </w:numPr>
        <w:ind w:right="0" w:rightChars="0"/>
        <w:rPr>
          <w:rFonts w:hint="eastAsia"/>
          <w:color w:val="auto"/>
          <w:highlight w:val="none"/>
        </w:rPr>
      </w:pPr>
    </w:p>
    <w:p w14:paraId="02E861DC">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color w:val="auto"/>
          <w:highlight w:val="none"/>
        </w:rPr>
      </w:pPr>
      <w:r>
        <w:rPr>
          <w:rFonts w:hint="eastAsia" w:ascii="宋体" w:hAnsi="宋体" w:eastAsia="宋体" w:cs="宋体"/>
          <w:b/>
          <w:bCs/>
          <w:color w:val="auto"/>
          <w:sz w:val="30"/>
          <w:szCs w:val="30"/>
          <w:highlight w:val="none"/>
        </w:rPr>
        <w:t>一</w:t>
      </w:r>
      <w:r>
        <w:rPr>
          <w:rFonts w:hint="eastAsia" w:ascii="宋体" w:hAnsi="宋体" w:eastAsia="宋体" w:cs="宋体"/>
          <w:b/>
          <w:bCs/>
          <w:color w:val="auto"/>
          <w:sz w:val="30"/>
          <w:szCs w:val="30"/>
          <w:highlight w:val="none"/>
          <w:lang w:eastAsia="zh-CN"/>
        </w:rPr>
        <w:t>、</w:t>
      </w:r>
      <w:r>
        <w:rPr>
          <w:rFonts w:hint="eastAsia" w:ascii="宋体" w:hAnsi="宋体" w:eastAsia="宋体" w:cs="宋体"/>
          <w:b/>
          <w:bCs/>
          <w:color w:val="auto"/>
          <w:sz w:val="30"/>
          <w:szCs w:val="30"/>
          <w:highlight w:val="none"/>
        </w:rPr>
        <w:t>说 明</w:t>
      </w:r>
    </w:p>
    <w:p w14:paraId="6A7A440E">
      <w:pPr>
        <w:pStyle w:val="7"/>
        <w:rPr>
          <w:rFonts w:hint="eastAsia"/>
          <w:color w:val="auto"/>
          <w:highlight w:val="none"/>
        </w:rPr>
      </w:pPr>
    </w:p>
    <w:p w14:paraId="73F69896">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1 </w:t>
      </w:r>
      <w:r>
        <w:rPr>
          <w:rFonts w:hint="eastAsia" w:ascii="宋体" w:hAnsi="宋体" w:eastAsia="宋体" w:cs="宋体"/>
          <w:b/>
          <w:bCs/>
          <w:color w:val="auto"/>
          <w:sz w:val="24"/>
          <w:szCs w:val="24"/>
          <w:highlight w:val="none"/>
        </w:rPr>
        <w:t xml:space="preserve">适用范围 </w:t>
      </w:r>
    </w:p>
    <w:p w14:paraId="1267324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 </w:t>
      </w:r>
      <w:r>
        <w:rPr>
          <w:rFonts w:hint="eastAsia" w:ascii="宋体" w:hAnsi="宋体" w:eastAsia="宋体" w:cs="宋体"/>
          <w:color w:val="auto"/>
          <w:sz w:val="24"/>
          <w:szCs w:val="24"/>
          <w:highlight w:val="none"/>
        </w:rPr>
        <w:t xml:space="preserve">本文件适用于本竞争性磋商的采购项目。 </w:t>
      </w:r>
    </w:p>
    <w:p w14:paraId="655ACDBC">
      <w:pPr>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 </w:t>
      </w:r>
      <w:r>
        <w:rPr>
          <w:rFonts w:hint="eastAsia" w:ascii="宋体" w:hAnsi="宋体" w:eastAsia="宋体" w:cs="宋体"/>
          <w:color w:val="auto"/>
          <w:sz w:val="24"/>
          <w:szCs w:val="24"/>
          <w:highlight w:val="none"/>
        </w:rPr>
        <w:t xml:space="preserve">本项目的采购人、供应商及各方当事人均适用本须知。 </w:t>
      </w:r>
    </w:p>
    <w:p w14:paraId="2E7712E0">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 </w:t>
      </w:r>
      <w:r>
        <w:rPr>
          <w:rFonts w:hint="eastAsia" w:ascii="宋体" w:hAnsi="宋体" w:eastAsia="宋体" w:cs="宋体"/>
          <w:b/>
          <w:bCs/>
          <w:color w:val="auto"/>
          <w:sz w:val="24"/>
          <w:szCs w:val="24"/>
          <w:highlight w:val="none"/>
        </w:rPr>
        <w:t>定义</w:t>
      </w:r>
      <w:r>
        <w:rPr>
          <w:rFonts w:hint="eastAsia" w:ascii="宋体" w:hAnsi="宋体" w:eastAsia="宋体" w:cs="宋体"/>
          <w:color w:val="auto"/>
          <w:sz w:val="24"/>
          <w:szCs w:val="24"/>
          <w:highlight w:val="none"/>
        </w:rPr>
        <w:t xml:space="preserve"> </w:t>
      </w:r>
    </w:p>
    <w:p w14:paraId="2BD5D4D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2.1 </w:t>
      </w:r>
      <w:r>
        <w:rPr>
          <w:rFonts w:hint="eastAsia" w:ascii="宋体" w:hAnsi="宋体" w:eastAsia="宋体" w:cs="宋体"/>
          <w:color w:val="auto"/>
          <w:sz w:val="24"/>
          <w:szCs w:val="24"/>
          <w:highlight w:val="none"/>
        </w:rPr>
        <w:t xml:space="preserve">监管部门：指同级或以上人民政府财政部门。 </w:t>
      </w:r>
    </w:p>
    <w:p w14:paraId="41D6C86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 </w:t>
      </w:r>
      <w:r>
        <w:rPr>
          <w:rFonts w:hint="eastAsia" w:ascii="宋体" w:hAnsi="宋体" w:eastAsia="宋体" w:cs="宋体"/>
          <w:color w:val="auto"/>
          <w:sz w:val="24"/>
          <w:szCs w:val="24"/>
          <w:highlight w:val="none"/>
        </w:rPr>
        <w:t>资金来源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是指采购人已拥有一笔财政性资金或资金来源已落实。 </w:t>
      </w:r>
    </w:p>
    <w:p w14:paraId="76BDF55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2.3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en-US" w:eastAsia="zh-CN"/>
        </w:rPr>
        <w:t>依法进行政府采购的国家机关、事业单位、团体组织</w:t>
      </w:r>
      <w:r>
        <w:rPr>
          <w:rFonts w:hint="eastAsia" w:ascii="宋体" w:hAnsi="宋体" w:eastAsia="宋体" w:cs="宋体"/>
          <w:color w:val="auto"/>
          <w:sz w:val="24"/>
          <w:szCs w:val="24"/>
          <w:highlight w:val="none"/>
        </w:rPr>
        <w:t xml:space="preserve">。 </w:t>
      </w:r>
    </w:p>
    <w:p w14:paraId="0120F6B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2.4 </w:t>
      </w:r>
      <w:r>
        <w:rPr>
          <w:rFonts w:hint="eastAsia" w:cs="宋体"/>
          <w:color w:val="auto"/>
          <w:sz w:val="24"/>
          <w:szCs w:val="24"/>
          <w:highlight w:val="none"/>
          <w:lang w:val="en-US" w:eastAsia="zh-CN"/>
        </w:rPr>
        <w:t>代理</w:t>
      </w:r>
      <w:r>
        <w:rPr>
          <w:rFonts w:hint="eastAsia" w:ascii="宋体" w:hAnsi="宋体" w:eastAsia="宋体" w:cs="宋体"/>
          <w:color w:val="auto"/>
          <w:sz w:val="24"/>
          <w:szCs w:val="24"/>
          <w:highlight w:val="none"/>
          <w:lang w:val="en-US" w:eastAsia="zh-CN"/>
        </w:rPr>
        <w:t>采购机构</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新疆华域天恒工程管理有限公司</w:t>
      </w:r>
      <w:r>
        <w:rPr>
          <w:rFonts w:hint="eastAsia" w:ascii="宋体" w:hAnsi="宋体" w:eastAsia="宋体" w:cs="宋体"/>
          <w:color w:val="auto"/>
          <w:sz w:val="24"/>
          <w:szCs w:val="24"/>
          <w:highlight w:val="none"/>
        </w:rPr>
        <w:t xml:space="preserve">。 </w:t>
      </w:r>
    </w:p>
    <w:p w14:paraId="3D2505D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 </w:t>
      </w:r>
      <w:r>
        <w:rPr>
          <w:rFonts w:hint="eastAsia" w:ascii="宋体" w:hAnsi="宋体" w:eastAsia="宋体" w:cs="宋体"/>
          <w:color w:val="auto"/>
          <w:sz w:val="24"/>
          <w:szCs w:val="24"/>
          <w:highlight w:val="none"/>
        </w:rPr>
        <w:t>磋商小组：磋商小组是依法组建的专门负责本次磋商及评审工作的</w:t>
      </w:r>
      <w:r>
        <w:rPr>
          <w:rFonts w:hint="eastAsia" w:ascii="宋体" w:hAnsi="宋体" w:eastAsia="宋体" w:cs="宋体"/>
          <w:color w:val="auto"/>
          <w:sz w:val="24"/>
          <w:szCs w:val="24"/>
          <w:highlight w:val="none"/>
          <w:lang w:val="en-US" w:eastAsia="zh-CN"/>
        </w:rPr>
        <w:t>人员</w:t>
      </w:r>
      <w:r>
        <w:rPr>
          <w:rFonts w:hint="eastAsia" w:ascii="宋体" w:hAnsi="宋体" w:eastAsia="宋体" w:cs="宋体"/>
          <w:color w:val="auto"/>
          <w:sz w:val="24"/>
          <w:szCs w:val="24"/>
          <w:highlight w:val="none"/>
        </w:rPr>
        <w:t xml:space="preserve">。 </w:t>
      </w:r>
    </w:p>
    <w:p w14:paraId="4E5BEEC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 </w:t>
      </w:r>
      <w:r>
        <w:rPr>
          <w:rFonts w:hint="eastAsia" w:ascii="宋体" w:hAnsi="宋体" w:eastAsia="宋体" w:cs="宋体"/>
          <w:color w:val="auto"/>
          <w:sz w:val="24"/>
          <w:szCs w:val="24"/>
          <w:highlight w:val="none"/>
        </w:rPr>
        <w:t xml:space="preserve">供应商：符合资格要求，响应采购、依法成立的企业法人、其他组织或自然人。 </w:t>
      </w:r>
    </w:p>
    <w:p w14:paraId="7E298AD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2.7 </w:t>
      </w:r>
      <w:r>
        <w:rPr>
          <w:rFonts w:hint="eastAsia" w:ascii="宋体" w:hAnsi="宋体" w:eastAsia="宋体" w:cs="宋体"/>
          <w:color w:val="auto"/>
          <w:sz w:val="24"/>
          <w:szCs w:val="24"/>
          <w:highlight w:val="none"/>
        </w:rPr>
        <w:t xml:space="preserve">成交供应商：经合法磋商程序评选出来并经采购人确认的获得本项目成交资格的供应商。 </w:t>
      </w:r>
    </w:p>
    <w:p w14:paraId="0A251B0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 </w:t>
      </w:r>
      <w:r>
        <w:rPr>
          <w:rFonts w:hint="eastAsia" w:ascii="宋体" w:hAnsi="宋体" w:eastAsia="宋体" w:cs="宋体"/>
          <w:color w:val="auto"/>
          <w:sz w:val="24"/>
          <w:szCs w:val="24"/>
          <w:highlight w:val="none"/>
        </w:rPr>
        <w:t xml:space="preserve">日期：指公历日。 </w:t>
      </w:r>
    </w:p>
    <w:p w14:paraId="3687173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 </w:t>
      </w:r>
      <w:r>
        <w:rPr>
          <w:rFonts w:hint="eastAsia" w:ascii="宋体" w:hAnsi="宋体" w:eastAsia="宋体" w:cs="宋体"/>
          <w:color w:val="auto"/>
          <w:sz w:val="24"/>
          <w:szCs w:val="24"/>
          <w:highlight w:val="none"/>
        </w:rPr>
        <w:t xml:space="preserve">时间：指北京时间。 </w:t>
      </w:r>
    </w:p>
    <w:p w14:paraId="0F8C2F0A">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 </w:t>
      </w:r>
      <w:r>
        <w:rPr>
          <w:rFonts w:hint="eastAsia" w:ascii="宋体" w:hAnsi="宋体" w:eastAsia="宋体" w:cs="宋体"/>
          <w:b/>
          <w:bCs/>
          <w:color w:val="auto"/>
          <w:sz w:val="24"/>
          <w:szCs w:val="24"/>
          <w:highlight w:val="none"/>
        </w:rPr>
        <w:t>合格的供应商</w:t>
      </w:r>
      <w:r>
        <w:rPr>
          <w:rFonts w:hint="eastAsia" w:ascii="宋体" w:hAnsi="宋体" w:eastAsia="宋体" w:cs="宋体"/>
          <w:color w:val="auto"/>
          <w:sz w:val="24"/>
          <w:szCs w:val="24"/>
          <w:highlight w:val="none"/>
        </w:rPr>
        <w:t xml:space="preserve"> </w:t>
      </w:r>
    </w:p>
    <w:p w14:paraId="3612374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供应商须符合第一部分“磋商</w:t>
      </w:r>
      <w:r>
        <w:rPr>
          <w:rFonts w:hint="eastAsia" w:cs="宋体"/>
          <w:color w:val="auto"/>
          <w:sz w:val="24"/>
          <w:szCs w:val="24"/>
          <w:highlight w:val="none"/>
          <w:lang w:val="en-US" w:eastAsia="zh-CN"/>
        </w:rPr>
        <w:t>公告</w:t>
      </w:r>
      <w:r>
        <w:rPr>
          <w:rFonts w:hint="eastAsia" w:ascii="宋体" w:hAnsi="宋体" w:eastAsia="宋体" w:cs="宋体"/>
          <w:color w:val="auto"/>
          <w:sz w:val="24"/>
          <w:szCs w:val="24"/>
          <w:highlight w:val="none"/>
        </w:rPr>
        <w:t xml:space="preserve">”供应商资格要求的全部条款。 </w:t>
      </w:r>
    </w:p>
    <w:p w14:paraId="3BEB4C97">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4 </w:t>
      </w:r>
      <w:r>
        <w:rPr>
          <w:rFonts w:hint="eastAsia" w:ascii="宋体" w:hAnsi="宋体" w:eastAsia="宋体" w:cs="宋体"/>
          <w:b/>
          <w:bCs/>
          <w:color w:val="auto"/>
          <w:sz w:val="24"/>
          <w:szCs w:val="24"/>
          <w:highlight w:val="none"/>
        </w:rPr>
        <w:t>合格的货物</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服务</w:t>
      </w:r>
      <w:r>
        <w:rPr>
          <w:rFonts w:hint="eastAsia" w:ascii="宋体" w:hAnsi="宋体" w:eastAsia="宋体" w:cs="宋体"/>
          <w:b/>
          <w:bCs/>
          <w:color w:val="auto"/>
          <w:sz w:val="24"/>
          <w:szCs w:val="24"/>
          <w:highlight w:val="none"/>
          <w:lang w:val="en-US" w:eastAsia="zh-CN"/>
        </w:rPr>
        <w:t>和工程</w:t>
      </w:r>
      <w:r>
        <w:rPr>
          <w:rFonts w:hint="eastAsia" w:ascii="宋体" w:hAnsi="宋体" w:eastAsia="宋体" w:cs="宋体"/>
          <w:color w:val="auto"/>
          <w:sz w:val="24"/>
          <w:szCs w:val="24"/>
          <w:highlight w:val="none"/>
        </w:rPr>
        <w:t xml:space="preserve"> </w:t>
      </w:r>
    </w:p>
    <w:p w14:paraId="7BB6301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4.1 </w:t>
      </w:r>
      <w:r>
        <w:rPr>
          <w:rFonts w:hint="eastAsia" w:ascii="宋体" w:hAnsi="宋体" w:eastAsia="宋体" w:cs="宋体"/>
          <w:color w:val="auto"/>
          <w:sz w:val="24"/>
          <w:szCs w:val="24"/>
          <w:highlight w:val="none"/>
        </w:rPr>
        <w:t xml:space="preserve">“货物”是指供应商制造或符合磋商文件要求的货物等。供应商的货物必须是其合法生产、合法来源的符合国家有关标准要求的货物，并满足磋商文件规定的规格、参数、质量、价格、有效期、售后服务等要求。 </w:t>
      </w:r>
    </w:p>
    <w:p w14:paraId="5C82F20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4.2 </w:t>
      </w:r>
      <w:r>
        <w:rPr>
          <w:rFonts w:hint="eastAsia" w:ascii="宋体" w:hAnsi="宋体" w:eastAsia="宋体" w:cs="宋体"/>
          <w:color w:val="auto"/>
          <w:sz w:val="24"/>
          <w:szCs w:val="24"/>
          <w:highlight w:val="none"/>
        </w:rPr>
        <w:t>“服务”是指除货物和工程以外的其他政府采购对象，其中包括供应商须承担的运输、安装、技术支持、培训以及磋商文件规定的其它伴随服务。</w:t>
      </w:r>
    </w:p>
    <w:p w14:paraId="7B6ACEB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color w:val="auto"/>
          <w:highlight w:val="none"/>
        </w:rPr>
      </w:pPr>
      <w:r>
        <w:rPr>
          <w:rFonts w:hint="eastAsia" w:ascii="宋体" w:hAnsi="宋体" w:eastAsia="宋体" w:cs="宋体"/>
          <w:color w:val="auto"/>
          <w:sz w:val="24"/>
          <w:szCs w:val="24"/>
          <w:highlight w:val="none"/>
          <w:lang w:val="en-US" w:eastAsia="zh-CN"/>
        </w:rPr>
        <w:t xml:space="preserve">4.3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是指建设工程，包括建筑物和构筑物的新建、改建、扩建、装修、拆除、修缮等。</w:t>
      </w:r>
    </w:p>
    <w:p w14:paraId="65F2733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4.4 </w:t>
      </w:r>
      <w:r>
        <w:rPr>
          <w:rFonts w:hint="eastAsia" w:ascii="宋体" w:hAnsi="宋体" w:eastAsia="宋体" w:cs="宋体"/>
          <w:color w:val="auto"/>
          <w:sz w:val="24"/>
          <w:szCs w:val="24"/>
          <w:highlight w:val="none"/>
        </w:rPr>
        <w:t xml:space="preserve">政府采购应当采购本国产品，确需采购进口产品的，依据《政府采购进口产品管理办法》执行。 </w:t>
      </w:r>
    </w:p>
    <w:p w14:paraId="28593BD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4.5 </w:t>
      </w:r>
      <w:r>
        <w:rPr>
          <w:rFonts w:hint="eastAsia" w:ascii="宋体" w:hAnsi="宋体" w:eastAsia="宋体" w:cs="宋体"/>
          <w:color w:val="auto"/>
          <w:sz w:val="24"/>
          <w:szCs w:val="24"/>
          <w:highlight w:val="none"/>
        </w:rPr>
        <w:t xml:space="preserve">本文件所称进口产品是指通过中国海关报关验放进入中国境内且产自关境外的产品。 </w:t>
      </w:r>
    </w:p>
    <w:p w14:paraId="6E6DCFA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4.6 </w:t>
      </w:r>
      <w:r>
        <w:rPr>
          <w:rFonts w:hint="eastAsia" w:ascii="宋体" w:hAnsi="宋体" w:eastAsia="宋体" w:cs="宋体"/>
          <w:color w:val="auto"/>
          <w:sz w:val="24"/>
          <w:szCs w:val="24"/>
          <w:highlight w:val="none"/>
        </w:rPr>
        <w:t xml:space="preserve">供应商应保证，采购人在中华人民共和国使用货物或服务的任何一部分时，采购人免受第三方提出侵犯其专利权、商标权或其它知识产权的起诉。 </w:t>
      </w:r>
    </w:p>
    <w:p w14:paraId="600DFC1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5 </w:t>
      </w:r>
      <w:r>
        <w:rPr>
          <w:rFonts w:hint="eastAsia" w:ascii="宋体" w:hAnsi="宋体" w:eastAsia="宋体" w:cs="宋体"/>
          <w:b/>
          <w:bCs/>
          <w:color w:val="auto"/>
          <w:sz w:val="24"/>
          <w:szCs w:val="24"/>
          <w:highlight w:val="none"/>
        </w:rPr>
        <w:t>磋商费用</w:t>
      </w:r>
      <w:r>
        <w:rPr>
          <w:rFonts w:hint="eastAsia" w:ascii="宋体" w:hAnsi="宋体" w:eastAsia="宋体" w:cs="宋体"/>
          <w:color w:val="auto"/>
          <w:sz w:val="24"/>
          <w:szCs w:val="24"/>
          <w:highlight w:val="none"/>
        </w:rPr>
        <w:t xml:space="preserve"> </w:t>
      </w:r>
    </w:p>
    <w:p w14:paraId="5A72723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供应商应承担所有与准备和参加项目磋商有关的费用。不论磋商的结果如何，采购人及</w:t>
      </w:r>
      <w:r>
        <w:rPr>
          <w:rFonts w:hint="eastAsia" w:cs="宋体"/>
          <w:color w:val="auto"/>
          <w:sz w:val="24"/>
          <w:szCs w:val="24"/>
          <w:highlight w:val="none"/>
          <w:lang w:val="en-US" w:eastAsia="zh-CN"/>
        </w:rPr>
        <w:t>招标代理有限公司</w:t>
      </w:r>
      <w:r>
        <w:rPr>
          <w:rFonts w:hint="eastAsia" w:ascii="宋体" w:hAnsi="宋体" w:eastAsia="宋体" w:cs="宋体"/>
          <w:color w:val="auto"/>
          <w:sz w:val="24"/>
          <w:szCs w:val="24"/>
          <w:highlight w:val="none"/>
        </w:rPr>
        <w:t xml:space="preserve">均无义务和责任承担这些费用。  </w:t>
      </w:r>
    </w:p>
    <w:p w14:paraId="7D81CF5A">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6 </w:t>
      </w:r>
      <w:r>
        <w:rPr>
          <w:rFonts w:hint="eastAsia" w:ascii="宋体" w:hAnsi="宋体" w:eastAsia="宋体" w:cs="宋体"/>
          <w:b/>
          <w:bCs/>
          <w:color w:val="auto"/>
          <w:sz w:val="24"/>
          <w:szCs w:val="24"/>
          <w:highlight w:val="none"/>
        </w:rPr>
        <w:t>其他</w:t>
      </w:r>
      <w:r>
        <w:rPr>
          <w:rFonts w:hint="eastAsia" w:ascii="宋体" w:hAnsi="宋体" w:eastAsia="宋体" w:cs="宋体"/>
          <w:color w:val="auto"/>
          <w:sz w:val="24"/>
          <w:szCs w:val="24"/>
          <w:highlight w:val="none"/>
        </w:rPr>
        <w:t xml:space="preserve"> </w:t>
      </w:r>
    </w:p>
    <w:p w14:paraId="06BFFB4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.1. 所有时间均为24小时制北京时间，所有货币单位均为人民币元，所使用的计量单位均以《中华人民共和国法定计量单位》为准（特别注明除外）。 </w:t>
      </w:r>
    </w:p>
    <w:p w14:paraId="7901A6E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3F197F5">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3654" w:firstLineChars="130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二、</w:t>
      </w:r>
      <w:r>
        <w:rPr>
          <w:rFonts w:hint="eastAsia" w:ascii="宋体" w:hAnsi="宋体" w:eastAsia="宋体" w:cs="宋体"/>
          <w:b/>
          <w:bCs/>
          <w:color w:val="auto"/>
          <w:sz w:val="28"/>
          <w:szCs w:val="28"/>
          <w:highlight w:val="none"/>
        </w:rPr>
        <w:t>磋商文件</w:t>
      </w:r>
    </w:p>
    <w:p w14:paraId="6A7BA308">
      <w:pPr>
        <w:pStyle w:val="7"/>
        <w:numPr>
          <w:ilvl w:val="0"/>
          <w:numId w:val="0"/>
        </w:numPr>
        <w:ind w:right="0" w:rightChars="0"/>
        <w:rPr>
          <w:rFonts w:hint="eastAsia"/>
          <w:color w:val="auto"/>
          <w:highlight w:val="none"/>
        </w:rPr>
      </w:pPr>
    </w:p>
    <w:p w14:paraId="5FB5641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 </w:t>
      </w:r>
      <w:r>
        <w:rPr>
          <w:rFonts w:hint="eastAsia" w:ascii="宋体" w:hAnsi="宋体" w:eastAsia="宋体" w:cs="宋体"/>
          <w:color w:val="auto"/>
          <w:sz w:val="24"/>
          <w:szCs w:val="24"/>
          <w:highlight w:val="none"/>
        </w:rPr>
        <w:t xml:space="preserve">磋商文件的编制依据与构成 </w:t>
      </w:r>
    </w:p>
    <w:p w14:paraId="2BF745F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7.1 </w:t>
      </w:r>
      <w:r>
        <w:rPr>
          <w:rFonts w:hint="eastAsia" w:ascii="宋体" w:hAnsi="宋体" w:eastAsia="宋体" w:cs="宋体"/>
          <w:color w:val="auto"/>
          <w:sz w:val="24"/>
          <w:szCs w:val="24"/>
          <w:highlight w:val="none"/>
        </w:rPr>
        <w:t xml:space="preserve">本项目磋商文件的编制依据是《中华人民共和国政府采购法》及其实施条例、《政府采购竞争性磋商采购方式管理暂行办法》及其配套的法规、规章政策。 </w:t>
      </w:r>
    </w:p>
    <w:p w14:paraId="3D8E86F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7.2 </w:t>
      </w:r>
      <w:r>
        <w:rPr>
          <w:rFonts w:hint="eastAsia" w:ascii="宋体" w:hAnsi="宋体" w:eastAsia="宋体" w:cs="宋体"/>
          <w:color w:val="auto"/>
          <w:sz w:val="24"/>
          <w:szCs w:val="24"/>
          <w:highlight w:val="none"/>
        </w:rPr>
        <w:t xml:space="preserve">要求提供的服务、货物、磋商过程和合同条件在磋商文件中均有说明。磋商文件以中文文字编写。由下列文件以及在磋商过程中发出的澄清、修改和补充文件组成，内容包括： </w:t>
      </w:r>
    </w:p>
    <w:p w14:paraId="2140D6D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磋商</w:t>
      </w:r>
      <w:r>
        <w:rPr>
          <w:rFonts w:hint="eastAsia" w:cs="宋体"/>
          <w:color w:val="auto"/>
          <w:sz w:val="24"/>
          <w:szCs w:val="24"/>
          <w:highlight w:val="none"/>
          <w:lang w:val="en-US" w:eastAsia="zh-CN"/>
        </w:rPr>
        <w:t>公告</w:t>
      </w:r>
      <w:r>
        <w:rPr>
          <w:rFonts w:hint="eastAsia" w:ascii="宋体" w:hAnsi="宋体" w:eastAsia="宋体" w:cs="宋体"/>
          <w:color w:val="auto"/>
          <w:sz w:val="24"/>
          <w:szCs w:val="24"/>
          <w:highlight w:val="none"/>
        </w:rPr>
        <w:t xml:space="preserve">； </w:t>
      </w:r>
    </w:p>
    <w:p w14:paraId="25DDBD7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磋商须知； </w:t>
      </w:r>
    </w:p>
    <w:p w14:paraId="0423FCE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采购项目需求</w:t>
      </w:r>
      <w:r>
        <w:rPr>
          <w:rFonts w:hint="eastAsia" w:ascii="宋体" w:hAnsi="宋体" w:eastAsia="宋体" w:cs="宋体"/>
          <w:color w:val="auto"/>
          <w:sz w:val="24"/>
          <w:szCs w:val="24"/>
          <w:highlight w:val="none"/>
        </w:rPr>
        <w:t xml:space="preserve">； </w:t>
      </w:r>
    </w:p>
    <w:p w14:paraId="1308063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合同格式； </w:t>
      </w:r>
    </w:p>
    <w:p w14:paraId="522C776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响应文件格式； </w:t>
      </w:r>
    </w:p>
    <w:p w14:paraId="48DE777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其他文件格式。 </w:t>
      </w:r>
    </w:p>
    <w:p w14:paraId="06BC3A0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7.3 </w:t>
      </w:r>
      <w:r>
        <w:rPr>
          <w:rFonts w:hint="eastAsia" w:ascii="宋体" w:hAnsi="宋体" w:eastAsia="宋体" w:cs="宋体"/>
          <w:color w:val="auto"/>
          <w:sz w:val="24"/>
          <w:szCs w:val="24"/>
          <w:highlight w:val="none"/>
        </w:rPr>
        <w:t xml:space="preserve">供应商应认真阅读、并充分理解磋商文件的全部内容（包括所有的补充、修改内容、重要事项、格式、条款和技术规范、参数及要求等）。供应商没有按照磋商文件要求提交全部资料，或者响应文件没有对磋商文件在各方面都作出实质性响应是供应商的风险，有可能导致其响应被拒绝，或被确定为响应无效。 </w:t>
      </w:r>
    </w:p>
    <w:p w14:paraId="3BCDA76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8 </w:t>
      </w:r>
      <w:r>
        <w:rPr>
          <w:rFonts w:hint="eastAsia" w:ascii="宋体" w:hAnsi="宋体" w:eastAsia="宋体" w:cs="宋体"/>
          <w:color w:val="auto"/>
          <w:sz w:val="24"/>
          <w:szCs w:val="24"/>
          <w:highlight w:val="none"/>
        </w:rPr>
        <w:t xml:space="preserve">磋商文件的澄清和修改 </w:t>
      </w:r>
    </w:p>
    <w:p w14:paraId="16FD96A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8.1 </w:t>
      </w:r>
      <w:r>
        <w:rPr>
          <w:rFonts w:hint="eastAsia" w:ascii="宋体" w:hAnsi="宋体" w:eastAsia="宋体" w:cs="宋体"/>
          <w:color w:val="auto"/>
          <w:sz w:val="24"/>
          <w:szCs w:val="24"/>
          <w:highlight w:val="none"/>
        </w:rPr>
        <w:t>提交首次响应文件截止之日前，采购人、</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可以对已发出的磋商文件进行必要的澄清或者修改，澄清或者修改的内容作为磋商文件的组成部分。澄清或者修改的内容可能影响响应文件编制的，采购人、</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应当在提交首次响应文件截止时间至少5日前，以书面形式通知所有获取磋商文件的供应商；不足5日的，采购人、</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应当顺延提交首次响应文件截止时间。同时在磋商文件指定的政府采购信息发布媒体上发布变更公告。潜在供应商在收到上述通知后，应以书面形式向采购人或</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回复确认。 </w:t>
      </w:r>
    </w:p>
    <w:p w14:paraId="170EE73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8.2 </w:t>
      </w:r>
      <w:r>
        <w:rPr>
          <w:rFonts w:hint="eastAsia" w:ascii="宋体" w:hAnsi="宋体" w:eastAsia="宋体" w:cs="宋体"/>
          <w:color w:val="auto"/>
          <w:sz w:val="24"/>
          <w:szCs w:val="24"/>
          <w:highlight w:val="none"/>
        </w:rPr>
        <w:t>磋商文件的澄清或者修改内容作为磋商文件的组成部分，并对供应商具有约束力。当磋商文件、磋商文件的澄清或修改在同一内容的表述上不一致时，以最后发出的文件内容为准。</w:t>
      </w:r>
    </w:p>
    <w:p w14:paraId="66C6704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9 </w:t>
      </w:r>
      <w:r>
        <w:rPr>
          <w:rFonts w:hint="eastAsia" w:ascii="宋体" w:hAnsi="宋体" w:eastAsia="宋体" w:cs="宋体"/>
          <w:color w:val="auto"/>
          <w:sz w:val="24"/>
          <w:szCs w:val="24"/>
          <w:highlight w:val="none"/>
        </w:rPr>
        <w:t xml:space="preserve">答疑会或现场考察 </w:t>
      </w:r>
    </w:p>
    <w:p w14:paraId="1E55B49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9.1 </w:t>
      </w:r>
      <w:r>
        <w:rPr>
          <w:rFonts w:hint="eastAsia" w:ascii="宋体" w:hAnsi="宋体" w:eastAsia="宋体" w:cs="宋体"/>
          <w:color w:val="auto"/>
          <w:sz w:val="24"/>
          <w:szCs w:val="24"/>
          <w:highlight w:val="none"/>
        </w:rPr>
        <w:t xml:space="preserve">除磋商须知前附表中另有规定，本项目不举行磋商前答疑会及现场考察。 </w:t>
      </w:r>
    </w:p>
    <w:p w14:paraId="2464188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9.2 </w:t>
      </w:r>
      <w:r>
        <w:rPr>
          <w:rFonts w:hint="eastAsia" w:ascii="宋体" w:hAnsi="宋体" w:eastAsia="宋体" w:cs="宋体"/>
          <w:color w:val="auto"/>
          <w:sz w:val="24"/>
          <w:szCs w:val="24"/>
          <w:highlight w:val="none"/>
        </w:rPr>
        <w:t>如举行磋商前答疑会或现场考察的，则按以下规定：已获取磋商文件的潜在供应商对本项目提出疑问的，需在答疑会或现场考察召开日前至少一个工作日将问题以书面形式（加盖公章）提交至</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，采购人或者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将以书面形式通知所有获取磋商文件的潜在供应商代表于磋商须知前附表规定的时间和地点出席答疑会或现场考察。 </w:t>
      </w:r>
    </w:p>
    <w:p w14:paraId="6E64C79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9.3 </w:t>
      </w:r>
      <w:r>
        <w:rPr>
          <w:rFonts w:hint="eastAsia" w:ascii="宋体" w:hAnsi="宋体" w:eastAsia="宋体" w:cs="宋体"/>
          <w:color w:val="auto"/>
          <w:sz w:val="24"/>
          <w:szCs w:val="24"/>
          <w:highlight w:val="none"/>
        </w:rPr>
        <w:t xml:space="preserve">已获取磋商文件的供应商如不出席答疑会或现场考察视为对磋商文件所有内容无任何异议。 </w:t>
      </w:r>
    </w:p>
    <w:p w14:paraId="7E2634A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45E0B12">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3092" w:firstLineChars="110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响应文件的编制</w:t>
      </w:r>
    </w:p>
    <w:p w14:paraId="478F9191">
      <w:pPr>
        <w:pStyle w:val="7"/>
        <w:numPr>
          <w:ilvl w:val="0"/>
          <w:numId w:val="0"/>
        </w:numPr>
        <w:ind w:leftChars="200" w:right="0" w:rightChars="0"/>
        <w:rPr>
          <w:rFonts w:hint="eastAsia"/>
          <w:color w:val="auto"/>
          <w:highlight w:val="none"/>
        </w:rPr>
      </w:pPr>
    </w:p>
    <w:p w14:paraId="25BD9F0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10 </w:t>
      </w:r>
      <w:r>
        <w:rPr>
          <w:rFonts w:hint="eastAsia" w:ascii="宋体" w:hAnsi="宋体" w:eastAsia="宋体" w:cs="宋体"/>
          <w:color w:val="auto"/>
          <w:sz w:val="24"/>
          <w:szCs w:val="24"/>
          <w:highlight w:val="none"/>
        </w:rPr>
        <w:t xml:space="preserve">响应文件的构成 </w:t>
      </w:r>
    </w:p>
    <w:p w14:paraId="055DAB1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 供应商编写的响应文件应包括价格部分、商务部分和技术部分。供应商</w:t>
      </w:r>
      <w:r>
        <w:rPr>
          <w:rFonts w:hint="eastAsia" w:cs="宋体"/>
          <w:color w:val="auto"/>
          <w:sz w:val="24"/>
          <w:szCs w:val="24"/>
          <w:highlight w:val="none"/>
          <w:lang w:val="en-US" w:eastAsia="zh-CN"/>
        </w:rPr>
        <w:t>可以</w:t>
      </w:r>
      <w:r>
        <w:rPr>
          <w:rFonts w:hint="eastAsia" w:ascii="宋体" w:hAnsi="宋体" w:eastAsia="宋体" w:cs="宋体"/>
          <w:color w:val="auto"/>
          <w:sz w:val="24"/>
          <w:szCs w:val="24"/>
          <w:highlight w:val="none"/>
        </w:rPr>
        <w:t>参考磋商文件第五部分</w:t>
      </w:r>
      <w:r>
        <w:rPr>
          <w:rFonts w:hint="eastAsia" w:ascii="宋体" w:hAnsi="宋体" w:eastAsia="宋体" w:cs="宋体"/>
          <w:b/>
          <w:bCs/>
          <w:color w:val="auto"/>
          <w:sz w:val="24"/>
          <w:szCs w:val="24"/>
          <w:highlight w:val="none"/>
        </w:rPr>
        <w:t>响应文件格式</w:t>
      </w:r>
      <w:r>
        <w:rPr>
          <w:rFonts w:hint="eastAsia" w:ascii="宋体" w:hAnsi="宋体" w:eastAsia="宋体" w:cs="宋体"/>
          <w:color w:val="auto"/>
          <w:sz w:val="24"/>
          <w:szCs w:val="24"/>
          <w:highlight w:val="none"/>
        </w:rPr>
        <w:t xml:space="preserve">顺序编排响应文件。 </w:t>
      </w:r>
    </w:p>
    <w:p w14:paraId="6CA2C47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 </w:t>
      </w:r>
      <w:r>
        <w:rPr>
          <w:rFonts w:hint="eastAsia" w:ascii="宋体" w:hAnsi="宋体" w:eastAsia="宋体" w:cs="宋体"/>
          <w:color w:val="auto"/>
          <w:sz w:val="24"/>
          <w:szCs w:val="24"/>
          <w:highlight w:val="none"/>
        </w:rPr>
        <w:t xml:space="preserve">响应文件的语言及编写原则 </w:t>
      </w:r>
    </w:p>
    <w:p w14:paraId="021685D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11.1 </w:t>
      </w:r>
      <w:r>
        <w:rPr>
          <w:rFonts w:hint="eastAsia" w:ascii="宋体" w:hAnsi="宋体" w:eastAsia="宋体" w:cs="宋体"/>
          <w:color w:val="auto"/>
          <w:sz w:val="24"/>
          <w:szCs w:val="24"/>
          <w:highlight w:val="none"/>
        </w:rPr>
        <w:t>响应文件的语言：响应文件、供应商与</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就磋商项目的文件和来往信件，应以中文书写。供应商提供的支持文件、技术资料和印刷的文献可以用其他语言，但相应实质性内容须附有中文翻译本，在解释响应文件的修改内容时以中文翻译本为准。对中文翻译有异议的，以权威机构的译本为准。 </w:t>
      </w:r>
    </w:p>
    <w:p w14:paraId="3DFA538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11.2 </w:t>
      </w:r>
      <w:r>
        <w:rPr>
          <w:rFonts w:hint="eastAsia" w:ascii="宋体" w:hAnsi="宋体" w:eastAsia="宋体" w:cs="宋体"/>
          <w:color w:val="auto"/>
          <w:sz w:val="24"/>
          <w:szCs w:val="24"/>
          <w:highlight w:val="none"/>
        </w:rPr>
        <w:t xml:space="preserve">计量单位：除在磋商文件的技术规格中另有规定外，计量单位应使用中华人民共和国法定计量单位(国际单位制和国家选定的其他计量单位)。 </w:t>
      </w:r>
    </w:p>
    <w:p w14:paraId="7F6C98D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11.3 </w:t>
      </w:r>
      <w:r>
        <w:rPr>
          <w:rFonts w:hint="eastAsia" w:ascii="宋体" w:hAnsi="宋体" w:eastAsia="宋体" w:cs="宋体"/>
          <w:color w:val="auto"/>
          <w:sz w:val="24"/>
          <w:szCs w:val="24"/>
          <w:highlight w:val="none"/>
        </w:rPr>
        <w:t>供应商应完整、真实、准确地填写磋商文件中提供的磋商函、</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一览表(首次报价表)、</w:t>
      </w:r>
      <w:r>
        <w:rPr>
          <w:rFonts w:hint="eastAsia" w:ascii="宋体" w:hAnsi="宋体" w:eastAsia="宋体" w:cs="宋体"/>
          <w:color w:val="auto"/>
          <w:sz w:val="24"/>
          <w:szCs w:val="24"/>
          <w:highlight w:val="none"/>
          <w:lang w:eastAsia="zh-CN"/>
        </w:rPr>
        <w:t>报价明细表</w:t>
      </w:r>
      <w:r>
        <w:rPr>
          <w:rFonts w:hint="eastAsia" w:ascii="宋体" w:hAnsi="宋体" w:eastAsia="宋体" w:cs="宋体"/>
          <w:color w:val="auto"/>
          <w:sz w:val="24"/>
          <w:szCs w:val="24"/>
          <w:highlight w:val="none"/>
        </w:rPr>
        <w:t xml:space="preserve">（如适用）以及磋商文件中规定的其它所有内容。 </w:t>
      </w:r>
    </w:p>
    <w:p w14:paraId="31C19A0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11.4 </w:t>
      </w:r>
      <w:r>
        <w:rPr>
          <w:rFonts w:hint="eastAsia" w:ascii="宋体" w:hAnsi="宋体" w:eastAsia="宋体" w:cs="宋体"/>
          <w:color w:val="auto"/>
          <w:sz w:val="24"/>
          <w:szCs w:val="24"/>
          <w:highlight w:val="none"/>
        </w:rPr>
        <w:t xml:space="preserve">供应商对磋商文件中多个包组进行投标的，其响应文件的编制应当按每个包组的要求分别编制、装订和封装。供应商应对响应文件进装订，对未经装订的响应文件可能发生的文件散落或缺损，由此造成的后果和责任由供应商承担。 </w:t>
      </w:r>
    </w:p>
    <w:p w14:paraId="4D6E267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11.5 </w:t>
      </w:r>
      <w:r>
        <w:rPr>
          <w:rFonts w:hint="eastAsia" w:ascii="宋体" w:hAnsi="宋体" w:eastAsia="宋体" w:cs="宋体"/>
          <w:color w:val="auto"/>
          <w:sz w:val="24"/>
          <w:szCs w:val="24"/>
          <w:highlight w:val="none"/>
        </w:rPr>
        <w:t>供应商必须对响应文件所提供的全部资料的真实性承担法律责任，并无条件接受采购人、</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及监管部门等对其中任何资料进行核实的要求。 </w:t>
      </w:r>
    </w:p>
    <w:p w14:paraId="26D248D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11.6 </w:t>
      </w:r>
      <w:r>
        <w:rPr>
          <w:rFonts w:hint="eastAsia" w:ascii="宋体" w:hAnsi="宋体" w:eastAsia="宋体" w:cs="宋体"/>
          <w:color w:val="auto"/>
          <w:sz w:val="24"/>
          <w:szCs w:val="24"/>
          <w:highlight w:val="none"/>
        </w:rPr>
        <w:t xml:space="preserve">如果因为供应商的响应文件只填写和提供了本磋商文件要求的部分内容和附件，或没有提供磋商文件中所要求的全部资料及数据，由此造成的后果和责任由供应商承担。 </w:t>
      </w:r>
    </w:p>
    <w:p w14:paraId="2A6996F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 </w:t>
      </w:r>
      <w:r>
        <w:rPr>
          <w:rFonts w:hint="eastAsia" w:ascii="宋体" w:hAnsi="宋体" w:eastAsia="宋体" w:cs="宋体"/>
          <w:color w:val="auto"/>
          <w:sz w:val="24"/>
          <w:szCs w:val="24"/>
          <w:highlight w:val="none"/>
        </w:rPr>
        <w:t xml:space="preserve">首次报价 </w:t>
      </w:r>
    </w:p>
    <w:p w14:paraId="107302E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12.1 </w:t>
      </w:r>
      <w:r>
        <w:rPr>
          <w:rFonts w:hint="eastAsia" w:ascii="宋体" w:hAnsi="宋体" w:eastAsia="宋体" w:cs="宋体"/>
          <w:color w:val="auto"/>
          <w:sz w:val="24"/>
          <w:szCs w:val="24"/>
          <w:highlight w:val="none"/>
        </w:rPr>
        <w:t>供应商对所提供的</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均以人民币报价。 </w:t>
      </w:r>
    </w:p>
    <w:p w14:paraId="2540C05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12.2 </w:t>
      </w:r>
      <w:r>
        <w:rPr>
          <w:rFonts w:hint="eastAsia" w:ascii="宋体" w:hAnsi="宋体" w:eastAsia="宋体" w:cs="宋体"/>
          <w:color w:val="auto"/>
          <w:sz w:val="24"/>
          <w:szCs w:val="24"/>
          <w:highlight w:val="none"/>
        </w:rPr>
        <w:t xml:space="preserve">首次报价超过本项目预算金额的按无效响应处理。 </w:t>
      </w:r>
    </w:p>
    <w:p w14:paraId="4D06897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12.3 </w:t>
      </w:r>
      <w:r>
        <w:rPr>
          <w:rFonts w:hint="eastAsia" w:ascii="宋体" w:hAnsi="宋体" w:eastAsia="宋体" w:cs="宋体"/>
          <w:color w:val="auto"/>
          <w:sz w:val="24"/>
          <w:szCs w:val="24"/>
          <w:highlight w:val="none"/>
        </w:rPr>
        <w:t>供应商应按照“</w:t>
      </w:r>
      <w:r>
        <w:rPr>
          <w:rFonts w:hint="eastAsia" w:ascii="宋体" w:hAnsi="宋体" w:eastAsia="宋体" w:cs="宋体"/>
          <w:color w:val="auto"/>
          <w:sz w:val="24"/>
          <w:szCs w:val="24"/>
          <w:highlight w:val="none"/>
          <w:lang w:eastAsia="zh-CN"/>
        </w:rPr>
        <w:t>采购项目需求</w:t>
      </w:r>
      <w:r>
        <w:rPr>
          <w:rFonts w:hint="eastAsia" w:ascii="宋体" w:hAnsi="宋体" w:eastAsia="宋体" w:cs="宋体"/>
          <w:color w:val="auto"/>
          <w:sz w:val="24"/>
          <w:szCs w:val="24"/>
          <w:highlight w:val="none"/>
        </w:rPr>
        <w:t>”中采购项目技术或服务要求规定的内容、责任范围进行首次报价，并按《</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首次报价表）》的要求报出首次价格。首次报价总价中不得包含磋商文件要求以外的内容，否则，在评审时不予核减。首次报价总价中不得缺漏磋商文件所要求的内容，否则，被视为包含在首次报价总价中。《</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 xml:space="preserve">一览表（首次报价表）》中若出现免费项及赠送项则视同该部分价包含在总报价中。 </w:t>
      </w:r>
    </w:p>
    <w:p w14:paraId="6023483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 xml:space="preserve">12.4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标价的工程量清单</w:t>
      </w:r>
      <w:r>
        <w:rPr>
          <w:rFonts w:hint="eastAsia" w:ascii="宋体" w:hAnsi="宋体" w:eastAsia="宋体" w:cs="宋体"/>
          <w:color w:val="auto"/>
          <w:sz w:val="24"/>
          <w:szCs w:val="24"/>
          <w:highlight w:val="none"/>
        </w:rPr>
        <w:t>》内容应包含：</w:t>
      </w:r>
      <w:r>
        <w:rPr>
          <w:rFonts w:hint="eastAsia" w:ascii="宋体" w:hAnsi="宋体" w:eastAsia="宋体" w:cs="宋体"/>
          <w:color w:val="auto"/>
          <w:kern w:val="0"/>
          <w:sz w:val="24"/>
          <w:szCs w:val="24"/>
          <w:highlight w:val="none"/>
          <w:lang w:val="en-US" w:eastAsia="zh-CN" w:bidi="ar"/>
        </w:rPr>
        <w:t>具体内容及所需的表格，以</w:t>
      </w:r>
      <w:r>
        <w:rPr>
          <w:rFonts w:hint="eastAsia" w:cs="宋体"/>
          <w:color w:val="auto"/>
          <w:kern w:val="0"/>
          <w:sz w:val="24"/>
          <w:szCs w:val="24"/>
          <w:highlight w:val="none"/>
          <w:lang w:val="en-US" w:eastAsia="zh-CN" w:bidi="ar"/>
        </w:rPr>
        <w:t>磋商</w:t>
      </w:r>
      <w:r>
        <w:rPr>
          <w:rFonts w:hint="eastAsia" w:ascii="宋体" w:hAnsi="宋体" w:eastAsia="宋体" w:cs="宋体"/>
          <w:color w:val="auto"/>
          <w:kern w:val="0"/>
          <w:sz w:val="24"/>
          <w:szCs w:val="24"/>
          <w:highlight w:val="none"/>
          <w:lang w:val="en-US" w:eastAsia="zh-CN" w:bidi="ar"/>
        </w:rPr>
        <w:t>文件的“附件</w:t>
      </w:r>
      <w:r>
        <w:rPr>
          <w:rFonts w:hint="eastAsia"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工程量清单”</w:t>
      </w:r>
      <w:r>
        <w:rPr>
          <w:rFonts w:hint="eastAsia" w:cs="宋体"/>
          <w:color w:val="auto"/>
          <w:kern w:val="0"/>
          <w:sz w:val="24"/>
          <w:szCs w:val="24"/>
          <w:highlight w:val="none"/>
          <w:lang w:val="en-US" w:eastAsia="zh-CN" w:bidi="ar"/>
        </w:rPr>
        <w:t>及投标总价单</w:t>
      </w:r>
      <w:r>
        <w:rPr>
          <w:rFonts w:hint="eastAsia" w:ascii="宋体" w:hAnsi="宋体" w:eastAsia="宋体" w:cs="宋体"/>
          <w:color w:val="auto"/>
          <w:kern w:val="0"/>
          <w:sz w:val="24"/>
          <w:szCs w:val="24"/>
          <w:highlight w:val="none"/>
          <w:lang w:val="en-US" w:eastAsia="zh-CN" w:bidi="ar"/>
        </w:rPr>
        <w:t>为准</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本项目</w:t>
      </w:r>
      <w:r>
        <w:rPr>
          <w:rFonts w:hint="eastAsia" w:cs="宋体"/>
          <w:color w:val="auto"/>
          <w:kern w:val="0"/>
          <w:sz w:val="24"/>
          <w:szCs w:val="24"/>
          <w:highlight w:val="none"/>
          <w:lang w:val="en-US" w:eastAsia="zh-CN" w:bidi="ar"/>
        </w:rPr>
        <w:t>磋商</w:t>
      </w:r>
      <w:r>
        <w:rPr>
          <w:rFonts w:hint="eastAsia" w:ascii="宋体" w:hAnsi="宋体" w:eastAsia="宋体" w:cs="宋体"/>
          <w:color w:val="auto"/>
          <w:kern w:val="0"/>
          <w:sz w:val="24"/>
          <w:szCs w:val="24"/>
          <w:highlight w:val="none"/>
          <w:lang w:val="en-US" w:eastAsia="zh-CN" w:bidi="ar"/>
        </w:rPr>
        <w:t>文件中投标总价单必须由投标单位注册造价工程师签字并盖专用章，否则视为不响应磋商文件。</w:t>
      </w:r>
    </w:p>
    <w:p w14:paraId="47F7470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12.5 </w:t>
      </w:r>
      <w:r>
        <w:rPr>
          <w:rFonts w:hint="eastAsia" w:ascii="宋体" w:hAnsi="宋体" w:eastAsia="宋体" w:cs="宋体"/>
          <w:color w:val="auto"/>
          <w:sz w:val="24"/>
          <w:szCs w:val="24"/>
          <w:highlight w:val="none"/>
        </w:rPr>
        <w:t>除</w:t>
      </w:r>
      <w:r>
        <w:rPr>
          <w:rFonts w:hint="eastAsia" w:ascii="宋体" w:hAnsi="宋体" w:eastAsia="宋体" w:cs="宋体"/>
          <w:b/>
          <w:bCs/>
          <w:color w:val="auto"/>
          <w:sz w:val="24"/>
          <w:szCs w:val="24"/>
          <w:highlight w:val="none"/>
        </w:rPr>
        <w:t>磋商须知前附表</w:t>
      </w:r>
      <w:r>
        <w:rPr>
          <w:rFonts w:hint="eastAsia" w:ascii="宋体" w:hAnsi="宋体" w:eastAsia="宋体" w:cs="宋体"/>
          <w:color w:val="auto"/>
          <w:sz w:val="24"/>
          <w:szCs w:val="24"/>
          <w:highlight w:val="none"/>
        </w:rPr>
        <w:t xml:space="preserve">中另有规定，供应商所报的磋商价在合同执行过程中是固定不变的，不得以任何理由予以变更。任何包含价格调整要求的磋商被认为是非实质性响应响应而予以拒绝。 </w:t>
      </w:r>
    </w:p>
    <w:p w14:paraId="0A89265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12.6 </w:t>
      </w:r>
      <w:r>
        <w:rPr>
          <w:rFonts w:hint="eastAsia" w:ascii="宋体" w:hAnsi="宋体" w:eastAsia="宋体" w:cs="宋体"/>
          <w:color w:val="auto"/>
          <w:sz w:val="24"/>
          <w:szCs w:val="24"/>
          <w:highlight w:val="none"/>
        </w:rPr>
        <w:t xml:space="preserve">除磋商须知前附表中允许有备选方案外，本次磋商不接受选择性报价，不接受具有附加条件的报价， 否则将被视为无效响应。 </w:t>
      </w:r>
    </w:p>
    <w:p w14:paraId="17B2F12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 </w:t>
      </w:r>
      <w:r>
        <w:rPr>
          <w:rFonts w:hint="eastAsia" w:ascii="宋体" w:hAnsi="宋体" w:eastAsia="宋体" w:cs="宋体"/>
          <w:color w:val="auto"/>
          <w:sz w:val="24"/>
          <w:szCs w:val="24"/>
          <w:highlight w:val="none"/>
        </w:rPr>
        <w:t xml:space="preserve">联合体投标 </w:t>
      </w:r>
    </w:p>
    <w:p w14:paraId="79005CB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 </w:t>
      </w:r>
      <w:r>
        <w:rPr>
          <w:rFonts w:hint="eastAsia" w:ascii="宋体" w:hAnsi="宋体" w:eastAsia="宋体" w:cs="宋体"/>
          <w:color w:val="auto"/>
          <w:sz w:val="24"/>
          <w:szCs w:val="24"/>
          <w:highlight w:val="none"/>
        </w:rPr>
        <w:t xml:space="preserve">磋商文件第一部分“磋商邀请”中拒绝接受联合体投标的，则不接受联合体磋商。如果“磋商邀请” 中允许联合体投标的，则必须满足： </w:t>
      </w:r>
    </w:p>
    <w:p w14:paraId="06A036A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13.1.1 </w:t>
      </w:r>
      <w:r>
        <w:rPr>
          <w:rFonts w:hint="eastAsia" w:ascii="宋体" w:hAnsi="宋体" w:eastAsia="宋体" w:cs="宋体"/>
          <w:color w:val="auto"/>
          <w:sz w:val="24"/>
          <w:szCs w:val="24"/>
          <w:highlight w:val="none"/>
        </w:rPr>
        <w:t xml:space="preserve">以联合体形式参加磋商的，联合体各方均必须符合《中华人民共和国政府采购法》第二十二条规定，联合体中有同类资质的供应商按照联合体分工承担相同工作的，按照资质等级较低的供应商确定资质等级。  </w:t>
      </w:r>
    </w:p>
    <w:p w14:paraId="105E092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13.1.2 </w:t>
      </w:r>
      <w:r>
        <w:rPr>
          <w:rFonts w:hint="eastAsia" w:ascii="宋体" w:hAnsi="宋体" w:eastAsia="宋体" w:cs="宋体"/>
          <w:color w:val="auto"/>
          <w:sz w:val="24"/>
          <w:szCs w:val="24"/>
          <w:highlight w:val="none"/>
        </w:rPr>
        <w:t xml:space="preserve">联合体磋商的，必须提供各方签订的共同投标协议，明确约定各方承担的工作和相应的责任。联合体各方签订共同磋商协议后，不得再以自己名义单独在同一项目（或包组）中磋商，也不得组成新的联合体参加同一项目（或包组）磋商。 </w:t>
      </w:r>
    </w:p>
    <w:p w14:paraId="47BAD0C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13.1.3 </w:t>
      </w:r>
      <w:r>
        <w:rPr>
          <w:rFonts w:hint="eastAsia" w:ascii="宋体" w:hAnsi="宋体" w:eastAsia="宋体" w:cs="宋体"/>
          <w:color w:val="auto"/>
          <w:sz w:val="24"/>
          <w:szCs w:val="24"/>
          <w:highlight w:val="none"/>
        </w:rPr>
        <w:t xml:space="preserve">联合体磋商的，可以由联合体中的一方或者共同提交磋商保证金，以一方名义提交投磋商证金的，对联合体各方均具有约束力。 </w:t>
      </w:r>
    </w:p>
    <w:p w14:paraId="6741E9F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13.1.4 </w:t>
      </w:r>
      <w:r>
        <w:rPr>
          <w:rFonts w:hint="eastAsia" w:ascii="宋体" w:hAnsi="宋体" w:eastAsia="宋体" w:cs="宋体"/>
          <w:color w:val="auto"/>
          <w:sz w:val="24"/>
          <w:szCs w:val="24"/>
          <w:highlight w:val="none"/>
        </w:rPr>
        <w:t xml:space="preserve">联合体成交的，联合体各方应当共同与采购人签订合同。 </w:t>
      </w:r>
    </w:p>
    <w:p w14:paraId="10AB0A9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13.1.5 </w:t>
      </w:r>
      <w:r>
        <w:rPr>
          <w:rFonts w:hint="eastAsia" w:ascii="宋体" w:hAnsi="宋体" w:eastAsia="宋体" w:cs="宋体"/>
          <w:color w:val="auto"/>
          <w:sz w:val="24"/>
          <w:szCs w:val="24"/>
          <w:highlight w:val="none"/>
        </w:rPr>
        <w:t>联合体在报名登记时，提交经联合体各方盖章的联合体磋商协议，以确认联合体的牵头人及成员。</w:t>
      </w:r>
    </w:p>
    <w:p w14:paraId="0EEC42A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14 </w:t>
      </w:r>
      <w:r>
        <w:rPr>
          <w:rFonts w:hint="eastAsia" w:ascii="宋体" w:hAnsi="宋体" w:eastAsia="宋体" w:cs="宋体"/>
          <w:color w:val="auto"/>
          <w:sz w:val="24"/>
          <w:szCs w:val="24"/>
          <w:highlight w:val="none"/>
        </w:rPr>
        <w:t xml:space="preserve">证明供应商合格的资格文件 </w:t>
      </w:r>
    </w:p>
    <w:p w14:paraId="2BE35A4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14.1 </w:t>
      </w:r>
      <w:r>
        <w:rPr>
          <w:rFonts w:hint="eastAsia" w:ascii="宋体" w:hAnsi="宋体" w:eastAsia="宋体" w:cs="宋体"/>
          <w:color w:val="auto"/>
          <w:sz w:val="24"/>
          <w:szCs w:val="24"/>
          <w:highlight w:val="none"/>
        </w:rPr>
        <w:t xml:space="preserve">供应商应提交证明其有资格参加磋商和被确定为成交供应商后有能力履行合同的文件，以及证明其提供的合同项下，服务的合格性符合磋商文件规定的文件，并作为响应文件的一部分。如果供应商为联合体，应提交联合体各方的资格证明文件、共同磋商协议并注明主体方及各方拟承担的工作和责任。否则，将导致其响应无效。 </w:t>
      </w:r>
    </w:p>
    <w:p w14:paraId="255C7EC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14.2 </w:t>
      </w:r>
      <w:r>
        <w:rPr>
          <w:rFonts w:hint="eastAsia" w:ascii="宋体" w:hAnsi="宋体" w:eastAsia="宋体" w:cs="宋体"/>
          <w:color w:val="auto"/>
          <w:sz w:val="24"/>
          <w:szCs w:val="24"/>
          <w:highlight w:val="none"/>
        </w:rPr>
        <w:t>供应商提交的资格证明文件应满足第一部分“磋商</w:t>
      </w:r>
      <w:r>
        <w:rPr>
          <w:rFonts w:hint="eastAsia" w:cs="宋体"/>
          <w:color w:val="auto"/>
          <w:sz w:val="24"/>
          <w:szCs w:val="24"/>
          <w:highlight w:val="none"/>
          <w:lang w:val="en-US" w:eastAsia="zh-CN"/>
        </w:rPr>
        <w:t>公告</w:t>
      </w:r>
      <w:r>
        <w:rPr>
          <w:rFonts w:hint="eastAsia" w:ascii="宋体" w:hAnsi="宋体" w:eastAsia="宋体" w:cs="宋体"/>
          <w:color w:val="auto"/>
          <w:sz w:val="24"/>
          <w:szCs w:val="24"/>
          <w:highlight w:val="none"/>
        </w:rPr>
        <w:t xml:space="preserve">”供应商资格要求的全部条款。 </w:t>
      </w:r>
    </w:p>
    <w:p w14:paraId="3E15C6D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15 </w:t>
      </w:r>
      <w:r>
        <w:rPr>
          <w:rFonts w:hint="eastAsia" w:ascii="宋体" w:hAnsi="宋体" w:eastAsia="宋体" w:cs="宋体"/>
          <w:color w:val="auto"/>
          <w:sz w:val="24"/>
          <w:szCs w:val="24"/>
          <w:highlight w:val="none"/>
        </w:rPr>
        <w:t xml:space="preserve">证明标的的合格性和符合磋商文件规定的文件 </w:t>
      </w:r>
    </w:p>
    <w:p w14:paraId="4D944DB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15.1 </w:t>
      </w:r>
      <w:r>
        <w:rPr>
          <w:rFonts w:hint="eastAsia" w:ascii="宋体" w:hAnsi="宋体" w:eastAsia="宋体" w:cs="宋体"/>
          <w:color w:val="auto"/>
          <w:sz w:val="24"/>
          <w:szCs w:val="24"/>
          <w:highlight w:val="none"/>
        </w:rPr>
        <w:t>供应商应提交证明文件，证明其拟磋商的</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的合格性符合磋商文件规定。该证明文件作为响应文件的一部分。 </w:t>
      </w:r>
    </w:p>
    <w:p w14:paraId="0FD24E9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15.2 工程</w:t>
      </w:r>
      <w:r>
        <w:rPr>
          <w:rFonts w:hint="eastAsia" w:ascii="宋体" w:hAnsi="宋体" w:eastAsia="宋体" w:cs="宋体"/>
          <w:color w:val="auto"/>
          <w:sz w:val="24"/>
          <w:szCs w:val="24"/>
          <w:highlight w:val="none"/>
        </w:rPr>
        <w:t>合格性的证明文件应包括</w:t>
      </w:r>
      <w:r>
        <w:rPr>
          <w:rFonts w:hint="eastAsia" w:ascii="宋体" w:hAnsi="宋体" w:eastAsia="宋体" w:cs="宋体"/>
          <w:color w:val="auto"/>
          <w:sz w:val="24"/>
          <w:szCs w:val="24"/>
          <w:highlight w:val="none"/>
          <w:lang w:val="en-US" w:eastAsia="zh-CN"/>
        </w:rPr>
        <w:t>标价的工程量清单</w:t>
      </w:r>
      <w:r>
        <w:rPr>
          <w:rFonts w:hint="eastAsia" w:ascii="宋体" w:hAnsi="宋体" w:eastAsia="宋体" w:cs="宋体"/>
          <w:color w:val="auto"/>
          <w:sz w:val="24"/>
          <w:szCs w:val="24"/>
          <w:highlight w:val="none"/>
        </w:rPr>
        <w:t xml:space="preserve">中对货物和服务原产地的说明。 </w:t>
      </w:r>
    </w:p>
    <w:p w14:paraId="64ABA09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 xml:space="preserve">15.3 </w:t>
      </w:r>
      <w:r>
        <w:rPr>
          <w:rFonts w:hint="eastAsia" w:ascii="宋体" w:hAnsi="宋体" w:eastAsia="宋体" w:cs="宋体"/>
          <w:color w:val="auto"/>
          <w:sz w:val="24"/>
          <w:szCs w:val="24"/>
          <w:highlight w:val="none"/>
        </w:rPr>
        <w:t>证明</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与磋商文件的要求相一致的文件，可以是文字资料、图纸和数据，它包括： </w:t>
      </w:r>
    </w:p>
    <w:p w14:paraId="26F7C29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15.3.1 工程</w:t>
      </w:r>
      <w:r>
        <w:rPr>
          <w:rFonts w:hint="eastAsia" w:ascii="宋体" w:hAnsi="宋体" w:eastAsia="宋体" w:cs="宋体"/>
          <w:color w:val="auto"/>
          <w:sz w:val="24"/>
          <w:szCs w:val="24"/>
          <w:highlight w:val="none"/>
        </w:rPr>
        <w:t xml:space="preserve">主要技术指标和性能的详细说明； </w:t>
      </w:r>
    </w:p>
    <w:p w14:paraId="298892E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15.3.2 工程</w:t>
      </w:r>
      <w:r>
        <w:rPr>
          <w:rFonts w:hint="eastAsia" w:ascii="宋体" w:hAnsi="宋体" w:eastAsia="宋体" w:cs="宋体"/>
          <w:color w:val="auto"/>
          <w:sz w:val="24"/>
          <w:szCs w:val="24"/>
          <w:highlight w:val="none"/>
        </w:rPr>
        <w:t xml:space="preserve">正常使用所必须的备件和专用工具清单，包括备件和专用工具的货源及现行价格； </w:t>
      </w:r>
    </w:p>
    <w:p w14:paraId="313F1C0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15.3.3</w:t>
      </w:r>
      <w:r>
        <w:rPr>
          <w:rFonts w:hint="eastAsia" w:ascii="宋体" w:hAnsi="宋体" w:eastAsia="宋体" w:cs="宋体"/>
          <w:color w:val="auto"/>
          <w:sz w:val="24"/>
          <w:szCs w:val="24"/>
          <w:highlight w:val="none"/>
        </w:rPr>
        <w:t>对照磋商文件技术规格，逐条说明所提供</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已对磋商文件的技术规格作出了实质性的响应，并申明与技术规格条文的偏差和例外。对有具体参数要求的指标，供应商应提供所投设备的具体参数值。供应商在阐述时应注意磋商文件的技术规格中指出的工艺、材料和设备的标准。供应商在磋商中要实质上满足磋商文件的要求。 </w:t>
      </w:r>
    </w:p>
    <w:p w14:paraId="1D14449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 </w:t>
      </w:r>
      <w:r>
        <w:rPr>
          <w:rFonts w:hint="eastAsia" w:ascii="宋体" w:hAnsi="宋体" w:eastAsia="宋体" w:cs="宋体"/>
          <w:color w:val="auto"/>
          <w:sz w:val="24"/>
          <w:szCs w:val="24"/>
          <w:highlight w:val="none"/>
        </w:rPr>
        <w:t xml:space="preserve">不允许偏离的实质性条款 </w:t>
      </w:r>
    </w:p>
    <w:p w14:paraId="37D3EFC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16.1 </w:t>
      </w:r>
      <w:r>
        <w:rPr>
          <w:rFonts w:hint="eastAsia" w:ascii="宋体" w:hAnsi="宋体" w:eastAsia="宋体" w:cs="宋体"/>
          <w:color w:val="auto"/>
          <w:sz w:val="24"/>
          <w:szCs w:val="24"/>
          <w:highlight w:val="none"/>
        </w:rPr>
        <w:t xml:space="preserve">响应文件必须对磋商文件中实质性条款的要求进行响应，不能出现负偏离，否则将导致响应无效。不允许负偏离的实质性条款如下： </w:t>
      </w:r>
    </w:p>
    <w:p w14:paraId="6030E0F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16.1.1 </w:t>
      </w:r>
      <w:r>
        <w:rPr>
          <w:rFonts w:hint="eastAsia" w:ascii="宋体" w:hAnsi="宋体" w:eastAsia="宋体" w:cs="宋体"/>
          <w:color w:val="auto"/>
          <w:sz w:val="24"/>
          <w:szCs w:val="24"/>
          <w:highlight w:val="none"/>
        </w:rPr>
        <w:t xml:space="preserve">加注“★部分”条款； </w:t>
      </w:r>
    </w:p>
    <w:p w14:paraId="7A9D6D8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16.1.2 </w:t>
      </w:r>
      <w:r>
        <w:rPr>
          <w:rFonts w:hint="eastAsia" w:ascii="宋体" w:hAnsi="宋体" w:eastAsia="宋体" w:cs="宋体"/>
          <w:color w:val="auto"/>
          <w:sz w:val="24"/>
          <w:szCs w:val="24"/>
          <w:highlight w:val="none"/>
        </w:rPr>
        <w:t xml:space="preserve">磋商文件规定的其他必须响应的内容。 </w:t>
      </w:r>
    </w:p>
    <w:p w14:paraId="2400497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16.2 </w:t>
      </w:r>
      <w:r>
        <w:rPr>
          <w:rFonts w:hint="eastAsia" w:ascii="宋体" w:hAnsi="宋体" w:eastAsia="宋体" w:cs="宋体"/>
          <w:color w:val="auto"/>
          <w:sz w:val="24"/>
          <w:szCs w:val="24"/>
          <w:highlight w:val="none"/>
        </w:rPr>
        <w:t>响应文件中技术规格、参数或其他内容优于磋商文件的要求视作正偏离，不构成响应无效，供应商对这种优于</w:t>
      </w:r>
      <w:r>
        <w:rPr>
          <w:rFonts w:hint="eastAsia" w:ascii="宋体" w:hAnsi="宋体" w:eastAsia="宋体" w:cs="宋体"/>
          <w:color w:val="auto"/>
          <w:sz w:val="24"/>
          <w:szCs w:val="24"/>
          <w:highlight w:val="none"/>
          <w:lang w:eastAsia="zh-CN"/>
        </w:rPr>
        <w:t>采购项目需求</w:t>
      </w:r>
      <w:r>
        <w:rPr>
          <w:rFonts w:hint="eastAsia" w:ascii="宋体" w:hAnsi="宋体" w:eastAsia="宋体" w:cs="宋体"/>
          <w:color w:val="auto"/>
          <w:sz w:val="24"/>
          <w:szCs w:val="24"/>
          <w:highlight w:val="none"/>
        </w:rPr>
        <w:t>要求的情况必须单独说明。</w:t>
      </w:r>
    </w:p>
    <w:p w14:paraId="38DB38D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 </w:t>
      </w:r>
      <w:r>
        <w:rPr>
          <w:rFonts w:hint="eastAsia" w:ascii="宋体" w:hAnsi="宋体" w:eastAsia="宋体" w:cs="宋体"/>
          <w:color w:val="auto"/>
          <w:sz w:val="24"/>
          <w:szCs w:val="24"/>
          <w:highlight w:val="none"/>
        </w:rPr>
        <w:t xml:space="preserve">磋商保证金 </w:t>
      </w:r>
    </w:p>
    <w:p w14:paraId="2B8C0E1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17.1 </w:t>
      </w:r>
      <w:r>
        <w:rPr>
          <w:rFonts w:hint="eastAsia" w:ascii="宋体" w:hAnsi="宋体" w:eastAsia="宋体" w:cs="宋体"/>
          <w:color w:val="auto"/>
          <w:sz w:val="24"/>
          <w:szCs w:val="24"/>
          <w:highlight w:val="none"/>
        </w:rPr>
        <w:t xml:space="preserve">供应商应按磋商须知前附表中规定的金额、期限缴纳磋商保证金，并作为其响应文件的组成部分。 </w:t>
      </w:r>
    </w:p>
    <w:p w14:paraId="69C65BA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17.2 采</w:t>
      </w:r>
      <w:r>
        <w:rPr>
          <w:rFonts w:hint="eastAsia" w:ascii="宋体" w:hAnsi="宋体" w:eastAsia="宋体" w:cs="宋体"/>
          <w:color w:val="auto"/>
          <w:sz w:val="24"/>
          <w:szCs w:val="24"/>
          <w:highlight w:val="none"/>
        </w:rPr>
        <w:t>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应当在采购活动结束后退还供应商的磋商保证金，但因供应商自身原因导致无法及时退还的除外。未成交供应商的磋商保证金应当在成交通知书发出后5个工作日内退还，成交供应商的磋商保证金应当在采购合同签订后5个工作日内退还。 </w:t>
      </w:r>
    </w:p>
    <w:p w14:paraId="0B8FAFD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 </w:t>
      </w:r>
      <w:r>
        <w:rPr>
          <w:rFonts w:hint="eastAsia" w:ascii="宋体" w:hAnsi="宋体" w:eastAsia="宋体" w:cs="宋体"/>
          <w:color w:val="auto"/>
          <w:sz w:val="24"/>
          <w:szCs w:val="24"/>
          <w:highlight w:val="none"/>
        </w:rPr>
        <w:t xml:space="preserve">有下列情形之一的，磋商保证金不予退还： </w:t>
      </w:r>
    </w:p>
    <w:p w14:paraId="79F3BD9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17.3.1 </w:t>
      </w:r>
      <w:r>
        <w:rPr>
          <w:rFonts w:hint="eastAsia" w:ascii="宋体" w:hAnsi="宋体" w:eastAsia="宋体" w:cs="宋体"/>
          <w:color w:val="auto"/>
          <w:sz w:val="24"/>
          <w:szCs w:val="24"/>
          <w:highlight w:val="none"/>
        </w:rPr>
        <w:t xml:space="preserve">供应商在提交响应文件截止时间后撤回响应文件的； </w:t>
      </w:r>
    </w:p>
    <w:p w14:paraId="2022B68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17.3.2 </w:t>
      </w:r>
      <w:r>
        <w:rPr>
          <w:rFonts w:hint="eastAsia" w:ascii="宋体" w:hAnsi="宋体" w:eastAsia="宋体" w:cs="宋体"/>
          <w:color w:val="auto"/>
          <w:sz w:val="24"/>
          <w:szCs w:val="24"/>
          <w:highlight w:val="none"/>
        </w:rPr>
        <w:t xml:space="preserve">供应商在响应文件中提供虚假材料的； </w:t>
      </w:r>
    </w:p>
    <w:p w14:paraId="0336931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17.3.3 </w:t>
      </w:r>
      <w:r>
        <w:rPr>
          <w:rFonts w:hint="eastAsia" w:ascii="宋体" w:hAnsi="宋体" w:eastAsia="宋体" w:cs="宋体"/>
          <w:color w:val="auto"/>
          <w:sz w:val="24"/>
          <w:szCs w:val="24"/>
          <w:highlight w:val="none"/>
        </w:rPr>
        <w:t xml:space="preserve">除因不可抗力或磋商文件认可的情形以外，成交供应商不与采购人签订合同的； </w:t>
      </w:r>
    </w:p>
    <w:p w14:paraId="619F3CF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17.3.4 </w:t>
      </w:r>
      <w:r>
        <w:rPr>
          <w:rFonts w:hint="eastAsia" w:ascii="宋体" w:hAnsi="宋体" w:eastAsia="宋体" w:cs="宋体"/>
          <w:color w:val="auto"/>
          <w:sz w:val="24"/>
          <w:szCs w:val="24"/>
          <w:highlight w:val="none"/>
        </w:rPr>
        <w:t xml:space="preserve">供应商与采购人、其他供应商恶意串通的； </w:t>
      </w:r>
    </w:p>
    <w:p w14:paraId="1967C54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17.3.5 </w:t>
      </w:r>
      <w:r>
        <w:rPr>
          <w:rFonts w:hint="eastAsia" w:ascii="宋体" w:hAnsi="宋体" w:eastAsia="宋体" w:cs="宋体"/>
          <w:color w:val="auto"/>
          <w:sz w:val="24"/>
          <w:szCs w:val="24"/>
          <w:highlight w:val="none"/>
        </w:rPr>
        <w:t xml:space="preserve">磋商文件规定的其他情形。 </w:t>
      </w:r>
    </w:p>
    <w:p w14:paraId="279F92A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18 </w:t>
      </w:r>
      <w:r>
        <w:rPr>
          <w:rFonts w:hint="eastAsia" w:ascii="宋体" w:hAnsi="宋体" w:eastAsia="宋体" w:cs="宋体"/>
          <w:color w:val="auto"/>
          <w:sz w:val="24"/>
          <w:szCs w:val="24"/>
          <w:highlight w:val="none"/>
        </w:rPr>
        <w:t>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 xml:space="preserve">有效期 </w:t>
      </w:r>
    </w:p>
    <w:p w14:paraId="350EF14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18.1 </w:t>
      </w:r>
      <w:r>
        <w:rPr>
          <w:rFonts w:hint="eastAsia" w:ascii="宋体" w:hAnsi="宋体" w:eastAsia="宋体" w:cs="宋体"/>
          <w:color w:val="auto"/>
          <w:sz w:val="24"/>
          <w:szCs w:val="24"/>
          <w:highlight w:val="none"/>
        </w:rPr>
        <w:t>响应文件的有效期</w:t>
      </w:r>
      <w:r>
        <w:rPr>
          <w:rFonts w:hint="eastAsia" w:ascii="宋体" w:hAnsi="宋体" w:eastAsia="宋体" w:cs="宋体"/>
          <w:color w:val="auto"/>
          <w:sz w:val="24"/>
          <w:szCs w:val="24"/>
          <w:highlight w:val="none"/>
          <w:lang w:val="en-US" w:eastAsia="zh-CN"/>
        </w:rPr>
        <w:t>见磋商须知前附表之规定</w:t>
      </w:r>
      <w:r>
        <w:rPr>
          <w:rFonts w:hint="eastAsia" w:ascii="宋体" w:hAnsi="宋体" w:eastAsia="宋体" w:cs="宋体"/>
          <w:color w:val="auto"/>
          <w:sz w:val="24"/>
          <w:szCs w:val="24"/>
          <w:highlight w:val="none"/>
        </w:rPr>
        <w:t>，响应文件应在此期限内保持有效。磋商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 xml:space="preserve">有效期不足的响应文件将被视为非实质性响应，视为无效响应文件。 </w:t>
      </w:r>
    </w:p>
    <w:p w14:paraId="4C80A19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18.2 </w:t>
      </w:r>
      <w:r>
        <w:rPr>
          <w:rFonts w:hint="eastAsia" w:ascii="宋体" w:hAnsi="宋体" w:eastAsia="宋体" w:cs="宋体"/>
          <w:color w:val="auto"/>
          <w:sz w:val="24"/>
          <w:szCs w:val="24"/>
          <w:highlight w:val="none"/>
        </w:rPr>
        <w:t>特殊情况下，在原磋商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有效期截止之前，</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可要求供应商延长磋商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有效期。这种要求与答复均应以书面形式提交。供应商可拒绝</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的这种要求，其磋商保证金将被无息退还，但其磋商在原磋商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有效期期满后将不再有效。同意延长磋商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 xml:space="preserve">有效期的供应商将不会被要求和允许修正其磋商，而只会被要求相应地延长其磋商保证金的有效期。在这种情况下，本须知有关磋商保证金的退还和没收的规定将在延长了的有效期内继续有效。 </w:t>
      </w:r>
    </w:p>
    <w:p w14:paraId="175193B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19 </w:t>
      </w:r>
      <w:r>
        <w:rPr>
          <w:rFonts w:hint="eastAsia" w:ascii="宋体" w:hAnsi="宋体" w:eastAsia="宋体" w:cs="宋体"/>
          <w:color w:val="auto"/>
          <w:sz w:val="24"/>
          <w:szCs w:val="24"/>
          <w:highlight w:val="none"/>
        </w:rPr>
        <w:t xml:space="preserve">响应文件的式样和签署 </w:t>
      </w:r>
    </w:p>
    <w:p w14:paraId="6A956E5B">
      <w:pPr>
        <w:spacing w:line="440" w:lineRule="exact"/>
        <w:ind w:firstLine="480" w:firstLineChars="200"/>
        <w:rPr>
          <w:rFonts w:hint="eastAsia"/>
          <w:color w:val="auto"/>
          <w:sz w:val="24"/>
          <w:szCs w:val="24"/>
          <w:highlight w:val="none"/>
        </w:rPr>
      </w:pPr>
      <w:r>
        <w:rPr>
          <w:rFonts w:hint="eastAsia" w:ascii="宋体" w:hAnsi="宋体" w:eastAsia="宋体" w:cs="宋体"/>
          <w:color w:val="auto"/>
          <w:sz w:val="24"/>
          <w:szCs w:val="24"/>
          <w:highlight w:val="none"/>
          <w:lang w:val="en-US" w:eastAsia="zh-CN"/>
        </w:rPr>
        <w:t xml:space="preserve">19.1 </w:t>
      </w:r>
      <w:r>
        <w:rPr>
          <w:rFonts w:hint="eastAsia" w:ascii="宋体" w:hAnsi="宋体" w:eastAsia="宋体" w:cs="宋体"/>
          <w:color w:val="auto"/>
          <w:sz w:val="24"/>
          <w:szCs w:val="24"/>
          <w:highlight w:val="none"/>
        </w:rPr>
        <w:t>响应文件的式样：</w:t>
      </w:r>
      <w:r>
        <w:rPr>
          <w:rFonts w:hint="eastAsia"/>
          <w:color w:val="auto"/>
          <w:sz w:val="24"/>
          <w:szCs w:val="24"/>
          <w:highlight w:val="none"/>
        </w:rPr>
        <w:t xml:space="preserve">在政采云平台上传加密的电子响应文件。 </w:t>
      </w:r>
    </w:p>
    <w:p w14:paraId="0F62AC3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19.2 </w:t>
      </w:r>
      <w:r>
        <w:rPr>
          <w:rFonts w:hint="eastAsia" w:ascii="宋体" w:hAnsi="宋体" w:eastAsia="宋体" w:cs="宋体"/>
          <w:color w:val="auto"/>
          <w:sz w:val="24"/>
          <w:szCs w:val="24"/>
          <w:highlight w:val="none"/>
        </w:rPr>
        <w:t xml:space="preserve">响应文件的签署及盖章： </w:t>
      </w:r>
    </w:p>
    <w:p w14:paraId="08E4D92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19.2.1 </w:t>
      </w:r>
      <w:r>
        <w:rPr>
          <w:rFonts w:hint="eastAsia" w:ascii="宋体" w:hAnsi="宋体" w:eastAsia="宋体" w:cs="宋体"/>
          <w:color w:val="auto"/>
          <w:sz w:val="24"/>
          <w:szCs w:val="24"/>
          <w:highlight w:val="none"/>
        </w:rPr>
        <w:t xml:space="preserve">响应文件要求签名或盖章的内容（磋商文件第五部分“响应文件格式”中要求法人代表或授权委托人签名或盖章）必须由法定代表人或经其正式授权的代表签字或盖章，由授权代表签字或盖章的， 必须将书面形式出具的《法定代表人授权委托书》附在响应文件中。 </w:t>
      </w:r>
    </w:p>
    <w:p w14:paraId="3AC8BD8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color w:val="auto"/>
          <w:sz w:val="24"/>
          <w:szCs w:val="24"/>
          <w:highlight w:val="none"/>
        </w:rPr>
      </w:pPr>
      <w:r>
        <w:rPr>
          <w:rFonts w:hint="eastAsia" w:ascii="宋体" w:hAnsi="宋体" w:eastAsia="宋体" w:cs="宋体"/>
          <w:color w:val="auto"/>
          <w:sz w:val="24"/>
          <w:szCs w:val="24"/>
          <w:highlight w:val="none"/>
          <w:lang w:val="en-US" w:eastAsia="zh-CN"/>
        </w:rPr>
        <w:t>19.2.2</w:t>
      </w:r>
      <w:r>
        <w:rPr>
          <w:rFonts w:hint="eastAsia"/>
          <w:color w:val="auto"/>
          <w:sz w:val="24"/>
          <w:szCs w:val="24"/>
          <w:highlight w:val="none"/>
        </w:rPr>
        <w:t>响应文件要求盖公章的内容（磋商文件第五部分“响应文件格式”中要求盖供应商公章）必须加盖供应商公章。</w:t>
      </w:r>
    </w:p>
    <w:p w14:paraId="1D8EB3C8">
      <w:pPr>
        <w:rPr>
          <w:rFonts w:hint="eastAsia" w:ascii="宋体" w:hAnsi="宋体" w:eastAsia="宋体" w:cs="宋体"/>
          <w:color w:val="auto"/>
          <w:sz w:val="24"/>
          <w:szCs w:val="24"/>
          <w:highlight w:val="none"/>
        </w:rPr>
      </w:pPr>
    </w:p>
    <w:p w14:paraId="3741AC98">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2811" w:firstLineChars="100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rPr>
        <w:t>响应文件的递交</w:t>
      </w:r>
    </w:p>
    <w:p w14:paraId="09CC1A5F">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3080" w:leftChars="0" w:right="0" w:rightChars="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w:t>
      </w:r>
    </w:p>
    <w:p w14:paraId="363ECEEB">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20 </w:t>
      </w:r>
      <w:r>
        <w:rPr>
          <w:rFonts w:hint="eastAsia" w:cs="宋体"/>
          <w:b/>
          <w:bCs/>
          <w:color w:val="auto"/>
          <w:sz w:val="24"/>
          <w:szCs w:val="24"/>
          <w:highlight w:val="none"/>
          <w:lang w:val="en-US" w:eastAsia="zh-CN"/>
        </w:rPr>
        <w:t>加密 电子响应文件</w:t>
      </w:r>
      <w:r>
        <w:rPr>
          <w:rFonts w:hint="eastAsia" w:ascii="宋体" w:hAnsi="宋体" w:eastAsia="宋体" w:cs="宋体"/>
          <w:b/>
          <w:bCs/>
          <w:color w:val="auto"/>
          <w:sz w:val="24"/>
          <w:szCs w:val="24"/>
          <w:highlight w:val="none"/>
        </w:rPr>
        <w:t xml:space="preserve"> </w:t>
      </w:r>
    </w:p>
    <w:p w14:paraId="1F4D43EF">
      <w:pPr>
        <w:spacing w:line="440" w:lineRule="exact"/>
        <w:ind w:firstLine="480" w:firstLineChars="200"/>
        <w:rPr>
          <w:rFonts w:hint="eastAsia"/>
          <w:color w:val="auto"/>
          <w:sz w:val="24"/>
          <w:szCs w:val="24"/>
          <w:highlight w:val="none"/>
        </w:rPr>
      </w:pPr>
      <w:r>
        <w:rPr>
          <w:rFonts w:hint="eastAsia"/>
          <w:color w:val="auto"/>
          <w:sz w:val="24"/>
          <w:szCs w:val="24"/>
          <w:highlight w:val="none"/>
          <w:lang w:val="en-US"/>
        </w:rPr>
        <w:t>20.1</w:t>
      </w:r>
      <w:r>
        <w:rPr>
          <w:rFonts w:hint="eastAsia"/>
          <w:color w:val="auto"/>
          <w:sz w:val="24"/>
          <w:szCs w:val="24"/>
          <w:highlight w:val="none"/>
          <w:lang w:val="en-US" w:eastAsia="zh-CN"/>
        </w:rPr>
        <w:t xml:space="preserve"> 本项目采用不见面开标，供应商须在投标截止时间前通过CA在政采云平台上传加密的电子响应文件。供应商对不见面开评标系统的技术操作咨询，可通过 （https://www.xjca.com.cn/）或下载“新疆政务通”APP自行进行申领。自助查询，也可在政采云帮助中心常见问题解答和操作流程讲解视频中自助查询，网址为：（https://www.xjca.com.cn/）“项目采购”—“操作流程-电子招投标”— “政府采购项目电子交易管理操作指南-供应商”版面获取操作指南，同时对所有无法解决的问题可通过钉钉群及政采云在线客服获取服务支持。</w:t>
      </w:r>
      <w:r>
        <w:rPr>
          <w:rFonts w:hint="eastAsia"/>
          <w:color w:val="auto"/>
          <w:sz w:val="24"/>
          <w:szCs w:val="24"/>
          <w:highlight w:val="none"/>
        </w:rPr>
        <w:t xml:space="preserve"> </w:t>
      </w:r>
    </w:p>
    <w:p w14:paraId="49A3F86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21 </w:t>
      </w:r>
      <w:r>
        <w:rPr>
          <w:rFonts w:hint="eastAsia" w:ascii="宋体" w:hAnsi="宋体" w:eastAsia="宋体" w:cs="宋体"/>
          <w:b/>
          <w:bCs/>
          <w:color w:val="auto"/>
          <w:sz w:val="24"/>
          <w:szCs w:val="24"/>
          <w:highlight w:val="none"/>
        </w:rPr>
        <w:t>磋商响应截止</w:t>
      </w:r>
      <w:r>
        <w:rPr>
          <w:rFonts w:hint="eastAsia" w:ascii="宋体" w:hAnsi="宋体" w:eastAsia="宋体" w:cs="宋体"/>
          <w:color w:val="auto"/>
          <w:sz w:val="24"/>
          <w:szCs w:val="24"/>
          <w:highlight w:val="none"/>
        </w:rPr>
        <w:t xml:space="preserve"> </w:t>
      </w:r>
    </w:p>
    <w:p w14:paraId="29FD2E92">
      <w:pPr>
        <w:spacing w:line="440" w:lineRule="exact"/>
        <w:ind w:firstLine="480" w:firstLineChars="200"/>
        <w:rPr>
          <w:rFonts w:hint="eastAsia" w:eastAsia="宋体"/>
          <w:color w:val="auto"/>
          <w:sz w:val="24"/>
          <w:szCs w:val="24"/>
          <w:highlight w:val="none"/>
          <w:lang w:eastAsia="zh-CN"/>
        </w:rPr>
      </w:pPr>
      <w:r>
        <w:rPr>
          <w:rFonts w:hint="eastAsia"/>
          <w:color w:val="auto"/>
          <w:sz w:val="24"/>
          <w:szCs w:val="24"/>
          <w:highlight w:val="none"/>
          <w:lang w:val="en-US"/>
        </w:rPr>
        <w:t xml:space="preserve">21.1 </w:t>
      </w:r>
      <w:r>
        <w:rPr>
          <w:rFonts w:hint="eastAsia"/>
          <w:color w:val="auto"/>
          <w:sz w:val="24"/>
          <w:szCs w:val="24"/>
          <w:highlight w:val="none"/>
        </w:rPr>
        <w:t>供应商应在磋商文件第一部分“磋商</w:t>
      </w:r>
      <w:r>
        <w:rPr>
          <w:rFonts w:hint="eastAsia"/>
          <w:color w:val="auto"/>
          <w:sz w:val="24"/>
          <w:szCs w:val="24"/>
          <w:highlight w:val="none"/>
          <w:lang w:val="en-US" w:eastAsia="zh-CN"/>
        </w:rPr>
        <w:t>公告</w:t>
      </w:r>
      <w:r>
        <w:rPr>
          <w:rFonts w:hint="eastAsia"/>
          <w:color w:val="auto"/>
          <w:sz w:val="24"/>
          <w:szCs w:val="24"/>
          <w:highlight w:val="none"/>
        </w:rPr>
        <w:t>”中规定的截止日期和时间前将</w:t>
      </w:r>
      <w:r>
        <w:rPr>
          <w:rFonts w:hint="eastAsia"/>
          <w:color w:val="auto"/>
          <w:sz w:val="24"/>
          <w:szCs w:val="24"/>
          <w:highlight w:val="none"/>
          <w:lang w:val="en-US" w:eastAsia="zh-CN"/>
        </w:rPr>
        <w:t>电子</w:t>
      </w:r>
      <w:r>
        <w:rPr>
          <w:rFonts w:hint="eastAsia"/>
          <w:color w:val="auto"/>
          <w:sz w:val="24"/>
          <w:szCs w:val="24"/>
          <w:highlight w:val="none"/>
        </w:rPr>
        <w:t>响应文件</w:t>
      </w:r>
      <w:r>
        <w:rPr>
          <w:rFonts w:hint="eastAsia"/>
          <w:color w:val="auto"/>
          <w:sz w:val="24"/>
          <w:szCs w:val="24"/>
          <w:highlight w:val="none"/>
          <w:lang w:val="en-US" w:eastAsia="zh-CN"/>
        </w:rPr>
        <w:t>递交上传</w:t>
      </w:r>
      <w:r>
        <w:rPr>
          <w:rFonts w:hint="eastAsia"/>
          <w:color w:val="auto"/>
          <w:sz w:val="24"/>
          <w:szCs w:val="24"/>
          <w:highlight w:val="none"/>
        </w:rPr>
        <w:t>至新疆政府采购云平台</w:t>
      </w:r>
      <w:r>
        <w:rPr>
          <w:rFonts w:hint="eastAsia"/>
          <w:color w:val="auto"/>
          <w:sz w:val="24"/>
          <w:szCs w:val="24"/>
          <w:highlight w:val="none"/>
          <w:lang w:val="en-US" w:eastAsia="zh-CN"/>
        </w:rPr>
        <w:t>（https://www.xjca.com.cn/）</w:t>
      </w:r>
      <w:r>
        <w:rPr>
          <w:rFonts w:hint="eastAsia"/>
          <w:color w:val="auto"/>
          <w:sz w:val="24"/>
          <w:szCs w:val="24"/>
          <w:highlight w:val="none"/>
          <w:lang w:eastAsia="zh-CN"/>
        </w:rPr>
        <w:t>。</w:t>
      </w:r>
    </w:p>
    <w:p w14:paraId="341AA77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21.2 </w:t>
      </w:r>
      <w:r>
        <w:rPr>
          <w:rFonts w:hint="eastAsia" w:ascii="宋体" w:hAnsi="宋体" w:eastAsia="宋体" w:cs="宋体"/>
          <w:color w:val="auto"/>
          <w:sz w:val="24"/>
          <w:szCs w:val="24"/>
          <w:highlight w:val="none"/>
        </w:rPr>
        <w:t>为使供应商准备响应时有充分时间对磋商文件的修改部分进行研究，采购人或者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可适当推迟响应截止期，但应发布公告并书面通知所有获取磋商文件的潜在供应商。在此情况下，采购人或者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和供应商受响应截止期制约的所有权利和义务均应延长至新的截止期。 </w:t>
      </w:r>
    </w:p>
    <w:p w14:paraId="0C21A07E">
      <w:pPr>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21.3 </w:t>
      </w:r>
      <w:r>
        <w:rPr>
          <w:rFonts w:hint="eastAsia"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和</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将拒收在磋商文件规定的响应截止时间之后送达的响应文件及未报名获取磋商文件的供应商递交的响应文件。 </w:t>
      </w:r>
    </w:p>
    <w:p w14:paraId="7151DD03">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22 </w:t>
      </w:r>
      <w:r>
        <w:rPr>
          <w:rFonts w:hint="eastAsia" w:ascii="宋体" w:hAnsi="宋体" w:eastAsia="宋体" w:cs="宋体"/>
          <w:b/>
          <w:bCs/>
          <w:color w:val="auto"/>
          <w:sz w:val="24"/>
          <w:szCs w:val="24"/>
          <w:highlight w:val="none"/>
        </w:rPr>
        <w:t>响应文件的修改和撤回</w:t>
      </w:r>
      <w:r>
        <w:rPr>
          <w:rFonts w:hint="eastAsia" w:ascii="宋体" w:hAnsi="宋体" w:eastAsia="宋体" w:cs="宋体"/>
          <w:color w:val="auto"/>
          <w:sz w:val="24"/>
          <w:szCs w:val="24"/>
          <w:highlight w:val="none"/>
        </w:rPr>
        <w:t xml:space="preserve"> </w:t>
      </w:r>
    </w:p>
    <w:p w14:paraId="10983E9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 供应商在响应文件提交截止期前，可以对所提交的响应文件进行补充、修改或者撤回，并书面通知采购单位。补充、修改的内容应当按磋商文件要求签署、盖章，并作为响应文件的组成部分。补充、修改的内容和响应文件不一致的，以补充、修改的内容为准。在响应文件递交截止期时点之后，磋商供应商不得撤回其响应文件，不得对其响应文件做任何修改和补充。</w:t>
      </w:r>
    </w:p>
    <w:p w14:paraId="7E4C5F0E">
      <w:pPr>
        <w:pStyle w:val="7"/>
        <w:rPr>
          <w:rFonts w:hint="eastAsia"/>
          <w:color w:val="auto"/>
          <w:highlight w:val="none"/>
        </w:rPr>
      </w:pPr>
    </w:p>
    <w:p w14:paraId="2BC60480">
      <w:pPr>
        <w:keepNext w:val="0"/>
        <w:keepLines w:val="0"/>
        <w:pageBreakBefore w:val="0"/>
        <w:widowControl w:val="0"/>
        <w:numPr>
          <w:ilvl w:val="0"/>
          <w:numId w:val="5"/>
        </w:numPr>
        <w:kinsoku/>
        <w:wordWrap/>
        <w:overflowPunct/>
        <w:topLinePunct w:val="0"/>
        <w:autoSpaceDE w:val="0"/>
        <w:autoSpaceDN w:val="0"/>
        <w:bidi w:val="0"/>
        <w:adjustRightInd/>
        <w:snapToGrid/>
        <w:spacing w:line="440" w:lineRule="exact"/>
        <w:ind w:right="0" w:rightChars="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磋商</w:t>
      </w:r>
      <w:r>
        <w:rPr>
          <w:rFonts w:hint="eastAsia" w:ascii="宋体" w:hAnsi="宋体" w:eastAsia="宋体" w:cs="宋体"/>
          <w:b/>
          <w:bCs/>
          <w:color w:val="auto"/>
          <w:sz w:val="28"/>
          <w:szCs w:val="28"/>
          <w:highlight w:val="none"/>
          <w:lang w:val="en-US" w:eastAsia="zh-CN"/>
        </w:rPr>
        <w:t>程序</w:t>
      </w:r>
    </w:p>
    <w:p w14:paraId="29FBA749">
      <w:pPr>
        <w:pStyle w:val="7"/>
        <w:numPr>
          <w:ilvl w:val="0"/>
          <w:numId w:val="0"/>
        </w:numPr>
        <w:ind w:right="0" w:rightChars="0"/>
        <w:rPr>
          <w:rFonts w:hint="eastAsia"/>
          <w:color w:val="auto"/>
          <w:highlight w:val="none"/>
          <w:lang w:eastAsia="zh-CN"/>
        </w:rPr>
      </w:pPr>
    </w:p>
    <w:p w14:paraId="74017B68">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23 开启</w:t>
      </w:r>
    </w:p>
    <w:p w14:paraId="160F00AB">
      <w:pPr>
        <w:pageBreakBefore w:val="0"/>
        <w:kinsoku/>
        <w:wordWrap/>
        <w:overflowPunct/>
        <w:topLinePunct w:val="0"/>
        <w:bidi w:val="0"/>
        <w:snapToGrid/>
        <w:spacing w:line="400" w:lineRule="exact"/>
        <w:ind w:firstLine="480" w:firstLineChars="200"/>
        <w:textAlignment w:val="auto"/>
        <w:rPr>
          <w:rFonts w:hint="eastAsia"/>
          <w:color w:val="auto"/>
          <w:sz w:val="24"/>
          <w:szCs w:val="24"/>
          <w:highlight w:val="none"/>
        </w:rPr>
      </w:pPr>
      <w:r>
        <w:rPr>
          <w:rFonts w:hint="eastAsia"/>
          <w:color w:val="auto"/>
          <w:sz w:val="24"/>
          <w:szCs w:val="24"/>
          <w:highlight w:val="none"/>
          <w:lang w:val="en-US"/>
        </w:rPr>
        <w:t>23.1 开启会议</w:t>
      </w:r>
      <w:r>
        <w:rPr>
          <w:rFonts w:hint="eastAsia"/>
          <w:color w:val="auto"/>
          <w:sz w:val="24"/>
          <w:szCs w:val="24"/>
          <w:highlight w:val="none"/>
        </w:rPr>
        <w:t>由</w:t>
      </w:r>
      <w:r>
        <w:rPr>
          <w:rFonts w:hint="eastAsia"/>
          <w:color w:val="auto"/>
          <w:sz w:val="24"/>
          <w:szCs w:val="24"/>
          <w:highlight w:val="none"/>
          <w:lang w:val="en-US" w:eastAsia="zh-CN"/>
        </w:rPr>
        <w:t>采购人和招标代理公司</w:t>
      </w:r>
      <w:r>
        <w:rPr>
          <w:rFonts w:hint="eastAsia"/>
          <w:color w:val="auto"/>
          <w:sz w:val="24"/>
          <w:szCs w:val="24"/>
          <w:highlight w:val="none"/>
        </w:rPr>
        <w:t>主持并在磋商邀请中规定的日期、时间和地点组织公开</w:t>
      </w:r>
      <w:r>
        <w:rPr>
          <w:rFonts w:hint="eastAsia"/>
          <w:color w:val="auto"/>
          <w:sz w:val="24"/>
          <w:szCs w:val="24"/>
          <w:highlight w:val="none"/>
          <w:lang w:val="en-US"/>
        </w:rPr>
        <w:t>开启</w:t>
      </w:r>
      <w:r>
        <w:rPr>
          <w:rFonts w:hint="eastAsia"/>
          <w:color w:val="auto"/>
          <w:sz w:val="24"/>
          <w:szCs w:val="24"/>
          <w:highlight w:val="none"/>
        </w:rPr>
        <w:t>。允许</w:t>
      </w:r>
      <w:r>
        <w:rPr>
          <w:rFonts w:hint="eastAsia"/>
          <w:color w:val="auto"/>
          <w:sz w:val="24"/>
          <w:szCs w:val="24"/>
          <w:highlight w:val="none"/>
          <w:lang w:val="en-US"/>
        </w:rPr>
        <w:t>供应商</w:t>
      </w:r>
      <w:r>
        <w:rPr>
          <w:rFonts w:hint="eastAsia"/>
          <w:color w:val="auto"/>
          <w:sz w:val="24"/>
          <w:szCs w:val="24"/>
          <w:highlight w:val="none"/>
        </w:rPr>
        <w:t>的法定代表人或其授权人参加</w:t>
      </w:r>
      <w:r>
        <w:rPr>
          <w:rFonts w:hint="eastAsia"/>
          <w:color w:val="auto"/>
          <w:sz w:val="24"/>
          <w:szCs w:val="24"/>
          <w:highlight w:val="none"/>
          <w:lang w:val="en-US"/>
        </w:rPr>
        <w:t>开启会议</w:t>
      </w:r>
      <w:r>
        <w:rPr>
          <w:rFonts w:hint="eastAsia"/>
          <w:color w:val="auto"/>
          <w:sz w:val="24"/>
          <w:szCs w:val="24"/>
          <w:highlight w:val="none"/>
        </w:rPr>
        <w:t>。</w:t>
      </w:r>
    </w:p>
    <w:p w14:paraId="18A82907">
      <w:pPr>
        <w:spacing w:line="440" w:lineRule="exact"/>
        <w:ind w:firstLine="480" w:firstLineChars="200"/>
        <w:rPr>
          <w:rFonts w:hint="eastAsia"/>
          <w:color w:val="auto"/>
          <w:sz w:val="24"/>
          <w:szCs w:val="24"/>
          <w:highlight w:val="none"/>
          <w:lang w:val="en-US"/>
        </w:rPr>
      </w:pPr>
      <w:r>
        <w:rPr>
          <w:rFonts w:hint="eastAsia"/>
          <w:color w:val="auto"/>
          <w:sz w:val="24"/>
          <w:szCs w:val="24"/>
          <w:highlight w:val="none"/>
          <w:lang w:val="en-US"/>
        </w:rPr>
        <w:t xml:space="preserve">23.2 </w:t>
      </w:r>
      <w:r>
        <w:rPr>
          <w:rFonts w:hint="eastAsia"/>
          <w:color w:val="auto"/>
          <w:sz w:val="24"/>
          <w:szCs w:val="24"/>
          <w:highlight w:val="none"/>
          <w:lang w:val="en-US" w:eastAsia="zh-CN"/>
        </w:rPr>
        <w:t>电子响应文件解密，</w:t>
      </w:r>
      <w:r>
        <w:rPr>
          <w:rFonts w:hint="eastAsia"/>
          <w:color w:val="auto"/>
          <w:sz w:val="24"/>
          <w:szCs w:val="24"/>
          <w:highlight w:val="none"/>
        </w:rPr>
        <w:t>由</w:t>
      </w:r>
      <w:r>
        <w:rPr>
          <w:rFonts w:hint="eastAsia"/>
          <w:color w:val="auto"/>
          <w:sz w:val="24"/>
          <w:szCs w:val="24"/>
          <w:highlight w:val="none"/>
          <w:lang w:val="en-US" w:eastAsia="zh-CN"/>
        </w:rPr>
        <w:t>招标代理公司</w:t>
      </w:r>
      <w:r>
        <w:rPr>
          <w:rFonts w:hint="eastAsia"/>
          <w:color w:val="auto"/>
          <w:sz w:val="24"/>
          <w:szCs w:val="24"/>
          <w:highlight w:val="none"/>
          <w:lang w:val="en-US"/>
        </w:rPr>
        <w:t>工作人员</w:t>
      </w:r>
      <w:r>
        <w:rPr>
          <w:rFonts w:hint="eastAsia"/>
          <w:color w:val="auto"/>
          <w:sz w:val="24"/>
          <w:szCs w:val="24"/>
          <w:highlight w:val="none"/>
          <w:lang w:val="en-US" w:eastAsia="zh-CN"/>
        </w:rPr>
        <w:t>开启解密</w:t>
      </w:r>
      <w:r>
        <w:rPr>
          <w:rFonts w:hint="eastAsia"/>
          <w:color w:val="auto"/>
          <w:sz w:val="24"/>
          <w:szCs w:val="24"/>
          <w:highlight w:val="none"/>
          <w:lang w:val="en-US"/>
        </w:rPr>
        <w:t>。</w:t>
      </w:r>
    </w:p>
    <w:p w14:paraId="354B19D4">
      <w:pPr>
        <w:spacing w:line="440" w:lineRule="exact"/>
        <w:ind w:firstLine="480" w:firstLineChars="200"/>
        <w:rPr>
          <w:rFonts w:hint="eastAsia"/>
          <w:color w:val="auto"/>
          <w:sz w:val="24"/>
          <w:szCs w:val="24"/>
          <w:highlight w:val="none"/>
        </w:rPr>
      </w:pPr>
      <w:r>
        <w:rPr>
          <w:rFonts w:hint="eastAsia"/>
          <w:color w:val="auto"/>
          <w:sz w:val="24"/>
          <w:szCs w:val="24"/>
          <w:highlight w:val="none"/>
          <w:lang w:val="en-US"/>
        </w:rPr>
        <w:t xml:space="preserve">23.3  </w:t>
      </w:r>
      <w:r>
        <w:rPr>
          <w:rFonts w:hint="eastAsia"/>
          <w:color w:val="auto"/>
          <w:sz w:val="24"/>
          <w:szCs w:val="24"/>
          <w:highlight w:val="none"/>
        </w:rPr>
        <w:t>供应商代表对</w:t>
      </w:r>
      <w:r>
        <w:rPr>
          <w:rFonts w:hint="eastAsia"/>
          <w:color w:val="auto"/>
          <w:sz w:val="24"/>
          <w:szCs w:val="24"/>
          <w:highlight w:val="none"/>
          <w:lang w:val="en-US"/>
        </w:rPr>
        <w:t>开启</w:t>
      </w:r>
      <w:r>
        <w:rPr>
          <w:rFonts w:hint="eastAsia"/>
          <w:color w:val="auto"/>
          <w:sz w:val="24"/>
          <w:szCs w:val="24"/>
          <w:highlight w:val="none"/>
        </w:rPr>
        <w:t>过程和</w:t>
      </w:r>
      <w:r>
        <w:rPr>
          <w:rFonts w:hint="eastAsia"/>
          <w:color w:val="auto"/>
          <w:sz w:val="24"/>
          <w:szCs w:val="24"/>
          <w:highlight w:val="none"/>
          <w:lang w:val="en-US"/>
        </w:rPr>
        <w:t>开启</w:t>
      </w:r>
      <w:r>
        <w:rPr>
          <w:rFonts w:hint="eastAsia"/>
          <w:color w:val="auto"/>
          <w:sz w:val="24"/>
          <w:szCs w:val="24"/>
          <w:highlight w:val="none"/>
        </w:rPr>
        <w:t>记录有疑问，以及认为采购人、</w:t>
      </w:r>
      <w:r>
        <w:rPr>
          <w:rFonts w:hint="eastAsia"/>
          <w:color w:val="auto"/>
          <w:sz w:val="24"/>
          <w:szCs w:val="24"/>
          <w:highlight w:val="none"/>
          <w:lang w:val="en-US" w:eastAsia="zh-CN"/>
        </w:rPr>
        <w:t>招标代理公司</w:t>
      </w:r>
      <w:r>
        <w:rPr>
          <w:rFonts w:hint="eastAsia"/>
          <w:color w:val="auto"/>
          <w:sz w:val="24"/>
          <w:szCs w:val="24"/>
          <w:highlight w:val="none"/>
        </w:rPr>
        <w:t>相关工作人员有需要回避的情形的，应当场提出询问或者回避申请。采购人、</w:t>
      </w:r>
      <w:r>
        <w:rPr>
          <w:rFonts w:hint="eastAsia"/>
          <w:color w:val="auto"/>
          <w:sz w:val="24"/>
          <w:szCs w:val="24"/>
          <w:highlight w:val="none"/>
          <w:lang w:val="en-US" w:eastAsia="zh-CN"/>
        </w:rPr>
        <w:t>招标代理公司</w:t>
      </w:r>
      <w:r>
        <w:rPr>
          <w:rFonts w:hint="eastAsia"/>
          <w:color w:val="auto"/>
          <w:sz w:val="24"/>
          <w:szCs w:val="24"/>
          <w:highlight w:val="none"/>
          <w:lang w:val="en-US"/>
        </w:rPr>
        <w:t>工作人员</w:t>
      </w:r>
      <w:r>
        <w:rPr>
          <w:rFonts w:hint="eastAsia"/>
          <w:color w:val="auto"/>
          <w:sz w:val="24"/>
          <w:szCs w:val="24"/>
          <w:highlight w:val="none"/>
        </w:rPr>
        <w:t xml:space="preserve">对供应商代表提出的询问或者回避申请应当及时处理。 </w:t>
      </w:r>
    </w:p>
    <w:p w14:paraId="7D1CCC4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cs="宋体"/>
          <w:b/>
          <w:bCs/>
          <w:color w:val="auto"/>
          <w:sz w:val="24"/>
          <w:szCs w:val="24"/>
          <w:highlight w:val="none"/>
          <w:lang w:val="en-US" w:eastAsia="zh-CN"/>
        </w:rPr>
        <w:t>4 资格审查</w:t>
      </w:r>
      <w:r>
        <w:rPr>
          <w:rFonts w:hint="eastAsia" w:ascii="宋体" w:hAnsi="宋体" w:eastAsia="宋体" w:cs="宋体"/>
          <w:color w:val="auto"/>
          <w:sz w:val="24"/>
          <w:szCs w:val="24"/>
          <w:highlight w:val="none"/>
        </w:rPr>
        <w:t xml:space="preserve"> </w:t>
      </w:r>
    </w:p>
    <w:p w14:paraId="4B1B18A6">
      <w:pPr>
        <w:spacing w:line="440" w:lineRule="exact"/>
        <w:ind w:firstLine="482" w:firstLineChars="200"/>
        <w:rPr>
          <w:rFonts w:hint="eastAsia"/>
          <w:b/>
          <w:bCs/>
          <w:color w:val="auto"/>
          <w:sz w:val="24"/>
          <w:szCs w:val="24"/>
          <w:highlight w:val="none"/>
        </w:rPr>
      </w:pPr>
      <w:r>
        <w:rPr>
          <w:rFonts w:hint="eastAsia"/>
          <w:b/>
          <w:bCs/>
          <w:color w:val="auto"/>
          <w:sz w:val="24"/>
          <w:szCs w:val="24"/>
          <w:highlight w:val="none"/>
          <w:lang w:val="en-US"/>
        </w:rPr>
        <w:t xml:space="preserve">24.1 </w:t>
      </w:r>
      <w:r>
        <w:rPr>
          <w:rFonts w:hint="eastAsia" w:cs="宋体"/>
          <w:b/>
          <w:bCs/>
          <w:color w:val="auto"/>
          <w:sz w:val="24"/>
          <w:szCs w:val="24"/>
          <w:highlight w:val="none"/>
          <w:lang w:val="en-US" w:eastAsia="zh-CN"/>
        </w:rPr>
        <w:t>采购单位监督人员</w:t>
      </w:r>
      <w:r>
        <w:rPr>
          <w:rFonts w:hint="eastAsia"/>
          <w:b/>
          <w:bCs/>
          <w:color w:val="auto"/>
          <w:sz w:val="24"/>
          <w:szCs w:val="24"/>
          <w:highlight w:val="none"/>
        </w:rPr>
        <w:t>依法对供应商资格进行审查。资格审查是审查供应商</w:t>
      </w:r>
      <w:r>
        <w:rPr>
          <w:rFonts w:hint="eastAsia"/>
          <w:b/>
          <w:bCs/>
          <w:color w:val="auto"/>
          <w:sz w:val="24"/>
          <w:szCs w:val="24"/>
          <w:highlight w:val="none"/>
          <w:lang w:val="en-US"/>
        </w:rPr>
        <w:t>资格证明</w:t>
      </w:r>
      <w:r>
        <w:rPr>
          <w:rFonts w:hint="eastAsia"/>
          <w:b/>
          <w:bCs/>
          <w:color w:val="auto"/>
          <w:sz w:val="24"/>
          <w:szCs w:val="24"/>
          <w:highlight w:val="none"/>
        </w:rPr>
        <w:t>文件是否对磋商文件</w:t>
      </w:r>
      <w:r>
        <w:rPr>
          <w:rFonts w:hint="eastAsia"/>
          <w:b/>
          <w:bCs/>
          <w:color w:val="auto"/>
          <w:sz w:val="24"/>
          <w:szCs w:val="24"/>
          <w:highlight w:val="none"/>
          <w:lang w:val="en-US"/>
        </w:rPr>
        <w:t>资格条件</w:t>
      </w:r>
      <w:r>
        <w:rPr>
          <w:rFonts w:hint="eastAsia"/>
          <w:b/>
          <w:bCs/>
          <w:color w:val="auto"/>
          <w:sz w:val="24"/>
          <w:szCs w:val="24"/>
          <w:highlight w:val="none"/>
        </w:rPr>
        <w:t>作出实质性的响应，审查细则详见</w:t>
      </w:r>
      <w:r>
        <w:rPr>
          <w:rFonts w:hint="eastAsia"/>
          <w:b/>
          <w:bCs/>
          <w:color w:val="auto"/>
          <w:sz w:val="24"/>
          <w:szCs w:val="24"/>
          <w:highlight w:val="none"/>
          <w:lang w:val="en-US"/>
        </w:rPr>
        <w:t>磋商须知第七部分：《资格性审查表》</w:t>
      </w:r>
      <w:r>
        <w:rPr>
          <w:rFonts w:hint="eastAsia"/>
          <w:b/>
          <w:bCs/>
          <w:color w:val="auto"/>
          <w:sz w:val="24"/>
          <w:szCs w:val="24"/>
          <w:highlight w:val="none"/>
        </w:rPr>
        <w:t>。对</w:t>
      </w:r>
      <w:r>
        <w:rPr>
          <w:rFonts w:hint="eastAsia"/>
          <w:b/>
          <w:bCs/>
          <w:color w:val="auto"/>
          <w:sz w:val="24"/>
          <w:szCs w:val="24"/>
          <w:highlight w:val="none"/>
          <w:lang w:val="en-US"/>
        </w:rPr>
        <w:t>资格证明文件提供不全或</w:t>
      </w:r>
      <w:r>
        <w:rPr>
          <w:rFonts w:hint="eastAsia"/>
          <w:b/>
          <w:bCs/>
          <w:color w:val="auto"/>
          <w:sz w:val="24"/>
          <w:szCs w:val="24"/>
          <w:highlight w:val="none"/>
        </w:rPr>
        <w:t>资格性审查不通过的磋商供应商，</w:t>
      </w:r>
      <w:r>
        <w:rPr>
          <w:rFonts w:hint="eastAsia"/>
          <w:b/>
          <w:bCs/>
          <w:color w:val="auto"/>
          <w:sz w:val="24"/>
          <w:szCs w:val="24"/>
          <w:highlight w:val="none"/>
          <w:lang w:val="en-US"/>
        </w:rPr>
        <w:t>将</w:t>
      </w:r>
      <w:r>
        <w:rPr>
          <w:rFonts w:hint="eastAsia"/>
          <w:b/>
          <w:bCs/>
          <w:color w:val="auto"/>
          <w:sz w:val="24"/>
          <w:szCs w:val="24"/>
          <w:highlight w:val="none"/>
        </w:rPr>
        <w:t>由</w:t>
      </w:r>
      <w:r>
        <w:rPr>
          <w:rFonts w:hint="eastAsia" w:ascii="宋体" w:hAnsi="宋体" w:eastAsia="宋体" w:cs="宋体"/>
          <w:b/>
          <w:bCs/>
          <w:color w:val="auto"/>
          <w:sz w:val="24"/>
          <w:szCs w:val="24"/>
          <w:highlight w:val="none"/>
        </w:rPr>
        <w:t>磋商小组</w:t>
      </w:r>
      <w:r>
        <w:rPr>
          <w:rFonts w:hint="eastAsia"/>
          <w:b/>
          <w:bCs/>
          <w:color w:val="auto"/>
          <w:sz w:val="24"/>
          <w:szCs w:val="24"/>
          <w:highlight w:val="none"/>
        </w:rPr>
        <w:t>现场告知</w:t>
      </w:r>
      <w:r>
        <w:rPr>
          <w:rFonts w:hint="eastAsia"/>
          <w:b/>
          <w:bCs/>
          <w:color w:val="auto"/>
          <w:sz w:val="24"/>
          <w:szCs w:val="24"/>
          <w:highlight w:val="none"/>
          <w:lang w:val="en-US"/>
        </w:rPr>
        <w:t>其不得</w:t>
      </w:r>
      <w:r>
        <w:rPr>
          <w:rFonts w:hint="eastAsia"/>
          <w:b/>
          <w:bCs/>
          <w:color w:val="auto"/>
          <w:sz w:val="24"/>
          <w:szCs w:val="24"/>
          <w:highlight w:val="none"/>
        </w:rPr>
        <w:t xml:space="preserve">参与磋商。 </w:t>
      </w:r>
    </w:p>
    <w:p w14:paraId="51BB0918">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25 </w:t>
      </w:r>
      <w:r>
        <w:rPr>
          <w:rFonts w:hint="eastAsia" w:ascii="宋体" w:hAnsi="宋体" w:eastAsia="宋体" w:cs="宋体"/>
          <w:b/>
          <w:bCs/>
          <w:color w:val="auto"/>
          <w:sz w:val="24"/>
          <w:szCs w:val="24"/>
          <w:highlight w:val="none"/>
        </w:rPr>
        <w:t>磋商小组</w:t>
      </w:r>
      <w:r>
        <w:rPr>
          <w:rFonts w:hint="eastAsia" w:ascii="宋体" w:hAnsi="宋体" w:eastAsia="宋体" w:cs="宋体"/>
          <w:color w:val="auto"/>
          <w:sz w:val="24"/>
          <w:szCs w:val="24"/>
          <w:highlight w:val="none"/>
        </w:rPr>
        <w:t xml:space="preserve"> </w:t>
      </w:r>
    </w:p>
    <w:p w14:paraId="6CE299C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25.1 </w:t>
      </w:r>
      <w:r>
        <w:rPr>
          <w:rFonts w:hint="eastAsia" w:ascii="宋体" w:hAnsi="宋体" w:eastAsia="宋体" w:cs="宋体"/>
          <w:color w:val="auto"/>
          <w:sz w:val="24"/>
          <w:szCs w:val="24"/>
          <w:highlight w:val="none"/>
        </w:rPr>
        <w:t>磋商小组根据采购项目的特点进行组建，并负责磋商工作。磋商小组由评审专家共3人以上单数组成，采购人代表</w:t>
      </w:r>
      <w:r>
        <w:rPr>
          <w:rFonts w:hint="eastAsia" w:cs="宋体"/>
          <w:color w:val="auto"/>
          <w:sz w:val="24"/>
          <w:szCs w:val="24"/>
          <w:highlight w:val="none"/>
          <w:lang w:val="en-US" w:eastAsia="zh-CN"/>
        </w:rPr>
        <w:t>1名</w:t>
      </w:r>
      <w:r>
        <w:rPr>
          <w:rFonts w:hint="eastAsia" w:ascii="宋体" w:hAnsi="宋体" w:eastAsia="宋体" w:cs="宋体"/>
          <w:color w:val="auto"/>
          <w:sz w:val="24"/>
          <w:szCs w:val="24"/>
          <w:highlight w:val="none"/>
        </w:rPr>
        <w:t>、专家</w:t>
      </w:r>
      <w:r>
        <w:rPr>
          <w:rFonts w:hint="eastAsia" w:cs="宋体"/>
          <w:color w:val="auto"/>
          <w:sz w:val="24"/>
          <w:szCs w:val="24"/>
          <w:highlight w:val="none"/>
          <w:lang w:val="en-US" w:eastAsia="zh-CN"/>
        </w:rPr>
        <w:t>2名</w:t>
      </w:r>
      <w:r>
        <w:rPr>
          <w:rFonts w:hint="eastAsia" w:ascii="宋体" w:hAnsi="宋体" w:eastAsia="宋体" w:cs="宋体"/>
          <w:color w:val="auto"/>
          <w:sz w:val="24"/>
          <w:szCs w:val="24"/>
          <w:highlight w:val="none"/>
        </w:rPr>
        <w:t>。其中评审专家人数不得少于磋商小组成员总数的三分之二。评标专家依法从政府采购评审专家库内相关</w:t>
      </w:r>
      <w:r>
        <w:rPr>
          <w:rFonts w:hint="eastAsia" w:cs="宋体"/>
          <w:color w:val="auto"/>
          <w:sz w:val="24"/>
          <w:szCs w:val="24"/>
          <w:highlight w:val="none"/>
          <w:lang w:val="en-US" w:eastAsia="zh-CN"/>
        </w:rPr>
        <w:t>专业</w:t>
      </w:r>
      <w:r>
        <w:rPr>
          <w:rFonts w:hint="eastAsia" w:ascii="宋体" w:hAnsi="宋体" w:eastAsia="宋体" w:cs="宋体"/>
          <w:color w:val="auto"/>
          <w:sz w:val="24"/>
          <w:szCs w:val="24"/>
          <w:highlight w:val="none"/>
        </w:rPr>
        <w:t>的专家名单中随机抽取。</w:t>
      </w:r>
      <w:r>
        <w:rPr>
          <w:rFonts w:hint="eastAsia" w:ascii="宋体" w:hAnsi="宋体" w:eastAsia="宋体" w:cs="宋体"/>
          <w:color w:val="auto"/>
          <w:sz w:val="24"/>
          <w:szCs w:val="24"/>
          <w:highlight w:val="none"/>
          <w:lang w:val="en-US" w:eastAsia="zh-CN"/>
        </w:rPr>
        <w:t xml:space="preserve">25.2 </w:t>
      </w:r>
      <w:r>
        <w:rPr>
          <w:rFonts w:hint="eastAsia" w:ascii="宋体" w:hAnsi="宋体" w:eastAsia="宋体" w:cs="宋体"/>
          <w:color w:val="auto"/>
          <w:sz w:val="24"/>
          <w:szCs w:val="24"/>
          <w:highlight w:val="none"/>
        </w:rPr>
        <w:t xml:space="preserve">磋商基本原则：磋商工作根据《中华人民共和国政府采购法》及其实施条例、《政府采购竞争性磋商采购方式管理暂行办法》、《财政部关于政府采购竞争性磋商采购方式管理暂行办法有关问题的补充通知》以及相关配套的法律法规和政策规定进行。磋商小组将按照磋商文件规定的程序与各供应商单独进行磋商。 </w:t>
      </w:r>
    </w:p>
    <w:p w14:paraId="61DAF7D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25.3 </w:t>
      </w:r>
      <w:r>
        <w:rPr>
          <w:rFonts w:hint="eastAsia" w:ascii="宋体" w:hAnsi="宋体" w:eastAsia="宋体" w:cs="宋体"/>
          <w:color w:val="auto"/>
          <w:sz w:val="24"/>
          <w:szCs w:val="24"/>
          <w:highlight w:val="none"/>
        </w:rPr>
        <w:t>磋商小组名单在评审结果确定前严格保密。评审专家有下列情形之一的，受到邀请应主动提出回避， 采购当事人也可以要求该评审专家回避</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3284893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25.3.1 </w:t>
      </w:r>
      <w:r>
        <w:rPr>
          <w:rFonts w:hint="eastAsia" w:ascii="宋体" w:hAnsi="宋体" w:eastAsia="宋体" w:cs="宋体"/>
          <w:color w:val="auto"/>
          <w:sz w:val="24"/>
          <w:szCs w:val="24"/>
          <w:highlight w:val="none"/>
        </w:rPr>
        <w:t xml:space="preserve">参加采购活动前3年内与参加该采购项目的供应商存在劳动关系或担任过供应商的董事、监事或是供应商的控股股东或者实际控制人； </w:t>
      </w:r>
    </w:p>
    <w:p w14:paraId="3F6377C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25.3.2 </w:t>
      </w:r>
      <w:r>
        <w:rPr>
          <w:rFonts w:hint="eastAsia" w:ascii="宋体" w:hAnsi="宋体" w:eastAsia="宋体" w:cs="宋体"/>
          <w:color w:val="auto"/>
          <w:sz w:val="24"/>
          <w:szCs w:val="24"/>
          <w:highlight w:val="none"/>
        </w:rPr>
        <w:t xml:space="preserve">与参加该采购项目的供应商的法定代表人或者负责人有夫妻、直系血亲、三代以内旁系血亲或者近姻亲关系； </w:t>
      </w:r>
    </w:p>
    <w:p w14:paraId="141D967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25.3.3 </w:t>
      </w:r>
      <w:r>
        <w:rPr>
          <w:rFonts w:hint="eastAsia" w:ascii="宋体" w:hAnsi="宋体" w:eastAsia="宋体" w:cs="宋体"/>
          <w:color w:val="auto"/>
          <w:sz w:val="24"/>
          <w:szCs w:val="24"/>
          <w:highlight w:val="none"/>
        </w:rPr>
        <w:t xml:space="preserve">与参加该采购项目的供应商有其他可能影响政府采购活动公平、公正进行的关系。 </w:t>
      </w:r>
    </w:p>
    <w:p w14:paraId="14C5C7E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 </w:t>
      </w:r>
      <w:r>
        <w:rPr>
          <w:rFonts w:hint="eastAsia" w:ascii="宋体" w:hAnsi="宋体" w:eastAsia="宋体" w:cs="宋体"/>
          <w:color w:val="auto"/>
          <w:sz w:val="24"/>
          <w:szCs w:val="24"/>
          <w:highlight w:val="none"/>
        </w:rPr>
        <w:t xml:space="preserve">磋商小组负责具体评审事务，并独立履行下列职责： </w:t>
      </w:r>
    </w:p>
    <w:p w14:paraId="62BB32C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25.4.1 </w:t>
      </w:r>
      <w:r>
        <w:rPr>
          <w:rFonts w:hint="eastAsia" w:ascii="宋体" w:hAnsi="宋体" w:eastAsia="宋体" w:cs="宋体"/>
          <w:color w:val="auto"/>
          <w:sz w:val="24"/>
          <w:szCs w:val="24"/>
          <w:highlight w:val="none"/>
        </w:rPr>
        <w:t xml:space="preserve">审查、评审响应文件是否符合磋商文件的商务、技术等实质性要求； </w:t>
      </w:r>
    </w:p>
    <w:p w14:paraId="71BCDD6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25.4.2 </w:t>
      </w:r>
      <w:r>
        <w:rPr>
          <w:rFonts w:hint="eastAsia" w:ascii="宋体" w:hAnsi="宋体" w:eastAsia="宋体" w:cs="宋体"/>
          <w:color w:val="auto"/>
          <w:sz w:val="24"/>
          <w:szCs w:val="24"/>
          <w:highlight w:val="none"/>
        </w:rPr>
        <w:t xml:space="preserve">要求供应商对响应文件有关事项作出澄清或者说明； </w:t>
      </w:r>
    </w:p>
    <w:p w14:paraId="0F27558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25.4.3 </w:t>
      </w:r>
      <w:r>
        <w:rPr>
          <w:rFonts w:hint="eastAsia" w:ascii="宋体" w:hAnsi="宋体" w:eastAsia="宋体" w:cs="宋体"/>
          <w:color w:val="auto"/>
          <w:sz w:val="24"/>
          <w:szCs w:val="24"/>
          <w:highlight w:val="none"/>
        </w:rPr>
        <w:t xml:space="preserve">对响应文件进行比较和评价； </w:t>
      </w:r>
    </w:p>
    <w:p w14:paraId="276B5E8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25.4.4 </w:t>
      </w:r>
      <w:r>
        <w:rPr>
          <w:rFonts w:hint="eastAsia" w:ascii="宋体" w:hAnsi="宋体" w:eastAsia="宋体" w:cs="宋体"/>
          <w:color w:val="auto"/>
          <w:sz w:val="24"/>
          <w:szCs w:val="24"/>
          <w:highlight w:val="none"/>
        </w:rPr>
        <w:t xml:space="preserve">确定成交候选供应商名单，以及根据采购人委托直接确定成交供应商； </w:t>
      </w:r>
    </w:p>
    <w:p w14:paraId="302A5D3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25.4.5 </w:t>
      </w:r>
      <w:r>
        <w:rPr>
          <w:rFonts w:hint="eastAsia" w:ascii="宋体" w:hAnsi="宋体" w:eastAsia="宋体" w:cs="宋体"/>
          <w:color w:val="auto"/>
          <w:sz w:val="24"/>
          <w:szCs w:val="24"/>
          <w:highlight w:val="none"/>
        </w:rPr>
        <w:t>向采购人、</w:t>
      </w:r>
      <w:r>
        <w:rPr>
          <w:rFonts w:hint="eastAsia" w:cs="宋体"/>
          <w:color w:val="auto"/>
          <w:sz w:val="24"/>
          <w:szCs w:val="24"/>
          <w:highlight w:val="none"/>
          <w:lang w:val="en-US" w:eastAsia="zh-CN"/>
        </w:rPr>
        <w:t>鄯善县财政局采购办</w:t>
      </w:r>
      <w:r>
        <w:rPr>
          <w:rFonts w:hint="eastAsia" w:ascii="宋体" w:hAnsi="宋体" w:eastAsia="宋体" w:cs="宋体"/>
          <w:color w:val="auto"/>
          <w:sz w:val="24"/>
          <w:szCs w:val="24"/>
          <w:highlight w:val="none"/>
          <w:lang w:eastAsia="zh-CN"/>
        </w:rPr>
        <w:t>和</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或者有关部门报告磋商中发现的违法行为。 </w:t>
      </w:r>
    </w:p>
    <w:p w14:paraId="6323AE0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25.5 </w:t>
      </w:r>
      <w:r>
        <w:rPr>
          <w:rFonts w:hint="eastAsia" w:ascii="宋体" w:hAnsi="宋体" w:eastAsia="宋体" w:cs="宋体"/>
          <w:color w:val="auto"/>
          <w:sz w:val="24"/>
          <w:szCs w:val="24"/>
          <w:highlight w:val="none"/>
        </w:rPr>
        <w:t xml:space="preserve">磋商小组和有关工作人员不得透露对响应文件的评审和比较以及与磋商有关的其他情况。 </w:t>
      </w:r>
    </w:p>
    <w:p w14:paraId="6DC4469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25.6 </w:t>
      </w:r>
      <w:r>
        <w:rPr>
          <w:rFonts w:hint="eastAsia" w:ascii="宋体" w:hAnsi="宋体" w:eastAsia="宋体" w:cs="宋体"/>
          <w:color w:val="auto"/>
          <w:sz w:val="24"/>
          <w:szCs w:val="24"/>
          <w:highlight w:val="none"/>
        </w:rPr>
        <w:t xml:space="preserve">磋商小组将按照磋商文件中确定的评标方法和评标标准进行磋商。 </w:t>
      </w:r>
    </w:p>
    <w:p w14:paraId="302C751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25.7 </w:t>
      </w:r>
      <w:r>
        <w:rPr>
          <w:rFonts w:hint="eastAsia" w:ascii="宋体" w:hAnsi="宋体" w:eastAsia="宋体" w:cs="宋体"/>
          <w:color w:val="auto"/>
          <w:sz w:val="24"/>
          <w:szCs w:val="24"/>
          <w:highlight w:val="none"/>
        </w:rPr>
        <w:t xml:space="preserve">磋商小组对磋商文件中描述有歧意或前后不一致的地方，有权进行评判，但对同一条款的评判应适用于每个磋商供应商。 </w:t>
      </w:r>
    </w:p>
    <w:p w14:paraId="69407E71">
      <w:pPr>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25.8 </w:t>
      </w:r>
      <w:r>
        <w:rPr>
          <w:rFonts w:hint="eastAsia" w:ascii="宋体" w:hAnsi="宋体" w:eastAsia="宋体" w:cs="宋体"/>
          <w:color w:val="auto"/>
          <w:sz w:val="24"/>
          <w:szCs w:val="24"/>
          <w:highlight w:val="none"/>
        </w:rPr>
        <w:t>磋商中因磋商小组成员缺席、回避或者健康等特殊原因导致磋商小组成不符合相关法律法规规定的</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招标代理公司</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 xml:space="preserve">应当依法补足后继续磋商。被更换的磋商小组成员所作出的评审意见无效。 </w:t>
      </w:r>
    </w:p>
    <w:p w14:paraId="539EA12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25.9 </w:t>
      </w:r>
      <w:r>
        <w:rPr>
          <w:rFonts w:hint="eastAsia" w:ascii="宋体" w:hAnsi="宋体" w:eastAsia="宋体" w:cs="宋体"/>
          <w:color w:val="auto"/>
          <w:sz w:val="24"/>
          <w:szCs w:val="24"/>
          <w:highlight w:val="none"/>
        </w:rPr>
        <w:t>无法及时补足磋商小组成员的，采购人或者</w:t>
      </w:r>
      <w:r>
        <w:rPr>
          <w:rFonts w:hint="eastAsia"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招标代理公司</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 xml:space="preserve">应当停止评标活动，封存所有响应文件和开标、磋商资料，依法重新组建磋商小组进行磋商。 </w:t>
      </w:r>
    </w:p>
    <w:p w14:paraId="571007D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25.10 </w:t>
      </w:r>
      <w:r>
        <w:rPr>
          <w:rFonts w:hint="eastAsia"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招标代理公司</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 xml:space="preserve">应当将变更、重新组建评磋商小组的情况予以记录，并随采购文件一并存档。 </w:t>
      </w:r>
    </w:p>
    <w:p w14:paraId="24558079">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26 </w:t>
      </w:r>
      <w:r>
        <w:rPr>
          <w:rFonts w:hint="eastAsia" w:ascii="宋体" w:hAnsi="宋体" w:eastAsia="宋体" w:cs="宋体"/>
          <w:b/>
          <w:bCs/>
          <w:color w:val="auto"/>
          <w:sz w:val="24"/>
          <w:szCs w:val="24"/>
          <w:highlight w:val="none"/>
        </w:rPr>
        <w:t>磋商过程</w:t>
      </w:r>
      <w:r>
        <w:rPr>
          <w:rFonts w:hint="eastAsia" w:ascii="宋体" w:hAnsi="宋体" w:eastAsia="宋体" w:cs="宋体"/>
          <w:color w:val="auto"/>
          <w:sz w:val="24"/>
          <w:szCs w:val="24"/>
          <w:highlight w:val="none"/>
        </w:rPr>
        <w:t xml:space="preserve"> </w:t>
      </w:r>
    </w:p>
    <w:p w14:paraId="16CAE267">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26.1 </w:t>
      </w:r>
      <w:r>
        <w:rPr>
          <w:rFonts w:hint="eastAsia" w:ascii="宋体" w:hAnsi="宋体" w:eastAsia="宋体" w:cs="宋体"/>
          <w:b/>
          <w:bCs/>
          <w:color w:val="auto"/>
          <w:sz w:val="24"/>
          <w:szCs w:val="24"/>
          <w:highlight w:val="none"/>
        </w:rPr>
        <w:t>符合性审查</w:t>
      </w:r>
      <w:r>
        <w:rPr>
          <w:rFonts w:hint="eastAsia" w:ascii="宋体" w:hAnsi="宋体" w:eastAsia="宋体" w:cs="宋体"/>
          <w:color w:val="auto"/>
          <w:sz w:val="24"/>
          <w:szCs w:val="24"/>
          <w:highlight w:val="none"/>
        </w:rPr>
        <w:t xml:space="preserve"> </w:t>
      </w:r>
    </w:p>
    <w:p w14:paraId="5985D3D3">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color w:val="auto"/>
          <w:highlight w:val="none"/>
        </w:rPr>
      </w:pPr>
      <w:r>
        <w:rPr>
          <w:rFonts w:hint="eastAsia" w:ascii="宋体" w:hAnsi="宋体" w:eastAsia="宋体" w:cs="宋体"/>
          <w:b/>
          <w:bCs/>
          <w:color w:val="auto"/>
          <w:sz w:val="24"/>
          <w:szCs w:val="24"/>
          <w:highlight w:val="none"/>
          <w:lang w:val="en-US" w:eastAsia="zh-CN"/>
        </w:rPr>
        <w:t>2</w:t>
      </w:r>
      <w:r>
        <w:rPr>
          <w:rFonts w:hint="eastAsia"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w:t>
      </w:r>
      <w:r>
        <w:rPr>
          <w:rFonts w:hint="eastAsia"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w:t>
      </w:r>
      <w:r>
        <w:rPr>
          <w:rFonts w:hint="eastAsia"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磋商小组在对响应文件的有效性、完整性和响应程序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响应文件应当采用书面形式，并由法定代表人或其授权代表签字或加盖公章，供应商为自然人的，应当由本人签字并附身份证明。 对符合性审查不通过的响应文件磋商小组将按无效响应处理，由磋商小组现场告知该磋商供应商，其响应文件作无效处理，不参与磋商。 </w:t>
      </w:r>
      <w:r>
        <w:rPr>
          <w:rFonts w:hint="eastAsia" w:ascii="宋体" w:hAnsi="宋体" w:eastAsia="宋体" w:cs="宋体"/>
          <w:b/>
          <w:bCs/>
          <w:color w:val="auto"/>
          <w:sz w:val="24"/>
          <w:szCs w:val="24"/>
          <w:highlight w:val="none"/>
        </w:rPr>
        <w:t>审查细则详见</w:t>
      </w:r>
      <w:r>
        <w:rPr>
          <w:rFonts w:hint="eastAsia" w:cs="宋体"/>
          <w:b/>
          <w:bCs/>
          <w:color w:val="auto"/>
          <w:sz w:val="24"/>
          <w:szCs w:val="24"/>
          <w:highlight w:val="none"/>
          <w:lang w:val="en-US" w:eastAsia="zh-CN"/>
        </w:rPr>
        <w:t>磋商须知</w:t>
      </w:r>
      <w:r>
        <w:rPr>
          <w:rFonts w:hint="eastAsia" w:ascii="宋体" w:hAnsi="宋体" w:eastAsia="宋体" w:cs="宋体"/>
          <w:b/>
          <w:bCs/>
          <w:color w:val="auto"/>
          <w:sz w:val="24"/>
          <w:szCs w:val="24"/>
          <w:highlight w:val="none"/>
          <w:lang w:val="en-US" w:eastAsia="zh-CN"/>
        </w:rPr>
        <w:t>第</w:t>
      </w:r>
      <w:r>
        <w:rPr>
          <w:rFonts w:hint="eastAsia"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val="en-US" w:eastAsia="zh-CN"/>
        </w:rPr>
        <w:t>部分：</w:t>
      </w:r>
      <w:r>
        <w:rPr>
          <w:rFonts w:hint="eastAsia" w:ascii="宋体" w:hAnsi="宋体" w:eastAsia="宋体" w:cs="宋体"/>
          <w:b/>
          <w:bCs/>
          <w:color w:val="auto"/>
          <w:sz w:val="24"/>
          <w:szCs w:val="24"/>
          <w:highlight w:val="none"/>
        </w:rPr>
        <w:t>《符合性审查表》。</w:t>
      </w:r>
    </w:p>
    <w:p w14:paraId="47846F15">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26.2 </w:t>
      </w:r>
      <w:r>
        <w:rPr>
          <w:rFonts w:hint="eastAsia" w:ascii="宋体" w:hAnsi="宋体" w:eastAsia="宋体" w:cs="宋体"/>
          <w:b/>
          <w:bCs/>
          <w:color w:val="auto"/>
          <w:sz w:val="24"/>
          <w:szCs w:val="24"/>
          <w:highlight w:val="none"/>
        </w:rPr>
        <w:t>磋商</w:t>
      </w:r>
      <w:r>
        <w:rPr>
          <w:rFonts w:hint="eastAsia" w:ascii="宋体" w:hAnsi="宋体" w:eastAsia="宋体" w:cs="宋体"/>
          <w:color w:val="auto"/>
          <w:sz w:val="24"/>
          <w:szCs w:val="24"/>
          <w:highlight w:val="none"/>
        </w:rPr>
        <w:t xml:space="preserve"> </w:t>
      </w:r>
    </w:p>
    <w:p w14:paraId="19EB900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26.2.1 </w:t>
      </w:r>
      <w:r>
        <w:rPr>
          <w:rFonts w:hint="eastAsia" w:ascii="宋体" w:hAnsi="宋体" w:eastAsia="宋体" w:cs="宋体"/>
          <w:color w:val="auto"/>
          <w:sz w:val="24"/>
          <w:szCs w:val="24"/>
          <w:highlight w:val="none"/>
        </w:rPr>
        <w:t>磋商小组所有成员集中与单一供应商分别进行</w:t>
      </w:r>
      <w:r>
        <w:rPr>
          <w:rFonts w:hint="eastAsia" w:cs="宋体"/>
          <w:color w:val="auto"/>
          <w:sz w:val="24"/>
          <w:szCs w:val="24"/>
          <w:highlight w:val="none"/>
          <w:lang w:val="en-US" w:eastAsia="zh-CN"/>
        </w:rPr>
        <w:t>线上</w:t>
      </w:r>
      <w:r>
        <w:rPr>
          <w:rFonts w:hint="eastAsia" w:ascii="宋体" w:hAnsi="宋体" w:eastAsia="宋体" w:cs="宋体"/>
          <w:color w:val="auto"/>
          <w:sz w:val="24"/>
          <w:szCs w:val="24"/>
          <w:highlight w:val="none"/>
        </w:rPr>
        <w:t xml:space="preserve">磋商，并给予所有参加磋商的供应商平等的磋商机会。 </w:t>
      </w:r>
    </w:p>
    <w:p w14:paraId="0A7F46F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26.2.3 </w:t>
      </w:r>
      <w:r>
        <w:rPr>
          <w:rFonts w:hint="eastAsia" w:ascii="宋体" w:hAnsi="宋体" w:eastAsia="宋体" w:cs="宋体"/>
          <w:color w:val="auto"/>
          <w:sz w:val="24"/>
          <w:szCs w:val="24"/>
          <w:highlight w:val="none"/>
        </w:rPr>
        <w:t>磋商小组对各供应商的最后报价进行审查，认为供应商的最后报价明显低于其他通过资格、符合性审查供应商的报价，有可能影响</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质量或者不能诚信履约的，</w:t>
      </w:r>
      <w:r>
        <w:rPr>
          <w:rFonts w:hint="eastAsia"/>
          <w:color w:val="auto"/>
          <w:sz w:val="24"/>
          <w:szCs w:val="24"/>
          <w:highlight w:val="none"/>
        </w:rPr>
        <w:t>应当要求其在</w:t>
      </w:r>
      <w:r>
        <w:rPr>
          <w:rFonts w:hint="eastAsia"/>
          <w:color w:val="auto"/>
          <w:sz w:val="24"/>
          <w:szCs w:val="24"/>
          <w:highlight w:val="none"/>
          <w:lang w:val="en-US" w:eastAsia="zh-CN"/>
        </w:rPr>
        <w:t>政采云不见面开评标大厅</w:t>
      </w:r>
      <w:r>
        <w:rPr>
          <w:rFonts w:hint="eastAsia"/>
          <w:color w:val="auto"/>
          <w:sz w:val="24"/>
          <w:szCs w:val="24"/>
          <w:highlight w:val="none"/>
        </w:rPr>
        <w:t>提供书面说明，必要时提交相关证明材料；供应商不能证明其报价合理性的，磋商小组应当将其作为无效响应处理。</w:t>
      </w:r>
      <w:r>
        <w:rPr>
          <w:rFonts w:hint="eastAsia"/>
          <w:color w:val="auto"/>
          <w:sz w:val="24"/>
          <w:szCs w:val="24"/>
          <w:highlight w:val="none"/>
          <w:lang w:val="en-US" w:eastAsia="zh-CN"/>
        </w:rPr>
        <w:t xml:space="preserve">  </w:t>
      </w:r>
    </w:p>
    <w:p w14:paraId="417F2AB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26.2.4 </w:t>
      </w:r>
      <w:r>
        <w:rPr>
          <w:rFonts w:hint="eastAsia" w:ascii="宋体" w:hAnsi="宋体" w:eastAsia="宋体" w:cs="宋体"/>
          <w:color w:val="auto"/>
          <w:sz w:val="24"/>
          <w:szCs w:val="24"/>
          <w:highlight w:val="none"/>
        </w:rPr>
        <w:t xml:space="preserve">供应商的报价出现前后不一致的情况，磋商小组将要求供应商根据磋商文件要求修正报价。修正后的报价经供应商确认后具有约束力，供应商不确认的，其响应无效。 </w:t>
      </w:r>
    </w:p>
    <w:p w14:paraId="02F1F60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26.2.5 </w:t>
      </w:r>
      <w:r>
        <w:rPr>
          <w:rFonts w:hint="eastAsia" w:ascii="宋体" w:hAnsi="宋体" w:eastAsia="宋体" w:cs="宋体"/>
          <w:color w:val="auto"/>
          <w:sz w:val="24"/>
          <w:szCs w:val="24"/>
          <w:highlight w:val="none"/>
        </w:rPr>
        <w:t xml:space="preserve">报价按照下列规定修正： </w:t>
      </w:r>
    </w:p>
    <w:p w14:paraId="58CF1B8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26.2.5.1 </w:t>
      </w:r>
      <w:r>
        <w:rPr>
          <w:rFonts w:hint="eastAsia" w:ascii="宋体" w:hAnsi="宋体" w:eastAsia="宋体" w:cs="宋体"/>
          <w:color w:val="auto"/>
          <w:sz w:val="24"/>
          <w:szCs w:val="24"/>
          <w:highlight w:val="none"/>
        </w:rPr>
        <w:t>响应文件中</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一览表（首次报价表）内容与响应文件中相应内容不一致的，以</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 xml:space="preserve">一览表（首次报价表）为准； </w:t>
      </w:r>
    </w:p>
    <w:p w14:paraId="78564C7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26.2.5.2 </w:t>
      </w:r>
      <w:r>
        <w:rPr>
          <w:rFonts w:hint="eastAsia" w:ascii="宋体" w:hAnsi="宋体" w:eastAsia="宋体" w:cs="宋体"/>
          <w:color w:val="auto"/>
          <w:sz w:val="24"/>
          <w:szCs w:val="24"/>
          <w:highlight w:val="none"/>
        </w:rPr>
        <w:t xml:space="preserve">大写金额和小写金额不一致的，以大写金额为准； </w:t>
      </w:r>
    </w:p>
    <w:p w14:paraId="778AEFE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26.2.5.3 </w:t>
      </w:r>
      <w:r>
        <w:rPr>
          <w:rFonts w:hint="eastAsia" w:ascii="宋体" w:hAnsi="宋体" w:eastAsia="宋体" w:cs="宋体"/>
          <w:color w:val="auto"/>
          <w:sz w:val="24"/>
          <w:szCs w:val="24"/>
          <w:highlight w:val="none"/>
        </w:rPr>
        <w:t>单价金额小数点或者百分比有明显错位的，以</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 xml:space="preserve">一览表的总价为准，并修改单价； </w:t>
      </w:r>
    </w:p>
    <w:p w14:paraId="4E2EB21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26.2.5.4 </w:t>
      </w:r>
      <w:r>
        <w:rPr>
          <w:rFonts w:hint="eastAsia" w:ascii="宋体" w:hAnsi="宋体" w:eastAsia="宋体" w:cs="宋体"/>
          <w:color w:val="auto"/>
          <w:sz w:val="24"/>
          <w:szCs w:val="24"/>
          <w:highlight w:val="none"/>
        </w:rPr>
        <w:t xml:space="preserve">总价金额与按单价汇总金额不一致的，以单价金额计算结果为准。 </w:t>
      </w:r>
    </w:p>
    <w:p w14:paraId="21D24DE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26.2.5.5 </w:t>
      </w:r>
      <w:r>
        <w:rPr>
          <w:rFonts w:hint="eastAsia" w:ascii="宋体" w:hAnsi="宋体" w:eastAsia="宋体" w:cs="宋体"/>
          <w:color w:val="auto"/>
          <w:sz w:val="24"/>
          <w:szCs w:val="24"/>
          <w:highlight w:val="none"/>
        </w:rPr>
        <w:t xml:space="preserve">同时出现两种以上不一致的，按照前款规定的顺序修正。 </w:t>
      </w:r>
    </w:p>
    <w:p w14:paraId="4536757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26.2.6 </w:t>
      </w:r>
      <w:r>
        <w:rPr>
          <w:rFonts w:hint="eastAsia" w:ascii="宋体" w:hAnsi="宋体" w:eastAsia="宋体" w:cs="宋体"/>
          <w:color w:val="auto"/>
          <w:sz w:val="24"/>
          <w:szCs w:val="24"/>
          <w:highlight w:val="none"/>
        </w:rPr>
        <w:t xml:space="preserve">在磋商过程中，磋商小组可以根据磋商文件和磋商情况实质性变动采购需求中的技术、服务要求以及合同草案条款，但不得变动磋商文件中的其他内容。实质性变动的内容，须经采购人代表确认。 </w:t>
      </w:r>
    </w:p>
    <w:p w14:paraId="7060227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26.2.7 </w:t>
      </w:r>
      <w:r>
        <w:rPr>
          <w:rFonts w:hint="eastAsia" w:ascii="宋体" w:hAnsi="宋体" w:eastAsia="宋体" w:cs="宋体"/>
          <w:color w:val="auto"/>
          <w:sz w:val="24"/>
          <w:szCs w:val="24"/>
          <w:highlight w:val="none"/>
        </w:rPr>
        <w:t>对磋商文件作出的实质性变动是磋商文件的有效组成部分，磋商小组应当以书面形式同时通知所有参加磋商的供应商，供应商应当按照磋商文件的变动情况和磋商小组的要求重新提交响应文件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并由其法定代表人或授权代表签字或者加盖公章。供应商为自然人的，应当由本人签字并附身份证明。 </w:t>
      </w:r>
    </w:p>
    <w:p w14:paraId="4357E694">
      <w:pPr>
        <w:spacing w:line="440" w:lineRule="exact"/>
        <w:ind w:firstLine="480" w:firstLineChars="200"/>
        <w:rPr>
          <w:rFonts w:hint="eastAsia"/>
          <w:b/>
          <w:bCs/>
          <w:color w:val="auto"/>
          <w:sz w:val="24"/>
          <w:szCs w:val="24"/>
          <w:highlight w:val="none"/>
        </w:rPr>
      </w:pPr>
      <w:r>
        <w:rPr>
          <w:rFonts w:hint="eastAsia" w:ascii="宋体" w:hAnsi="宋体" w:eastAsia="宋体" w:cs="宋体"/>
          <w:color w:val="auto"/>
          <w:sz w:val="24"/>
          <w:szCs w:val="24"/>
          <w:highlight w:val="none"/>
          <w:lang w:val="en-US" w:eastAsia="zh-CN"/>
        </w:rPr>
        <w:t xml:space="preserve">26.2.8 </w:t>
      </w:r>
      <w:r>
        <w:rPr>
          <w:rFonts w:hint="eastAsia"/>
          <w:color w:val="auto"/>
          <w:sz w:val="24"/>
          <w:szCs w:val="24"/>
          <w:highlight w:val="none"/>
        </w:rPr>
        <w:t>磋商文件能够详细说明采购标的的技术、服务要求的，磋商结束后，磋商小组应当要求所有实质性响应的供应商在规定的时间内</w:t>
      </w:r>
      <w:r>
        <w:rPr>
          <w:rFonts w:hint="eastAsia"/>
          <w:color w:val="auto"/>
          <w:sz w:val="24"/>
          <w:szCs w:val="24"/>
          <w:highlight w:val="none"/>
          <w:lang w:val="en-US" w:eastAsia="zh-CN"/>
        </w:rPr>
        <w:t>在政采云不见面开评标大厅</w:t>
      </w:r>
      <w:r>
        <w:rPr>
          <w:rFonts w:hint="eastAsia"/>
          <w:color w:val="auto"/>
          <w:sz w:val="24"/>
          <w:szCs w:val="24"/>
          <w:highlight w:val="none"/>
        </w:rPr>
        <w:t>提交最后报价，提交最后报价的供应商不得少于3家。</w:t>
      </w:r>
      <w:r>
        <w:rPr>
          <w:rFonts w:hint="eastAsia"/>
          <w:b/>
          <w:bCs/>
          <w:color w:val="auto"/>
          <w:sz w:val="24"/>
          <w:szCs w:val="24"/>
          <w:highlight w:val="none"/>
          <w:lang w:val="en-US" w:eastAsia="zh-CN"/>
        </w:rPr>
        <w:t>供应商进入政采云平台“项目采购”-“开标评标”模块，在政采云不见面开评标大厅中，等待招标代理公司经办人开启二次报价，供应商根据系统提示填写二次报价，并签章确认提交。</w:t>
      </w:r>
      <w:r>
        <w:rPr>
          <w:rFonts w:hint="eastAsia"/>
          <w:b/>
          <w:bCs/>
          <w:color w:val="auto"/>
          <w:sz w:val="24"/>
          <w:szCs w:val="24"/>
          <w:highlight w:val="none"/>
        </w:rPr>
        <w:t xml:space="preserve"> </w:t>
      </w:r>
    </w:p>
    <w:p w14:paraId="0D887545">
      <w:pPr>
        <w:spacing w:line="440" w:lineRule="exact"/>
        <w:ind w:firstLine="480" w:firstLineChars="200"/>
        <w:rPr>
          <w:rFonts w:hint="eastAsia" w:ascii="宋体" w:hAnsi="宋体" w:eastAsia="宋体" w:cs="宋体"/>
          <w:color w:val="auto"/>
          <w:sz w:val="24"/>
          <w:szCs w:val="24"/>
          <w:highlight w:val="none"/>
        </w:rPr>
      </w:pPr>
      <w:r>
        <w:rPr>
          <w:rFonts w:hint="eastAsia"/>
          <w:color w:val="auto"/>
          <w:sz w:val="24"/>
          <w:szCs w:val="24"/>
          <w:highlight w:val="none"/>
        </w:rPr>
        <w:t>如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响应文件的有效组成部分。</w:t>
      </w:r>
    </w:p>
    <w:p w14:paraId="3AC5398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26.2.9 </w:t>
      </w:r>
      <w:r>
        <w:rPr>
          <w:rFonts w:hint="eastAsia" w:ascii="宋体" w:hAnsi="宋体" w:eastAsia="宋体" w:cs="宋体"/>
          <w:color w:val="auto"/>
          <w:sz w:val="24"/>
          <w:szCs w:val="24"/>
          <w:highlight w:val="none"/>
        </w:rPr>
        <w:t xml:space="preserve">在磋商过程中，供应商提交的澄清文件和最终响应文件，由供应商法定代表人或其授权代表签署后生效，供应商应受其约束。 </w:t>
      </w:r>
    </w:p>
    <w:p w14:paraId="60C7F15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26.3 </w:t>
      </w:r>
      <w:r>
        <w:rPr>
          <w:rFonts w:hint="eastAsia" w:ascii="宋体" w:hAnsi="宋体" w:eastAsia="宋体" w:cs="宋体"/>
          <w:color w:val="auto"/>
          <w:sz w:val="24"/>
          <w:szCs w:val="24"/>
          <w:highlight w:val="none"/>
        </w:rPr>
        <w:t>已提交响应文件的供应商，在提交最后报价之前，可以根据磋商情况退出磋商。</w:t>
      </w:r>
      <w:r>
        <w:rPr>
          <w:rFonts w:hint="eastAsia" w:ascii="宋体" w:hAnsi="宋体" w:eastAsia="宋体" w:cs="宋体"/>
          <w:color w:val="auto"/>
          <w:sz w:val="24"/>
          <w:szCs w:val="24"/>
          <w:highlight w:val="none"/>
          <w:lang w:val="en-US" w:eastAsia="zh-CN"/>
        </w:rPr>
        <w:t>未作最后报价供应商视为自动退出磋商。供应商下轮报价可与上轮报价一致。</w:t>
      </w:r>
    </w:p>
    <w:p w14:paraId="27EEF2A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26.4 </w:t>
      </w:r>
      <w:r>
        <w:rPr>
          <w:rFonts w:hint="eastAsia" w:cs="宋体"/>
          <w:color w:val="auto"/>
          <w:sz w:val="24"/>
          <w:szCs w:val="24"/>
          <w:highlight w:val="none"/>
          <w:lang w:val="en-US" w:eastAsia="zh-CN"/>
        </w:rPr>
        <w:t>招标代理</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 xml:space="preserve">对磋商过程和重要磋商内容进行记录。 </w:t>
      </w:r>
    </w:p>
    <w:p w14:paraId="75603F9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27 </w:t>
      </w:r>
      <w:r>
        <w:rPr>
          <w:rFonts w:hint="eastAsia" w:ascii="宋体" w:hAnsi="宋体" w:eastAsia="宋体" w:cs="宋体"/>
          <w:b/>
          <w:bCs/>
          <w:color w:val="auto"/>
          <w:sz w:val="24"/>
          <w:szCs w:val="24"/>
          <w:highlight w:val="none"/>
        </w:rPr>
        <w:t>最后报价</w:t>
      </w:r>
      <w:r>
        <w:rPr>
          <w:rFonts w:hint="eastAsia" w:ascii="宋体" w:hAnsi="宋体" w:eastAsia="宋体" w:cs="宋体"/>
          <w:color w:val="auto"/>
          <w:sz w:val="24"/>
          <w:szCs w:val="24"/>
          <w:highlight w:val="none"/>
        </w:rPr>
        <w:t xml:space="preserve"> </w:t>
      </w:r>
    </w:p>
    <w:p w14:paraId="1C480F4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.1. 磋商结束后，作出实质性响应的供应商应在规定的时间内密封提交最后报价（最后报价时间视磋商进程由磋商小组决定）。 </w:t>
      </w:r>
    </w:p>
    <w:p w14:paraId="56E8F7A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28 </w:t>
      </w:r>
      <w:r>
        <w:rPr>
          <w:rFonts w:hint="eastAsia" w:ascii="宋体" w:hAnsi="宋体" w:eastAsia="宋体" w:cs="宋体"/>
          <w:b/>
          <w:bCs/>
          <w:color w:val="auto"/>
          <w:sz w:val="24"/>
          <w:szCs w:val="24"/>
          <w:highlight w:val="none"/>
        </w:rPr>
        <w:t>评标方法</w:t>
      </w:r>
      <w:r>
        <w:rPr>
          <w:rFonts w:hint="eastAsia" w:ascii="宋体" w:hAnsi="宋体" w:eastAsia="宋体" w:cs="宋体"/>
          <w:color w:val="auto"/>
          <w:sz w:val="24"/>
          <w:szCs w:val="24"/>
          <w:highlight w:val="none"/>
        </w:rPr>
        <w:t xml:space="preserve"> </w:t>
      </w:r>
    </w:p>
    <w:p w14:paraId="709848C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28.1 </w:t>
      </w:r>
      <w:r>
        <w:rPr>
          <w:rFonts w:hint="eastAsia" w:ascii="宋体" w:hAnsi="宋体" w:eastAsia="宋体" w:cs="宋体"/>
          <w:color w:val="auto"/>
          <w:sz w:val="24"/>
          <w:szCs w:val="24"/>
          <w:highlight w:val="none"/>
        </w:rPr>
        <w:t xml:space="preserve">本项目采用综合评分法。磋商小组对资格、符合性审查合格的响应文件进行商务、技术和价格评审， 如有多个包组则按各包组的自然顺序进行评审。磋商小组的评审按照客观、公正、审慎的原则，根据磋商文件规定的评标程序、评审方法和评审标准，就每个供应商的商务状况、技术状况及其对磋商文件要求的响应情况进行评审和比较，独立评出各供应商的商务得分、技术得分。各评委的评分算术平均值即为该供应商的商务得分和技术得分；然后评出磋商报价得分；最后将商务得分、技术得分和磋商报价得分汇总得出综合得分（商务得分、技术得分、磋商报价得分分值按四舍五入原则精确到小数点后两位）。 </w:t>
      </w:r>
    </w:p>
    <w:p w14:paraId="72A6F853">
      <w:pPr>
        <w:pStyle w:val="7"/>
        <w:rPr>
          <w:rFonts w:hint="eastAsia"/>
          <w:color w:val="auto"/>
          <w:highlight w:val="none"/>
        </w:rPr>
      </w:pPr>
    </w:p>
    <w:p w14:paraId="75261B57">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综合得分＝商务得分+技术得分+磋商报价得分</w:t>
      </w:r>
    </w:p>
    <w:p w14:paraId="43EF697A">
      <w:pPr>
        <w:pStyle w:val="7"/>
        <w:rPr>
          <w:rFonts w:hint="eastAsia"/>
          <w:color w:val="auto"/>
          <w:highlight w:val="none"/>
        </w:rPr>
      </w:pPr>
    </w:p>
    <w:p w14:paraId="229BA43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28.2 </w:t>
      </w:r>
      <w:r>
        <w:rPr>
          <w:rFonts w:hint="eastAsia" w:ascii="宋体" w:hAnsi="宋体" w:eastAsia="宋体" w:cs="宋体"/>
          <w:color w:val="auto"/>
          <w:sz w:val="24"/>
          <w:szCs w:val="24"/>
          <w:highlight w:val="none"/>
        </w:rPr>
        <w:t xml:space="preserve">商务、技术评分 </w:t>
      </w:r>
    </w:p>
    <w:p w14:paraId="7727C99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val="en-US" w:eastAsia="zh-CN"/>
        </w:rPr>
        <w:t xml:space="preserve">28.2.1 </w:t>
      </w:r>
      <w:r>
        <w:rPr>
          <w:rFonts w:hint="eastAsia" w:ascii="宋体" w:hAnsi="宋体" w:eastAsia="宋体" w:cs="宋体"/>
          <w:color w:val="auto"/>
          <w:sz w:val="24"/>
          <w:szCs w:val="24"/>
          <w:highlight w:val="none"/>
        </w:rPr>
        <w:t>磋商小组对供应商的商务、技术状况及响应程度进行评议和比较，并依据评分标准，评出其商务、技术评分。详细评分标准见</w:t>
      </w:r>
      <w:r>
        <w:rPr>
          <w:rFonts w:hint="eastAsia" w:ascii="宋体" w:hAnsi="宋体" w:eastAsia="宋体" w:cs="宋体"/>
          <w:b w:val="0"/>
          <w:bCs w:val="0"/>
          <w:color w:val="auto"/>
          <w:sz w:val="24"/>
          <w:szCs w:val="24"/>
          <w:highlight w:val="none"/>
          <w:lang w:val="en-US" w:eastAsia="zh-CN"/>
        </w:rPr>
        <w:t>磋商须知第七部分《</w:t>
      </w:r>
      <w:r>
        <w:rPr>
          <w:rFonts w:hint="eastAsia" w:ascii="宋体" w:hAnsi="宋体" w:eastAsia="宋体" w:cs="宋体"/>
          <w:b w:val="0"/>
          <w:bCs w:val="0"/>
          <w:color w:val="auto"/>
          <w:sz w:val="24"/>
          <w:szCs w:val="24"/>
          <w:highlight w:val="none"/>
        </w:rPr>
        <w:t>评分标准</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 xml:space="preserve">。 </w:t>
      </w:r>
    </w:p>
    <w:p w14:paraId="77B4A8A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28.3 </w:t>
      </w:r>
      <w:r>
        <w:rPr>
          <w:rFonts w:hint="eastAsia" w:ascii="宋体" w:hAnsi="宋体" w:eastAsia="宋体" w:cs="宋体"/>
          <w:color w:val="auto"/>
          <w:sz w:val="24"/>
          <w:szCs w:val="24"/>
          <w:highlight w:val="none"/>
        </w:rPr>
        <w:t xml:space="preserve">磋商报价评分 </w:t>
      </w:r>
    </w:p>
    <w:p w14:paraId="1B31EF6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28.3.1 </w:t>
      </w:r>
      <w:r>
        <w:rPr>
          <w:rFonts w:hint="eastAsia" w:ascii="宋体" w:hAnsi="宋体" w:eastAsia="宋体" w:cs="宋体"/>
          <w:color w:val="auto"/>
          <w:sz w:val="24"/>
          <w:szCs w:val="24"/>
          <w:highlight w:val="none"/>
        </w:rPr>
        <w:t>磋商报价评分采用低价优先的原则计算，即满足磋商文件要求且最后报价最低的供应商的价格为磋商基准价，该供应商的价格分为满分，落实政府采购政策进行价格调整的，以调整后的价格计算磋商基准价和磋商报价，详细评分标准见</w:t>
      </w:r>
      <w:r>
        <w:rPr>
          <w:rFonts w:hint="eastAsia" w:ascii="宋体" w:hAnsi="宋体" w:eastAsia="宋体" w:cs="宋体"/>
          <w:b w:val="0"/>
          <w:bCs w:val="0"/>
          <w:color w:val="auto"/>
          <w:sz w:val="24"/>
          <w:szCs w:val="24"/>
          <w:highlight w:val="none"/>
          <w:lang w:val="en-US" w:eastAsia="zh-CN"/>
        </w:rPr>
        <w:t>磋商须知第七部分《</w:t>
      </w:r>
      <w:r>
        <w:rPr>
          <w:rFonts w:hint="eastAsia" w:ascii="宋体" w:hAnsi="宋体" w:eastAsia="宋体" w:cs="宋体"/>
          <w:b w:val="0"/>
          <w:bCs w:val="0"/>
          <w:color w:val="auto"/>
          <w:sz w:val="24"/>
          <w:szCs w:val="24"/>
          <w:highlight w:val="none"/>
        </w:rPr>
        <w:t>评分标准</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auto"/>
          <w:sz w:val="24"/>
          <w:szCs w:val="24"/>
          <w:highlight w:val="none"/>
        </w:rPr>
        <w:t xml:space="preserve">。其他供应商的价格分统一按照下列公式计算： </w:t>
      </w:r>
    </w:p>
    <w:p w14:paraId="2CE10775">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磋商报价得分=(磋商基准价/最后磋商报价)×价格权重×100</w:t>
      </w:r>
      <w:r>
        <w:rPr>
          <w:rFonts w:hint="eastAsia" w:ascii="宋体" w:hAnsi="宋体" w:eastAsia="宋体" w:cs="宋体"/>
          <w:color w:val="auto"/>
          <w:sz w:val="24"/>
          <w:szCs w:val="24"/>
          <w:highlight w:val="none"/>
        </w:rPr>
        <w:t xml:space="preserve"> </w:t>
      </w:r>
    </w:p>
    <w:p w14:paraId="3DBE618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28.4 </w:t>
      </w:r>
      <w:r>
        <w:rPr>
          <w:rFonts w:hint="eastAsia" w:ascii="宋体" w:hAnsi="宋体" w:eastAsia="宋体" w:cs="宋体"/>
          <w:b/>
          <w:bCs/>
          <w:color w:val="auto"/>
          <w:sz w:val="24"/>
          <w:szCs w:val="24"/>
          <w:highlight w:val="none"/>
          <w:lang w:val="zh-CN"/>
        </w:rPr>
        <w:t>小微企业（监狱企业、残疾人福利性单位视同小微企业）价格扣除（仅非预留份额的采购项目或者采购包适用）</w:t>
      </w:r>
      <w:r>
        <w:rPr>
          <w:rFonts w:hint="eastAsia" w:ascii="宋体" w:hAnsi="宋体" w:eastAsia="宋体" w:cs="宋体"/>
          <w:color w:val="auto"/>
          <w:sz w:val="24"/>
          <w:szCs w:val="24"/>
          <w:highlight w:val="none"/>
        </w:rPr>
        <w:t xml:space="preserve"> </w:t>
      </w:r>
    </w:p>
    <w:p w14:paraId="7184DB5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 xml:space="preserve">28.4.1 </w:t>
      </w:r>
      <w:r>
        <w:rPr>
          <w:rFonts w:hint="eastAsia" w:ascii="宋体" w:hAnsi="宋体" w:eastAsia="宋体" w:cs="宋体"/>
          <w:color w:val="auto"/>
          <w:sz w:val="24"/>
          <w:szCs w:val="24"/>
          <w:highlight w:val="none"/>
          <w:lang w:val="zh-CN"/>
        </w:rPr>
        <w:t>对于经主管预算单位统筹后未预留份额专门面向中小企业采购的采购项目，以及预留份额项目中的非预留部分采购包，对符合《政府采购促进中小企业发展管理办法》（财库〔2020〕46 号）规定的小微企业报价给予</w:t>
      </w:r>
      <w:r>
        <w:rPr>
          <w:rFonts w:hint="eastAsia"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lang w:val="zh-CN"/>
        </w:rPr>
        <w:t>%</w:t>
      </w:r>
      <w:r>
        <w:rPr>
          <w:rFonts w:hint="eastAsia" w:ascii="宋体" w:hAnsi="宋体" w:eastAsia="宋体" w:cs="宋体"/>
          <w:color w:val="auto"/>
          <w:sz w:val="24"/>
          <w:szCs w:val="24"/>
          <w:highlight w:val="none"/>
          <w:lang w:val="zh-CN"/>
        </w:rPr>
        <w:t>的扣除，用扣除后的价格参加评审。</w:t>
      </w:r>
    </w:p>
    <w:p w14:paraId="5F36117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28.4.2</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接受大中型企业与小微企业组成联合体的采购项目，对联合协议约定小微企业的合同份额占到合同总金额30%以上的，对联合体的报价给予</w:t>
      </w:r>
      <w:r>
        <w:rPr>
          <w:rFonts w:hint="eastAsia"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lang w:val="zh-CN"/>
        </w:rPr>
        <w:t>%</w:t>
      </w:r>
      <w:r>
        <w:rPr>
          <w:rFonts w:hint="eastAsia" w:ascii="宋体" w:hAnsi="宋体" w:eastAsia="宋体" w:cs="宋体"/>
          <w:color w:val="auto"/>
          <w:sz w:val="24"/>
          <w:szCs w:val="24"/>
          <w:highlight w:val="none"/>
          <w:lang w:val="zh-CN"/>
        </w:rPr>
        <w:t>的扣除，用扣除后的价格参加评审。</w:t>
      </w:r>
    </w:p>
    <w:p w14:paraId="5191FD2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28.4.3</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允许大中型企业向一家或者多家小微企业分包的采购项目，对于分包意向协议约定小微企业的合同份额占到合同总金额30%以上的，对大中型企业的报价给予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zh-CN"/>
        </w:rPr>
        <w:t>%的扣除，用扣除后的价格参加评审。</w:t>
      </w:r>
    </w:p>
    <w:p w14:paraId="3A452D7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28.4.</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参加政府采购活动的中小企业应当提供《中小企业声明函》原件。监狱企业应当提供监狱企业证明复印件。残疾人福利性单位应当提供《残疾人福利性单位声明函》原件。</w:t>
      </w:r>
      <w:r>
        <w:rPr>
          <w:rFonts w:hint="eastAsia" w:cs="宋体"/>
          <w:color w:val="auto"/>
          <w:sz w:val="24"/>
          <w:szCs w:val="24"/>
          <w:highlight w:val="none"/>
          <w:lang w:val="en-US" w:eastAsia="zh-CN"/>
        </w:rPr>
        <w:t>以上</w:t>
      </w:r>
      <w:r>
        <w:rPr>
          <w:rFonts w:hint="eastAsia" w:ascii="宋体" w:hAnsi="宋体" w:eastAsia="宋体" w:cs="宋体"/>
          <w:color w:val="auto"/>
          <w:sz w:val="24"/>
          <w:szCs w:val="24"/>
          <w:highlight w:val="none"/>
          <w:lang w:val="zh-CN"/>
        </w:rPr>
        <w:t>格式详见</w:t>
      </w:r>
      <w:r>
        <w:rPr>
          <w:rFonts w:hint="eastAsia" w:cs="宋体"/>
          <w:color w:val="auto"/>
          <w:sz w:val="24"/>
          <w:szCs w:val="24"/>
          <w:highlight w:val="none"/>
          <w:lang w:val="en-US" w:eastAsia="zh-CN"/>
        </w:rPr>
        <w:t>磋商文件</w:t>
      </w:r>
      <w:r>
        <w:rPr>
          <w:rFonts w:hint="eastAsia" w:ascii="宋体" w:hAnsi="宋体" w:eastAsia="宋体" w:cs="宋体"/>
          <w:color w:val="auto"/>
          <w:sz w:val="24"/>
          <w:szCs w:val="24"/>
          <w:highlight w:val="none"/>
          <w:lang w:val="zh-CN"/>
        </w:rPr>
        <w:t>第五部分响应文件格式</w:t>
      </w:r>
      <w:r>
        <w:rPr>
          <w:rFonts w:hint="eastAsia" w:cs="宋体"/>
          <w:color w:val="auto"/>
          <w:sz w:val="24"/>
          <w:szCs w:val="24"/>
          <w:highlight w:val="none"/>
          <w:lang w:val="zh-CN"/>
        </w:rPr>
        <w:t>，</w:t>
      </w:r>
      <w:r>
        <w:rPr>
          <w:rFonts w:hint="eastAsia" w:ascii="宋体" w:hAnsi="宋体" w:eastAsia="宋体" w:cs="宋体"/>
          <w:color w:val="auto"/>
          <w:sz w:val="24"/>
          <w:szCs w:val="24"/>
          <w:highlight w:val="none"/>
          <w:lang w:val="zh-CN"/>
        </w:rPr>
        <w:t>未提供的视为放弃享受小微企业价格扣除优惠政策。</w:t>
      </w:r>
    </w:p>
    <w:p w14:paraId="4CF7B31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28.4.</w:t>
      </w:r>
      <w:r>
        <w:rPr>
          <w:rFonts w:hint="eastAsia" w:cs="宋体"/>
          <w:color w:val="auto"/>
          <w:sz w:val="24"/>
          <w:szCs w:val="24"/>
          <w:highlight w:val="none"/>
          <w:lang w:val="en-US" w:eastAsia="zh-CN"/>
        </w:rPr>
        <w:t xml:space="preserve">5 </w:t>
      </w:r>
      <w:r>
        <w:rPr>
          <w:rFonts w:hint="eastAsia" w:ascii="宋体" w:hAnsi="宋体" w:eastAsia="宋体" w:cs="宋体"/>
          <w:color w:val="auto"/>
          <w:sz w:val="24"/>
          <w:szCs w:val="24"/>
          <w:highlight w:val="none"/>
          <w:lang w:val="zh-CN"/>
        </w:rPr>
        <w:t>组成联合体或者接受分包的小微企业与联合体内其他企业、分包企业之间存在直接控股、管理关系的，不享受价格扣除优惠政策。</w:t>
      </w:r>
    </w:p>
    <w:p w14:paraId="6ADCDA3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28.4.</w:t>
      </w:r>
      <w:r>
        <w:rPr>
          <w:rFonts w:hint="eastAsia" w:cs="宋体"/>
          <w:color w:val="auto"/>
          <w:sz w:val="24"/>
          <w:szCs w:val="24"/>
          <w:highlight w:val="none"/>
          <w:lang w:val="en-US" w:eastAsia="zh-CN"/>
        </w:rPr>
        <w:t xml:space="preserve">6 </w:t>
      </w:r>
      <w:r>
        <w:rPr>
          <w:rFonts w:hint="eastAsia" w:ascii="宋体" w:hAnsi="宋体" w:eastAsia="宋体" w:cs="宋体"/>
          <w:color w:val="auto"/>
          <w:sz w:val="24"/>
          <w:szCs w:val="24"/>
          <w:highlight w:val="none"/>
          <w:lang w:val="zh-CN"/>
        </w:rPr>
        <w:t>依据《政府采购促进中小企业发展管理办法》（财库〔2020〕46 号）规定享受扶持政策的小微企业，不得将合同分包给大中型企业。</w:t>
      </w:r>
    </w:p>
    <w:p w14:paraId="18B0F6ED">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28.5 </w:t>
      </w:r>
      <w:r>
        <w:rPr>
          <w:rFonts w:hint="eastAsia" w:ascii="宋体" w:hAnsi="宋体" w:eastAsia="宋体" w:cs="宋体"/>
          <w:b/>
          <w:bCs/>
          <w:color w:val="auto"/>
          <w:sz w:val="24"/>
          <w:szCs w:val="24"/>
          <w:highlight w:val="none"/>
        </w:rPr>
        <w:t>节能产品、环境标志产品政府采购政策执行</w:t>
      </w:r>
      <w:r>
        <w:rPr>
          <w:rFonts w:hint="eastAsia" w:ascii="宋体" w:hAnsi="宋体" w:eastAsia="宋体" w:cs="宋体"/>
          <w:color w:val="auto"/>
          <w:sz w:val="24"/>
          <w:szCs w:val="24"/>
          <w:highlight w:val="none"/>
        </w:rPr>
        <w:t xml:space="preserve"> </w:t>
      </w:r>
    </w:p>
    <w:p w14:paraId="42C4751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cs="宋体"/>
          <w:color w:val="auto"/>
          <w:sz w:val="24"/>
          <w:szCs w:val="24"/>
          <w:highlight w:val="none"/>
          <w:lang w:val="en-US" w:eastAsia="zh-CN"/>
        </w:rPr>
        <w:t xml:space="preserve">28.5.1 </w:t>
      </w:r>
      <w:r>
        <w:rPr>
          <w:rFonts w:hint="eastAsia" w:ascii="宋体" w:hAnsi="宋体" w:eastAsia="宋体" w:cs="宋体"/>
          <w:color w:val="auto"/>
          <w:sz w:val="24"/>
          <w:szCs w:val="24"/>
          <w:highlight w:val="none"/>
          <w:lang w:val="en-US" w:eastAsia="zh-CN"/>
        </w:rPr>
        <w:t>根据《财政部发展改革委生态环境部市场监管总局关于调整优化节能产品、环境标志产品政府采购执行机制的通知》（财库〔2019</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9号）相关要求，依据品目清单和认证证书实施政府优先采购和强制采购。本项目采购的产品属于品目清单范围的，应当依据国家确定的认证机构出具的、处于有效期之内的节能产品、环境标志产品认证证书，对获得证书的产品实施政府优先采购或强制采购。 </w:t>
      </w:r>
    </w:p>
    <w:p w14:paraId="3E2979F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28.5.2 采购标的</w:t>
      </w:r>
      <w:r>
        <w:rPr>
          <w:rFonts w:hint="eastAsia" w:ascii="宋体" w:hAnsi="宋体" w:eastAsia="宋体" w:cs="宋体"/>
          <w:color w:val="auto"/>
          <w:sz w:val="24"/>
          <w:szCs w:val="24"/>
          <w:highlight w:val="none"/>
        </w:rPr>
        <w:t>属于《节能产品政府采购品目清单》、《环境标志产品政府采购品目清单》中优先采购产品类别产品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须提供由《参与实施政府采购节能产品认证机构名录》、《参与实施政府采购环境标志产品认证机构名录》中确定的认证机构出具的、处于有效期之内的节能产品认证证书或环境标志产品认证证书（复印件加盖供应商公章）</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将按照“第</w:t>
      </w:r>
      <w:r>
        <w:rPr>
          <w:rFonts w:hint="eastAsia" w:cs="宋体"/>
          <w:color w:val="auto"/>
          <w:sz w:val="24"/>
          <w:szCs w:val="24"/>
          <w:highlight w:val="none"/>
          <w:lang w:val="en-US" w:eastAsia="zh-CN"/>
        </w:rPr>
        <w:t>七</w:t>
      </w:r>
      <w:r>
        <w:rPr>
          <w:rFonts w:hint="eastAsia" w:ascii="宋体" w:hAnsi="宋体" w:eastAsia="宋体" w:cs="宋体"/>
          <w:color w:val="auto"/>
          <w:sz w:val="24"/>
          <w:szCs w:val="24"/>
          <w:highlight w:val="none"/>
          <w:lang w:val="en-US" w:eastAsia="zh-CN"/>
        </w:rPr>
        <w:t xml:space="preserve">部分 </w:t>
      </w:r>
      <w:r>
        <w:rPr>
          <w:rFonts w:hint="eastAsia" w:cs="宋体"/>
          <w:color w:val="auto"/>
          <w:sz w:val="24"/>
          <w:szCs w:val="24"/>
          <w:highlight w:val="none"/>
          <w:lang w:val="en-US" w:eastAsia="zh-CN"/>
        </w:rPr>
        <w:t>评审</w:t>
      </w:r>
      <w:r>
        <w:rPr>
          <w:rFonts w:hint="eastAsia" w:ascii="宋体" w:hAnsi="宋体" w:eastAsia="宋体" w:cs="宋体"/>
          <w:color w:val="auto"/>
          <w:sz w:val="24"/>
          <w:szCs w:val="24"/>
          <w:highlight w:val="none"/>
          <w:lang w:val="en-US" w:eastAsia="zh-CN"/>
        </w:rPr>
        <w:t>标准”给予加分。</w:t>
      </w:r>
    </w:p>
    <w:p w14:paraId="1505BD7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价格项加分：</w:t>
      </w:r>
    </w:p>
    <w:p w14:paraId="423CCAF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1、（节能清单部分产品的价格/投标报价）×3%×价格项满分值</w:t>
      </w:r>
    </w:p>
    <w:p w14:paraId="22761C4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2、（环境清单部分产品的价格/投标报价）×3%×价格项满分值</w:t>
      </w:r>
    </w:p>
    <w:p w14:paraId="18A9DD1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技术项加分：</w:t>
      </w:r>
    </w:p>
    <w:p w14:paraId="54FF251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1、（节能清单部分产品的价格/投标报价）×3%×技术项满分值</w:t>
      </w:r>
    </w:p>
    <w:p w14:paraId="2F35054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2、（环境清单部分产品的价格/投标报价）×3%×技术项满分值</w:t>
      </w:r>
    </w:p>
    <w:p w14:paraId="4D2EF46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注：1、供应商须提供</w:t>
      </w:r>
      <w:r>
        <w:rPr>
          <w:rFonts w:hint="eastAsia" w:ascii="宋体" w:hAnsi="宋体" w:eastAsia="宋体" w:cs="宋体"/>
          <w:color w:val="auto"/>
          <w:sz w:val="24"/>
          <w:szCs w:val="24"/>
          <w:highlight w:val="none"/>
          <w:lang w:val="en-US" w:eastAsia="zh-CN"/>
        </w:rPr>
        <w:t>最新一</w:t>
      </w:r>
      <w:r>
        <w:rPr>
          <w:rFonts w:hint="eastAsia" w:ascii="宋体" w:hAnsi="宋体" w:eastAsia="宋体" w:cs="宋体"/>
          <w:color w:val="auto"/>
          <w:sz w:val="24"/>
          <w:szCs w:val="24"/>
          <w:highlight w:val="none"/>
        </w:rPr>
        <w:t>期《节能产品政府采购清单》关于投标产品当前页的打印件；</w:t>
      </w:r>
    </w:p>
    <w:p w14:paraId="20D822D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lang w:val="zh-CN"/>
        </w:rPr>
      </w:pPr>
      <w:r>
        <w:rPr>
          <w:rFonts w:hint="eastAsia" w:ascii="宋体" w:hAnsi="宋体" w:eastAsia="宋体" w:cs="宋体"/>
          <w:color w:val="auto"/>
          <w:sz w:val="24"/>
          <w:szCs w:val="24"/>
          <w:highlight w:val="none"/>
        </w:rPr>
        <w:t>2、供应商提供</w:t>
      </w:r>
      <w:r>
        <w:rPr>
          <w:rFonts w:hint="eastAsia" w:ascii="宋体" w:hAnsi="宋体" w:eastAsia="宋体" w:cs="宋体"/>
          <w:color w:val="auto"/>
          <w:sz w:val="24"/>
          <w:szCs w:val="24"/>
          <w:highlight w:val="none"/>
          <w:lang w:val="en-US" w:eastAsia="zh-CN"/>
        </w:rPr>
        <w:t>最新一</w:t>
      </w:r>
      <w:r>
        <w:rPr>
          <w:rFonts w:hint="eastAsia" w:ascii="宋体" w:hAnsi="宋体" w:eastAsia="宋体" w:cs="宋体"/>
          <w:color w:val="auto"/>
          <w:sz w:val="24"/>
          <w:szCs w:val="24"/>
          <w:highlight w:val="none"/>
        </w:rPr>
        <w:t>期《环境标志产品政府采购清单》关于投标产品当前页的打印件；</w:t>
      </w:r>
    </w:p>
    <w:p w14:paraId="6CAF7505">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29 </w:t>
      </w:r>
      <w:r>
        <w:rPr>
          <w:rFonts w:hint="eastAsia" w:ascii="宋体" w:hAnsi="宋体" w:eastAsia="宋体" w:cs="宋体"/>
          <w:b/>
          <w:bCs/>
          <w:color w:val="auto"/>
          <w:sz w:val="24"/>
          <w:szCs w:val="24"/>
          <w:highlight w:val="none"/>
        </w:rPr>
        <w:t>授标与定标原则</w:t>
      </w:r>
      <w:r>
        <w:rPr>
          <w:rFonts w:hint="eastAsia" w:ascii="宋体" w:hAnsi="宋体" w:eastAsia="宋体" w:cs="宋体"/>
          <w:color w:val="auto"/>
          <w:sz w:val="24"/>
          <w:szCs w:val="24"/>
          <w:highlight w:val="none"/>
        </w:rPr>
        <w:t xml:space="preserve"> </w:t>
      </w:r>
    </w:p>
    <w:p w14:paraId="4D7DE16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29.1 </w:t>
      </w:r>
      <w:r>
        <w:rPr>
          <w:rFonts w:hint="eastAsia" w:ascii="宋体" w:hAnsi="宋体" w:eastAsia="宋体" w:cs="宋体"/>
          <w:color w:val="auto"/>
          <w:sz w:val="24"/>
          <w:szCs w:val="24"/>
          <w:highlight w:val="none"/>
        </w:rPr>
        <w:t xml:space="preserve">磋商小组按照磋商文件确定的评标方法、步骤、标准，对响应文件进行评审，并出具书面评标报告。磋商小组成员对需要共同认定的事项存在争议的，应当按照少数服从多数的原则作出结论。持不同意见的磋商小组成员应当在评标报告上签署不同意见及理由，否则视为同意评标报告。 </w:t>
      </w:r>
    </w:p>
    <w:p w14:paraId="51DE681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29.2 </w:t>
      </w:r>
      <w:r>
        <w:rPr>
          <w:rFonts w:hint="eastAsia" w:ascii="宋体" w:hAnsi="宋体" w:eastAsia="宋体" w:cs="宋体"/>
          <w:color w:val="auto"/>
          <w:sz w:val="24"/>
          <w:szCs w:val="24"/>
          <w:highlight w:val="none"/>
        </w:rPr>
        <w:t xml:space="preserve">磋商小组根据评审结果，按评审后得分由高到低的顺序排列成交候选供应商名次。得分相同的，按磋商报价由低到高顺序排列。综合得分且磋商报价相同的，按技术部分得分由高到低顺序排列。综合得分、价格及技术得分均相同的，由磋商小组通过表决的方式，以少数服从多数原则，决定成交候选供应商排列顺序。 </w:t>
      </w:r>
    </w:p>
    <w:p w14:paraId="4673285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29.3 </w:t>
      </w:r>
      <w:r>
        <w:rPr>
          <w:rFonts w:hint="eastAsia" w:ascii="宋体" w:hAnsi="宋体" w:eastAsia="宋体" w:cs="宋体"/>
          <w:color w:val="auto"/>
          <w:sz w:val="24"/>
          <w:szCs w:val="24"/>
          <w:highlight w:val="none"/>
        </w:rPr>
        <w:t xml:space="preserve">推荐综合得分排名第一的供应商为第一成交候选供应商，排名第二的供应商为第二成交候选供应商， 排名第三的供应商为第三成交候选供应商。 </w:t>
      </w:r>
    </w:p>
    <w:p w14:paraId="3742313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29.4 </w:t>
      </w:r>
      <w:r>
        <w:rPr>
          <w:rFonts w:hint="eastAsia" w:ascii="宋体" w:hAnsi="宋体" w:eastAsia="宋体" w:cs="宋体"/>
          <w:color w:val="auto"/>
          <w:sz w:val="24"/>
          <w:szCs w:val="24"/>
          <w:highlight w:val="none"/>
        </w:rPr>
        <w:t>根据磋商小组的磋商结果，采购人在评标报告推荐的成交候选供应商中按顺序依法确定1名成交供应商。</w:t>
      </w:r>
    </w:p>
    <w:p w14:paraId="1B0F345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29.5 </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在评标结束后2个工作日内将评标报告送采购人，采购人在收到评标报告之日起5个工作日内在评标报告确定的成交候选供应商名单中按顺序确定成交供应商。采购人未在5个工作日内按评标报告推荐的成交候选供应商顺序确定成交供应商，又不能说明合法理由的，视同按评标报告推荐的顺序确定排名第一的成交候选供应商为成交供应商。 </w:t>
      </w:r>
    </w:p>
    <w:p w14:paraId="0CCBBF62">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30 </w:t>
      </w:r>
      <w:r>
        <w:rPr>
          <w:rFonts w:hint="eastAsia" w:ascii="宋体" w:hAnsi="宋体" w:eastAsia="宋体" w:cs="宋体"/>
          <w:b/>
          <w:bCs/>
          <w:color w:val="auto"/>
          <w:sz w:val="24"/>
          <w:szCs w:val="24"/>
          <w:highlight w:val="none"/>
        </w:rPr>
        <w:t>成交通知书</w:t>
      </w:r>
      <w:r>
        <w:rPr>
          <w:rFonts w:hint="eastAsia" w:ascii="宋体" w:hAnsi="宋体" w:eastAsia="宋体" w:cs="宋体"/>
          <w:color w:val="auto"/>
          <w:sz w:val="24"/>
          <w:szCs w:val="24"/>
          <w:highlight w:val="none"/>
        </w:rPr>
        <w:t xml:space="preserve"> </w:t>
      </w:r>
    </w:p>
    <w:p w14:paraId="57A93F2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30.1 </w:t>
      </w:r>
      <w:r>
        <w:rPr>
          <w:rFonts w:hint="eastAsia" w:cs="宋体"/>
          <w:color w:val="auto"/>
          <w:sz w:val="24"/>
          <w:szCs w:val="24"/>
          <w:highlight w:val="none"/>
          <w:lang w:val="en-US" w:eastAsia="zh-CN"/>
        </w:rPr>
        <w:t>招标代理机构</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自成交供应商确定之日起2个工作日内，在磋商文件指定的媒体上发布成交公告，成交</w:t>
      </w:r>
      <w:r>
        <w:rPr>
          <w:rFonts w:hint="eastAsia" w:cs="宋体"/>
          <w:color w:val="auto"/>
          <w:sz w:val="24"/>
          <w:szCs w:val="24"/>
          <w:highlight w:val="none"/>
          <w:lang w:val="en-US" w:eastAsia="zh-CN"/>
        </w:rPr>
        <w:t>结果</w:t>
      </w:r>
      <w:r>
        <w:rPr>
          <w:rFonts w:hint="eastAsia" w:ascii="宋体" w:hAnsi="宋体" w:eastAsia="宋体" w:cs="宋体"/>
          <w:color w:val="auto"/>
          <w:sz w:val="24"/>
          <w:szCs w:val="24"/>
          <w:highlight w:val="none"/>
        </w:rPr>
        <w:t>公告期限为</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个工作日。同时向成交供应商发出《成交通知书》。 </w:t>
      </w:r>
    </w:p>
    <w:p w14:paraId="1EFEAB1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30.2 </w:t>
      </w:r>
      <w:r>
        <w:rPr>
          <w:rFonts w:hint="eastAsia" w:ascii="宋体" w:hAnsi="宋体" w:eastAsia="宋体" w:cs="宋体"/>
          <w:color w:val="auto"/>
          <w:sz w:val="24"/>
          <w:szCs w:val="24"/>
          <w:highlight w:val="none"/>
        </w:rPr>
        <w:t xml:space="preserve">《成交通知书》是合同的一个组成部分，《成交通知书》对采购人和成交供应商均具有同等的法律效力；《成交通知书》发出后，采购人改变成交结果，或者成交供应商放弃成交资格，应当承担相应的法律责任。 </w:t>
      </w:r>
    </w:p>
    <w:p w14:paraId="2C8058F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30.3 </w:t>
      </w:r>
      <w:r>
        <w:rPr>
          <w:rFonts w:hint="eastAsia" w:ascii="宋体" w:hAnsi="宋体" w:eastAsia="宋体" w:cs="宋体"/>
          <w:color w:val="auto"/>
          <w:sz w:val="24"/>
          <w:szCs w:val="24"/>
          <w:highlight w:val="none"/>
        </w:rPr>
        <w:t xml:space="preserve">《成交通知书》将作为授予合同资格的合法依据，是合同的一个组成部分。 </w:t>
      </w:r>
    </w:p>
    <w:p w14:paraId="1BBB3D0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30.4 </w:t>
      </w:r>
      <w:r>
        <w:rPr>
          <w:rFonts w:hint="eastAsia" w:ascii="宋体" w:hAnsi="宋体" w:eastAsia="宋体" w:cs="宋体"/>
          <w:color w:val="auto"/>
          <w:sz w:val="24"/>
          <w:szCs w:val="24"/>
          <w:highlight w:val="none"/>
        </w:rPr>
        <w:t>成交供应商为享受中小企业扶持政策的小微企业及视同小微企业的残疾人福利性单位的，</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 xml:space="preserve">随成交结果同时公告其《中小企业声明函》、《残疾人福利性单位声明函》，接受社会监督。 </w:t>
      </w:r>
    </w:p>
    <w:p w14:paraId="6C589A8D">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31 </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 xml:space="preserve"> </w:t>
      </w:r>
    </w:p>
    <w:p w14:paraId="3D32A93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31.1 </w:t>
      </w:r>
      <w:r>
        <w:rPr>
          <w:rFonts w:hint="eastAsia" w:ascii="宋体" w:hAnsi="宋体" w:eastAsia="宋体" w:cs="宋体"/>
          <w:color w:val="auto"/>
          <w:sz w:val="24"/>
          <w:szCs w:val="24"/>
          <w:highlight w:val="none"/>
        </w:rPr>
        <w:t xml:space="preserve">在采购活动中，出现下列情形之一的，应予废标： </w:t>
      </w:r>
    </w:p>
    <w:p w14:paraId="42BCDF3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31.1.1 </w:t>
      </w:r>
      <w:r>
        <w:rPr>
          <w:rFonts w:hint="eastAsia" w:ascii="宋体" w:hAnsi="宋体" w:eastAsia="宋体" w:cs="宋体"/>
          <w:color w:val="auto"/>
          <w:sz w:val="24"/>
          <w:szCs w:val="24"/>
          <w:highlight w:val="none"/>
        </w:rPr>
        <w:t xml:space="preserve">因情况变化，不再符合规定的竞争性磋商采购方式适用情形的； </w:t>
      </w:r>
    </w:p>
    <w:p w14:paraId="77310B2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31.1.2 </w:t>
      </w:r>
      <w:r>
        <w:rPr>
          <w:rFonts w:hint="eastAsia" w:ascii="宋体" w:hAnsi="宋体" w:eastAsia="宋体" w:cs="宋体"/>
          <w:color w:val="auto"/>
          <w:sz w:val="24"/>
          <w:szCs w:val="24"/>
          <w:highlight w:val="none"/>
        </w:rPr>
        <w:t xml:space="preserve">出现影响采购公正的违法、违规行为的； </w:t>
      </w:r>
    </w:p>
    <w:p w14:paraId="1758E38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31.1.3 </w:t>
      </w:r>
      <w:r>
        <w:rPr>
          <w:rFonts w:hint="eastAsia" w:ascii="宋体" w:hAnsi="宋体" w:eastAsia="宋体" w:cs="宋体"/>
          <w:color w:val="auto"/>
          <w:sz w:val="24"/>
          <w:szCs w:val="24"/>
          <w:highlight w:val="none"/>
        </w:rPr>
        <w:t>除本须知2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.2.8规定的情形外，在采购过程中符合要求的供应商或者报价未超过采购预算的供应商不足3家的。 </w:t>
      </w:r>
    </w:p>
    <w:p w14:paraId="4C978403">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32 </w:t>
      </w:r>
      <w:r>
        <w:rPr>
          <w:rFonts w:hint="eastAsia" w:ascii="宋体" w:hAnsi="宋体" w:eastAsia="宋体" w:cs="宋体"/>
          <w:b/>
          <w:bCs/>
          <w:color w:val="auto"/>
          <w:sz w:val="24"/>
          <w:szCs w:val="24"/>
          <w:highlight w:val="none"/>
        </w:rPr>
        <w:t>询问、质疑、投诉</w:t>
      </w:r>
      <w:r>
        <w:rPr>
          <w:rFonts w:hint="eastAsia" w:ascii="宋体" w:hAnsi="宋体" w:eastAsia="宋体" w:cs="宋体"/>
          <w:color w:val="auto"/>
          <w:sz w:val="24"/>
          <w:szCs w:val="24"/>
          <w:highlight w:val="none"/>
        </w:rPr>
        <w:t xml:space="preserve"> </w:t>
      </w:r>
    </w:p>
    <w:p w14:paraId="6A1D819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32.1 </w:t>
      </w:r>
      <w:r>
        <w:rPr>
          <w:rFonts w:hint="eastAsia" w:ascii="宋体" w:hAnsi="宋体" w:eastAsia="宋体" w:cs="宋体"/>
          <w:color w:val="auto"/>
          <w:sz w:val="24"/>
          <w:szCs w:val="24"/>
          <w:highlight w:val="none"/>
        </w:rPr>
        <w:t xml:space="preserve">询问 </w:t>
      </w:r>
    </w:p>
    <w:p w14:paraId="2809627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32.1.1 </w:t>
      </w:r>
      <w:r>
        <w:rPr>
          <w:rFonts w:hint="eastAsia" w:ascii="宋体" w:hAnsi="宋体" w:eastAsia="宋体" w:cs="宋体"/>
          <w:color w:val="auto"/>
          <w:sz w:val="24"/>
          <w:szCs w:val="24"/>
          <w:highlight w:val="none"/>
        </w:rPr>
        <w:t>供应商对政府采购活动事项（磋商文件、采购过程、成交或者成交结果）有疑问的，可以向采购人或者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lang w:eastAsia="zh-CN"/>
        </w:rPr>
        <w:t>心</w:t>
      </w:r>
      <w:r>
        <w:rPr>
          <w:rFonts w:hint="eastAsia" w:ascii="宋体" w:hAnsi="宋体" w:eastAsia="宋体" w:cs="宋体"/>
          <w:color w:val="auto"/>
          <w:sz w:val="24"/>
          <w:szCs w:val="24"/>
          <w:highlight w:val="none"/>
        </w:rPr>
        <w:t xml:space="preserve">提出询问，询问可以口头方式提出，也可以书面方式提出。 </w:t>
      </w:r>
    </w:p>
    <w:p w14:paraId="378922A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32.1.2 </w:t>
      </w:r>
      <w:r>
        <w:rPr>
          <w:rFonts w:hint="eastAsia" w:ascii="宋体" w:hAnsi="宋体" w:eastAsia="宋体" w:cs="宋体"/>
          <w:color w:val="auto"/>
          <w:sz w:val="24"/>
          <w:szCs w:val="24"/>
          <w:highlight w:val="none"/>
        </w:rPr>
        <w:t>采购人或者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在三个工作日内对供应商依法提出的询问作出答复。 </w:t>
      </w:r>
    </w:p>
    <w:p w14:paraId="333BE03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32.2 </w:t>
      </w:r>
      <w:r>
        <w:rPr>
          <w:rFonts w:hint="eastAsia" w:ascii="宋体" w:hAnsi="宋体" w:eastAsia="宋体" w:cs="宋体"/>
          <w:color w:val="auto"/>
          <w:sz w:val="24"/>
          <w:szCs w:val="24"/>
          <w:highlight w:val="none"/>
        </w:rPr>
        <w:t>质疑</w:t>
      </w:r>
    </w:p>
    <w:p w14:paraId="7F59EC98">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2.2</w:t>
      </w:r>
      <w:r>
        <w:rPr>
          <w:rFonts w:hint="eastAsia" w:ascii="宋体" w:hAnsi="宋体"/>
          <w:color w:val="auto"/>
          <w:sz w:val="24"/>
          <w:szCs w:val="24"/>
          <w:highlight w:val="none"/>
        </w:rPr>
        <w:t>.1 提出质疑的供应商应当是参与所质疑项目采购活动的供应商。潜在供应商依法获取其可质疑的采购文件的，可以对采购文件提出质疑。</w:t>
      </w:r>
    </w:p>
    <w:p w14:paraId="33CF9823">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2.2</w:t>
      </w:r>
      <w:r>
        <w:rPr>
          <w:rFonts w:hint="eastAsia" w:ascii="宋体" w:hAnsi="宋体"/>
          <w:color w:val="auto"/>
          <w:sz w:val="24"/>
          <w:szCs w:val="24"/>
          <w:highlight w:val="none"/>
        </w:rPr>
        <w:t>.2供应商认为采购文件、采购过程和采购结果使自己的权益受到损害的，可以在知道或应知其权益受到损害之日起七个工作日内，以书面形式向</w:t>
      </w:r>
      <w:r>
        <w:rPr>
          <w:rFonts w:hint="eastAsia"/>
          <w:color w:val="auto"/>
          <w:sz w:val="24"/>
          <w:szCs w:val="24"/>
          <w:highlight w:val="none"/>
          <w:lang w:val="en-US" w:eastAsia="zh-CN"/>
        </w:rPr>
        <w:t>招标代理公司</w:t>
      </w:r>
      <w:r>
        <w:rPr>
          <w:rFonts w:hint="eastAsia" w:ascii="宋体" w:hAnsi="宋体"/>
          <w:color w:val="auto"/>
          <w:sz w:val="24"/>
          <w:szCs w:val="24"/>
          <w:highlight w:val="none"/>
        </w:rPr>
        <w:t>及采购人提出质疑。上述应知其权益受到损害之日，是指：</w:t>
      </w:r>
    </w:p>
    <w:p w14:paraId="526CC966">
      <w:pPr>
        <w:snapToGrid w:val="0"/>
        <w:spacing w:line="480" w:lineRule="exact"/>
        <w:ind w:firstLine="480" w:firstLineChars="200"/>
        <w:rPr>
          <w:rFonts w:hint="eastAsia" w:hAnsi="宋体" w:eastAsia="宋体" w:cs="宋体"/>
          <w:color w:val="auto"/>
          <w:kern w:val="0"/>
          <w:sz w:val="24"/>
          <w:szCs w:val="24"/>
          <w:highlight w:val="none"/>
          <w:lang w:eastAsia="zh-CN"/>
        </w:rPr>
      </w:pPr>
      <w:r>
        <w:rPr>
          <w:rFonts w:hint="eastAsia" w:ascii="宋体" w:hAnsi="宋体"/>
          <w:color w:val="auto"/>
          <w:sz w:val="24"/>
          <w:szCs w:val="24"/>
          <w:highlight w:val="none"/>
        </w:rPr>
        <w:t>3</w:t>
      </w:r>
      <w:r>
        <w:rPr>
          <w:rFonts w:hint="eastAsia"/>
          <w:color w:val="auto"/>
          <w:sz w:val="24"/>
          <w:szCs w:val="24"/>
          <w:highlight w:val="none"/>
          <w:lang w:val="en-US" w:eastAsia="zh-CN"/>
        </w:rPr>
        <w:t>2.2</w:t>
      </w:r>
      <w:r>
        <w:rPr>
          <w:rFonts w:hint="eastAsia" w:ascii="宋体" w:hAnsi="宋体"/>
          <w:color w:val="auto"/>
          <w:sz w:val="24"/>
          <w:szCs w:val="24"/>
          <w:highlight w:val="none"/>
        </w:rPr>
        <w:t>.2.1</w:t>
      </w:r>
      <w:r>
        <w:rPr>
          <w:rFonts w:hint="eastAsia" w:hAnsi="宋体" w:cs="宋体"/>
          <w:color w:val="auto"/>
          <w:kern w:val="0"/>
          <w:sz w:val="24"/>
          <w:szCs w:val="24"/>
          <w:highlight w:val="none"/>
        </w:rPr>
        <w:t>对可以质疑的采购文件提出质疑的，为收到采购文件之日或者采购文件公告期限届满之日；</w:t>
      </w:r>
    </w:p>
    <w:p w14:paraId="638E22ED">
      <w:pPr>
        <w:snapToGrid w:val="0"/>
        <w:spacing w:line="480" w:lineRule="exact"/>
        <w:ind w:firstLine="480" w:firstLineChars="200"/>
        <w:rPr>
          <w:rFonts w:hint="eastAsia" w:hAnsi="宋体" w:eastAsia="宋体" w:cs="宋体"/>
          <w:color w:val="auto"/>
          <w:kern w:val="0"/>
          <w:sz w:val="24"/>
          <w:szCs w:val="24"/>
          <w:highlight w:val="none"/>
          <w:lang w:eastAsia="zh-CN"/>
        </w:rPr>
      </w:pPr>
      <w:r>
        <w:rPr>
          <w:rFonts w:hint="eastAsia" w:ascii="宋体" w:hAnsi="宋体"/>
          <w:color w:val="auto"/>
          <w:sz w:val="24"/>
          <w:szCs w:val="24"/>
          <w:highlight w:val="none"/>
        </w:rPr>
        <w:t>3</w:t>
      </w:r>
      <w:r>
        <w:rPr>
          <w:rFonts w:hint="eastAsia"/>
          <w:color w:val="auto"/>
          <w:sz w:val="24"/>
          <w:szCs w:val="24"/>
          <w:highlight w:val="none"/>
          <w:lang w:val="en-US" w:eastAsia="zh-CN"/>
        </w:rPr>
        <w:t>2.2</w:t>
      </w:r>
      <w:r>
        <w:rPr>
          <w:rFonts w:hint="eastAsia" w:ascii="宋体" w:hAnsi="宋体"/>
          <w:color w:val="auto"/>
          <w:sz w:val="24"/>
          <w:szCs w:val="24"/>
          <w:highlight w:val="none"/>
        </w:rPr>
        <w:t>.2.2</w:t>
      </w:r>
      <w:r>
        <w:rPr>
          <w:rFonts w:hint="eastAsia" w:hAnsi="宋体" w:cs="宋体"/>
          <w:color w:val="auto"/>
          <w:kern w:val="0"/>
          <w:sz w:val="24"/>
          <w:szCs w:val="24"/>
          <w:highlight w:val="none"/>
        </w:rPr>
        <w:t>对采购过程提出质疑的，为各采购程序环节结束之日；</w:t>
      </w:r>
    </w:p>
    <w:p w14:paraId="0A0C9854">
      <w:pPr>
        <w:snapToGrid w:val="0"/>
        <w:spacing w:line="480" w:lineRule="exact"/>
        <w:ind w:firstLine="480" w:firstLineChars="200"/>
        <w:rPr>
          <w:rFonts w:hint="eastAsia" w:hAnsi="宋体" w:cs="宋体"/>
          <w:color w:val="auto"/>
          <w:kern w:val="0"/>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2.2</w:t>
      </w:r>
      <w:r>
        <w:rPr>
          <w:rFonts w:hint="eastAsia" w:ascii="宋体" w:hAnsi="宋体"/>
          <w:color w:val="auto"/>
          <w:sz w:val="24"/>
          <w:szCs w:val="24"/>
          <w:highlight w:val="none"/>
        </w:rPr>
        <w:t>.2.3</w:t>
      </w:r>
      <w:r>
        <w:rPr>
          <w:rFonts w:hint="eastAsia" w:hAnsi="宋体" w:cs="宋体"/>
          <w:color w:val="auto"/>
          <w:kern w:val="0"/>
          <w:sz w:val="24"/>
          <w:szCs w:val="24"/>
          <w:highlight w:val="none"/>
        </w:rPr>
        <w:t>对中标或者成交结果提出质疑的，为中标或者成交结果公告期限届满之日。</w:t>
      </w:r>
    </w:p>
    <w:p w14:paraId="4C659776">
      <w:pPr>
        <w:snapToGrid w:val="0"/>
        <w:spacing w:line="480" w:lineRule="exact"/>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供应商应当在法定质疑期内一次性提出针对同一采购程序环节的质疑。供应商如在法定期限内对同一采购程序环节提出多次质疑的，</w:t>
      </w:r>
      <w:r>
        <w:rPr>
          <w:rFonts w:hint="eastAsia" w:cs="宋体"/>
          <w:b/>
          <w:color w:val="auto"/>
          <w:kern w:val="0"/>
          <w:sz w:val="24"/>
          <w:szCs w:val="24"/>
          <w:highlight w:val="none"/>
          <w:lang w:val="en-US" w:eastAsia="zh-CN"/>
        </w:rPr>
        <w:t>招标代理公司</w:t>
      </w:r>
      <w:r>
        <w:rPr>
          <w:rFonts w:hint="eastAsia" w:hAnsi="宋体" w:cs="宋体"/>
          <w:b/>
          <w:color w:val="auto"/>
          <w:kern w:val="0"/>
          <w:sz w:val="24"/>
          <w:szCs w:val="24"/>
          <w:highlight w:val="none"/>
        </w:rPr>
        <w:t>、采购人将只对供应商第一次质疑作出答复。</w:t>
      </w:r>
    </w:p>
    <w:p w14:paraId="2A6EFB04">
      <w:pPr>
        <w:snapToGrid w:val="0"/>
        <w:spacing w:line="480" w:lineRule="exact"/>
        <w:ind w:firstLine="480" w:firstLineChars="200"/>
        <w:rPr>
          <w:rFonts w:ascii="宋体" w:hAnsi="宋体"/>
          <w:color w:val="auto"/>
          <w:sz w:val="24"/>
          <w:szCs w:val="24"/>
          <w:highlight w:val="none"/>
        </w:rPr>
      </w:pPr>
      <w:r>
        <w:rPr>
          <w:rFonts w:hint="eastAsia"/>
          <w:color w:val="auto"/>
          <w:sz w:val="24"/>
          <w:szCs w:val="24"/>
          <w:highlight w:val="none"/>
          <w:lang w:val="en-US" w:eastAsia="zh-CN"/>
        </w:rPr>
        <w:t>32</w:t>
      </w:r>
      <w:r>
        <w:rPr>
          <w:rFonts w:hint="eastAsia" w:ascii="宋体" w:hAnsi="宋体"/>
          <w:color w:val="auto"/>
          <w:sz w:val="24"/>
          <w:szCs w:val="24"/>
          <w:highlight w:val="none"/>
        </w:rPr>
        <w:t>.3质疑函必须按照本招标文件中《质疑函范本》要求的格式和内容进行填写。供应商如组成联合体参加投标，则《质疑函范本》中要求签字、盖章、加盖公章之处，联合体各方均须按要求签字、盖章、加盖公章。</w:t>
      </w:r>
    </w:p>
    <w:p w14:paraId="5B008063">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w:t>
      </w:r>
      <w:r>
        <w:rPr>
          <w:rFonts w:hint="eastAsia" w:ascii="宋体" w:hAnsi="宋体"/>
          <w:color w:val="auto"/>
          <w:sz w:val="24"/>
          <w:szCs w:val="24"/>
          <w:highlight w:val="none"/>
        </w:rPr>
        <w:t>.4 采购</w:t>
      </w:r>
      <w:r>
        <w:rPr>
          <w:rFonts w:hint="eastAsia"/>
          <w:color w:val="auto"/>
          <w:sz w:val="24"/>
          <w:szCs w:val="24"/>
          <w:highlight w:val="none"/>
          <w:lang w:val="en-US" w:eastAsia="zh-CN"/>
        </w:rPr>
        <w:t>代理机构</w:t>
      </w:r>
      <w:r>
        <w:rPr>
          <w:rFonts w:hint="eastAsia" w:ascii="宋体" w:hAnsi="宋体"/>
          <w:color w:val="auto"/>
          <w:sz w:val="24"/>
          <w:szCs w:val="24"/>
          <w:highlight w:val="none"/>
        </w:rPr>
        <w:t>只接收以纸质原件形式送达的质疑。</w:t>
      </w:r>
    </w:p>
    <w:p w14:paraId="1006DA44">
      <w:pPr>
        <w:pageBreakBefore w:val="0"/>
        <w:kinsoku/>
        <w:wordWrap/>
        <w:overflowPunct/>
        <w:topLinePunct w:val="0"/>
        <w:bidi w:val="0"/>
        <w:snapToGrid/>
        <w:spacing w:line="400" w:lineRule="exact"/>
        <w:ind w:firstLine="480" w:firstLineChars="200"/>
        <w:textAlignment w:val="auto"/>
        <w:rPr>
          <w:rFonts w:hint="eastAsia" w:ascii="仿宋" w:hAnsi="仿宋" w:eastAsia="仿宋" w:cs="仿宋"/>
          <w:sz w:val="28"/>
          <w:szCs w:val="28"/>
          <w:lang w:val="en-US" w:eastAsia="zh-CN"/>
        </w:rPr>
      </w:pPr>
      <w:r>
        <w:rPr>
          <w:rFonts w:hint="eastAsia" w:ascii="宋体" w:hAnsi="宋体"/>
          <w:color w:val="auto"/>
          <w:sz w:val="24"/>
          <w:szCs w:val="24"/>
          <w:highlight w:val="none"/>
        </w:rPr>
        <w:t>质疑接收人：</w:t>
      </w:r>
      <w:r>
        <w:rPr>
          <w:rFonts w:hint="eastAsia"/>
          <w:color w:val="auto"/>
          <w:sz w:val="24"/>
          <w:szCs w:val="24"/>
          <w:highlight w:val="none"/>
          <w:lang w:val="en-US" w:eastAsia="zh-CN"/>
        </w:rPr>
        <w:t>新疆华域天恒工程管理有限公司</w:t>
      </w:r>
    </w:p>
    <w:p w14:paraId="193E9BE4">
      <w:pPr>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olor w:val="auto"/>
          <w:sz w:val="24"/>
          <w:szCs w:val="24"/>
          <w:highlight w:val="none"/>
        </w:rPr>
        <w:t>联系地址</w:t>
      </w:r>
      <w:r>
        <w:rPr>
          <w:rFonts w:hint="eastAsia" w:ascii="宋体" w:hAnsi="宋体" w:eastAsia="宋体" w:cs="宋体"/>
          <w:color w:val="auto"/>
          <w:sz w:val="24"/>
          <w:szCs w:val="24"/>
          <w:highlight w:val="none"/>
        </w:rPr>
        <w:t>：吐鲁番市高昌区示范区和平街11幢2层201号</w:t>
      </w:r>
    </w:p>
    <w:p w14:paraId="4259268E">
      <w:pPr>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联系人：马丽娜</w:t>
      </w:r>
    </w:p>
    <w:p w14:paraId="3E2C314E">
      <w:pPr>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3899314280</w:t>
      </w:r>
      <w:r>
        <w:rPr>
          <w:rFonts w:hint="eastAsia" w:ascii="宋体" w:hAnsi="宋体" w:eastAsia="宋体" w:cs="宋体"/>
          <w:color w:val="auto"/>
          <w:sz w:val="24"/>
          <w:szCs w:val="24"/>
          <w:highlight w:val="none"/>
        </w:rPr>
        <w:t xml:space="preserve"> </w:t>
      </w:r>
    </w:p>
    <w:p w14:paraId="4CAAA4DD">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w:t>
      </w:r>
      <w:r>
        <w:rPr>
          <w:rFonts w:hint="eastAsia" w:ascii="宋体" w:hAnsi="宋体"/>
          <w:color w:val="auto"/>
          <w:sz w:val="24"/>
          <w:szCs w:val="24"/>
          <w:highlight w:val="none"/>
        </w:rPr>
        <w:t>.5 以下情形的质疑不予受理</w:t>
      </w:r>
    </w:p>
    <w:p w14:paraId="6E753DDC">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w:t>
      </w:r>
      <w:r>
        <w:rPr>
          <w:rFonts w:hint="eastAsia" w:ascii="宋体" w:hAnsi="宋体"/>
          <w:color w:val="auto"/>
          <w:sz w:val="24"/>
          <w:szCs w:val="24"/>
          <w:highlight w:val="none"/>
        </w:rPr>
        <w:t>.5.1 内容不符合《政府采购质疑和投诉办法》第十二条规定的质疑。</w:t>
      </w:r>
    </w:p>
    <w:p w14:paraId="07107DAA">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w:t>
      </w:r>
      <w:r>
        <w:rPr>
          <w:rFonts w:hint="eastAsia" w:ascii="宋体" w:hAnsi="宋体"/>
          <w:color w:val="auto"/>
          <w:sz w:val="24"/>
          <w:szCs w:val="24"/>
          <w:highlight w:val="none"/>
        </w:rPr>
        <w:t>.5.2 超出政府采购法定期限的质疑。</w:t>
      </w:r>
    </w:p>
    <w:p w14:paraId="00A1E0B7">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w:t>
      </w:r>
      <w:r>
        <w:rPr>
          <w:rFonts w:hint="eastAsia" w:ascii="宋体" w:hAnsi="宋体"/>
          <w:color w:val="auto"/>
          <w:sz w:val="24"/>
          <w:szCs w:val="24"/>
          <w:highlight w:val="none"/>
        </w:rPr>
        <w:t>.5.3 以传真、电子邮件等方式递交的非原件形式的质疑。</w:t>
      </w:r>
    </w:p>
    <w:p w14:paraId="1C94F55D">
      <w:pPr>
        <w:snapToGrid w:val="0"/>
        <w:spacing w:line="480" w:lineRule="exact"/>
        <w:ind w:firstLine="480" w:firstLineChars="200"/>
        <w:rPr>
          <w:rFonts w:hint="eastAsia" w:ascii="宋体" w:hAnsi="宋体" w:eastAsia="宋体" w:cs="Times New Roman"/>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w:t>
      </w:r>
      <w:r>
        <w:rPr>
          <w:rFonts w:hint="eastAsia" w:ascii="宋体" w:hAnsi="宋体"/>
          <w:color w:val="auto"/>
          <w:sz w:val="24"/>
          <w:szCs w:val="24"/>
          <w:highlight w:val="none"/>
        </w:rPr>
        <w:t>.5.4 未参加投标活动的供应商或在投标活动中自身权益未受到损害的供</w:t>
      </w:r>
      <w:r>
        <w:rPr>
          <w:rFonts w:hint="eastAsia" w:ascii="宋体" w:hAnsi="宋体" w:eastAsia="宋体" w:cs="Times New Roman"/>
          <w:color w:val="auto"/>
          <w:sz w:val="24"/>
          <w:szCs w:val="24"/>
          <w:highlight w:val="none"/>
        </w:rPr>
        <w:t>应商所提出的质疑。</w:t>
      </w:r>
    </w:p>
    <w:p w14:paraId="2A5D7B10">
      <w:pPr>
        <w:snapToGrid w:val="0"/>
        <w:spacing w:line="4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r>
        <w:rPr>
          <w:rFonts w:hint="eastAsia"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.5.5供应商组成联合体参加投标，联合体中任何一方或多方未按要求签字、盖章、加盖公章的质疑。</w:t>
      </w:r>
    </w:p>
    <w:p w14:paraId="6614F1ED">
      <w:pPr>
        <w:snapToGrid w:val="0"/>
        <w:spacing w:line="48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3</w:t>
      </w:r>
      <w:r>
        <w:rPr>
          <w:rFonts w:hint="eastAsia"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rPr>
        <w:t>无具体</w:t>
      </w:r>
      <w:r>
        <w:rPr>
          <w:rFonts w:hint="eastAsia" w:ascii="宋体" w:hAnsi="宋体" w:eastAsia="宋体" w:cs="Times New Roman"/>
          <w:color w:val="auto"/>
          <w:sz w:val="24"/>
          <w:szCs w:val="24"/>
          <w:highlight w:val="none"/>
          <w:lang w:val="en-US" w:eastAsia="zh-CN"/>
        </w:rPr>
        <w:t>质疑</w:t>
      </w:r>
      <w:r>
        <w:rPr>
          <w:rFonts w:hint="eastAsia" w:ascii="宋体" w:hAnsi="宋体" w:eastAsia="宋体" w:cs="Times New Roman"/>
          <w:color w:val="auto"/>
          <w:sz w:val="24"/>
          <w:szCs w:val="24"/>
          <w:highlight w:val="none"/>
        </w:rPr>
        <w:t>事项内容，或未提供有效线索，难以查证的</w:t>
      </w:r>
      <w:r>
        <w:rPr>
          <w:rFonts w:hint="eastAsia" w:ascii="宋体" w:hAnsi="宋体" w:eastAsia="宋体" w:cs="Times New Roman"/>
          <w:color w:val="auto"/>
          <w:sz w:val="24"/>
          <w:szCs w:val="24"/>
          <w:highlight w:val="none"/>
          <w:lang w:eastAsia="zh-CN"/>
        </w:rPr>
        <w:t>。</w:t>
      </w:r>
    </w:p>
    <w:p w14:paraId="150CEB2E">
      <w:pPr>
        <w:snapToGrid w:val="0"/>
        <w:spacing w:line="48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3</w:t>
      </w:r>
      <w:r>
        <w:rPr>
          <w:rFonts w:hint="eastAsia"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val="en-US" w:eastAsia="zh-CN"/>
        </w:rPr>
        <w:t>.5.7</w:t>
      </w:r>
      <w:r>
        <w:rPr>
          <w:rFonts w:hint="eastAsia" w:ascii="宋体" w:hAnsi="宋体" w:eastAsia="宋体" w:cs="Times New Roman"/>
          <w:color w:val="auto"/>
          <w:sz w:val="24"/>
          <w:szCs w:val="24"/>
          <w:highlight w:val="none"/>
        </w:rPr>
        <w:t>所</w:t>
      </w:r>
      <w:r>
        <w:rPr>
          <w:rFonts w:hint="eastAsia" w:ascii="宋体" w:hAnsi="宋体" w:eastAsia="宋体" w:cs="Times New Roman"/>
          <w:color w:val="auto"/>
          <w:sz w:val="24"/>
          <w:szCs w:val="24"/>
          <w:highlight w:val="none"/>
          <w:lang w:val="en-US" w:eastAsia="zh-CN"/>
        </w:rPr>
        <w:t>质疑</w:t>
      </w:r>
      <w:r>
        <w:rPr>
          <w:rFonts w:hint="eastAsia" w:ascii="宋体" w:hAnsi="宋体" w:eastAsia="宋体" w:cs="Times New Roman"/>
          <w:color w:val="auto"/>
          <w:sz w:val="24"/>
          <w:szCs w:val="24"/>
          <w:highlight w:val="none"/>
        </w:rPr>
        <w:t>事项已进行处理，或正在行政复议、仲裁、诉讼、投诉等其他程序的</w:t>
      </w:r>
      <w:r>
        <w:rPr>
          <w:rFonts w:hint="eastAsia" w:ascii="宋体" w:hAnsi="宋体" w:eastAsia="宋体" w:cs="Times New Roman"/>
          <w:color w:val="auto"/>
          <w:sz w:val="24"/>
          <w:szCs w:val="24"/>
          <w:highlight w:val="none"/>
          <w:lang w:eastAsia="zh-CN"/>
        </w:rPr>
        <w:t>。</w:t>
      </w:r>
    </w:p>
    <w:p w14:paraId="31559BB4">
      <w:pPr>
        <w:snapToGrid w:val="0"/>
        <w:spacing w:line="480" w:lineRule="exact"/>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w:t>
      </w:r>
      <w:r>
        <w:rPr>
          <w:rFonts w:hint="eastAsia"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val="en-US" w:eastAsia="zh-CN"/>
        </w:rPr>
        <w:t>.5.8不属于本中心管辖范围的质疑。</w:t>
      </w:r>
    </w:p>
    <w:p w14:paraId="43EC61A4">
      <w:pPr>
        <w:snapToGrid w:val="0"/>
        <w:spacing w:line="480" w:lineRule="exact"/>
        <w:ind w:firstLine="468" w:firstLineChars="195"/>
        <w:rPr>
          <w:rFonts w:hint="eastAsia"/>
          <w:color w:val="auto"/>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w:t>
      </w:r>
      <w:r>
        <w:rPr>
          <w:rFonts w:hint="eastAsia" w:ascii="宋体" w:hAnsi="宋体"/>
          <w:color w:val="auto"/>
          <w:sz w:val="24"/>
          <w:szCs w:val="24"/>
          <w:highlight w:val="none"/>
        </w:rPr>
        <w:t xml:space="preserve">.6  </w:t>
      </w:r>
      <w:r>
        <w:rPr>
          <w:rFonts w:hint="eastAsia" w:ascii="宋体" w:hAnsi="宋体"/>
          <w:b/>
          <w:color w:val="auto"/>
          <w:sz w:val="24"/>
          <w:szCs w:val="24"/>
          <w:highlight w:val="none"/>
        </w:rPr>
        <w:t>供应商提出书面质疑必须有理、有据，不得捏造事实、提供虚假材料进行恶意质疑。否则，一经查实，</w:t>
      </w:r>
      <w:r>
        <w:rPr>
          <w:rFonts w:hint="eastAsia"/>
          <w:b/>
          <w:color w:val="auto"/>
          <w:sz w:val="24"/>
          <w:szCs w:val="24"/>
          <w:highlight w:val="none"/>
          <w:lang w:val="en-US" w:eastAsia="zh-CN"/>
        </w:rPr>
        <w:t>招标代理公司</w:t>
      </w:r>
      <w:r>
        <w:rPr>
          <w:rFonts w:hint="eastAsia" w:ascii="宋体" w:hAnsi="宋体"/>
          <w:b/>
          <w:color w:val="auto"/>
          <w:sz w:val="24"/>
          <w:szCs w:val="24"/>
          <w:highlight w:val="none"/>
        </w:rPr>
        <w:t>有权依据政府采购的有关规定，报请政府采购监管部门对该供应商进行相应的行政处罚和记录该供应商的失信信息。</w:t>
      </w:r>
    </w:p>
    <w:p w14:paraId="70A19E1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32.3 </w:t>
      </w:r>
      <w:r>
        <w:rPr>
          <w:rFonts w:hint="eastAsia" w:ascii="宋体" w:hAnsi="宋体" w:eastAsia="宋体" w:cs="宋体"/>
          <w:color w:val="auto"/>
          <w:sz w:val="24"/>
          <w:szCs w:val="24"/>
          <w:highlight w:val="none"/>
        </w:rPr>
        <w:t xml:space="preserve">投诉 </w:t>
      </w:r>
    </w:p>
    <w:p w14:paraId="4913585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32.3.1 </w:t>
      </w:r>
      <w:r>
        <w:rPr>
          <w:rFonts w:hint="eastAsia" w:ascii="宋体" w:hAnsi="宋体" w:eastAsia="宋体" w:cs="宋体"/>
          <w:color w:val="auto"/>
          <w:sz w:val="24"/>
          <w:szCs w:val="24"/>
          <w:highlight w:val="none"/>
        </w:rPr>
        <w:t>质疑供应商对</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的答复不满意，或者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未在规定时间内作出答复的，可以在答复期满后十五个工作日内向同级财政部门提起投诉。 入不良行为记录名单，禁止其1至3年内参加政府采购活动： </w:t>
      </w:r>
    </w:p>
    <w:p w14:paraId="792ACE6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32.3.3.1 </w:t>
      </w:r>
      <w:r>
        <w:rPr>
          <w:rFonts w:hint="eastAsia" w:ascii="宋体" w:hAnsi="宋体" w:eastAsia="宋体" w:cs="宋体"/>
          <w:color w:val="auto"/>
          <w:sz w:val="24"/>
          <w:szCs w:val="24"/>
          <w:highlight w:val="none"/>
        </w:rPr>
        <w:t xml:space="preserve">捏造事实； </w:t>
      </w:r>
    </w:p>
    <w:p w14:paraId="5DEFE96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32.3.3.2 </w:t>
      </w:r>
      <w:r>
        <w:rPr>
          <w:rFonts w:hint="eastAsia" w:ascii="宋体" w:hAnsi="宋体" w:eastAsia="宋体" w:cs="宋体"/>
          <w:color w:val="auto"/>
          <w:sz w:val="24"/>
          <w:szCs w:val="24"/>
          <w:highlight w:val="none"/>
        </w:rPr>
        <w:t xml:space="preserve">提供虚假材料； </w:t>
      </w:r>
    </w:p>
    <w:p w14:paraId="1011BB5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32.3.3.3 </w:t>
      </w:r>
      <w:r>
        <w:rPr>
          <w:rFonts w:hint="eastAsia" w:ascii="宋体" w:hAnsi="宋体" w:eastAsia="宋体" w:cs="宋体"/>
          <w:color w:val="auto"/>
          <w:sz w:val="24"/>
          <w:szCs w:val="24"/>
          <w:highlight w:val="none"/>
        </w:rPr>
        <w:t xml:space="preserve">以非法手段取得证明材料。证据来源的合法性存在明显疑问，投诉人无法证明其取得方式合法的，视为以非法手段取得证明材料。 </w:t>
      </w:r>
    </w:p>
    <w:p w14:paraId="3E4D028A">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33 </w:t>
      </w:r>
      <w:r>
        <w:rPr>
          <w:rFonts w:hint="eastAsia" w:ascii="宋体" w:hAnsi="宋体" w:eastAsia="宋体" w:cs="宋体"/>
          <w:b/>
          <w:bCs/>
          <w:color w:val="auto"/>
          <w:sz w:val="24"/>
          <w:szCs w:val="24"/>
          <w:highlight w:val="none"/>
        </w:rPr>
        <w:t>特别说明</w:t>
      </w:r>
      <w:r>
        <w:rPr>
          <w:rFonts w:hint="eastAsia" w:ascii="宋体" w:hAnsi="宋体" w:eastAsia="宋体" w:cs="宋体"/>
          <w:color w:val="auto"/>
          <w:sz w:val="24"/>
          <w:szCs w:val="24"/>
          <w:highlight w:val="none"/>
        </w:rPr>
        <w:t xml:space="preserve"> </w:t>
      </w:r>
    </w:p>
    <w:p w14:paraId="18EB289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 </w:t>
      </w:r>
      <w:r>
        <w:rPr>
          <w:rFonts w:hint="eastAsia" w:ascii="宋体" w:hAnsi="宋体" w:eastAsia="宋体" w:cs="宋体"/>
          <w:color w:val="auto"/>
          <w:sz w:val="24"/>
          <w:szCs w:val="24"/>
          <w:highlight w:val="none"/>
        </w:rPr>
        <w:t xml:space="preserve">有下列情形之一的，视为供应商串通投标，其响应无效： </w:t>
      </w:r>
    </w:p>
    <w:p w14:paraId="3F961F3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33.1.1 </w:t>
      </w:r>
      <w:r>
        <w:rPr>
          <w:rFonts w:hint="eastAsia" w:ascii="宋体" w:hAnsi="宋体" w:eastAsia="宋体" w:cs="宋体"/>
          <w:color w:val="auto"/>
          <w:sz w:val="24"/>
          <w:szCs w:val="24"/>
          <w:highlight w:val="none"/>
        </w:rPr>
        <w:t xml:space="preserve">不同供应商的响应文件由同一单位或者个人编制； </w:t>
      </w:r>
    </w:p>
    <w:p w14:paraId="78C2B17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33.1.2 </w:t>
      </w:r>
      <w:r>
        <w:rPr>
          <w:rFonts w:hint="eastAsia" w:ascii="宋体" w:hAnsi="宋体" w:eastAsia="宋体" w:cs="宋体"/>
          <w:color w:val="auto"/>
          <w:sz w:val="24"/>
          <w:szCs w:val="24"/>
          <w:highlight w:val="none"/>
        </w:rPr>
        <w:t xml:space="preserve">不同供应商委托同一单位或者个人办理投标事宜； </w:t>
      </w:r>
    </w:p>
    <w:p w14:paraId="28F3E71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33.1.3 </w:t>
      </w:r>
      <w:r>
        <w:rPr>
          <w:rFonts w:hint="eastAsia" w:ascii="宋体" w:hAnsi="宋体" w:eastAsia="宋体" w:cs="宋体"/>
          <w:color w:val="auto"/>
          <w:sz w:val="24"/>
          <w:szCs w:val="24"/>
          <w:highlight w:val="none"/>
        </w:rPr>
        <w:t xml:space="preserve">不同供应商的响应文件载明的项目管理成员或者联系人员为同一人； </w:t>
      </w:r>
    </w:p>
    <w:p w14:paraId="4555E8E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33.1.4 </w:t>
      </w:r>
      <w:r>
        <w:rPr>
          <w:rFonts w:hint="eastAsia" w:ascii="宋体" w:hAnsi="宋体" w:eastAsia="宋体" w:cs="宋体"/>
          <w:color w:val="auto"/>
          <w:sz w:val="24"/>
          <w:szCs w:val="24"/>
          <w:highlight w:val="none"/>
        </w:rPr>
        <w:t xml:space="preserve">不同供应商的响应文件异常一致或者磋商报价呈规律性差异； </w:t>
      </w:r>
    </w:p>
    <w:p w14:paraId="6543387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33.1.5 </w:t>
      </w:r>
      <w:r>
        <w:rPr>
          <w:rFonts w:hint="eastAsia" w:ascii="宋体" w:hAnsi="宋体" w:eastAsia="宋体" w:cs="宋体"/>
          <w:color w:val="auto"/>
          <w:sz w:val="24"/>
          <w:szCs w:val="24"/>
          <w:highlight w:val="none"/>
        </w:rPr>
        <w:t xml:space="preserve">不同供应商的响应文件相互混装； </w:t>
      </w:r>
    </w:p>
    <w:p w14:paraId="4EB4092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33.1.6 </w:t>
      </w:r>
      <w:r>
        <w:rPr>
          <w:rFonts w:hint="eastAsia" w:ascii="宋体" w:hAnsi="宋体" w:eastAsia="宋体" w:cs="宋体"/>
          <w:color w:val="auto"/>
          <w:sz w:val="24"/>
          <w:szCs w:val="24"/>
          <w:highlight w:val="none"/>
        </w:rPr>
        <w:t xml:space="preserve">不同供应商的磋商保证金从同一单位或者个人的账户转出。 </w:t>
      </w:r>
    </w:p>
    <w:p w14:paraId="3655409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 </w:t>
      </w:r>
      <w:r>
        <w:rPr>
          <w:rFonts w:hint="eastAsia" w:ascii="宋体" w:hAnsi="宋体" w:eastAsia="宋体" w:cs="宋体"/>
          <w:color w:val="auto"/>
          <w:sz w:val="24"/>
          <w:szCs w:val="24"/>
          <w:highlight w:val="none"/>
        </w:rPr>
        <w:t xml:space="preserve">供应商存在下列情况之一的，其响应无效: </w:t>
      </w:r>
    </w:p>
    <w:p w14:paraId="30A8219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33.2.1 </w:t>
      </w:r>
      <w:r>
        <w:rPr>
          <w:rFonts w:hint="eastAsia" w:ascii="宋体" w:hAnsi="宋体" w:eastAsia="宋体" w:cs="宋体"/>
          <w:color w:val="auto"/>
          <w:sz w:val="24"/>
          <w:szCs w:val="24"/>
          <w:highlight w:val="none"/>
        </w:rPr>
        <w:t xml:space="preserve">未按照磋商文件的规定提交磋商保证金的； </w:t>
      </w:r>
    </w:p>
    <w:p w14:paraId="494C371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33.2.2 </w:t>
      </w:r>
      <w:r>
        <w:rPr>
          <w:rFonts w:hint="eastAsia" w:ascii="宋体" w:hAnsi="宋体" w:eastAsia="宋体" w:cs="宋体"/>
          <w:color w:val="auto"/>
          <w:sz w:val="24"/>
          <w:szCs w:val="24"/>
          <w:highlight w:val="none"/>
        </w:rPr>
        <w:t xml:space="preserve">响应文件未按磋商文件要求签署、盖章及响应文件的份数、编制不符合磋商文件要求的； </w:t>
      </w:r>
    </w:p>
    <w:p w14:paraId="0833394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33.2.3 </w:t>
      </w:r>
      <w:r>
        <w:rPr>
          <w:rFonts w:hint="eastAsia" w:ascii="宋体" w:hAnsi="宋体" w:eastAsia="宋体" w:cs="宋体"/>
          <w:color w:val="auto"/>
          <w:sz w:val="24"/>
          <w:szCs w:val="24"/>
          <w:highlight w:val="none"/>
        </w:rPr>
        <w:t xml:space="preserve">不具备磋商文件中规定的资格要求的； </w:t>
      </w:r>
    </w:p>
    <w:p w14:paraId="711408A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33.2.4 </w:t>
      </w:r>
      <w:r>
        <w:rPr>
          <w:rFonts w:hint="eastAsia" w:ascii="宋体" w:hAnsi="宋体" w:eastAsia="宋体" w:cs="宋体"/>
          <w:color w:val="auto"/>
          <w:sz w:val="24"/>
          <w:szCs w:val="24"/>
          <w:highlight w:val="none"/>
        </w:rPr>
        <w:t xml:space="preserve">报价超过磋商文件中规定的预算金额或者最高限价的； </w:t>
      </w:r>
    </w:p>
    <w:p w14:paraId="0138EF8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33.2.5 </w:t>
      </w:r>
      <w:r>
        <w:rPr>
          <w:rFonts w:hint="eastAsia" w:ascii="宋体" w:hAnsi="宋体" w:eastAsia="宋体" w:cs="宋体"/>
          <w:color w:val="auto"/>
          <w:sz w:val="24"/>
          <w:szCs w:val="24"/>
          <w:highlight w:val="none"/>
        </w:rPr>
        <w:t xml:space="preserve">响应文件含有采购人不能接受的附加条件的； </w:t>
      </w:r>
    </w:p>
    <w:p w14:paraId="7BFDC18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33.2.6 </w:t>
      </w:r>
      <w:r>
        <w:rPr>
          <w:rFonts w:hint="eastAsia" w:ascii="宋体" w:hAnsi="宋体" w:eastAsia="宋体" w:cs="宋体"/>
          <w:color w:val="auto"/>
          <w:sz w:val="24"/>
          <w:szCs w:val="24"/>
          <w:highlight w:val="none"/>
        </w:rPr>
        <w:t>法律、法规和磋商文件规定的其他无效情形。</w:t>
      </w:r>
    </w:p>
    <w:p w14:paraId="18F69E50">
      <w:pPr>
        <w:pStyle w:val="7"/>
        <w:rPr>
          <w:rFonts w:hint="eastAsia" w:ascii="宋体" w:hAnsi="宋体" w:eastAsia="宋体" w:cs="宋体"/>
          <w:color w:val="auto"/>
          <w:sz w:val="24"/>
          <w:szCs w:val="24"/>
          <w:highlight w:val="none"/>
        </w:rPr>
      </w:pPr>
    </w:p>
    <w:p w14:paraId="535C6643">
      <w:pPr>
        <w:rPr>
          <w:rFonts w:hint="eastAsia" w:ascii="宋体" w:hAnsi="宋体" w:eastAsia="宋体" w:cs="宋体"/>
          <w:color w:val="auto"/>
          <w:sz w:val="24"/>
          <w:szCs w:val="24"/>
          <w:highlight w:val="none"/>
        </w:rPr>
      </w:pPr>
    </w:p>
    <w:p w14:paraId="10F52E4C">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308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rPr>
        <w:t>授予合同</w:t>
      </w:r>
      <w:r>
        <w:rPr>
          <w:rFonts w:hint="eastAsia" w:ascii="宋体" w:hAnsi="宋体" w:eastAsia="宋体" w:cs="宋体"/>
          <w:color w:val="auto"/>
          <w:sz w:val="24"/>
          <w:szCs w:val="24"/>
          <w:highlight w:val="none"/>
        </w:rPr>
        <w:t xml:space="preserve"> </w:t>
      </w:r>
    </w:p>
    <w:p w14:paraId="23B81AA9">
      <w:pPr>
        <w:pStyle w:val="7"/>
        <w:numPr>
          <w:ilvl w:val="0"/>
          <w:numId w:val="0"/>
        </w:numPr>
        <w:ind w:left="3080" w:leftChars="0" w:right="0" w:rightChars="0"/>
        <w:rPr>
          <w:rFonts w:hint="eastAsia"/>
          <w:color w:val="auto"/>
          <w:highlight w:val="none"/>
        </w:rPr>
      </w:pPr>
    </w:p>
    <w:p w14:paraId="28937D40">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34 </w:t>
      </w:r>
      <w:r>
        <w:rPr>
          <w:rFonts w:hint="eastAsia" w:ascii="宋体" w:hAnsi="宋体" w:eastAsia="宋体" w:cs="宋体"/>
          <w:b/>
          <w:bCs/>
          <w:color w:val="auto"/>
          <w:sz w:val="24"/>
          <w:szCs w:val="24"/>
          <w:highlight w:val="none"/>
        </w:rPr>
        <w:t>合同的订立</w:t>
      </w:r>
      <w:r>
        <w:rPr>
          <w:rFonts w:hint="eastAsia" w:ascii="宋体" w:hAnsi="宋体" w:eastAsia="宋体" w:cs="宋体"/>
          <w:color w:val="auto"/>
          <w:sz w:val="24"/>
          <w:szCs w:val="24"/>
          <w:highlight w:val="none"/>
        </w:rPr>
        <w:t xml:space="preserve"> </w:t>
      </w:r>
    </w:p>
    <w:p w14:paraId="1405571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34.1 </w:t>
      </w:r>
      <w:r>
        <w:rPr>
          <w:rFonts w:hint="eastAsia" w:ascii="宋体" w:hAnsi="宋体" w:eastAsia="宋体" w:cs="宋体"/>
          <w:color w:val="auto"/>
          <w:sz w:val="24"/>
          <w:szCs w:val="24"/>
          <w:highlight w:val="none"/>
        </w:rPr>
        <w:t xml:space="preserve">采购人应当自成交通知书发出之日起三十日内，按照磋商文件和成交供应商响应文件的约定，与成交供应商签订书面合同。所签订的合同不得对磋商文件和成交供应商响应文件作实质性修改。 </w:t>
      </w:r>
    </w:p>
    <w:p w14:paraId="410B49A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34.2 </w:t>
      </w:r>
      <w:r>
        <w:rPr>
          <w:rFonts w:hint="eastAsia" w:ascii="宋体" w:hAnsi="宋体" w:eastAsia="宋体" w:cs="宋体"/>
          <w:color w:val="auto"/>
          <w:sz w:val="24"/>
          <w:szCs w:val="24"/>
          <w:highlight w:val="none"/>
        </w:rPr>
        <w:t xml:space="preserve">采购人不得向成交供应商提出任何不合理的要求，作为签订合同的条件，不得与成交供应商私下订立背离合同实质性内容的协议。 </w:t>
      </w:r>
    </w:p>
    <w:p w14:paraId="469A152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34.3 </w:t>
      </w:r>
      <w:r>
        <w:rPr>
          <w:rFonts w:hint="eastAsia" w:ascii="宋体" w:hAnsi="宋体" w:eastAsia="宋体" w:cs="宋体"/>
          <w:color w:val="auto"/>
          <w:sz w:val="24"/>
          <w:szCs w:val="24"/>
          <w:highlight w:val="none"/>
        </w:rPr>
        <w:t xml:space="preserve">自政府采购合同签订之日起两个工作日内，采购人应将政府采购合同在省级以上人民政府财政部门指定的媒体上公告，但政府采购合同中涉及国家秘密、商业秘密的内容除外。 </w:t>
      </w:r>
    </w:p>
    <w:p w14:paraId="1B55E74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34.4 </w:t>
      </w:r>
      <w:r>
        <w:rPr>
          <w:rFonts w:hint="eastAsia" w:ascii="宋体" w:hAnsi="宋体" w:eastAsia="宋体" w:cs="宋体"/>
          <w:color w:val="auto"/>
          <w:sz w:val="24"/>
          <w:szCs w:val="24"/>
          <w:highlight w:val="none"/>
        </w:rPr>
        <w:t xml:space="preserve">政府采购合同签订之日起七个工作日内，采购人应将政府采购合同副本报同级监管部门备案和有关部门备案。 </w:t>
      </w:r>
    </w:p>
    <w:p w14:paraId="7A210B3B">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35 </w:t>
      </w:r>
      <w:r>
        <w:rPr>
          <w:rFonts w:hint="eastAsia" w:ascii="宋体" w:hAnsi="宋体" w:eastAsia="宋体" w:cs="宋体"/>
          <w:b/>
          <w:bCs/>
          <w:color w:val="auto"/>
          <w:sz w:val="24"/>
          <w:szCs w:val="24"/>
          <w:highlight w:val="none"/>
        </w:rPr>
        <w:t>合同的履行</w:t>
      </w:r>
      <w:r>
        <w:rPr>
          <w:rFonts w:hint="eastAsia" w:ascii="宋体" w:hAnsi="宋体" w:eastAsia="宋体" w:cs="宋体"/>
          <w:color w:val="auto"/>
          <w:sz w:val="24"/>
          <w:szCs w:val="24"/>
          <w:highlight w:val="none"/>
        </w:rPr>
        <w:t xml:space="preserve"> </w:t>
      </w:r>
    </w:p>
    <w:p w14:paraId="6BE3576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35.1 </w:t>
      </w:r>
      <w:r>
        <w:rPr>
          <w:rFonts w:hint="eastAsia" w:ascii="宋体" w:hAnsi="宋体" w:eastAsia="宋体" w:cs="宋体"/>
          <w:color w:val="auto"/>
          <w:sz w:val="24"/>
          <w:szCs w:val="24"/>
          <w:highlight w:val="none"/>
        </w:rPr>
        <w:t>政府采购合同订立后，合同各方不得擅自变更、中止或者终止合同。政府采购合同需要变更的，采购人应将有关合同变更内容，以书面形式报同级监管部门备案；因特殊情况需要中止或终止合同的， 采购人应将中止或终止合同的理由以及相应措施，以书面形式报同级监管部门备案。</w:t>
      </w:r>
    </w:p>
    <w:p w14:paraId="2E59F6D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35.2 </w:t>
      </w:r>
      <w:r>
        <w:rPr>
          <w:rFonts w:hint="eastAsia" w:ascii="宋体" w:hAnsi="宋体" w:eastAsia="宋体" w:cs="宋体"/>
          <w:color w:val="auto"/>
          <w:sz w:val="24"/>
          <w:szCs w:val="24"/>
          <w:highlight w:val="none"/>
        </w:rPr>
        <w:t xml:space="preserve">政府采购合同履行中，采购人需追加与合同标的相同的货物、工程或者服务的，在不改变合同其他条款的前提下，可以与供应商签订补充合同，但所有补充合同的采购金额不得超过原合同采购金额的百分之十。签订补充合同的必须按规定备案。 </w:t>
      </w:r>
    </w:p>
    <w:p w14:paraId="1E5077D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35.3 </w:t>
      </w:r>
      <w:r>
        <w:rPr>
          <w:rFonts w:hint="eastAsia" w:ascii="宋体" w:hAnsi="宋体" w:eastAsia="宋体" w:cs="宋体"/>
          <w:color w:val="auto"/>
          <w:sz w:val="24"/>
          <w:szCs w:val="24"/>
          <w:highlight w:val="none"/>
        </w:rPr>
        <w:t xml:space="preserve">成交供应商如为依据《政府采购促进中小企业发展管理办法》规定享受扶持政策获得政府采购合同的，小微企业不得将合同分包给大中型企业，中型企业不得将合同分包给大型企业。 </w:t>
      </w:r>
    </w:p>
    <w:p w14:paraId="07769716">
      <w:pPr>
        <w:pStyle w:val="7"/>
        <w:rPr>
          <w:rFonts w:hint="eastAsia"/>
          <w:color w:val="auto"/>
          <w:highlight w:val="none"/>
        </w:rPr>
      </w:pPr>
    </w:p>
    <w:p w14:paraId="1D9BA49D">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36 </w:t>
      </w:r>
      <w:r>
        <w:rPr>
          <w:rFonts w:hint="eastAsia" w:ascii="宋体" w:hAnsi="宋体" w:eastAsia="宋体" w:cs="宋体"/>
          <w:b/>
          <w:bCs/>
          <w:color w:val="auto"/>
          <w:sz w:val="24"/>
          <w:szCs w:val="24"/>
          <w:highlight w:val="none"/>
        </w:rPr>
        <w:t>验收</w:t>
      </w:r>
      <w:r>
        <w:rPr>
          <w:rFonts w:hint="eastAsia" w:ascii="宋体" w:hAnsi="宋体" w:eastAsia="宋体" w:cs="宋体"/>
          <w:color w:val="auto"/>
          <w:sz w:val="24"/>
          <w:szCs w:val="24"/>
          <w:highlight w:val="none"/>
        </w:rPr>
        <w:t xml:space="preserve"> </w:t>
      </w:r>
    </w:p>
    <w:p w14:paraId="31F83D5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36.1 </w:t>
      </w:r>
      <w:r>
        <w:rPr>
          <w:rFonts w:hint="eastAsia" w:ascii="宋体" w:hAnsi="宋体" w:eastAsia="宋体" w:cs="宋体"/>
          <w:color w:val="auto"/>
          <w:sz w:val="24"/>
          <w:szCs w:val="24"/>
          <w:highlight w:val="none"/>
        </w:rPr>
        <w:t xml:space="preserve">采购人应当及时对采购项目进行验收。采购人可以邀请参加本项目的其他供应商或者第三方机构参与验收。参与验收的供应商或者第三方机构的意见作为验收书的参考资料一并存档。 </w:t>
      </w:r>
    </w:p>
    <w:p w14:paraId="450373C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36.2 </w:t>
      </w:r>
      <w:r>
        <w:rPr>
          <w:rFonts w:hint="eastAsia" w:ascii="宋体" w:hAnsi="宋体" w:eastAsia="宋体" w:cs="宋体"/>
          <w:color w:val="auto"/>
          <w:sz w:val="24"/>
          <w:szCs w:val="24"/>
          <w:highlight w:val="none"/>
        </w:rPr>
        <w:t>在验收时，供应商应向采购人提供</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的相关资料，按采购人提出的方式验收。 </w:t>
      </w:r>
    </w:p>
    <w:p w14:paraId="7B120B6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36.3 </w:t>
      </w:r>
      <w:r>
        <w:rPr>
          <w:rFonts w:hint="eastAsia" w:ascii="宋体" w:hAnsi="宋体" w:eastAsia="宋体" w:cs="宋体"/>
          <w:color w:val="auto"/>
          <w:sz w:val="24"/>
          <w:szCs w:val="24"/>
          <w:highlight w:val="none"/>
        </w:rPr>
        <w:t>由采购人对</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的质量、规格和数量及其他进行检验。如发现质量、规格和数量等任何一项与磋商文件要求规定不符，采购人有权拒绝接受。 </w:t>
      </w:r>
    </w:p>
    <w:p w14:paraId="426562F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36.4 </w:t>
      </w:r>
      <w:r>
        <w:rPr>
          <w:rFonts w:hint="eastAsia" w:ascii="宋体" w:hAnsi="宋体" w:eastAsia="宋体" w:cs="宋体"/>
          <w:color w:val="auto"/>
          <w:sz w:val="24"/>
          <w:szCs w:val="24"/>
          <w:highlight w:val="none"/>
        </w:rPr>
        <w:t>采购人应当加强对成交供应商的履约管理，并按照采购合同约定，及时向成交供应商支付采购资金。对于成交供应商违反采购合同约定的行为，采购人应当及时处理，依法追究其违约责任。</w:t>
      </w:r>
    </w:p>
    <w:p w14:paraId="708FED09">
      <w:pPr>
        <w:rPr>
          <w:rFonts w:hint="eastAsia"/>
          <w:color w:val="auto"/>
          <w:highlight w:val="none"/>
          <w:lang w:val="zh-CN" w:eastAsia="zh-CN"/>
        </w:rPr>
      </w:pPr>
    </w:p>
    <w:p w14:paraId="6BCEA5A5">
      <w:pPr>
        <w:rPr>
          <w:rFonts w:hint="eastAsia"/>
          <w:color w:val="auto"/>
          <w:highlight w:val="none"/>
          <w:lang w:val="zh-CN" w:eastAsia="zh-CN"/>
        </w:rPr>
      </w:pPr>
      <w:r>
        <w:rPr>
          <w:rFonts w:hint="eastAsia"/>
          <w:color w:val="auto"/>
          <w:highlight w:val="none"/>
          <w:lang w:val="zh-CN" w:eastAsia="zh-CN"/>
        </w:rPr>
        <w:br w:type="page"/>
      </w:r>
    </w:p>
    <w:p w14:paraId="5BFF31A5">
      <w:pPr>
        <w:pStyle w:val="7"/>
        <w:ind w:firstLine="1405" w:firstLineChars="500"/>
        <w:rPr>
          <w:rFonts w:hint="eastAsia"/>
          <w:color w:val="auto"/>
          <w:highlight w:val="none"/>
          <w:lang w:val="zh-CN" w:eastAsia="zh-CN"/>
        </w:rPr>
      </w:pPr>
      <w:r>
        <w:rPr>
          <w:rFonts w:hint="eastAsia" w:ascii="宋体" w:hAnsi="宋体" w:eastAsia="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rPr>
        <w:t>评</w:t>
      </w:r>
      <w:r>
        <w:rPr>
          <w:rFonts w:hint="eastAsia" w:ascii="宋体" w:hAnsi="宋体" w:eastAsia="宋体" w:cs="宋体"/>
          <w:b/>
          <w:bCs/>
          <w:color w:val="auto"/>
          <w:sz w:val="28"/>
          <w:szCs w:val="28"/>
          <w:highlight w:val="none"/>
          <w:lang w:val="en-US" w:eastAsia="zh-CN"/>
        </w:rPr>
        <w:t>审</w:t>
      </w:r>
      <w:r>
        <w:rPr>
          <w:rFonts w:hint="eastAsia" w:ascii="宋体" w:hAnsi="宋体" w:eastAsia="宋体" w:cs="宋体"/>
          <w:b/>
          <w:bCs/>
          <w:color w:val="auto"/>
          <w:sz w:val="28"/>
          <w:szCs w:val="28"/>
          <w:highlight w:val="none"/>
        </w:rPr>
        <w:t>标准</w:t>
      </w:r>
    </w:p>
    <w:p w14:paraId="1A0D85B3">
      <w:pPr>
        <w:rPr>
          <w:rFonts w:hint="eastAsia"/>
          <w:color w:val="auto"/>
          <w:highlight w:val="none"/>
          <w:lang w:val="zh-CN" w:eastAsia="zh-CN"/>
        </w:rPr>
      </w:pPr>
    </w:p>
    <w:p w14:paraId="19F85A20">
      <w:pPr>
        <w:pStyle w:val="7"/>
        <w:ind w:left="0" w:leftChars="0" w:firstLine="0" w:firstLineChars="0"/>
        <w:jc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37  资格审查表</w:t>
      </w:r>
    </w:p>
    <w:tbl>
      <w:tblPr>
        <w:tblStyle w:val="20"/>
        <w:tblpPr w:leftFromText="180" w:rightFromText="180" w:vertAnchor="text" w:horzAnchor="page" w:tblpXSpec="center" w:tblpY="286"/>
        <w:tblOverlap w:val="never"/>
        <w:tblW w:w="56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
      <w:tblGrid>
        <w:gridCol w:w="1388"/>
        <w:gridCol w:w="4468"/>
        <w:gridCol w:w="2567"/>
        <w:gridCol w:w="787"/>
        <w:gridCol w:w="1214"/>
      </w:tblGrid>
      <w:tr w14:paraId="47E30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c>
          <w:tcPr>
            <w:tcW w:w="665" w:type="pct"/>
            <w:vMerge w:val="restart"/>
            <w:shd w:val="clear" w:color="auto" w:fill="FFFFFF"/>
            <w:noWrap w:val="0"/>
            <w:vAlign w:val="center"/>
          </w:tcPr>
          <w:p w14:paraId="61DF278E">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类型</w:t>
            </w:r>
          </w:p>
        </w:tc>
        <w:tc>
          <w:tcPr>
            <w:tcW w:w="2143" w:type="pct"/>
            <w:vMerge w:val="restart"/>
            <w:shd w:val="clear" w:color="auto" w:fill="FFFFFF"/>
            <w:noWrap w:val="0"/>
            <w:vAlign w:val="center"/>
          </w:tcPr>
          <w:p w14:paraId="6D234AB8">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审查要求</w:t>
            </w:r>
          </w:p>
        </w:tc>
        <w:tc>
          <w:tcPr>
            <w:tcW w:w="1231" w:type="pct"/>
            <w:vMerge w:val="restart"/>
            <w:shd w:val="clear" w:color="auto" w:fill="FFFFFF"/>
            <w:noWrap w:val="0"/>
            <w:vAlign w:val="center"/>
          </w:tcPr>
          <w:p w14:paraId="41D31194">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要求说明</w:t>
            </w:r>
          </w:p>
        </w:tc>
        <w:tc>
          <w:tcPr>
            <w:tcW w:w="959" w:type="pct"/>
            <w:gridSpan w:val="2"/>
            <w:shd w:val="clear" w:color="auto" w:fill="FFFFFF"/>
            <w:noWrap w:val="0"/>
            <w:vAlign w:val="center"/>
          </w:tcPr>
          <w:p w14:paraId="641E87F4">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评审意见</w:t>
            </w:r>
          </w:p>
        </w:tc>
      </w:tr>
      <w:tr w14:paraId="581B7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trPr>
        <w:tc>
          <w:tcPr>
            <w:tcW w:w="665" w:type="pct"/>
            <w:vMerge w:val="continue"/>
            <w:shd w:val="clear" w:color="auto" w:fill="FFFDFA"/>
            <w:noWrap w:val="0"/>
            <w:vAlign w:val="center"/>
          </w:tcPr>
          <w:p w14:paraId="54C69F46">
            <w:pPr>
              <w:pageBreakBefore w:val="0"/>
              <w:kinsoku/>
              <w:wordWrap/>
              <w:overflowPunct/>
              <w:topLinePunct w:val="0"/>
              <w:bidi w:val="0"/>
              <w:spacing w:beforeAutospacing="0" w:afterAutospacing="0" w:line="400" w:lineRule="exact"/>
              <w:ind w:firstLine="480"/>
              <w:rPr>
                <w:rFonts w:hint="eastAsia" w:ascii="宋体" w:hAnsi="宋体" w:eastAsia="宋体" w:cs="宋体"/>
                <w:kern w:val="2"/>
                <w:sz w:val="24"/>
                <w:szCs w:val="24"/>
                <w:lang w:val="en-US" w:eastAsia="zh-CN" w:bidi="ar-SA"/>
              </w:rPr>
            </w:pPr>
          </w:p>
        </w:tc>
        <w:tc>
          <w:tcPr>
            <w:tcW w:w="2143" w:type="pct"/>
            <w:vMerge w:val="continue"/>
            <w:shd w:val="clear" w:color="auto" w:fill="FFFDFA"/>
            <w:noWrap w:val="0"/>
            <w:vAlign w:val="center"/>
          </w:tcPr>
          <w:p w14:paraId="6E3445E5">
            <w:pPr>
              <w:pageBreakBefore w:val="0"/>
              <w:kinsoku/>
              <w:wordWrap/>
              <w:overflowPunct/>
              <w:topLinePunct w:val="0"/>
              <w:bidi w:val="0"/>
              <w:spacing w:beforeAutospacing="0" w:afterAutospacing="0" w:line="400" w:lineRule="exact"/>
              <w:ind w:firstLine="480"/>
              <w:rPr>
                <w:rFonts w:hint="eastAsia" w:ascii="宋体" w:hAnsi="宋体" w:eastAsia="宋体" w:cs="宋体"/>
                <w:kern w:val="2"/>
                <w:sz w:val="24"/>
                <w:szCs w:val="24"/>
                <w:lang w:val="en-US" w:eastAsia="zh-CN" w:bidi="ar-SA"/>
              </w:rPr>
            </w:pPr>
          </w:p>
        </w:tc>
        <w:tc>
          <w:tcPr>
            <w:tcW w:w="1231" w:type="pct"/>
            <w:vMerge w:val="continue"/>
            <w:shd w:val="clear" w:color="auto" w:fill="FFFDFA"/>
            <w:noWrap w:val="0"/>
            <w:vAlign w:val="center"/>
          </w:tcPr>
          <w:p w14:paraId="6D1BF8C3">
            <w:pPr>
              <w:pageBreakBefore w:val="0"/>
              <w:kinsoku/>
              <w:wordWrap/>
              <w:overflowPunct/>
              <w:topLinePunct w:val="0"/>
              <w:bidi w:val="0"/>
              <w:spacing w:beforeAutospacing="0" w:afterAutospacing="0" w:line="400" w:lineRule="exact"/>
              <w:ind w:firstLine="480"/>
              <w:rPr>
                <w:rFonts w:hint="eastAsia" w:ascii="宋体" w:hAnsi="宋体" w:eastAsia="宋体" w:cs="宋体"/>
                <w:kern w:val="2"/>
                <w:sz w:val="24"/>
                <w:szCs w:val="24"/>
                <w:lang w:val="en-US" w:eastAsia="zh-CN" w:bidi="ar-SA"/>
              </w:rPr>
            </w:pPr>
          </w:p>
        </w:tc>
        <w:tc>
          <w:tcPr>
            <w:tcW w:w="377" w:type="pct"/>
            <w:shd w:val="clear" w:color="auto" w:fill="FFFDFA"/>
            <w:noWrap w:val="0"/>
            <w:vAlign w:val="center"/>
          </w:tcPr>
          <w:p w14:paraId="07557D0F">
            <w:pPr>
              <w:pageBreakBefore w:val="0"/>
              <w:kinsoku/>
              <w:wordWrap/>
              <w:overflowPunct/>
              <w:topLinePunct w:val="0"/>
              <w:bidi w:val="0"/>
              <w:spacing w:beforeAutospacing="0" w:afterAutospacing="0" w:line="400" w:lineRule="exac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符合</w:t>
            </w:r>
          </w:p>
        </w:tc>
        <w:tc>
          <w:tcPr>
            <w:tcW w:w="582" w:type="pct"/>
            <w:shd w:val="clear" w:color="auto" w:fill="FFFDFA"/>
            <w:noWrap w:val="0"/>
            <w:vAlign w:val="center"/>
          </w:tcPr>
          <w:p w14:paraId="0C858BFC">
            <w:pPr>
              <w:pageBreakBefore w:val="0"/>
              <w:kinsoku/>
              <w:wordWrap/>
              <w:overflowPunct/>
              <w:topLinePunct w:val="0"/>
              <w:bidi w:val="0"/>
              <w:spacing w:beforeAutospacing="0" w:afterAutospacing="0" w:line="400" w:lineRule="exact"/>
              <w:ind w:firstLine="240" w:firstLineChars="1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不符合</w:t>
            </w:r>
          </w:p>
        </w:tc>
      </w:tr>
      <w:tr w14:paraId="3BBC7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c>
          <w:tcPr>
            <w:tcW w:w="665" w:type="pct"/>
            <w:shd w:val="clear" w:color="auto" w:fill="FFFFFF"/>
            <w:noWrap w:val="0"/>
            <w:vAlign w:val="center"/>
          </w:tcPr>
          <w:p w14:paraId="41DFBC08">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基本资质</w:t>
            </w:r>
          </w:p>
        </w:tc>
        <w:tc>
          <w:tcPr>
            <w:tcW w:w="2143" w:type="pct"/>
            <w:shd w:val="clear" w:color="auto" w:fill="FFFFFF"/>
            <w:noWrap w:val="0"/>
            <w:vAlign w:val="center"/>
          </w:tcPr>
          <w:p w14:paraId="12DA2732">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满足《中华人民共和国政府采购法》第二十二条规定；</w:t>
            </w:r>
          </w:p>
        </w:tc>
        <w:tc>
          <w:tcPr>
            <w:tcW w:w="1231" w:type="pct"/>
            <w:shd w:val="clear" w:color="auto" w:fill="FFFFFF"/>
            <w:noWrap w:val="0"/>
            <w:vAlign w:val="center"/>
          </w:tcPr>
          <w:p w14:paraId="43DAB160">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请根据要求上传营业执照等相关资料。</w:t>
            </w:r>
          </w:p>
        </w:tc>
        <w:tc>
          <w:tcPr>
            <w:tcW w:w="377" w:type="pct"/>
            <w:shd w:val="clear" w:color="auto" w:fill="FFFFFF"/>
            <w:noWrap w:val="0"/>
            <w:vAlign w:val="center"/>
          </w:tcPr>
          <w:p w14:paraId="5137697D">
            <w:pPr>
              <w:pStyle w:val="47"/>
              <w:pageBreakBefore w:val="0"/>
              <w:kinsoku/>
              <w:wordWrap/>
              <w:overflowPunct/>
              <w:bidi w:val="0"/>
              <w:spacing w:line="360" w:lineRule="exact"/>
              <w:rPr>
                <w:rFonts w:hint="eastAsia" w:ascii="宋体" w:hAnsi="宋体" w:eastAsia="宋体" w:cs="宋体"/>
                <w:kern w:val="2"/>
                <w:sz w:val="24"/>
                <w:szCs w:val="24"/>
                <w:lang w:val="en-US" w:eastAsia="zh-CN" w:bidi="ar-SA"/>
              </w:rPr>
            </w:pPr>
          </w:p>
        </w:tc>
        <w:tc>
          <w:tcPr>
            <w:tcW w:w="582" w:type="pct"/>
            <w:shd w:val="clear" w:color="auto" w:fill="FFFFFF"/>
            <w:noWrap w:val="0"/>
            <w:vAlign w:val="center"/>
          </w:tcPr>
          <w:p w14:paraId="45C1F272">
            <w:pPr>
              <w:pStyle w:val="47"/>
              <w:pageBreakBefore w:val="0"/>
              <w:kinsoku/>
              <w:wordWrap/>
              <w:overflowPunct/>
              <w:bidi w:val="0"/>
              <w:spacing w:line="360" w:lineRule="exact"/>
              <w:rPr>
                <w:rFonts w:hint="eastAsia" w:ascii="宋体" w:hAnsi="宋体" w:eastAsia="宋体" w:cs="宋体"/>
                <w:kern w:val="2"/>
                <w:sz w:val="24"/>
                <w:szCs w:val="24"/>
                <w:lang w:val="en-US" w:eastAsia="zh-CN" w:bidi="ar-SA"/>
              </w:rPr>
            </w:pPr>
          </w:p>
        </w:tc>
      </w:tr>
      <w:tr w14:paraId="4281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c>
          <w:tcPr>
            <w:tcW w:w="665" w:type="pct"/>
            <w:shd w:val="clear" w:color="auto" w:fill="FFFFFF"/>
            <w:noWrap w:val="0"/>
            <w:vAlign w:val="center"/>
          </w:tcPr>
          <w:p w14:paraId="75086070">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特定资质</w:t>
            </w:r>
          </w:p>
        </w:tc>
        <w:tc>
          <w:tcPr>
            <w:tcW w:w="2143" w:type="pct"/>
            <w:shd w:val="clear" w:color="auto" w:fill="FFFFFF"/>
            <w:noWrap w:val="0"/>
            <w:vAlign w:val="center"/>
          </w:tcPr>
          <w:p w14:paraId="56AC7F44">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(1)具备有效的市政公用工程施工总承包叁级（含）以上资质，市政公用工程专业二级(含)以上注册建造师执业资格及安全生产考核合格证书</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(B类)</w:t>
            </w:r>
            <w:r>
              <w:rPr>
                <w:rFonts w:hint="eastAsia" w:ascii="宋体" w:hAnsi="宋体" w:eastAsia="宋体" w:cs="宋体"/>
                <w:kern w:val="2"/>
                <w:sz w:val="24"/>
                <w:szCs w:val="24"/>
                <w:lang w:val="en-US" w:eastAsia="zh-CN" w:bidi="ar-SA"/>
              </w:rPr>
              <w:t>；（2）投标人在人员、设备、资金等方面具有相应的施工能力，具备有效的安全生产许可证。</w:t>
            </w:r>
          </w:p>
        </w:tc>
        <w:tc>
          <w:tcPr>
            <w:tcW w:w="1231" w:type="pct"/>
            <w:shd w:val="clear" w:color="auto" w:fill="FFFFFF"/>
            <w:noWrap w:val="0"/>
            <w:vAlign w:val="center"/>
          </w:tcPr>
          <w:p w14:paraId="0D869B49">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提供企业资质证书、安全生产许可证、建造师注册证及安全生产考核合格证书、法定代表人证明书/法人授权委托书。</w:t>
            </w:r>
          </w:p>
        </w:tc>
        <w:tc>
          <w:tcPr>
            <w:tcW w:w="377" w:type="pct"/>
            <w:shd w:val="clear" w:color="auto" w:fill="FFFFFF"/>
            <w:noWrap w:val="0"/>
            <w:vAlign w:val="center"/>
          </w:tcPr>
          <w:p w14:paraId="36EAE6B7">
            <w:pPr>
              <w:pStyle w:val="47"/>
              <w:pageBreakBefore w:val="0"/>
              <w:kinsoku/>
              <w:wordWrap/>
              <w:overflowPunct/>
              <w:bidi w:val="0"/>
              <w:spacing w:line="360" w:lineRule="exact"/>
              <w:rPr>
                <w:rFonts w:hint="eastAsia" w:ascii="宋体" w:hAnsi="宋体" w:eastAsia="宋体" w:cs="宋体"/>
                <w:kern w:val="2"/>
                <w:sz w:val="24"/>
                <w:szCs w:val="24"/>
                <w:lang w:val="en-US" w:eastAsia="zh-CN" w:bidi="ar-SA"/>
              </w:rPr>
            </w:pPr>
          </w:p>
        </w:tc>
        <w:tc>
          <w:tcPr>
            <w:tcW w:w="582" w:type="pct"/>
            <w:shd w:val="clear" w:color="auto" w:fill="FFFFFF"/>
            <w:noWrap w:val="0"/>
            <w:vAlign w:val="center"/>
          </w:tcPr>
          <w:p w14:paraId="28015509">
            <w:pPr>
              <w:pStyle w:val="47"/>
              <w:pageBreakBefore w:val="0"/>
              <w:kinsoku/>
              <w:wordWrap/>
              <w:overflowPunct/>
              <w:bidi w:val="0"/>
              <w:spacing w:line="360" w:lineRule="exact"/>
              <w:rPr>
                <w:rFonts w:hint="eastAsia" w:ascii="宋体" w:hAnsi="宋体" w:eastAsia="宋体" w:cs="宋体"/>
                <w:kern w:val="2"/>
                <w:sz w:val="24"/>
                <w:szCs w:val="24"/>
                <w:lang w:val="en-US" w:eastAsia="zh-CN" w:bidi="ar-SA"/>
              </w:rPr>
            </w:pPr>
          </w:p>
        </w:tc>
      </w:tr>
      <w:tr w14:paraId="5C8CD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90" w:hRule="atLeast"/>
        </w:trPr>
        <w:tc>
          <w:tcPr>
            <w:tcW w:w="665" w:type="pct"/>
            <w:shd w:val="clear" w:color="auto" w:fill="FFFFFF"/>
            <w:noWrap w:val="0"/>
            <w:vAlign w:val="center"/>
          </w:tcPr>
          <w:p w14:paraId="0D44E79F">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其他</w:t>
            </w:r>
          </w:p>
        </w:tc>
        <w:tc>
          <w:tcPr>
            <w:tcW w:w="4349" w:type="dxa"/>
            <w:shd w:val="clear" w:color="auto" w:fill="FFFFFF"/>
            <w:noWrap w:val="0"/>
            <w:vAlign w:val="center"/>
          </w:tcPr>
          <w:p w14:paraId="718C3402">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投标保证金</w:t>
            </w:r>
          </w:p>
        </w:tc>
        <w:tc>
          <w:tcPr>
            <w:tcW w:w="2499" w:type="dxa"/>
            <w:shd w:val="clear" w:color="auto" w:fill="FFFFFF"/>
            <w:noWrap w:val="0"/>
            <w:vAlign w:val="center"/>
          </w:tcPr>
          <w:p w14:paraId="1E5767E5">
            <w:pPr>
              <w:pStyle w:val="47"/>
              <w:pageBreakBefore w:val="0"/>
              <w:kinsoku/>
              <w:wordWrap/>
              <w:overflowPunct/>
              <w:bidi w:val="0"/>
              <w:spacing w:line="360" w:lineRule="exact"/>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提供</w:t>
            </w:r>
            <w:r>
              <w:rPr>
                <w:rFonts w:hint="eastAsia" w:ascii="宋体" w:hAnsi="宋体" w:eastAsia="宋体" w:cs="宋体"/>
                <w:color w:val="000000"/>
                <w:sz w:val="24"/>
                <w:szCs w:val="24"/>
                <w:highlight w:val="none"/>
              </w:rPr>
              <w:t>投标保证金</w:t>
            </w:r>
            <w:r>
              <w:rPr>
                <w:rFonts w:hint="eastAsia" w:ascii="宋体" w:hAnsi="宋体" w:cs="宋体"/>
                <w:color w:val="000000"/>
                <w:sz w:val="24"/>
                <w:szCs w:val="24"/>
                <w:highlight w:val="none"/>
                <w:lang w:val="en-US" w:eastAsia="zh-CN"/>
              </w:rPr>
              <w:t>打款凭证或</w:t>
            </w:r>
            <w:r>
              <w:rPr>
                <w:rFonts w:hint="eastAsia" w:ascii="宋体" w:hAnsi="宋体" w:eastAsia="宋体" w:cs="宋体"/>
                <w:kern w:val="2"/>
                <w:sz w:val="24"/>
                <w:szCs w:val="24"/>
                <w:lang w:val="en-US" w:eastAsia="zh-CN" w:bidi="ar-SA"/>
              </w:rPr>
              <w:t>保函，原件扫描件加盖企业公章。</w:t>
            </w:r>
          </w:p>
        </w:tc>
        <w:tc>
          <w:tcPr>
            <w:tcW w:w="377" w:type="pct"/>
            <w:shd w:val="clear" w:color="auto" w:fill="FFFFFF"/>
            <w:noWrap w:val="0"/>
            <w:vAlign w:val="center"/>
          </w:tcPr>
          <w:p w14:paraId="5F54AE8E">
            <w:pPr>
              <w:pStyle w:val="47"/>
              <w:pageBreakBefore w:val="0"/>
              <w:kinsoku/>
              <w:wordWrap/>
              <w:overflowPunct/>
              <w:bidi w:val="0"/>
              <w:spacing w:line="360" w:lineRule="exact"/>
              <w:rPr>
                <w:rFonts w:hint="eastAsia" w:ascii="宋体" w:hAnsi="宋体" w:eastAsia="宋体" w:cs="宋体"/>
                <w:kern w:val="2"/>
                <w:sz w:val="24"/>
                <w:szCs w:val="24"/>
                <w:lang w:val="en-US" w:eastAsia="zh-CN" w:bidi="ar-SA"/>
              </w:rPr>
            </w:pPr>
          </w:p>
        </w:tc>
        <w:tc>
          <w:tcPr>
            <w:tcW w:w="582" w:type="pct"/>
            <w:shd w:val="clear" w:color="auto" w:fill="FFFFFF"/>
            <w:noWrap w:val="0"/>
            <w:vAlign w:val="center"/>
          </w:tcPr>
          <w:p w14:paraId="181A6006">
            <w:pPr>
              <w:pStyle w:val="47"/>
              <w:pageBreakBefore w:val="0"/>
              <w:kinsoku/>
              <w:wordWrap/>
              <w:overflowPunct/>
              <w:bidi w:val="0"/>
              <w:spacing w:line="360" w:lineRule="exact"/>
              <w:rPr>
                <w:rFonts w:hint="eastAsia" w:ascii="宋体" w:hAnsi="宋体" w:eastAsia="宋体" w:cs="宋体"/>
                <w:kern w:val="2"/>
                <w:sz w:val="24"/>
                <w:szCs w:val="24"/>
                <w:lang w:val="en-US" w:eastAsia="zh-CN" w:bidi="ar-SA"/>
              </w:rPr>
            </w:pPr>
          </w:p>
        </w:tc>
      </w:tr>
      <w:tr w14:paraId="1BC99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90" w:hRule="atLeast"/>
        </w:trPr>
        <w:tc>
          <w:tcPr>
            <w:tcW w:w="1351" w:type="dxa"/>
            <w:shd w:val="clear" w:color="auto" w:fill="FFFFFF"/>
            <w:noWrap w:val="0"/>
            <w:vAlign w:val="center"/>
          </w:tcPr>
          <w:p w14:paraId="766EDE83">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采购政策</w:t>
            </w:r>
          </w:p>
        </w:tc>
        <w:tc>
          <w:tcPr>
            <w:tcW w:w="4349" w:type="dxa"/>
            <w:shd w:val="clear" w:color="auto" w:fill="FFFFFF"/>
            <w:noWrap w:val="0"/>
            <w:vAlign w:val="center"/>
          </w:tcPr>
          <w:p w14:paraId="0985B45D">
            <w:pPr>
              <w:pStyle w:val="47"/>
              <w:pageBreakBefore w:val="0"/>
              <w:kinsoku/>
              <w:wordWrap/>
              <w:overflowPunct/>
              <w:bidi w:val="0"/>
              <w:spacing w:line="360" w:lineRule="exact"/>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专门面向中小企业</w:t>
            </w:r>
          </w:p>
        </w:tc>
        <w:tc>
          <w:tcPr>
            <w:tcW w:w="2499" w:type="dxa"/>
            <w:shd w:val="clear" w:color="auto" w:fill="FFFFFF"/>
            <w:noWrap w:val="0"/>
            <w:vAlign w:val="center"/>
          </w:tcPr>
          <w:p w14:paraId="2A5BC5EC">
            <w:pPr>
              <w:pStyle w:val="47"/>
              <w:pageBreakBefore w:val="0"/>
              <w:kinsoku/>
              <w:wordWrap/>
              <w:overflowPunct/>
              <w:bidi w:val="0"/>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请根据要求单独上传《中小企业声明函》。格式以采购文件要求为准。</w:t>
            </w:r>
          </w:p>
        </w:tc>
        <w:tc>
          <w:tcPr>
            <w:tcW w:w="766" w:type="dxa"/>
            <w:shd w:val="clear" w:color="auto" w:fill="FFFFFF"/>
            <w:noWrap w:val="0"/>
            <w:vAlign w:val="center"/>
          </w:tcPr>
          <w:p w14:paraId="0057A90C">
            <w:pPr>
              <w:pStyle w:val="47"/>
              <w:pageBreakBefore w:val="0"/>
              <w:kinsoku/>
              <w:wordWrap/>
              <w:overflowPunct/>
              <w:bidi w:val="0"/>
              <w:spacing w:line="360" w:lineRule="exact"/>
              <w:rPr>
                <w:rFonts w:hint="eastAsia" w:ascii="宋体" w:hAnsi="宋体" w:eastAsia="宋体" w:cs="宋体"/>
                <w:kern w:val="2"/>
                <w:sz w:val="24"/>
                <w:szCs w:val="24"/>
                <w:lang w:val="en-US" w:eastAsia="zh-CN" w:bidi="ar-SA"/>
              </w:rPr>
            </w:pPr>
          </w:p>
        </w:tc>
        <w:tc>
          <w:tcPr>
            <w:tcW w:w="1182" w:type="dxa"/>
            <w:shd w:val="clear" w:color="auto" w:fill="FFFFFF"/>
            <w:noWrap w:val="0"/>
            <w:vAlign w:val="center"/>
          </w:tcPr>
          <w:p w14:paraId="7E74A54A">
            <w:pPr>
              <w:pStyle w:val="47"/>
              <w:pageBreakBefore w:val="0"/>
              <w:kinsoku/>
              <w:wordWrap/>
              <w:overflowPunct/>
              <w:bidi w:val="0"/>
              <w:spacing w:line="360" w:lineRule="exact"/>
              <w:rPr>
                <w:rFonts w:hint="eastAsia" w:ascii="宋体" w:hAnsi="宋体" w:eastAsia="宋体" w:cs="宋体"/>
                <w:kern w:val="2"/>
                <w:sz w:val="24"/>
                <w:szCs w:val="24"/>
                <w:lang w:val="en-US" w:eastAsia="zh-CN" w:bidi="ar-SA"/>
              </w:rPr>
            </w:pPr>
          </w:p>
        </w:tc>
      </w:tr>
    </w:tbl>
    <w:p w14:paraId="702C658A">
      <w:pPr>
        <w:pageBreakBefore w:val="0"/>
        <w:kinsoku/>
        <w:wordWrap/>
        <w:overflowPunct/>
        <w:topLinePunct w:val="0"/>
        <w:bidi w:val="0"/>
        <w:spacing w:beforeAutospacing="0" w:afterAutospacing="0" w:line="400" w:lineRule="exact"/>
        <w:rPr>
          <w:rFonts w:hint="eastAsia"/>
        </w:rPr>
        <w:sectPr>
          <w:pgSz w:w="11906" w:h="16839"/>
          <w:pgMar w:top="400" w:right="1640" w:bottom="1111" w:left="1256" w:header="0" w:footer="932" w:gutter="0"/>
          <w:pgNumType w:fmt="decimal"/>
          <w:cols w:space="720" w:num="1"/>
        </w:sectPr>
      </w:pPr>
      <w:r>
        <w:rPr>
          <w:rFonts w:hint="eastAsia" w:ascii="宋体" w:hAnsi="宋体" w:eastAsia="宋体" w:cs="宋体"/>
          <w:b/>
          <w:bCs/>
          <w:color w:val="auto"/>
          <w:kern w:val="0"/>
          <w:sz w:val="24"/>
          <w:szCs w:val="24"/>
          <w:highlight w:val="none"/>
        </w:rPr>
        <w:t>注：</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有一项未通过不得参与下阶段评审，视为废标。</w:t>
      </w:r>
    </w:p>
    <w:p w14:paraId="4A5AB2C7">
      <w:pPr>
        <w:pStyle w:val="7"/>
        <w:ind w:left="0" w:leftChars="0" w:firstLine="0" w:firstLineChars="0"/>
        <w:jc w:val="center"/>
        <w:rPr>
          <w:rFonts w:hint="eastAsia" w:ascii="宋体" w:hAnsi="宋体" w:eastAsia="宋体" w:cs="宋体"/>
          <w:b/>
          <w:bCs/>
          <w:color w:val="auto"/>
          <w:sz w:val="30"/>
          <w:szCs w:val="30"/>
          <w:highlight w:val="none"/>
          <w:lang w:val="en-US" w:eastAsia="zh-CN"/>
        </w:rPr>
      </w:pPr>
      <w:r>
        <w:rPr>
          <w:rFonts w:hint="eastAsia" w:cs="宋体"/>
          <w:b/>
          <w:bCs/>
          <w:color w:val="auto"/>
          <w:sz w:val="30"/>
          <w:szCs w:val="30"/>
          <w:highlight w:val="none"/>
          <w:lang w:val="en-US" w:eastAsia="zh-CN"/>
        </w:rPr>
        <w:t xml:space="preserve">38 </w:t>
      </w:r>
      <w:r>
        <w:rPr>
          <w:rFonts w:hint="eastAsia" w:ascii="宋体" w:hAnsi="宋体" w:eastAsia="宋体" w:cs="宋体"/>
          <w:b/>
          <w:bCs/>
          <w:color w:val="auto"/>
          <w:sz w:val="30"/>
          <w:szCs w:val="30"/>
          <w:highlight w:val="none"/>
        </w:rPr>
        <w:t>符合性审查表</w:t>
      </w:r>
    </w:p>
    <w:tbl>
      <w:tblPr>
        <w:tblStyle w:val="20"/>
        <w:tblpPr w:leftFromText="180" w:rightFromText="180" w:vertAnchor="page" w:horzAnchor="page" w:tblpX="1279" w:tblpY="3504"/>
        <w:tblOverlap w:val="never"/>
        <w:tblW w:w="9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2"/>
        <w:gridCol w:w="8768"/>
      </w:tblGrid>
      <w:tr w14:paraId="55AB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noWrap w:val="0"/>
            <w:vAlign w:val="top"/>
          </w:tcPr>
          <w:p w14:paraId="22D232A1">
            <w:pPr>
              <w:pStyle w:val="32"/>
              <w:spacing w:before="94" w:line="600" w:lineRule="auto"/>
              <w:ind w:left="181" w:right="68"/>
              <w:jc w:val="center"/>
              <w:rPr>
                <w:b/>
                <w:bCs/>
                <w:color w:val="auto"/>
                <w:sz w:val="21"/>
                <w:highlight w:val="none"/>
              </w:rPr>
            </w:pPr>
            <w:r>
              <w:rPr>
                <w:b/>
                <w:bCs/>
                <w:color w:val="auto"/>
                <w:sz w:val="21"/>
                <w:highlight w:val="none"/>
              </w:rPr>
              <w:t xml:space="preserve">序号 </w:t>
            </w:r>
          </w:p>
        </w:tc>
        <w:tc>
          <w:tcPr>
            <w:tcW w:w="8768" w:type="dxa"/>
            <w:noWrap w:val="0"/>
            <w:vAlign w:val="top"/>
          </w:tcPr>
          <w:p w14:paraId="6FA72E00">
            <w:pPr>
              <w:pStyle w:val="32"/>
              <w:spacing w:before="94" w:line="600" w:lineRule="auto"/>
              <w:ind w:right="4062" w:firstLine="3795" w:firstLineChars="1800"/>
              <w:jc w:val="both"/>
              <w:rPr>
                <w:b/>
                <w:bCs/>
                <w:color w:val="auto"/>
                <w:sz w:val="21"/>
                <w:highlight w:val="none"/>
              </w:rPr>
            </w:pPr>
            <w:r>
              <w:rPr>
                <w:rFonts w:hint="eastAsia"/>
                <w:b/>
                <w:bCs/>
                <w:color w:val="auto"/>
                <w:sz w:val="21"/>
                <w:highlight w:val="none"/>
                <w:lang w:val="en-US" w:eastAsia="zh-CN"/>
              </w:rPr>
              <w:t>评审</w:t>
            </w:r>
            <w:r>
              <w:rPr>
                <w:b/>
                <w:bCs/>
                <w:color w:val="auto"/>
                <w:sz w:val="21"/>
                <w:highlight w:val="none"/>
              </w:rPr>
              <w:t>内容</w:t>
            </w:r>
          </w:p>
        </w:tc>
      </w:tr>
      <w:tr w14:paraId="07FCE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822" w:type="dxa"/>
            <w:noWrap w:val="0"/>
            <w:vAlign w:val="top"/>
          </w:tcPr>
          <w:p w14:paraId="78130E6C">
            <w:pPr>
              <w:pStyle w:val="32"/>
              <w:spacing w:before="106" w:line="600" w:lineRule="auto"/>
              <w:ind w:left="10"/>
              <w:jc w:val="center"/>
              <w:rPr>
                <w:rFonts w:hint="eastAsia" w:ascii="Times New Roman" w:eastAsia="宋体"/>
                <w:color w:val="auto"/>
                <w:sz w:val="21"/>
                <w:highlight w:val="none"/>
                <w:lang w:eastAsia="zh-CN"/>
              </w:rPr>
            </w:pPr>
            <w:r>
              <w:rPr>
                <w:rFonts w:hint="eastAsia" w:ascii="Times New Roman"/>
                <w:color w:val="auto"/>
                <w:w w:val="100"/>
                <w:sz w:val="21"/>
                <w:highlight w:val="none"/>
                <w:lang w:val="en-US" w:eastAsia="zh-CN"/>
              </w:rPr>
              <w:t>1</w:t>
            </w:r>
          </w:p>
        </w:tc>
        <w:tc>
          <w:tcPr>
            <w:tcW w:w="8768" w:type="dxa"/>
            <w:noWrap w:val="0"/>
            <w:vAlign w:val="top"/>
          </w:tcPr>
          <w:p w14:paraId="74BEEB5D">
            <w:pPr>
              <w:pStyle w:val="44"/>
              <w:spacing w:before="122" w:line="219" w:lineRule="auto"/>
              <w:ind w:left="124" w:leftChars="0" w:right="0" w:rightChars="0"/>
              <w:rPr>
                <w:color w:val="auto"/>
                <w:sz w:val="21"/>
                <w:highlight w:val="none"/>
              </w:rPr>
            </w:pPr>
            <w:r>
              <w:rPr>
                <w:spacing w:val="-2"/>
                <w:sz w:val="21"/>
                <w:szCs w:val="21"/>
              </w:rPr>
              <w:t>响应文件的编制、签</w:t>
            </w:r>
            <w:r>
              <w:rPr>
                <w:rFonts w:hint="eastAsia"/>
                <w:spacing w:val="-2"/>
                <w:sz w:val="21"/>
                <w:szCs w:val="21"/>
                <w:lang w:val="en-US" w:eastAsia="zh-CN"/>
              </w:rPr>
              <w:t>字</w:t>
            </w:r>
            <w:r>
              <w:rPr>
                <w:spacing w:val="-2"/>
                <w:sz w:val="21"/>
                <w:szCs w:val="21"/>
              </w:rPr>
              <w:t>及盖章是否符合磋商文件的要求。</w:t>
            </w:r>
          </w:p>
        </w:tc>
      </w:tr>
      <w:tr w14:paraId="551F7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noWrap w:val="0"/>
            <w:vAlign w:val="top"/>
          </w:tcPr>
          <w:p w14:paraId="1C4182BC">
            <w:pPr>
              <w:pStyle w:val="32"/>
              <w:spacing w:before="106" w:line="600" w:lineRule="auto"/>
              <w:ind w:left="10"/>
              <w:jc w:val="center"/>
              <w:rPr>
                <w:rFonts w:hint="eastAsia" w:ascii="Times New Roman" w:eastAsia="宋体"/>
                <w:color w:val="auto"/>
                <w:sz w:val="21"/>
                <w:highlight w:val="none"/>
                <w:lang w:eastAsia="zh-CN"/>
              </w:rPr>
            </w:pPr>
            <w:r>
              <w:rPr>
                <w:rFonts w:hint="eastAsia" w:ascii="Times New Roman"/>
                <w:color w:val="auto"/>
                <w:w w:val="100"/>
                <w:sz w:val="21"/>
                <w:highlight w:val="none"/>
                <w:lang w:val="en-US" w:eastAsia="zh-CN"/>
              </w:rPr>
              <w:t>2</w:t>
            </w:r>
          </w:p>
        </w:tc>
        <w:tc>
          <w:tcPr>
            <w:tcW w:w="8768" w:type="dxa"/>
            <w:noWrap w:val="0"/>
            <w:vAlign w:val="top"/>
          </w:tcPr>
          <w:p w14:paraId="540C7D50">
            <w:pPr>
              <w:pStyle w:val="44"/>
              <w:spacing w:before="123" w:line="218" w:lineRule="auto"/>
              <w:ind w:left="113" w:leftChars="0" w:right="0" w:rightChars="0"/>
              <w:rPr>
                <w:color w:val="auto"/>
                <w:sz w:val="21"/>
                <w:highlight w:val="none"/>
              </w:rPr>
            </w:pPr>
            <w:r>
              <w:rPr>
                <w:spacing w:val="-1"/>
                <w:sz w:val="21"/>
                <w:szCs w:val="21"/>
              </w:rPr>
              <w:t>磋商报价（首次报价或最后报价）是否超过磋商文件中规定</w:t>
            </w:r>
            <w:r>
              <w:rPr>
                <w:spacing w:val="-2"/>
                <w:sz w:val="21"/>
                <w:szCs w:val="21"/>
              </w:rPr>
              <w:t>的控制价的。</w:t>
            </w:r>
          </w:p>
        </w:tc>
      </w:tr>
      <w:tr w14:paraId="227FC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noWrap w:val="0"/>
            <w:vAlign w:val="top"/>
          </w:tcPr>
          <w:p w14:paraId="16D018B5">
            <w:pPr>
              <w:pStyle w:val="32"/>
              <w:spacing w:before="106" w:line="600" w:lineRule="auto"/>
              <w:ind w:left="10"/>
              <w:jc w:val="center"/>
              <w:rPr>
                <w:rFonts w:hint="eastAsia" w:ascii="Times New Roman" w:eastAsia="宋体"/>
                <w:color w:val="auto"/>
                <w:sz w:val="21"/>
                <w:highlight w:val="none"/>
                <w:lang w:eastAsia="zh-CN"/>
              </w:rPr>
            </w:pPr>
            <w:r>
              <w:rPr>
                <w:rFonts w:hint="eastAsia" w:ascii="Times New Roman"/>
                <w:color w:val="auto"/>
                <w:w w:val="100"/>
                <w:sz w:val="21"/>
                <w:highlight w:val="none"/>
                <w:lang w:val="en-US" w:eastAsia="zh-CN"/>
              </w:rPr>
              <w:t>3</w:t>
            </w:r>
          </w:p>
        </w:tc>
        <w:tc>
          <w:tcPr>
            <w:tcW w:w="8768" w:type="dxa"/>
            <w:noWrap w:val="0"/>
            <w:vAlign w:val="top"/>
          </w:tcPr>
          <w:p w14:paraId="3F52E318">
            <w:pPr>
              <w:pStyle w:val="44"/>
              <w:spacing w:before="125" w:line="219" w:lineRule="auto"/>
              <w:ind w:left="124" w:leftChars="0" w:right="0" w:rightChars="0"/>
              <w:rPr>
                <w:color w:val="auto"/>
                <w:sz w:val="21"/>
                <w:highlight w:val="none"/>
              </w:rPr>
            </w:pPr>
            <w:r>
              <w:rPr>
                <w:spacing w:val="-3"/>
                <w:sz w:val="21"/>
                <w:szCs w:val="21"/>
              </w:rPr>
              <w:t>响应文件是否含有采购人不能接受的附加条件的。</w:t>
            </w:r>
          </w:p>
        </w:tc>
      </w:tr>
      <w:tr w14:paraId="2FD6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noWrap w:val="0"/>
            <w:vAlign w:val="top"/>
          </w:tcPr>
          <w:p w14:paraId="30505D47">
            <w:pPr>
              <w:pStyle w:val="32"/>
              <w:spacing w:before="106" w:line="600" w:lineRule="auto"/>
              <w:ind w:left="10"/>
              <w:jc w:val="center"/>
              <w:rPr>
                <w:rFonts w:hint="eastAsia" w:ascii="Times New Roman" w:eastAsia="宋体"/>
                <w:color w:val="auto"/>
                <w:sz w:val="21"/>
                <w:highlight w:val="none"/>
                <w:lang w:eastAsia="zh-CN"/>
              </w:rPr>
            </w:pPr>
            <w:r>
              <w:rPr>
                <w:rFonts w:hint="eastAsia" w:ascii="Times New Roman"/>
                <w:color w:val="auto"/>
                <w:w w:val="100"/>
                <w:sz w:val="21"/>
                <w:highlight w:val="none"/>
                <w:lang w:val="en-US" w:eastAsia="zh-CN"/>
              </w:rPr>
              <w:t>4</w:t>
            </w:r>
          </w:p>
        </w:tc>
        <w:tc>
          <w:tcPr>
            <w:tcW w:w="8768" w:type="dxa"/>
            <w:noWrap w:val="0"/>
            <w:vAlign w:val="top"/>
          </w:tcPr>
          <w:p w14:paraId="0494771A">
            <w:pPr>
              <w:pStyle w:val="44"/>
              <w:spacing w:before="124" w:line="220" w:lineRule="auto"/>
              <w:ind w:left="113" w:leftChars="0" w:right="0" w:rightChars="0"/>
              <w:rPr>
                <w:color w:val="auto"/>
                <w:sz w:val="21"/>
                <w:highlight w:val="none"/>
              </w:rPr>
            </w:pPr>
            <w:r>
              <w:rPr>
                <w:spacing w:val="-2"/>
                <w:sz w:val="21"/>
                <w:szCs w:val="21"/>
              </w:rPr>
              <w:t>磋商响应有效期是否满足磋商文件要求。</w:t>
            </w:r>
          </w:p>
        </w:tc>
      </w:tr>
      <w:tr w14:paraId="3FCD1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noWrap w:val="0"/>
            <w:vAlign w:val="top"/>
          </w:tcPr>
          <w:p w14:paraId="28FF3340">
            <w:pPr>
              <w:pStyle w:val="32"/>
              <w:spacing w:before="106" w:line="600" w:lineRule="auto"/>
              <w:ind w:left="10"/>
              <w:jc w:val="center"/>
              <w:rPr>
                <w:rFonts w:hint="eastAsia" w:ascii="Times New Roman" w:eastAsia="宋体"/>
                <w:color w:val="auto"/>
                <w:w w:val="100"/>
                <w:sz w:val="21"/>
                <w:highlight w:val="none"/>
                <w:lang w:val="en-US" w:eastAsia="zh-CN"/>
              </w:rPr>
            </w:pPr>
            <w:r>
              <w:rPr>
                <w:rFonts w:hint="eastAsia" w:ascii="Times New Roman"/>
                <w:color w:val="auto"/>
                <w:w w:val="100"/>
                <w:sz w:val="21"/>
                <w:highlight w:val="none"/>
                <w:lang w:val="en-US" w:eastAsia="zh-CN"/>
              </w:rPr>
              <w:t>5</w:t>
            </w:r>
          </w:p>
        </w:tc>
        <w:tc>
          <w:tcPr>
            <w:tcW w:w="8768" w:type="dxa"/>
            <w:noWrap w:val="0"/>
            <w:vAlign w:val="top"/>
          </w:tcPr>
          <w:p w14:paraId="3F0E16C6">
            <w:pPr>
              <w:pStyle w:val="44"/>
              <w:spacing w:before="126" w:line="682" w:lineRule="exact"/>
              <w:ind w:left="113"/>
              <w:rPr>
                <w:sz w:val="21"/>
                <w:szCs w:val="21"/>
              </w:rPr>
            </w:pPr>
            <w:r>
              <w:rPr>
                <w:position w:val="37"/>
                <w:sz w:val="21"/>
                <w:szCs w:val="21"/>
              </w:rPr>
              <w:t>施工招标项目工程量清单封面需有</w:t>
            </w:r>
            <w:r>
              <w:rPr>
                <w:rFonts w:hint="eastAsia"/>
                <w:position w:val="37"/>
                <w:sz w:val="21"/>
                <w:szCs w:val="21"/>
                <w:lang w:val="en-US" w:eastAsia="zh-CN"/>
              </w:rPr>
              <w:t>注册造价师</w:t>
            </w:r>
            <w:r>
              <w:rPr>
                <w:spacing w:val="-1"/>
                <w:position w:val="37"/>
                <w:sz w:val="21"/>
                <w:szCs w:val="21"/>
              </w:rPr>
              <w:t>签字和印章</w:t>
            </w:r>
          </w:p>
          <w:p w14:paraId="6756A3A1">
            <w:pPr>
              <w:pStyle w:val="44"/>
              <w:spacing w:before="1" w:line="218" w:lineRule="auto"/>
              <w:ind w:left="119" w:leftChars="0" w:right="0" w:rightChars="0"/>
              <w:rPr>
                <w:rFonts w:hint="default" w:eastAsia="宋体"/>
                <w:color w:val="auto"/>
                <w:sz w:val="21"/>
                <w:highlight w:val="none"/>
                <w:lang w:val="en-US" w:eastAsia="zh-CN"/>
              </w:rPr>
            </w:pPr>
            <w:r>
              <w:rPr>
                <w:spacing w:val="-2"/>
                <w:sz w:val="21"/>
                <w:szCs w:val="21"/>
              </w:rPr>
              <w:t>（由</w:t>
            </w:r>
            <w:r>
              <w:rPr>
                <w:rFonts w:hint="eastAsia"/>
                <w:spacing w:val="-2"/>
                <w:sz w:val="21"/>
                <w:szCs w:val="21"/>
                <w:lang w:val="en-US" w:eastAsia="zh-CN"/>
              </w:rPr>
              <w:t>注册造价工程师</w:t>
            </w:r>
            <w:r>
              <w:rPr>
                <w:spacing w:val="-2"/>
                <w:sz w:val="21"/>
                <w:szCs w:val="21"/>
              </w:rPr>
              <w:t>在工程量清单封面签字并加盖执业</w:t>
            </w:r>
            <w:r>
              <w:rPr>
                <w:color w:val="auto"/>
                <w:spacing w:val="-2"/>
                <w:sz w:val="21"/>
                <w:szCs w:val="21"/>
              </w:rPr>
              <w:t>印章</w:t>
            </w:r>
            <w:r>
              <w:rPr>
                <w:color w:val="auto"/>
                <w:spacing w:val="-2"/>
              </w:rPr>
              <w:t>）</w:t>
            </w:r>
            <w:r>
              <w:rPr>
                <w:color w:val="auto"/>
                <w:spacing w:val="-2"/>
                <w:sz w:val="21"/>
                <w:szCs w:val="21"/>
              </w:rPr>
              <w:t>。</w:t>
            </w:r>
          </w:p>
        </w:tc>
      </w:tr>
      <w:tr w14:paraId="607AD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noWrap w:val="0"/>
            <w:vAlign w:val="top"/>
          </w:tcPr>
          <w:p w14:paraId="1556B8B7">
            <w:pPr>
              <w:pStyle w:val="32"/>
              <w:spacing w:before="106" w:line="600" w:lineRule="auto"/>
              <w:ind w:left="10"/>
              <w:jc w:val="center"/>
              <w:rPr>
                <w:rFonts w:hint="eastAsia" w:ascii="Times New Roman" w:eastAsia="宋体"/>
                <w:color w:val="auto"/>
                <w:sz w:val="21"/>
                <w:highlight w:val="none"/>
                <w:lang w:eastAsia="zh-CN"/>
              </w:rPr>
            </w:pPr>
            <w:r>
              <w:rPr>
                <w:rFonts w:hint="eastAsia" w:ascii="Times New Roman"/>
                <w:color w:val="auto"/>
                <w:w w:val="100"/>
                <w:sz w:val="21"/>
                <w:highlight w:val="none"/>
                <w:lang w:val="en-US" w:eastAsia="zh-CN"/>
              </w:rPr>
              <w:t>6</w:t>
            </w:r>
          </w:p>
        </w:tc>
        <w:tc>
          <w:tcPr>
            <w:tcW w:w="8768" w:type="dxa"/>
            <w:noWrap w:val="0"/>
            <w:vAlign w:val="top"/>
          </w:tcPr>
          <w:p w14:paraId="72EA70F4">
            <w:pPr>
              <w:pStyle w:val="44"/>
              <w:spacing w:before="127" w:line="220" w:lineRule="auto"/>
              <w:ind w:left="124"/>
              <w:rPr>
                <w:sz w:val="21"/>
                <w:szCs w:val="21"/>
              </w:rPr>
            </w:pPr>
            <w:r>
              <w:rPr>
                <w:sz w:val="21"/>
                <w:szCs w:val="21"/>
              </w:rPr>
              <w:t>响应文件是否完全满足磋商文件的实质性条款（</w:t>
            </w:r>
            <w:r>
              <w:rPr>
                <w:spacing w:val="-1"/>
                <w:sz w:val="21"/>
                <w:szCs w:val="21"/>
              </w:rPr>
              <w:t>即标注★部分条款）且无负偏离的。（包括计</w:t>
            </w:r>
          </w:p>
          <w:p w14:paraId="3F7F7144">
            <w:pPr>
              <w:spacing w:line="360" w:lineRule="auto"/>
              <w:rPr>
                <w:rFonts w:ascii="Arial"/>
                <w:sz w:val="21"/>
              </w:rPr>
            </w:pPr>
          </w:p>
          <w:p w14:paraId="41DBA5FB">
            <w:pPr>
              <w:pStyle w:val="44"/>
              <w:spacing w:before="68" w:line="220" w:lineRule="auto"/>
              <w:ind w:left="113" w:leftChars="0" w:right="0" w:rightChars="0"/>
              <w:rPr>
                <w:color w:val="auto"/>
                <w:sz w:val="21"/>
                <w:highlight w:val="none"/>
              </w:rPr>
            </w:pPr>
            <w:r>
              <w:rPr>
                <w:spacing w:val="-1"/>
                <w:sz w:val="21"/>
                <w:szCs w:val="21"/>
              </w:rPr>
              <w:t>划工期符合招标文件规定、投标范围及内容符合招标文件规定）</w:t>
            </w:r>
          </w:p>
        </w:tc>
      </w:tr>
      <w:tr w14:paraId="6772A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22" w:type="dxa"/>
            <w:noWrap w:val="0"/>
            <w:vAlign w:val="top"/>
          </w:tcPr>
          <w:p w14:paraId="60FA2846">
            <w:pPr>
              <w:pStyle w:val="32"/>
              <w:spacing w:before="113" w:line="600" w:lineRule="auto"/>
              <w:ind w:left="10"/>
              <w:jc w:val="center"/>
              <w:rPr>
                <w:rFonts w:hint="eastAsia" w:ascii="Times New Roman" w:eastAsia="宋体"/>
                <w:color w:val="auto"/>
                <w:sz w:val="21"/>
                <w:highlight w:val="none"/>
                <w:lang w:eastAsia="zh-CN"/>
              </w:rPr>
            </w:pPr>
            <w:r>
              <w:rPr>
                <w:rFonts w:hint="eastAsia" w:ascii="Times New Roman"/>
                <w:color w:val="auto"/>
                <w:w w:val="100"/>
                <w:sz w:val="21"/>
                <w:highlight w:val="none"/>
                <w:lang w:val="en-US" w:eastAsia="zh-CN"/>
              </w:rPr>
              <w:t>7</w:t>
            </w:r>
          </w:p>
        </w:tc>
        <w:tc>
          <w:tcPr>
            <w:tcW w:w="8768" w:type="dxa"/>
            <w:noWrap w:val="0"/>
            <w:vAlign w:val="top"/>
          </w:tcPr>
          <w:p w14:paraId="2F276357">
            <w:pPr>
              <w:pStyle w:val="44"/>
              <w:spacing w:before="134" w:line="220" w:lineRule="auto"/>
              <w:ind w:left="124" w:leftChars="0" w:right="0" w:rightChars="0"/>
              <w:rPr>
                <w:color w:val="auto"/>
                <w:sz w:val="21"/>
                <w:highlight w:val="none"/>
              </w:rPr>
            </w:pPr>
            <w:r>
              <w:rPr>
                <w:spacing w:val="-2"/>
                <w:sz w:val="21"/>
                <w:szCs w:val="21"/>
              </w:rPr>
              <w:t>响应文件是否存在法律、法规和磋商文件规定的其他无效情形。</w:t>
            </w:r>
          </w:p>
        </w:tc>
      </w:tr>
      <w:tr w14:paraId="615A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9590" w:type="dxa"/>
            <w:gridSpan w:val="2"/>
            <w:noWrap w:val="0"/>
            <w:vAlign w:val="top"/>
          </w:tcPr>
          <w:p w14:paraId="62FF74E7">
            <w:pPr>
              <w:pStyle w:val="32"/>
              <w:spacing w:before="94" w:line="600" w:lineRule="auto"/>
              <w:ind w:left="107"/>
              <w:rPr>
                <w:color w:val="auto"/>
                <w:sz w:val="21"/>
                <w:highlight w:val="none"/>
              </w:rPr>
            </w:pPr>
            <w:r>
              <w:rPr>
                <w:b/>
                <w:bCs/>
                <w:color w:val="auto"/>
                <w:sz w:val="21"/>
                <w:highlight w:val="none"/>
              </w:rPr>
              <w:t xml:space="preserve">说明：供应商必须满足符合性审查表内所有条款，否则被认定为无效响应。 </w:t>
            </w:r>
          </w:p>
        </w:tc>
      </w:tr>
    </w:tbl>
    <w:p w14:paraId="2A401316">
      <w:pPr>
        <w:pStyle w:val="7"/>
        <w:ind w:left="0" w:leftChars="0" w:firstLine="0" w:firstLineChars="0"/>
        <w:rPr>
          <w:rFonts w:hint="eastAsia" w:ascii="宋体" w:hAnsi="宋体" w:eastAsia="宋体" w:cs="宋体"/>
          <w:b/>
          <w:bCs/>
          <w:color w:val="auto"/>
          <w:sz w:val="30"/>
          <w:szCs w:val="30"/>
          <w:highlight w:val="none"/>
          <w:lang w:val="en-US" w:eastAsia="zh-CN"/>
        </w:rPr>
      </w:pPr>
    </w:p>
    <w:p w14:paraId="1CA10C42">
      <w:pPr>
        <w:rPr>
          <w:rFonts w:hint="eastAsia"/>
          <w:color w:val="auto"/>
          <w:highlight w:val="none"/>
          <w:lang w:val="en-US" w:eastAsia="zh-CN"/>
        </w:rPr>
      </w:pPr>
    </w:p>
    <w:p w14:paraId="34EB608D">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30"/>
          <w:szCs w:val="30"/>
          <w:highlight w:val="none"/>
          <w:lang w:val="en-US" w:eastAsia="zh-CN"/>
        </w:rPr>
      </w:pPr>
    </w:p>
    <w:p w14:paraId="29D7D6A8">
      <w:pPr>
        <w:pStyle w:val="18"/>
        <w:rPr>
          <w:rFonts w:hint="eastAsia" w:ascii="宋体" w:hAnsi="宋体" w:eastAsia="宋体" w:cs="宋体"/>
          <w:b/>
          <w:bCs/>
          <w:color w:val="auto"/>
          <w:sz w:val="30"/>
          <w:szCs w:val="30"/>
          <w:highlight w:val="none"/>
          <w:lang w:val="en-US" w:eastAsia="zh-CN"/>
        </w:rPr>
      </w:pPr>
    </w:p>
    <w:p w14:paraId="672496DD">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30"/>
          <w:szCs w:val="30"/>
          <w:highlight w:val="none"/>
          <w:lang w:val="en-US" w:eastAsia="zh-CN"/>
        </w:rPr>
        <w:br w:type="page"/>
      </w:r>
      <w:r>
        <w:rPr>
          <w:rFonts w:hint="eastAsia" w:cs="宋体"/>
          <w:b/>
          <w:bCs/>
          <w:color w:val="auto"/>
          <w:sz w:val="30"/>
          <w:szCs w:val="30"/>
          <w:highlight w:val="none"/>
          <w:lang w:val="en-US" w:eastAsia="zh-CN"/>
        </w:rPr>
        <w:t>39</w:t>
      </w:r>
      <w:r>
        <w:rPr>
          <w:rFonts w:hint="eastAsia" w:ascii="宋体" w:hAnsi="宋体" w:eastAsia="宋体" w:cs="宋体"/>
          <w:b/>
          <w:bCs/>
          <w:color w:val="auto"/>
          <w:sz w:val="30"/>
          <w:szCs w:val="30"/>
          <w:highlight w:val="none"/>
          <w:lang w:val="en-US" w:eastAsia="zh-CN"/>
        </w:rPr>
        <w:t xml:space="preserve"> 评分标准</w:t>
      </w:r>
      <w:r>
        <w:rPr>
          <w:rFonts w:hint="eastAsia" w:ascii="宋体" w:hAnsi="宋体" w:eastAsia="宋体" w:cs="宋体"/>
          <w:color w:val="auto"/>
          <w:sz w:val="24"/>
          <w:szCs w:val="24"/>
          <w:highlight w:val="none"/>
        </w:rPr>
        <w:t xml:space="preserve"> </w:t>
      </w:r>
    </w:p>
    <w:p w14:paraId="7288C31A">
      <w:pPr>
        <w:pStyle w:val="40"/>
        <w:shd w:val="clear" w:color="auto" w:fill="FFFFFF"/>
        <w:spacing w:line="44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满足招磋商文件要求且最后投标价格最</w:t>
      </w:r>
      <w:r>
        <w:rPr>
          <w:rFonts w:hint="eastAsia" w:asciiTheme="minorEastAsia" w:hAnsiTheme="minorEastAsia" w:eastAsiaTheme="minorEastAsia" w:cstheme="minorEastAsia"/>
          <w:color w:val="000000" w:themeColor="text1"/>
          <w:sz w:val="24"/>
          <w:szCs w:val="24"/>
          <w14:textFill>
            <w14:solidFill>
              <w14:schemeClr w14:val="tx1"/>
            </w14:solidFill>
          </w14:textFill>
        </w:rPr>
        <w:t>低的投标报价为磋商基准价，磋商报价得分=（磋商基准价／最后磋商报价）×价格权值×100，计算分数时四舍五入取小数点后两位。【说明：</w:t>
      </w:r>
      <w:r>
        <w:rPr>
          <w:rFonts w:hint="eastAsia" w:asciiTheme="minorEastAsia" w:hAnsiTheme="minorEastAsia" w:eastAsiaTheme="minorEastAsia" w:cstheme="minorEastAsia"/>
          <w:b/>
          <w:color w:val="000000" w:themeColor="text1"/>
          <w:sz w:val="24"/>
          <w:szCs w:val="24"/>
          <w14:textFill>
            <w14:solidFill>
              <w14:schemeClr w14:val="tx1"/>
            </w14:solidFill>
          </w14:textFill>
        </w:rPr>
        <w:t>商务标部分满分</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13</w:t>
      </w:r>
      <w:r>
        <w:rPr>
          <w:rFonts w:hint="eastAsia" w:asciiTheme="minorEastAsia" w:hAnsiTheme="minorEastAsia" w:eastAsiaTheme="minorEastAsia" w:cstheme="minorEastAsia"/>
          <w:b/>
          <w:color w:val="000000" w:themeColor="text1"/>
          <w:sz w:val="24"/>
          <w:szCs w:val="24"/>
          <w14:textFill>
            <w14:solidFill>
              <w14:schemeClr w14:val="tx1"/>
            </w14:solidFill>
          </w14:textFill>
        </w:rPr>
        <w:t>分，技术标部分满分</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57</w:t>
      </w:r>
      <w:r>
        <w:rPr>
          <w:rFonts w:hint="eastAsia" w:asciiTheme="minorEastAsia" w:hAnsiTheme="minorEastAsia" w:eastAsiaTheme="minorEastAsia" w:cstheme="minorEastAsia"/>
          <w:b/>
          <w:color w:val="000000" w:themeColor="text1"/>
          <w:sz w:val="24"/>
          <w:szCs w:val="24"/>
          <w14:textFill>
            <w14:solidFill>
              <w14:schemeClr w14:val="tx1"/>
            </w14:solidFill>
          </w14:textFill>
        </w:rPr>
        <w:t>分，经济标部分满分</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b/>
          <w:color w:val="000000" w:themeColor="text1"/>
          <w:sz w:val="24"/>
          <w:szCs w:val="24"/>
          <w14:textFill>
            <w14:solidFill>
              <w14:schemeClr w14:val="tx1"/>
            </w14:solidFill>
          </w14:textFill>
        </w:rPr>
        <w:t>0分</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4A21A6C5">
      <w:pPr>
        <w:spacing w:line="53" w:lineRule="auto"/>
        <w:rPr>
          <w:rFonts w:hint="eastAsia" w:asciiTheme="minorEastAsia" w:hAnsiTheme="minorEastAsia" w:eastAsiaTheme="minorEastAsia" w:cstheme="minorEastAsia"/>
          <w:color w:val="000000" w:themeColor="text1"/>
          <w:sz w:val="2"/>
          <w14:textFill>
            <w14:solidFill>
              <w14:schemeClr w14:val="tx1"/>
            </w14:solidFill>
          </w14:textFill>
        </w:rPr>
      </w:pPr>
    </w:p>
    <w:tbl>
      <w:tblPr>
        <w:tblStyle w:val="45"/>
        <w:tblW w:w="99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1315"/>
        <w:gridCol w:w="6761"/>
        <w:gridCol w:w="858"/>
      </w:tblGrid>
      <w:tr w14:paraId="128FA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996" w:type="dxa"/>
            <w:vAlign w:val="center"/>
          </w:tcPr>
          <w:p w14:paraId="40207BED">
            <w:pPr>
              <w:pStyle w:val="44"/>
              <w:spacing w:before="291" w:line="222" w:lineRule="auto"/>
              <w:ind w:left="32"/>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pacing w:val="-5"/>
                <w14:textFill>
                  <w14:solidFill>
                    <w14:schemeClr w14:val="tx1"/>
                  </w14:solidFill>
                </w14:textFill>
              </w:rPr>
              <w:t>评分项目</w:t>
            </w:r>
          </w:p>
        </w:tc>
        <w:tc>
          <w:tcPr>
            <w:tcW w:w="1315" w:type="dxa"/>
            <w:vAlign w:val="center"/>
          </w:tcPr>
          <w:p w14:paraId="425DFE48">
            <w:pPr>
              <w:pStyle w:val="44"/>
              <w:spacing w:before="243" w:line="222" w:lineRule="auto"/>
              <w:ind w:left="191"/>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pacing w:val="-5"/>
                <w14:textFill>
                  <w14:solidFill>
                    <w14:schemeClr w14:val="tx1"/>
                  </w14:solidFill>
                </w14:textFill>
              </w:rPr>
              <w:t>评分因素</w:t>
            </w:r>
          </w:p>
        </w:tc>
        <w:tc>
          <w:tcPr>
            <w:tcW w:w="6761" w:type="dxa"/>
            <w:vAlign w:val="top"/>
          </w:tcPr>
          <w:p w14:paraId="34772D35">
            <w:pPr>
              <w:pStyle w:val="44"/>
              <w:spacing w:before="243" w:line="222" w:lineRule="auto"/>
              <w:ind w:left="2915"/>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pacing w:val="-5"/>
                <w14:textFill>
                  <w14:solidFill>
                    <w14:schemeClr w14:val="tx1"/>
                  </w14:solidFill>
                </w14:textFill>
              </w:rPr>
              <w:t>评审内容</w:t>
            </w:r>
          </w:p>
        </w:tc>
        <w:tc>
          <w:tcPr>
            <w:tcW w:w="858" w:type="dxa"/>
            <w:vAlign w:val="top"/>
          </w:tcPr>
          <w:p w14:paraId="2AE89AFE">
            <w:pPr>
              <w:pStyle w:val="44"/>
              <w:spacing w:before="243" w:line="223" w:lineRule="auto"/>
              <w:ind w:left="205"/>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pacing w:val="-10"/>
                <w14:textFill>
                  <w14:solidFill>
                    <w14:schemeClr w14:val="tx1"/>
                  </w14:solidFill>
                </w14:textFill>
              </w:rPr>
              <w:t>分值</w:t>
            </w:r>
          </w:p>
        </w:tc>
      </w:tr>
      <w:tr w14:paraId="4A46C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4" w:hRule="atLeast"/>
        </w:trPr>
        <w:tc>
          <w:tcPr>
            <w:tcW w:w="996" w:type="dxa"/>
            <w:vAlign w:val="center"/>
          </w:tcPr>
          <w:p w14:paraId="090EC049">
            <w:pPr>
              <w:spacing w:line="260" w:lineRule="auto"/>
              <w:jc w:val="both"/>
              <w:rPr>
                <w:rFonts w:hint="eastAsia" w:asciiTheme="minorEastAsia" w:hAnsiTheme="minorEastAsia" w:eastAsiaTheme="minorEastAsia" w:cstheme="minorEastAsia"/>
                <w:sz w:val="21"/>
              </w:rPr>
            </w:pPr>
          </w:p>
          <w:p w14:paraId="63D94094">
            <w:pPr>
              <w:pStyle w:val="44"/>
              <w:spacing w:before="78" w:line="232" w:lineRule="auto"/>
              <w:ind w:left="36" w:right="15" w:hanging="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价格部分</w:t>
            </w:r>
            <w:r>
              <w:rPr>
                <w:rFonts w:hint="eastAsia" w:asciiTheme="minorEastAsia" w:hAnsiTheme="minorEastAsia" w:eastAsiaTheme="minorEastAsia" w:cstheme="minorEastAsia"/>
                <w:spacing w:val="2"/>
              </w:rPr>
              <w:t xml:space="preserve"> </w:t>
            </w:r>
            <w:r>
              <w:rPr>
                <w:rFonts w:hint="eastAsia" w:asciiTheme="minorEastAsia" w:hAnsiTheme="minorEastAsia" w:eastAsiaTheme="minorEastAsia" w:cstheme="minorEastAsia"/>
                <w:spacing w:val="-5"/>
              </w:rPr>
              <w:t>（30分）</w:t>
            </w:r>
          </w:p>
        </w:tc>
        <w:tc>
          <w:tcPr>
            <w:tcW w:w="1315" w:type="dxa"/>
            <w:vAlign w:val="center"/>
          </w:tcPr>
          <w:p w14:paraId="3D465ED7">
            <w:pPr>
              <w:spacing w:line="312" w:lineRule="auto"/>
              <w:jc w:val="both"/>
              <w:rPr>
                <w:rFonts w:hint="eastAsia" w:asciiTheme="minorEastAsia" w:hAnsiTheme="minorEastAsia" w:eastAsiaTheme="minorEastAsia" w:cstheme="minorEastAsia"/>
                <w:sz w:val="21"/>
              </w:rPr>
            </w:pPr>
          </w:p>
          <w:p w14:paraId="3DDC4DAA">
            <w:pPr>
              <w:pStyle w:val="44"/>
              <w:spacing w:before="78" w:line="222" w:lineRule="auto"/>
              <w:ind w:left="189"/>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磋商报价</w:t>
            </w:r>
          </w:p>
        </w:tc>
        <w:tc>
          <w:tcPr>
            <w:tcW w:w="6761" w:type="dxa"/>
            <w:vAlign w:val="top"/>
          </w:tcPr>
          <w:p w14:paraId="6876ACB3">
            <w:pPr>
              <w:pStyle w:val="44"/>
              <w:spacing w:before="34" w:line="235" w:lineRule="auto"/>
              <w:ind w:left="16" w:firstLine="3"/>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综合评分法中的价格分统一采用低价优先法计算，即满足磋商文件要求（通过资格、符合性审查）且最后报价最低的供应商的价格（指价格核准后的价格，下同）为磋商基准价，其价格得分为</w:t>
            </w:r>
            <w:r>
              <w:rPr>
                <w:rFonts w:hint="eastAsia" w:asciiTheme="minorEastAsia" w:hAnsiTheme="minorEastAsia" w:eastAsiaTheme="minorEastAsia" w:cstheme="minorEastAsia"/>
                <w:spacing w:val="-1"/>
              </w:rPr>
              <w:t>满分。其他供应商的价格得分统一按照下列公式计算：</w:t>
            </w:r>
          </w:p>
          <w:p w14:paraId="7AD5C0C3">
            <w:pPr>
              <w:pStyle w:val="44"/>
              <w:spacing w:before="24" w:line="231" w:lineRule="auto"/>
              <w:ind w:left="18" w:right="154" w:hanging="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磋商基准价=满足磋商文件要求（通过资格、符合性审查）且最后报价最低的供应商的价格（指价格核准后的价格，下同）</w:t>
            </w:r>
          </w:p>
          <w:p w14:paraId="565AC0BD">
            <w:pPr>
              <w:pStyle w:val="44"/>
              <w:spacing w:before="20" w:line="222" w:lineRule="auto"/>
              <w:ind w:left="16"/>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磋商报价得分=(磋商基准价/最后磋商报价)×价格权重×</w:t>
            </w:r>
            <w:r>
              <w:rPr>
                <w:rFonts w:hint="eastAsia" w:asciiTheme="minorEastAsia" w:hAnsiTheme="minorEastAsia" w:eastAsiaTheme="minorEastAsia" w:cstheme="minorEastAsia"/>
                <w:spacing w:val="-77"/>
              </w:rPr>
              <w:t xml:space="preserve"> </w:t>
            </w:r>
            <w:r>
              <w:rPr>
                <w:rFonts w:hint="eastAsia" w:asciiTheme="minorEastAsia" w:hAnsiTheme="minorEastAsia" w:eastAsiaTheme="minorEastAsia" w:cstheme="minorEastAsia"/>
                <w:spacing w:val="-2"/>
              </w:rPr>
              <w:t>100</w:t>
            </w:r>
          </w:p>
        </w:tc>
        <w:tc>
          <w:tcPr>
            <w:tcW w:w="858" w:type="dxa"/>
            <w:vAlign w:val="top"/>
          </w:tcPr>
          <w:p w14:paraId="1217A1EA">
            <w:pPr>
              <w:spacing w:line="282" w:lineRule="auto"/>
              <w:jc w:val="both"/>
              <w:rPr>
                <w:rFonts w:hint="eastAsia" w:asciiTheme="minorEastAsia" w:hAnsiTheme="minorEastAsia" w:eastAsiaTheme="minorEastAsia" w:cstheme="minorEastAsia"/>
                <w:sz w:val="21"/>
              </w:rPr>
            </w:pPr>
          </w:p>
          <w:p w14:paraId="1668B27C">
            <w:pPr>
              <w:spacing w:line="283" w:lineRule="auto"/>
              <w:jc w:val="both"/>
              <w:rPr>
                <w:rFonts w:hint="eastAsia" w:asciiTheme="minorEastAsia" w:hAnsiTheme="minorEastAsia" w:eastAsiaTheme="minorEastAsia" w:cstheme="minorEastAsia"/>
                <w:sz w:val="21"/>
              </w:rPr>
            </w:pPr>
          </w:p>
          <w:p w14:paraId="13C61993">
            <w:pPr>
              <w:spacing w:line="283" w:lineRule="auto"/>
              <w:jc w:val="both"/>
              <w:rPr>
                <w:rFonts w:hint="eastAsia" w:asciiTheme="minorEastAsia" w:hAnsiTheme="minorEastAsia" w:eastAsiaTheme="minorEastAsia" w:cstheme="minorEastAsia"/>
                <w:sz w:val="21"/>
              </w:rPr>
            </w:pPr>
          </w:p>
          <w:p w14:paraId="1DB31B2D">
            <w:pPr>
              <w:spacing w:line="283" w:lineRule="auto"/>
              <w:jc w:val="both"/>
              <w:rPr>
                <w:rFonts w:hint="eastAsia" w:asciiTheme="minorEastAsia" w:hAnsiTheme="minorEastAsia" w:eastAsiaTheme="minorEastAsia" w:cstheme="minorEastAsia"/>
                <w:sz w:val="21"/>
              </w:rPr>
            </w:pPr>
          </w:p>
          <w:p w14:paraId="42F0A5AD">
            <w:pPr>
              <w:pStyle w:val="44"/>
              <w:spacing w:before="78" w:line="180" w:lineRule="auto"/>
              <w:ind w:left="319"/>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30</w:t>
            </w:r>
          </w:p>
        </w:tc>
      </w:tr>
      <w:tr w14:paraId="76844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996" w:type="dxa"/>
            <w:vMerge w:val="restart"/>
            <w:tcBorders>
              <w:bottom w:val="nil"/>
            </w:tcBorders>
            <w:vAlign w:val="center"/>
          </w:tcPr>
          <w:p w14:paraId="2AAC249A">
            <w:pPr>
              <w:spacing w:line="257" w:lineRule="auto"/>
              <w:jc w:val="center"/>
              <w:rPr>
                <w:rFonts w:hint="eastAsia" w:asciiTheme="minorEastAsia" w:hAnsiTheme="minorEastAsia" w:eastAsiaTheme="minorEastAsia" w:cstheme="minorEastAsia"/>
                <w:sz w:val="21"/>
              </w:rPr>
            </w:pPr>
          </w:p>
          <w:p w14:paraId="1F2D0FBB">
            <w:pPr>
              <w:spacing w:line="257" w:lineRule="auto"/>
              <w:jc w:val="center"/>
              <w:rPr>
                <w:rFonts w:hint="eastAsia" w:asciiTheme="minorEastAsia" w:hAnsiTheme="minorEastAsia" w:eastAsiaTheme="minorEastAsia" w:cstheme="minorEastAsia"/>
                <w:sz w:val="21"/>
              </w:rPr>
            </w:pPr>
          </w:p>
          <w:p w14:paraId="0E844D6B">
            <w:pPr>
              <w:pStyle w:val="44"/>
              <w:spacing w:before="78" w:line="231" w:lineRule="auto"/>
              <w:ind w:right="15"/>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商务部分</w:t>
            </w:r>
            <w:r>
              <w:rPr>
                <w:rFonts w:hint="eastAsia" w:asciiTheme="minorEastAsia" w:hAnsiTheme="minorEastAsia" w:eastAsiaTheme="minorEastAsia" w:cstheme="minorEastAsia"/>
                <w:spacing w:val="2"/>
              </w:rPr>
              <w:t xml:space="preserve"> </w:t>
            </w:r>
            <w:r>
              <w:rPr>
                <w:rFonts w:hint="eastAsia" w:asciiTheme="minorEastAsia" w:hAnsiTheme="minorEastAsia" w:eastAsiaTheme="minorEastAsia" w:cstheme="minorEastAsia"/>
                <w:spacing w:val="-5"/>
              </w:rPr>
              <w:t>（</w:t>
            </w:r>
            <w:r>
              <w:rPr>
                <w:rFonts w:hint="eastAsia" w:asciiTheme="minorEastAsia" w:hAnsiTheme="minorEastAsia" w:eastAsiaTheme="minorEastAsia" w:cstheme="minorEastAsia"/>
                <w:spacing w:val="-5"/>
                <w:lang w:val="en-US" w:eastAsia="zh-CN"/>
              </w:rPr>
              <w:t>13</w:t>
            </w:r>
            <w:r>
              <w:rPr>
                <w:rFonts w:hint="eastAsia" w:asciiTheme="minorEastAsia" w:hAnsiTheme="minorEastAsia" w:eastAsiaTheme="minorEastAsia" w:cstheme="minorEastAsia"/>
                <w:spacing w:val="-5"/>
              </w:rPr>
              <w:t>分）</w:t>
            </w:r>
          </w:p>
        </w:tc>
        <w:tc>
          <w:tcPr>
            <w:tcW w:w="1315" w:type="dxa"/>
            <w:vAlign w:val="center"/>
          </w:tcPr>
          <w:p w14:paraId="05D7A9EE">
            <w:pPr>
              <w:pStyle w:val="44"/>
              <w:spacing w:before="113" w:line="231" w:lineRule="auto"/>
              <w:ind w:left="89" w:right="55" w:hanging="17"/>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lang w:val="en-US" w:eastAsia="zh-CN"/>
              </w:rPr>
              <w:t>项目</w:t>
            </w:r>
            <w:r>
              <w:rPr>
                <w:rFonts w:hint="eastAsia" w:asciiTheme="minorEastAsia" w:hAnsiTheme="minorEastAsia" w:eastAsiaTheme="minorEastAsia" w:cstheme="minorEastAsia"/>
                <w:spacing w:val="-4"/>
              </w:rPr>
              <w:t>主要人</w:t>
            </w:r>
            <w:r>
              <w:rPr>
                <w:rFonts w:hint="eastAsia" w:asciiTheme="minorEastAsia" w:hAnsiTheme="minorEastAsia" w:eastAsiaTheme="minorEastAsia" w:cstheme="minorEastAsia"/>
                <w:spacing w:val="1"/>
              </w:rPr>
              <w:t xml:space="preserve"> </w:t>
            </w:r>
            <w:r>
              <w:rPr>
                <w:rFonts w:hint="eastAsia" w:asciiTheme="minorEastAsia" w:hAnsiTheme="minorEastAsia" w:eastAsiaTheme="minorEastAsia" w:cstheme="minorEastAsia"/>
                <w:spacing w:val="-7"/>
              </w:rPr>
              <w:t>员配置情况</w:t>
            </w:r>
          </w:p>
        </w:tc>
        <w:tc>
          <w:tcPr>
            <w:tcW w:w="6761" w:type="dxa"/>
            <w:vAlign w:val="top"/>
          </w:tcPr>
          <w:p w14:paraId="13ABE480">
            <w:pPr>
              <w:pStyle w:val="44"/>
              <w:spacing w:before="34" w:line="235" w:lineRule="auto"/>
              <w:ind w:left="16" w:firstLine="3"/>
              <w:jc w:val="both"/>
              <w:rPr>
                <w:rFonts w:hint="eastAsia" w:asciiTheme="minorEastAsia" w:hAnsiTheme="minorEastAsia" w:eastAsiaTheme="minorEastAsia" w:cstheme="minorEastAsia"/>
                <w:sz w:val="22"/>
                <w:szCs w:val="22"/>
                <w:lang w:val="en-US" w:eastAsia="zh-CN" w:bidi="ar-SA"/>
              </w:rPr>
            </w:pPr>
            <w:r>
              <w:rPr>
                <w:rFonts w:hint="eastAsia" w:asciiTheme="minorEastAsia" w:hAnsiTheme="minorEastAsia" w:eastAsiaTheme="minorEastAsia" w:cstheme="minorEastAsia"/>
                <w:sz w:val="22"/>
                <w:szCs w:val="22"/>
                <w:lang w:val="en-US" w:eastAsia="zh-CN" w:bidi="ar-SA"/>
              </w:rPr>
              <w:t>技术负责人</w:t>
            </w:r>
            <w:r>
              <w:rPr>
                <w:rFonts w:hint="eastAsia" w:asciiTheme="minorEastAsia" w:hAnsiTheme="minorEastAsia" w:eastAsiaTheme="minorEastAsia" w:cstheme="minorEastAsia"/>
                <w:sz w:val="22"/>
                <w:szCs w:val="22"/>
                <w:lang w:val="en-US" w:eastAsia="en-US" w:bidi="ar-SA"/>
              </w:rPr>
              <w:t>职称证书、</w:t>
            </w:r>
            <w:r>
              <w:rPr>
                <w:rFonts w:hint="eastAsia" w:asciiTheme="minorEastAsia" w:hAnsiTheme="minorEastAsia" w:eastAsiaTheme="minorEastAsia" w:cstheme="minorEastAsia"/>
                <w:sz w:val="22"/>
                <w:szCs w:val="22"/>
                <w:lang w:val="en-US" w:eastAsia="zh-CN" w:bidi="ar-SA"/>
              </w:rPr>
              <w:t>施工员岗位证、质检员岗位证</w:t>
            </w:r>
            <w:r>
              <w:rPr>
                <w:rFonts w:hint="eastAsia" w:asciiTheme="minorEastAsia" w:hAnsiTheme="minorEastAsia" w:eastAsiaTheme="minorEastAsia" w:cstheme="minorEastAsia"/>
                <w:sz w:val="22"/>
                <w:szCs w:val="22"/>
                <w:lang w:val="en-US" w:eastAsia="en-US" w:bidi="ar-SA"/>
              </w:rPr>
              <w:t>、安全员</w:t>
            </w:r>
            <w:r>
              <w:rPr>
                <w:rFonts w:hint="eastAsia" w:asciiTheme="minorEastAsia" w:hAnsiTheme="minorEastAsia" w:eastAsiaTheme="minorEastAsia" w:cstheme="minorEastAsia"/>
                <w:sz w:val="22"/>
                <w:szCs w:val="22"/>
                <w:lang w:val="en-US" w:eastAsia="zh-CN" w:bidi="ar-SA"/>
              </w:rPr>
              <w:t>岗位证及</w:t>
            </w:r>
            <w:r>
              <w:rPr>
                <w:rFonts w:hint="eastAsia" w:ascii="宋体" w:hAnsi="宋体" w:eastAsia="宋体" w:cs="Times New Roman"/>
                <w:iCs/>
                <w:color w:val="000000" w:themeColor="text1"/>
                <w:sz w:val="21"/>
                <w:szCs w:val="21"/>
                <w:highlight w:val="none"/>
                <w:lang w:val="en-US" w:eastAsia="zh-CN"/>
                <w14:textFill>
                  <w14:solidFill>
                    <w14:schemeClr w14:val="tx1"/>
                  </w14:solidFill>
                </w14:textFill>
              </w:rPr>
              <w:t>安全生产考核合格证书</w:t>
            </w:r>
            <w:r>
              <w:rPr>
                <w:rFonts w:hint="eastAsia" w:asciiTheme="minorEastAsia" w:hAnsiTheme="minorEastAsia" w:eastAsiaTheme="minorEastAsia" w:cstheme="minorEastAsia"/>
                <w:sz w:val="22"/>
                <w:szCs w:val="22"/>
                <w:lang w:val="en-US" w:eastAsia="en-US" w:bidi="ar-SA"/>
              </w:rPr>
              <w:t>、材料员</w:t>
            </w:r>
            <w:r>
              <w:rPr>
                <w:rFonts w:hint="eastAsia" w:asciiTheme="minorEastAsia" w:hAnsiTheme="minorEastAsia" w:eastAsiaTheme="minorEastAsia" w:cstheme="minorEastAsia"/>
                <w:sz w:val="22"/>
                <w:szCs w:val="22"/>
                <w:lang w:val="en-US" w:eastAsia="zh-CN" w:bidi="ar-SA"/>
              </w:rPr>
              <w:t>岗位证</w:t>
            </w:r>
            <w:r>
              <w:rPr>
                <w:rFonts w:hint="eastAsia" w:asciiTheme="minorEastAsia" w:hAnsiTheme="minorEastAsia" w:eastAsiaTheme="minorEastAsia" w:cstheme="minorEastAsia"/>
                <w:sz w:val="22"/>
                <w:szCs w:val="22"/>
                <w:lang w:val="en-US" w:eastAsia="en-US" w:bidi="ar-SA"/>
              </w:rPr>
              <w:t>、资料员</w:t>
            </w:r>
            <w:r>
              <w:rPr>
                <w:rFonts w:hint="eastAsia" w:asciiTheme="minorEastAsia" w:hAnsiTheme="minorEastAsia" w:eastAsiaTheme="minorEastAsia" w:cstheme="minorEastAsia"/>
                <w:sz w:val="22"/>
                <w:szCs w:val="22"/>
                <w:lang w:val="en-US" w:eastAsia="zh-CN" w:bidi="ar-SA"/>
              </w:rPr>
              <w:t>岗位证、预算员证书</w:t>
            </w:r>
            <w:r>
              <w:rPr>
                <w:rFonts w:hint="eastAsia" w:asciiTheme="minorEastAsia" w:hAnsiTheme="minorEastAsia" w:eastAsiaTheme="minorEastAsia" w:cstheme="minorEastAsia"/>
                <w:sz w:val="22"/>
                <w:szCs w:val="22"/>
                <w:lang w:val="en-US" w:eastAsia="en-US" w:bidi="ar-SA"/>
              </w:rPr>
              <w:t>等要配备齐全，</w:t>
            </w:r>
            <w:r>
              <w:rPr>
                <w:rFonts w:hint="eastAsia" w:asciiTheme="minorEastAsia" w:hAnsiTheme="minorEastAsia" w:eastAsiaTheme="minorEastAsia" w:cstheme="minorEastAsia"/>
                <w:sz w:val="22"/>
                <w:szCs w:val="22"/>
                <w:lang w:val="en-US" w:eastAsia="zh-CN" w:bidi="ar-SA"/>
              </w:rPr>
              <w:t>以上</w:t>
            </w:r>
            <w:r>
              <w:rPr>
                <w:rFonts w:hint="eastAsia" w:asciiTheme="minorEastAsia" w:hAnsiTheme="minorEastAsia" w:eastAsiaTheme="minorEastAsia" w:cstheme="minorEastAsia"/>
                <w:sz w:val="22"/>
                <w:szCs w:val="22"/>
                <w:lang w:val="en-US" w:eastAsia="en-US" w:bidi="ar-SA"/>
              </w:rPr>
              <w:t>证件齐全得</w:t>
            </w:r>
            <w:r>
              <w:rPr>
                <w:rFonts w:hint="eastAsia" w:asciiTheme="minorEastAsia" w:hAnsiTheme="minorEastAsia" w:eastAsiaTheme="minorEastAsia" w:cstheme="minorEastAsia"/>
                <w:sz w:val="22"/>
                <w:szCs w:val="22"/>
                <w:lang w:val="en-US" w:eastAsia="zh-CN" w:bidi="ar-SA"/>
              </w:rPr>
              <w:t>8</w:t>
            </w:r>
            <w:r>
              <w:rPr>
                <w:rFonts w:hint="eastAsia" w:asciiTheme="minorEastAsia" w:hAnsiTheme="minorEastAsia" w:eastAsiaTheme="minorEastAsia" w:cstheme="minorEastAsia"/>
                <w:sz w:val="22"/>
                <w:szCs w:val="22"/>
                <w:lang w:val="en-US" w:eastAsia="en-US" w:bidi="ar-SA"/>
              </w:rPr>
              <w:t>分，缺少一项则减</w:t>
            </w:r>
            <w:r>
              <w:rPr>
                <w:rFonts w:hint="eastAsia" w:asciiTheme="minorEastAsia" w:hAnsiTheme="minorEastAsia" w:eastAsiaTheme="minorEastAsia" w:cstheme="minorEastAsia"/>
                <w:sz w:val="22"/>
                <w:szCs w:val="22"/>
                <w:lang w:val="en-US" w:eastAsia="zh-CN" w:bidi="ar-SA"/>
              </w:rPr>
              <w:t>1</w:t>
            </w:r>
            <w:r>
              <w:rPr>
                <w:rFonts w:hint="eastAsia" w:asciiTheme="minorEastAsia" w:hAnsiTheme="minorEastAsia" w:eastAsiaTheme="minorEastAsia" w:cstheme="minorEastAsia"/>
                <w:sz w:val="22"/>
                <w:szCs w:val="22"/>
                <w:lang w:val="en-US" w:eastAsia="en-US" w:bidi="ar-SA"/>
              </w:rPr>
              <w:t>分，扣完为止。</w:t>
            </w:r>
          </w:p>
        </w:tc>
        <w:tc>
          <w:tcPr>
            <w:tcW w:w="858" w:type="dxa"/>
            <w:vAlign w:val="top"/>
          </w:tcPr>
          <w:p w14:paraId="03B8A1DC">
            <w:pPr>
              <w:pStyle w:val="44"/>
              <w:spacing w:before="310" w:line="180" w:lineRule="auto"/>
              <w:ind w:left="375"/>
              <w:jc w:val="both"/>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8</w:t>
            </w:r>
          </w:p>
        </w:tc>
      </w:tr>
      <w:tr w14:paraId="69641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6" w:type="dxa"/>
            <w:vMerge w:val="continue"/>
            <w:tcBorders>
              <w:top w:val="nil"/>
            </w:tcBorders>
            <w:vAlign w:val="center"/>
          </w:tcPr>
          <w:p w14:paraId="762767D1">
            <w:pPr>
              <w:jc w:val="center"/>
              <w:rPr>
                <w:rFonts w:hint="eastAsia" w:asciiTheme="minorEastAsia" w:hAnsiTheme="minorEastAsia" w:eastAsiaTheme="minorEastAsia" w:cstheme="minorEastAsia"/>
                <w:sz w:val="21"/>
              </w:rPr>
            </w:pPr>
          </w:p>
        </w:tc>
        <w:tc>
          <w:tcPr>
            <w:tcW w:w="1315" w:type="dxa"/>
            <w:vAlign w:val="center"/>
          </w:tcPr>
          <w:p w14:paraId="257F96D7">
            <w:pPr>
              <w:pStyle w:val="44"/>
              <w:spacing w:before="174" w:line="236" w:lineRule="auto"/>
              <w:ind w:left="71" w:right="55" w:firstLine="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不随意更换</w:t>
            </w:r>
            <w:r>
              <w:rPr>
                <w:rFonts w:hint="eastAsia" w:asciiTheme="minorEastAsia" w:hAnsiTheme="minorEastAsia" w:eastAsiaTheme="minorEastAsia" w:cstheme="minorEastAsia"/>
                <w:spacing w:val="2"/>
              </w:rPr>
              <w:t xml:space="preserve"> </w:t>
            </w:r>
            <w:r>
              <w:rPr>
                <w:rFonts w:hint="eastAsia" w:asciiTheme="minorEastAsia" w:hAnsiTheme="minorEastAsia" w:eastAsiaTheme="minorEastAsia" w:cstheme="minorEastAsia"/>
                <w:spacing w:val="-4"/>
              </w:rPr>
              <w:t>项目经理、</w:t>
            </w:r>
            <w:r>
              <w:rPr>
                <w:rFonts w:hint="eastAsia" w:asciiTheme="minorEastAsia" w:hAnsiTheme="minorEastAsia" w:eastAsiaTheme="minorEastAsia" w:cstheme="minorEastAsia"/>
                <w:spacing w:val="2"/>
              </w:rPr>
              <w:t xml:space="preserve"> </w:t>
            </w:r>
            <w:r>
              <w:rPr>
                <w:rFonts w:hint="eastAsia" w:asciiTheme="minorEastAsia" w:hAnsiTheme="minorEastAsia" w:eastAsiaTheme="minorEastAsia" w:cstheme="minorEastAsia"/>
                <w:spacing w:val="-4"/>
              </w:rPr>
              <w:t>技术负责人</w:t>
            </w:r>
            <w:r>
              <w:rPr>
                <w:rFonts w:hint="eastAsia" w:asciiTheme="minorEastAsia" w:hAnsiTheme="minorEastAsia" w:eastAsiaTheme="minorEastAsia" w:cstheme="minorEastAsia"/>
                <w:spacing w:val="2"/>
              </w:rPr>
              <w:t xml:space="preserve"> </w:t>
            </w:r>
            <w:r>
              <w:rPr>
                <w:rFonts w:hint="eastAsia" w:asciiTheme="minorEastAsia" w:hAnsiTheme="minorEastAsia" w:eastAsiaTheme="minorEastAsia" w:cstheme="minorEastAsia"/>
                <w:spacing w:val="25"/>
              </w:rPr>
              <w:t>及“五大</w:t>
            </w:r>
            <w:r>
              <w:rPr>
                <w:rFonts w:hint="eastAsia" w:asciiTheme="minorEastAsia" w:hAnsiTheme="minorEastAsia" w:eastAsiaTheme="minorEastAsia" w:cstheme="minorEastAsia"/>
                <w:spacing w:val="1"/>
              </w:rPr>
              <w:t xml:space="preserve">  </w:t>
            </w:r>
            <w:r>
              <w:rPr>
                <w:rFonts w:hint="eastAsia" w:asciiTheme="minorEastAsia" w:hAnsiTheme="minorEastAsia" w:eastAsiaTheme="minorEastAsia" w:cstheme="minorEastAsia"/>
                <w:spacing w:val="-10"/>
              </w:rPr>
              <w:t>员</w:t>
            </w:r>
            <w:r>
              <w:rPr>
                <w:rFonts w:hint="eastAsia" w:asciiTheme="minorEastAsia" w:hAnsiTheme="minorEastAsia" w:eastAsiaTheme="minorEastAsia" w:cstheme="minorEastAsia"/>
                <w:spacing w:val="-88"/>
              </w:rPr>
              <w:t xml:space="preserve"> </w:t>
            </w:r>
            <w:r>
              <w:rPr>
                <w:rFonts w:hint="eastAsia" w:asciiTheme="minorEastAsia" w:hAnsiTheme="minorEastAsia" w:eastAsiaTheme="minorEastAsia" w:cstheme="minorEastAsia"/>
                <w:spacing w:val="-10"/>
              </w:rPr>
              <w:t>”的承诺</w:t>
            </w:r>
          </w:p>
        </w:tc>
        <w:tc>
          <w:tcPr>
            <w:tcW w:w="6761" w:type="dxa"/>
            <w:vAlign w:val="top"/>
          </w:tcPr>
          <w:p w14:paraId="3418B84E">
            <w:pPr>
              <w:spacing w:line="279" w:lineRule="auto"/>
              <w:rPr>
                <w:rFonts w:hint="eastAsia" w:asciiTheme="minorEastAsia" w:hAnsiTheme="minorEastAsia" w:eastAsiaTheme="minorEastAsia" w:cstheme="minorEastAsia"/>
                <w:sz w:val="21"/>
              </w:rPr>
            </w:pPr>
          </w:p>
          <w:p w14:paraId="39D7D78A">
            <w:pPr>
              <w:spacing w:line="280" w:lineRule="auto"/>
              <w:rPr>
                <w:rFonts w:hint="eastAsia" w:asciiTheme="minorEastAsia" w:hAnsiTheme="minorEastAsia" w:eastAsiaTheme="minorEastAsia" w:cstheme="minorEastAsia"/>
                <w:sz w:val="21"/>
              </w:rPr>
            </w:pPr>
          </w:p>
          <w:p w14:paraId="6682E211">
            <w:pPr>
              <w:pStyle w:val="44"/>
              <w:spacing w:before="78" w:line="230" w:lineRule="auto"/>
              <w:ind w:left="19" w:hanging="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有不随意更换项目经理、技术负责人及“五大员</w:t>
            </w:r>
            <w:r>
              <w:rPr>
                <w:rFonts w:hint="eastAsia" w:asciiTheme="minorEastAsia" w:hAnsiTheme="minorEastAsia" w:eastAsiaTheme="minorEastAsia" w:cstheme="minorEastAsia"/>
                <w:spacing w:val="-73"/>
              </w:rPr>
              <w:t xml:space="preserve"> </w:t>
            </w:r>
            <w:r>
              <w:rPr>
                <w:rFonts w:hint="eastAsia" w:asciiTheme="minorEastAsia" w:hAnsiTheme="minorEastAsia" w:eastAsiaTheme="minorEastAsia" w:cstheme="minorEastAsia"/>
                <w:spacing w:val="-1"/>
              </w:rPr>
              <w:t>”的承诺，且有相应经济处罚措施的，得5分，否则得0分。</w:t>
            </w:r>
          </w:p>
        </w:tc>
        <w:tc>
          <w:tcPr>
            <w:tcW w:w="858" w:type="dxa"/>
            <w:vAlign w:val="top"/>
          </w:tcPr>
          <w:p w14:paraId="15B3404C">
            <w:pPr>
              <w:spacing w:line="252" w:lineRule="auto"/>
              <w:jc w:val="both"/>
              <w:rPr>
                <w:rFonts w:hint="eastAsia" w:asciiTheme="minorEastAsia" w:hAnsiTheme="minorEastAsia" w:eastAsiaTheme="minorEastAsia" w:cstheme="minorEastAsia"/>
                <w:sz w:val="21"/>
              </w:rPr>
            </w:pPr>
          </w:p>
          <w:p w14:paraId="4D72C3B2">
            <w:pPr>
              <w:spacing w:line="252" w:lineRule="auto"/>
              <w:jc w:val="both"/>
              <w:rPr>
                <w:rFonts w:hint="eastAsia" w:asciiTheme="minorEastAsia" w:hAnsiTheme="minorEastAsia" w:eastAsiaTheme="minorEastAsia" w:cstheme="minorEastAsia"/>
                <w:sz w:val="21"/>
              </w:rPr>
            </w:pPr>
          </w:p>
          <w:p w14:paraId="1AB98055">
            <w:pPr>
              <w:spacing w:line="252" w:lineRule="auto"/>
              <w:jc w:val="both"/>
              <w:rPr>
                <w:rFonts w:hint="eastAsia" w:asciiTheme="minorEastAsia" w:hAnsiTheme="minorEastAsia" w:eastAsiaTheme="minorEastAsia" w:cstheme="minorEastAsia"/>
                <w:sz w:val="21"/>
              </w:rPr>
            </w:pPr>
          </w:p>
          <w:p w14:paraId="1DF5743E">
            <w:pPr>
              <w:pStyle w:val="44"/>
              <w:spacing w:before="78" w:line="179" w:lineRule="auto"/>
              <w:ind w:left="379"/>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5</w:t>
            </w:r>
          </w:p>
        </w:tc>
      </w:tr>
      <w:tr w14:paraId="582B9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996" w:type="dxa"/>
            <w:vMerge w:val="restart"/>
            <w:vAlign w:val="center"/>
          </w:tcPr>
          <w:p w14:paraId="12F907B1">
            <w:pPr>
              <w:pStyle w:val="44"/>
              <w:spacing w:before="113" w:line="231" w:lineRule="auto"/>
              <w:ind w:left="89" w:right="55" w:hanging="17"/>
              <w:jc w:val="center"/>
              <w:rPr>
                <w:rFonts w:hint="eastAsia" w:asciiTheme="minorEastAsia" w:hAnsiTheme="minorEastAsia" w:eastAsiaTheme="minorEastAsia" w:cstheme="minorEastAsia"/>
                <w:spacing w:val="-4"/>
              </w:rPr>
            </w:pPr>
          </w:p>
          <w:p w14:paraId="0E905DF7">
            <w:pPr>
              <w:pStyle w:val="44"/>
              <w:spacing w:before="113" w:line="231" w:lineRule="auto"/>
              <w:ind w:left="89" w:right="55" w:hanging="17"/>
              <w:jc w:val="center"/>
              <w:rPr>
                <w:rFonts w:hint="eastAsia" w:asciiTheme="minorEastAsia" w:hAnsiTheme="minorEastAsia" w:eastAsiaTheme="minorEastAsia" w:cstheme="minorEastAsia"/>
                <w:spacing w:val="-4"/>
              </w:rPr>
            </w:pPr>
          </w:p>
          <w:p w14:paraId="1DAC8F64">
            <w:pPr>
              <w:pStyle w:val="44"/>
              <w:spacing w:before="113" w:line="231" w:lineRule="auto"/>
              <w:ind w:left="89" w:right="55" w:hanging="17"/>
              <w:jc w:val="center"/>
              <w:rPr>
                <w:rFonts w:hint="eastAsia" w:asciiTheme="minorEastAsia" w:hAnsiTheme="minorEastAsia" w:eastAsiaTheme="minorEastAsia" w:cstheme="minorEastAsia"/>
                <w:spacing w:val="-4"/>
              </w:rPr>
            </w:pPr>
          </w:p>
          <w:p w14:paraId="285F1865">
            <w:pPr>
              <w:pStyle w:val="44"/>
              <w:spacing w:before="113" w:line="231" w:lineRule="auto"/>
              <w:ind w:left="89" w:right="55" w:hanging="17"/>
              <w:jc w:val="center"/>
              <w:rPr>
                <w:rFonts w:hint="eastAsia" w:asciiTheme="minorEastAsia" w:hAnsiTheme="minorEastAsia" w:eastAsiaTheme="minorEastAsia" w:cstheme="minorEastAsia"/>
                <w:spacing w:val="-4"/>
              </w:rPr>
            </w:pPr>
          </w:p>
          <w:p w14:paraId="6E1BA9B8">
            <w:pPr>
              <w:pStyle w:val="44"/>
              <w:spacing w:before="113" w:line="231" w:lineRule="auto"/>
              <w:ind w:left="89" w:right="55" w:hanging="17"/>
              <w:jc w:val="center"/>
              <w:rPr>
                <w:rFonts w:hint="eastAsia" w:asciiTheme="minorEastAsia" w:hAnsiTheme="minorEastAsia" w:eastAsiaTheme="minorEastAsia" w:cstheme="minorEastAsia"/>
                <w:spacing w:val="-4"/>
              </w:rPr>
            </w:pPr>
          </w:p>
          <w:p w14:paraId="1AAE7279">
            <w:pPr>
              <w:pStyle w:val="44"/>
              <w:spacing w:before="113" w:line="231" w:lineRule="auto"/>
              <w:ind w:left="89" w:right="55" w:hanging="17"/>
              <w:jc w:val="center"/>
              <w:rPr>
                <w:rFonts w:hint="eastAsia" w:asciiTheme="minorEastAsia" w:hAnsiTheme="minorEastAsia" w:eastAsiaTheme="minorEastAsia" w:cstheme="minorEastAsia"/>
                <w:spacing w:val="-4"/>
              </w:rPr>
            </w:pPr>
            <w:r>
              <w:rPr>
                <w:rFonts w:hint="eastAsia" w:asciiTheme="minorEastAsia" w:hAnsiTheme="minorEastAsia" w:eastAsiaTheme="minorEastAsia" w:cstheme="minorEastAsia"/>
                <w:spacing w:val="-4"/>
              </w:rPr>
              <w:t>技术部分 （</w:t>
            </w:r>
            <w:r>
              <w:rPr>
                <w:rFonts w:hint="eastAsia" w:asciiTheme="minorEastAsia" w:hAnsiTheme="minorEastAsia" w:eastAsiaTheme="minorEastAsia" w:cstheme="minorEastAsia"/>
                <w:spacing w:val="-4"/>
                <w:lang w:val="en-US" w:eastAsia="zh-CN"/>
              </w:rPr>
              <w:t>57</w:t>
            </w:r>
            <w:r>
              <w:rPr>
                <w:rFonts w:hint="eastAsia" w:asciiTheme="minorEastAsia" w:hAnsiTheme="minorEastAsia" w:eastAsiaTheme="minorEastAsia" w:cstheme="minorEastAsia"/>
                <w:spacing w:val="-4"/>
              </w:rPr>
              <w:t>分）</w:t>
            </w:r>
          </w:p>
        </w:tc>
        <w:tc>
          <w:tcPr>
            <w:tcW w:w="1315" w:type="dxa"/>
            <w:vAlign w:val="center"/>
          </w:tcPr>
          <w:p w14:paraId="025048A2">
            <w:pPr>
              <w:pStyle w:val="44"/>
              <w:spacing w:before="113" w:line="231" w:lineRule="auto"/>
              <w:ind w:left="89" w:right="55" w:hanging="17"/>
              <w:jc w:val="center"/>
              <w:rPr>
                <w:rFonts w:hint="eastAsia" w:asciiTheme="minorEastAsia" w:hAnsiTheme="minorEastAsia" w:eastAsiaTheme="minorEastAsia" w:cstheme="minorEastAsia"/>
                <w:spacing w:val="-4"/>
              </w:rPr>
            </w:pPr>
          </w:p>
          <w:p w14:paraId="176EDC33">
            <w:pPr>
              <w:pStyle w:val="44"/>
              <w:spacing w:before="113" w:line="231" w:lineRule="auto"/>
              <w:ind w:left="89" w:right="55" w:hanging="17"/>
              <w:jc w:val="center"/>
              <w:rPr>
                <w:rFonts w:hint="eastAsia" w:asciiTheme="minorEastAsia" w:hAnsiTheme="minorEastAsia" w:eastAsiaTheme="minorEastAsia" w:cstheme="minorEastAsia"/>
                <w:spacing w:val="-4"/>
              </w:rPr>
            </w:pPr>
          </w:p>
          <w:p w14:paraId="0E79B8FA">
            <w:pPr>
              <w:pStyle w:val="44"/>
              <w:spacing w:before="113" w:line="231" w:lineRule="auto"/>
              <w:ind w:left="89" w:right="55" w:hanging="17"/>
              <w:jc w:val="center"/>
              <w:rPr>
                <w:rFonts w:hint="eastAsia" w:asciiTheme="minorEastAsia" w:hAnsiTheme="minorEastAsia" w:eastAsiaTheme="minorEastAsia" w:cstheme="minorEastAsia"/>
                <w:spacing w:val="-4"/>
              </w:rPr>
            </w:pPr>
          </w:p>
          <w:p w14:paraId="73885415">
            <w:pPr>
              <w:pStyle w:val="44"/>
              <w:spacing w:before="113" w:line="231" w:lineRule="auto"/>
              <w:ind w:left="89" w:right="55" w:hanging="17"/>
              <w:jc w:val="center"/>
              <w:rPr>
                <w:rFonts w:hint="eastAsia" w:asciiTheme="minorEastAsia" w:hAnsiTheme="minorEastAsia" w:eastAsiaTheme="minorEastAsia" w:cstheme="minorEastAsia"/>
                <w:spacing w:val="-4"/>
              </w:rPr>
            </w:pPr>
            <w:r>
              <w:rPr>
                <w:rFonts w:hint="eastAsia" w:asciiTheme="minorEastAsia" w:hAnsiTheme="minorEastAsia" w:eastAsiaTheme="minorEastAsia" w:cstheme="minorEastAsia"/>
                <w:spacing w:val="-4"/>
              </w:rPr>
              <w:t>施工方案与 技术措施</w:t>
            </w:r>
          </w:p>
        </w:tc>
        <w:tc>
          <w:tcPr>
            <w:tcW w:w="6761" w:type="dxa"/>
            <w:vAlign w:val="top"/>
          </w:tcPr>
          <w:p w14:paraId="2EC2DAB2">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（1）</w:t>
            </w:r>
            <w:r>
              <w:rPr>
                <w:rFonts w:hint="eastAsia" w:asciiTheme="minorEastAsia" w:hAnsiTheme="minorEastAsia" w:eastAsiaTheme="minorEastAsia" w:cstheme="minorEastAsia"/>
                <w:spacing w:val="-4"/>
                <w:lang w:val="en-US" w:eastAsia="zh-CN"/>
              </w:rPr>
              <w:t>施工方案符合工程实际情况，部署及措施先进、可靠，以提高生产率、缩短工期、提高质量、降低消耗为目标，针对项目的重点、难点分析应透彻，解决方案切实可行，</w:t>
            </w:r>
            <w:r>
              <w:rPr>
                <w:rFonts w:hint="eastAsia" w:asciiTheme="minorEastAsia" w:hAnsiTheme="minorEastAsia" w:eastAsiaTheme="minorEastAsia" w:cstheme="minorEastAsia"/>
                <w:spacing w:val="-4"/>
                <w:lang w:val="en-US" w:eastAsia="en-US"/>
              </w:rPr>
              <w:t>工程特点及施工重点和难点分析准确、全面的，得</w:t>
            </w:r>
            <w:r>
              <w:rPr>
                <w:rFonts w:hint="eastAsia" w:asciiTheme="minorEastAsia" w:hAnsiTheme="minorEastAsia" w:eastAsiaTheme="minorEastAsia" w:cstheme="minorEastAsia"/>
                <w:spacing w:val="-4"/>
                <w:lang w:val="en-US" w:eastAsia="zh-CN"/>
              </w:rPr>
              <w:t>4</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内容存在缺陷</w:t>
            </w:r>
            <w:r>
              <w:rPr>
                <w:rFonts w:hint="eastAsia" w:asciiTheme="minorEastAsia" w:hAnsiTheme="minorEastAsia" w:eastAsiaTheme="minorEastAsia" w:cstheme="minorEastAsia"/>
                <w:spacing w:val="-4"/>
                <w:lang w:val="en-US" w:eastAsia="en-US"/>
              </w:rPr>
              <w:t>的得1</w:t>
            </w:r>
            <w:r>
              <w:rPr>
                <w:rFonts w:hint="eastAsia" w:asciiTheme="minorEastAsia" w:hAnsiTheme="minorEastAsia" w:eastAsiaTheme="minorEastAsia" w:cstheme="minorEastAsia"/>
                <w:spacing w:val="-4"/>
                <w:lang w:val="en-US" w:eastAsia="zh-CN"/>
              </w:rPr>
              <w:t>.5</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得0分；</w:t>
            </w:r>
          </w:p>
          <w:p w14:paraId="4D60965E">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（2）施工程序、工艺符合工程实际和有关施工规程规范,且投入的设备和人力计划安排合理的，得</w:t>
            </w:r>
            <w:r>
              <w:rPr>
                <w:rFonts w:hint="eastAsia" w:asciiTheme="minorEastAsia" w:hAnsiTheme="minorEastAsia" w:eastAsiaTheme="minorEastAsia" w:cstheme="minorEastAsia"/>
                <w:spacing w:val="-4"/>
                <w:lang w:val="en-US" w:eastAsia="zh-CN"/>
              </w:rPr>
              <w:t>4</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内容存在缺陷</w:t>
            </w:r>
            <w:r>
              <w:rPr>
                <w:rFonts w:hint="eastAsia" w:asciiTheme="minorEastAsia" w:hAnsiTheme="minorEastAsia" w:eastAsiaTheme="minorEastAsia" w:cstheme="minorEastAsia"/>
                <w:spacing w:val="-4"/>
                <w:lang w:val="en-US" w:eastAsia="en-US"/>
              </w:rPr>
              <w:t>的得1</w:t>
            </w:r>
            <w:r>
              <w:rPr>
                <w:rFonts w:hint="eastAsia" w:asciiTheme="minorEastAsia" w:hAnsiTheme="minorEastAsia" w:eastAsiaTheme="minorEastAsia" w:cstheme="minorEastAsia"/>
                <w:spacing w:val="-4"/>
                <w:lang w:val="en-US" w:eastAsia="zh-CN"/>
              </w:rPr>
              <w:t>.5</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得0分；</w:t>
            </w:r>
          </w:p>
          <w:p w14:paraId="39A92932">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（3）各工序工作历时安排合理且有详细计算说明的，得2分，</w:t>
            </w:r>
            <w:r>
              <w:rPr>
                <w:rFonts w:hint="eastAsia" w:asciiTheme="minorEastAsia" w:hAnsiTheme="minorEastAsia" w:eastAsiaTheme="minorEastAsia" w:cstheme="minorEastAsia"/>
                <w:spacing w:val="-4"/>
                <w:lang w:val="en-US" w:eastAsia="zh-CN"/>
              </w:rPr>
              <w:t>内容存在缺陷</w:t>
            </w:r>
            <w:r>
              <w:rPr>
                <w:rFonts w:hint="eastAsia" w:asciiTheme="minorEastAsia" w:hAnsiTheme="minorEastAsia" w:eastAsiaTheme="minorEastAsia" w:cstheme="minorEastAsia"/>
                <w:spacing w:val="-4"/>
                <w:lang w:val="en-US" w:eastAsia="en-US"/>
              </w:rPr>
              <w:t>的得1分，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得0分；</w:t>
            </w:r>
          </w:p>
          <w:p w14:paraId="55FD252C">
            <w:pPr>
              <w:pStyle w:val="44"/>
              <w:spacing w:before="113" w:line="231" w:lineRule="auto"/>
              <w:ind w:left="89" w:right="55" w:hanging="17"/>
              <w:rPr>
                <w:rFonts w:hint="eastAsia" w:asciiTheme="minorEastAsia" w:hAnsiTheme="minorEastAsia" w:eastAsiaTheme="minorEastAsia" w:cstheme="minorEastAsia"/>
                <w:spacing w:val="-4"/>
              </w:rPr>
            </w:pPr>
            <w:r>
              <w:rPr>
                <w:rFonts w:hint="default" w:asciiTheme="minorEastAsia" w:hAnsiTheme="minorEastAsia" w:eastAsiaTheme="minorEastAsia" w:cstheme="minorEastAsia"/>
                <w:spacing w:val="-4"/>
                <w:lang w:val="en-US" w:eastAsia="zh-CN"/>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858" w:type="dxa"/>
            <w:vAlign w:val="top"/>
          </w:tcPr>
          <w:p w14:paraId="57079EBB">
            <w:pPr>
              <w:pStyle w:val="44"/>
              <w:spacing w:before="113" w:line="231" w:lineRule="auto"/>
              <w:ind w:left="89" w:right="55" w:hanging="17"/>
              <w:rPr>
                <w:rFonts w:hint="eastAsia" w:asciiTheme="minorEastAsia" w:hAnsiTheme="minorEastAsia" w:eastAsiaTheme="minorEastAsia" w:cstheme="minorEastAsia"/>
                <w:spacing w:val="-4"/>
              </w:rPr>
            </w:pPr>
          </w:p>
          <w:p w14:paraId="7409A44D">
            <w:pPr>
              <w:pStyle w:val="44"/>
              <w:spacing w:before="113" w:line="231" w:lineRule="auto"/>
              <w:ind w:left="89" w:right="55" w:hanging="17"/>
              <w:rPr>
                <w:rFonts w:hint="eastAsia" w:asciiTheme="minorEastAsia" w:hAnsiTheme="minorEastAsia" w:eastAsiaTheme="minorEastAsia" w:cstheme="minorEastAsia"/>
                <w:spacing w:val="-4"/>
              </w:rPr>
            </w:pPr>
          </w:p>
          <w:p w14:paraId="42980DE2">
            <w:pPr>
              <w:pStyle w:val="44"/>
              <w:spacing w:before="113" w:line="231" w:lineRule="auto"/>
              <w:ind w:left="89" w:right="55" w:hanging="17"/>
              <w:rPr>
                <w:rFonts w:hint="eastAsia" w:asciiTheme="minorEastAsia" w:hAnsiTheme="minorEastAsia" w:eastAsiaTheme="minorEastAsia" w:cstheme="minorEastAsia"/>
                <w:spacing w:val="-4"/>
              </w:rPr>
            </w:pPr>
          </w:p>
          <w:p w14:paraId="076D3EC3">
            <w:pPr>
              <w:pStyle w:val="44"/>
              <w:spacing w:before="113" w:line="231" w:lineRule="auto"/>
              <w:ind w:left="89" w:right="55" w:hanging="17"/>
              <w:jc w:val="center"/>
              <w:rPr>
                <w:rFonts w:hint="default"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lang w:val="en-US" w:eastAsia="zh-CN"/>
              </w:rPr>
              <w:t>10</w:t>
            </w:r>
          </w:p>
        </w:tc>
      </w:tr>
      <w:tr w14:paraId="58288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96" w:type="dxa"/>
            <w:vMerge w:val="continue"/>
            <w:vAlign w:val="center"/>
          </w:tcPr>
          <w:p w14:paraId="151BFC71">
            <w:pPr>
              <w:pStyle w:val="44"/>
              <w:spacing w:before="113" w:line="231" w:lineRule="auto"/>
              <w:ind w:left="89" w:right="55" w:hanging="17"/>
              <w:jc w:val="center"/>
              <w:rPr>
                <w:rFonts w:hint="eastAsia" w:asciiTheme="minorEastAsia" w:hAnsiTheme="minorEastAsia" w:eastAsiaTheme="minorEastAsia" w:cstheme="minorEastAsia"/>
                <w:spacing w:val="-4"/>
              </w:rPr>
            </w:pPr>
          </w:p>
        </w:tc>
        <w:tc>
          <w:tcPr>
            <w:tcW w:w="1315" w:type="dxa"/>
            <w:vAlign w:val="center"/>
          </w:tcPr>
          <w:p w14:paraId="3C832B84">
            <w:pPr>
              <w:pStyle w:val="44"/>
              <w:spacing w:before="113" w:line="231" w:lineRule="auto"/>
              <w:ind w:left="89" w:right="55" w:hanging="17"/>
              <w:jc w:val="center"/>
              <w:rPr>
                <w:rFonts w:hint="eastAsia" w:asciiTheme="minorEastAsia" w:hAnsiTheme="minorEastAsia" w:eastAsiaTheme="minorEastAsia" w:cstheme="minorEastAsia"/>
                <w:spacing w:val="-4"/>
              </w:rPr>
            </w:pPr>
          </w:p>
          <w:p w14:paraId="5D4A9B71">
            <w:pPr>
              <w:pStyle w:val="44"/>
              <w:spacing w:before="113" w:line="231" w:lineRule="auto"/>
              <w:ind w:left="89" w:right="55" w:hanging="17"/>
              <w:jc w:val="center"/>
              <w:rPr>
                <w:rFonts w:hint="eastAsia" w:asciiTheme="minorEastAsia" w:hAnsiTheme="minorEastAsia" w:eastAsiaTheme="minorEastAsia" w:cstheme="minorEastAsia"/>
                <w:spacing w:val="-4"/>
              </w:rPr>
            </w:pPr>
          </w:p>
          <w:p w14:paraId="68C9FFF9">
            <w:pPr>
              <w:pStyle w:val="44"/>
              <w:spacing w:before="113" w:line="231" w:lineRule="auto"/>
              <w:ind w:left="89" w:right="55" w:hanging="17"/>
              <w:jc w:val="center"/>
              <w:rPr>
                <w:rFonts w:hint="default"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rPr>
              <w:t>质量</w:t>
            </w:r>
            <w:r>
              <w:rPr>
                <w:rFonts w:hint="eastAsia" w:asciiTheme="minorEastAsia" w:hAnsiTheme="minorEastAsia" w:eastAsiaTheme="minorEastAsia" w:cstheme="minorEastAsia"/>
                <w:spacing w:val="-4"/>
                <w:lang w:val="en-US" w:eastAsia="zh-CN"/>
              </w:rPr>
              <w:t>保证措施和体系</w:t>
            </w:r>
          </w:p>
        </w:tc>
        <w:tc>
          <w:tcPr>
            <w:tcW w:w="6761" w:type="dxa"/>
            <w:vAlign w:val="top"/>
          </w:tcPr>
          <w:p w14:paraId="06E67E21">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zh-CN"/>
              </w:rPr>
              <w:t>保证措施应符合科学的施工规律、国家规定的强制性标准并有针对性，同时要符合实际情况，切实可行。质量目标明确，管理机构健全，职责分工明确；管理制度齐全；实施措施全面、有效。</w:t>
            </w:r>
            <w:r>
              <w:rPr>
                <w:rFonts w:hint="eastAsia" w:asciiTheme="minorEastAsia" w:hAnsiTheme="minorEastAsia" w:eastAsiaTheme="minorEastAsia" w:cstheme="minorEastAsia"/>
                <w:spacing w:val="-4"/>
                <w:lang w:val="en-US" w:eastAsia="en-US"/>
              </w:rPr>
              <w:t>质量保证体系健全、职责明确的，得</w:t>
            </w:r>
            <w:r>
              <w:rPr>
                <w:rFonts w:hint="eastAsia" w:asciiTheme="minorEastAsia" w:hAnsiTheme="minorEastAsia" w:eastAsiaTheme="minorEastAsia" w:cstheme="minorEastAsia"/>
                <w:spacing w:val="-4"/>
                <w:lang w:val="en-US" w:eastAsia="zh-CN"/>
              </w:rPr>
              <w:t>3</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内容存在缺陷</w:t>
            </w:r>
            <w:r>
              <w:rPr>
                <w:rFonts w:hint="eastAsia" w:asciiTheme="minorEastAsia" w:hAnsiTheme="minorEastAsia" w:eastAsiaTheme="minorEastAsia" w:cstheme="minorEastAsia"/>
                <w:spacing w:val="-4"/>
                <w:lang w:val="en-US" w:eastAsia="en-US"/>
              </w:rPr>
              <w:t>的，得1</w:t>
            </w:r>
            <w:r>
              <w:rPr>
                <w:rFonts w:hint="eastAsia" w:asciiTheme="minorEastAsia" w:hAnsiTheme="minorEastAsia" w:eastAsiaTheme="minorEastAsia" w:cstheme="minorEastAsia"/>
                <w:spacing w:val="-4"/>
                <w:lang w:val="en-US" w:eastAsia="zh-CN"/>
              </w:rPr>
              <w:t>.5</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得0分；</w:t>
            </w:r>
          </w:p>
          <w:p w14:paraId="72C8744A">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（2）工程所用原材料、中间产品、金属结构等检测的种类、数量符合相关规程规范的，得</w:t>
            </w:r>
            <w:r>
              <w:rPr>
                <w:rFonts w:hint="eastAsia" w:asciiTheme="minorEastAsia" w:hAnsiTheme="minorEastAsia" w:eastAsiaTheme="minorEastAsia" w:cstheme="minorEastAsia"/>
                <w:spacing w:val="-4"/>
                <w:lang w:val="en-US" w:eastAsia="zh-CN"/>
              </w:rPr>
              <w:t>3</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得0分；</w:t>
            </w:r>
          </w:p>
          <w:p w14:paraId="23CAC086">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（3）自设工地实验室或者委托符合要求的质量检测单位的，得2分，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得0分。</w:t>
            </w:r>
          </w:p>
          <w:p w14:paraId="283707BD">
            <w:pPr>
              <w:pStyle w:val="44"/>
              <w:spacing w:before="113" w:line="231" w:lineRule="auto"/>
              <w:ind w:left="89" w:right="55" w:hanging="17"/>
              <w:rPr>
                <w:rFonts w:hint="eastAsia" w:asciiTheme="minorEastAsia" w:hAnsiTheme="minorEastAsia" w:eastAsiaTheme="minorEastAsia" w:cstheme="minorEastAsia"/>
                <w:spacing w:val="-4"/>
              </w:rPr>
            </w:pPr>
            <w:r>
              <w:rPr>
                <w:rFonts w:hint="default" w:asciiTheme="minorEastAsia" w:hAnsiTheme="minorEastAsia" w:eastAsiaTheme="minorEastAsia" w:cstheme="minorEastAsia"/>
                <w:spacing w:val="-4"/>
                <w:lang w:val="en-US" w:eastAsia="zh-CN"/>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858" w:type="dxa"/>
            <w:vAlign w:val="top"/>
          </w:tcPr>
          <w:p w14:paraId="225F7281">
            <w:pPr>
              <w:pStyle w:val="44"/>
              <w:spacing w:before="113" w:line="231" w:lineRule="auto"/>
              <w:ind w:left="89" w:right="55" w:hanging="17"/>
              <w:jc w:val="center"/>
              <w:rPr>
                <w:rFonts w:hint="eastAsia" w:asciiTheme="minorEastAsia" w:hAnsiTheme="minorEastAsia" w:eastAsiaTheme="minorEastAsia" w:cstheme="minorEastAsia"/>
                <w:spacing w:val="-4"/>
                <w:lang w:eastAsia="zh-CN"/>
              </w:rPr>
            </w:pPr>
            <w:r>
              <w:rPr>
                <w:rFonts w:hint="eastAsia" w:asciiTheme="minorEastAsia" w:hAnsiTheme="minorEastAsia" w:eastAsiaTheme="minorEastAsia" w:cstheme="minorEastAsia"/>
                <w:spacing w:val="-4"/>
                <w:lang w:val="en-US" w:eastAsia="zh-CN"/>
              </w:rPr>
              <w:t>8</w:t>
            </w:r>
          </w:p>
        </w:tc>
      </w:tr>
      <w:tr w14:paraId="6BCE1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96" w:type="dxa"/>
            <w:vMerge w:val="continue"/>
            <w:vAlign w:val="center"/>
          </w:tcPr>
          <w:p w14:paraId="37D9C579">
            <w:pPr>
              <w:pStyle w:val="44"/>
              <w:spacing w:before="113" w:line="231" w:lineRule="auto"/>
              <w:ind w:left="89" w:right="55" w:hanging="17"/>
              <w:jc w:val="center"/>
              <w:rPr>
                <w:rFonts w:hint="eastAsia" w:asciiTheme="minorEastAsia" w:hAnsiTheme="minorEastAsia" w:eastAsiaTheme="minorEastAsia" w:cstheme="minorEastAsia"/>
                <w:spacing w:val="-4"/>
              </w:rPr>
            </w:pPr>
          </w:p>
        </w:tc>
        <w:tc>
          <w:tcPr>
            <w:tcW w:w="1315" w:type="dxa"/>
            <w:vAlign w:val="center"/>
          </w:tcPr>
          <w:p w14:paraId="32FAB919">
            <w:pPr>
              <w:pStyle w:val="44"/>
              <w:spacing w:before="113" w:line="231" w:lineRule="auto"/>
              <w:ind w:left="89" w:right="55" w:hanging="17"/>
              <w:jc w:val="center"/>
              <w:rPr>
                <w:rFonts w:hint="eastAsia" w:asciiTheme="minorEastAsia" w:hAnsiTheme="minorEastAsia" w:eastAsiaTheme="minorEastAsia" w:cstheme="minorEastAsia"/>
                <w:spacing w:val="-4"/>
              </w:rPr>
            </w:pPr>
          </w:p>
          <w:p w14:paraId="690DFE1C">
            <w:pPr>
              <w:pStyle w:val="44"/>
              <w:spacing w:before="113" w:line="231" w:lineRule="auto"/>
              <w:ind w:left="89" w:leftChars="0" w:right="55" w:rightChars="0" w:hanging="17" w:firstLineChars="0"/>
              <w:jc w:val="center"/>
              <w:rPr>
                <w:rFonts w:hint="eastAsia" w:asciiTheme="minorEastAsia" w:hAnsiTheme="minorEastAsia" w:eastAsiaTheme="minorEastAsia" w:cstheme="minorEastAsia"/>
                <w:spacing w:val="-4"/>
              </w:rPr>
            </w:pPr>
            <w:r>
              <w:rPr>
                <w:rFonts w:hint="eastAsia" w:asciiTheme="minorEastAsia" w:hAnsiTheme="minorEastAsia" w:eastAsiaTheme="minorEastAsia" w:cstheme="minorEastAsia"/>
                <w:spacing w:val="-4"/>
              </w:rPr>
              <w:t>安全</w:t>
            </w:r>
            <w:r>
              <w:rPr>
                <w:rFonts w:hint="eastAsia" w:asciiTheme="minorEastAsia" w:hAnsiTheme="minorEastAsia" w:eastAsiaTheme="minorEastAsia" w:cstheme="minorEastAsia"/>
                <w:spacing w:val="-4"/>
                <w:lang w:val="en-US" w:eastAsia="zh-CN"/>
              </w:rPr>
              <w:t>保证措施和体系</w:t>
            </w:r>
          </w:p>
        </w:tc>
        <w:tc>
          <w:tcPr>
            <w:tcW w:w="6761" w:type="dxa"/>
            <w:vAlign w:val="top"/>
          </w:tcPr>
          <w:p w14:paraId="24CAA86E">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（1）</w:t>
            </w:r>
            <w:r>
              <w:rPr>
                <w:rFonts w:hint="eastAsia" w:asciiTheme="minorEastAsia" w:hAnsiTheme="minorEastAsia" w:eastAsiaTheme="minorEastAsia" w:cstheme="minorEastAsia"/>
                <w:spacing w:val="-4"/>
                <w:lang w:val="en-US" w:eastAsia="zh-CN"/>
              </w:rPr>
              <w:t>保证措施应符合国家及自治区规定的强制性标准并有针对性，同时要符合实际情况，切实可行。安全目标明确，优于招标文件要求；管理机构健全，职责分工明确；管理制度齐全；实施与监控措施全面、有效。</w:t>
            </w:r>
            <w:r>
              <w:rPr>
                <w:rFonts w:hint="eastAsia" w:asciiTheme="minorEastAsia" w:hAnsiTheme="minorEastAsia" w:eastAsiaTheme="minorEastAsia" w:cstheme="minorEastAsia"/>
                <w:spacing w:val="-4"/>
                <w:lang w:val="en-US" w:eastAsia="en-US"/>
              </w:rPr>
              <w:t>安全生产责任制健全、职责明确的，得</w:t>
            </w:r>
            <w:r>
              <w:rPr>
                <w:rFonts w:hint="eastAsia" w:asciiTheme="minorEastAsia" w:hAnsiTheme="minorEastAsia" w:eastAsiaTheme="minorEastAsia" w:cstheme="minorEastAsia"/>
                <w:spacing w:val="-4"/>
                <w:lang w:val="en-US" w:eastAsia="zh-CN"/>
              </w:rPr>
              <w:t>4</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 xml:space="preserve">得0分；  </w:t>
            </w:r>
          </w:p>
          <w:p w14:paraId="6B185F1F">
            <w:pPr>
              <w:pStyle w:val="44"/>
              <w:spacing w:before="113" w:line="231" w:lineRule="auto"/>
              <w:ind w:left="89" w:leftChars="0" w:right="55" w:rightChars="0" w:hanging="17" w:firstLineChars="0"/>
              <w:rPr>
                <w:rFonts w:hint="default"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lang w:val="en-US" w:eastAsia="en-US"/>
              </w:rPr>
              <w:t>（2）安全管理资源配置合理、措施符合相关安全技术（操作）规程的，得</w:t>
            </w:r>
            <w:r>
              <w:rPr>
                <w:rFonts w:hint="eastAsia" w:asciiTheme="minorEastAsia" w:hAnsiTheme="minorEastAsia" w:eastAsiaTheme="minorEastAsia" w:cstheme="minorEastAsia"/>
                <w:spacing w:val="-4"/>
                <w:lang w:val="en-US" w:eastAsia="zh-CN"/>
              </w:rPr>
              <w:t>4</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得0分。</w:t>
            </w:r>
          </w:p>
        </w:tc>
        <w:tc>
          <w:tcPr>
            <w:tcW w:w="858" w:type="dxa"/>
            <w:vAlign w:val="top"/>
          </w:tcPr>
          <w:p w14:paraId="0EE25610">
            <w:pPr>
              <w:pStyle w:val="44"/>
              <w:spacing w:before="113" w:line="231" w:lineRule="auto"/>
              <w:ind w:left="89" w:right="55" w:hanging="17"/>
              <w:jc w:val="center"/>
              <w:rPr>
                <w:rFonts w:hint="eastAsia" w:asciiTheme="minorEastAsia" w:hAnsiTheme="minorEastAsia" w:eastAsiaTheme="minorEastAsia" w:cstheme="minorEastAsia"/>
                <w:spacing w:val="-4"/>
              </w:rPr>
            </w:pPr>
          </w:p>
          <w:p w14:paraId="4D169C55">
            <w:pPr>
              <w:pStyle w:val="44"/>
              <w:spacing w:before="113" w:line="231" w:lineRule="auto"/>
              <w:ind w:left="89" w:leftChars="0" w:right="55" w:rightChars="0" w:hanging="17" w:firstLineChars="0"/>
              <w:jc w:val="center"/>
              <w:rPr>
                <w:rFonts w:hint="eastAsia"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lang w:val="en-US" w:eastAsia="zh-CN"/>
              </w:rPr>
              <w:t>8</w:t>
            </w:r>
          </w:p>
        </w:tc>
      </w:tr>
      <w:tr w14:paraId="27306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96" w:type="dxa"/>
            <w:vMerge w:val="continue"/>
            <w:vAlign w:val="center"/>
          </w:tcPr>
          <w:p w14:paraId="739EC479">
            <w:pPr>
              <w:pStyle w:val="44"/>
              <w:spacing w:before="113" w:line="231" w:lineRule="auto"/>
              <w:ind w:left="89" w:right="55" w:hanging="17"/>
              <w:jc w:val="center"/>
              <w:rPr>
                <w:rFonts w:hint="eastAsia" w:asciiTheme="minorEastAsia" w:hAnsiTheme="minorEastAsia" w:eastAsiaTheme="minorEastAsia" w:cstheme="minorEastAsia"/>
                <w:spacing w:val="-4"/>
              </w:rPr>
            </w:pPr>
          </w:p>
        </w:tc>
        <w:tc>
          <w:tcPr>
            <w:tcW w:w="1315" w:type="dxa"/>
            <w:vAlign w:val="center"/>
          </w:tcPr>
          <w:p w14:paraId="5A2B5D71">
            <w:pPr>
              <w:pStyle w:val="44"/>
              <w:spacing w:before="113" w:line="231" w:lineRule="auto"/>
              <w:ind w:left="89" w:right="55" w:hanging="17"/>
              <w:jc w:val="center"/>
              <w:rPr>
                <w:rFonts w:hint="eastAsia" w:asciiTheme="minorEastAsia" w:hAnsiTheme="minorEastAsia" w:eastAsiaTheme="minorEastAsia" w:cstheme="minorEastAsia"/>
                <w:spacing w:val="-4"/>
              </w:rPr>
            </w:pPr>
            <w:r>
              <w:rPr>
                <w:rFonts w:hint="eastAsia" w:asciiTheme="minorEastAsia" w:hAnsiTheme="minorEastAsia" w:eastAsiaTheme="minorEastAsia" w:cstheme="minorEastAsia"/>
                <w:spacing w:val="-4"/>
              </w:rPr>
              <w:t>环境保护管</w:t>
            </w:r>
          </w:p>
          <w:p w14:paraId="4E76AD3B">
            <w:pPr>
              <w:pStyle w:val="44"/>
              <w:spacing w:before="113" w:line="231" w:lineRule="auto"/>
              <w:ind w:left="89" w:right="55" w:hanging="17"/>
              <w:jc w:val="center"/>
              <w:rPr>
                <w:rFonts w:hint="eastAsia" w:asciiTheme="minorEastAsia" w:hAnsiTheme="minorEastAsia" w:eastAsiaTheme="minorEastAsia" w:cstheme="minorEastAsia"/>
                <w:spacing w:val="-4"/>
              </w:rPr>
            </w:pPr>
            <w:r>
              <w:rPr>
                <w:rFonts w:hint="eastAsia" w:asciiTheme="minorEastAsia" w:hAnsiTheme="minorEastAsia" w:eastAsiaTheme="minorEastAsia" w:cstheme="minorEastAsia"/>
                <w:spacing w:val="-4"/>
              </w:rPr>
              <w:t>理体系与措</w:t>
            </w:r>
          </w:p>
          <w:p w14:paraId="77044B6F">
            <w:pPr>
              <w:pStyle w:val="44"/>
              <w:spacing w:before="113" w:line="231" w:lineRule="auto"/>
              <w:ind w:left="89" w:leftChars="0" w:right="55" w:rightChars="0" w:hanging="17" w:firstLineChars="0"/>
              <w:jc w:val="center"/>
              <w:rPr>
                <w:rFonts w:hint="eastAsia" w:asciiTheme="minorEastAsia" w:hAnsiTheme="minorEastAsia" w:eastAsiaTheme="minorEastAsia" w:cstheme="minorEastAsia"/>
                <w:spacing w:val="-4"/>
              </w:rPr>
            </w:pPr>
            <w:r>
              <w:rPr>
                <w:rFonts w:hint="eastAsia" w:asciiTheme="minorEastAsia" w:hAnsiTheme="minorEastAsia" w:eastAsiaTheme="minorEastAsia" w:cstheme="minorEastAsia"/>
                <w:spacing w:val="-4"/>
              </w:rPr>
              <w:t>施</w:t>
            </w:r>
          </w:p>
        </w:tc>
        <w:tc>
          <w:tcPr>
            <w:tcW w:w="6761" w:type="dxa"/>
            <w:vAlign w:val="top"/>
          </w:tcPr>
          <w:p w14:paraId="17EA3B45">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环境保护管理资源配置合理、措施合理的，得</w:t>
            </w:r>
            <w:r>
              <w:rPr>
                <w:rFonts w:hint="eastAsia" w:asciiTheme="minorEastAsia" w:hAnsiTheme="minorEastAsia" w:eastAsiaTheme="minorEastAsia" w:cstheme="minorEastAsia"/>
                <w:spacing w:val="-4"/>
                <w:lang w:val="en-US" w:eastAsia="zh-CN"/>
              </w:rPr>
              <w:t>8</w:t>
            </w:r>
            <w:r>
              <w:rPr>
                <w:rFonts w:hint="eastAsia" w:asciiTheme="minorEastAsia" w:hAnsiTheme="minorEastAsia" w:eastAsiaTheme="minorEastAsia" w:cstheme="minorEastAsia"/>
                <w:spacing w:val="-4"/>
                <w:lang w:val="en-US" w:eastAsia="en-US"/>
              </w:rPr>
              <w:t>分，环境保护管理资源配置、措施</w:t>
            </w:r>
            <w:r>
              <w:rPr>
                <w:rFonts w:hint="eastAsia" w:asciiTheme="minorEastAsia" w:hAnsiTheme="minorEastAsia" w:eastAsiaTheme="minorEastAsia" w:cstheme="minorEastAsia"/>
                <w:spacing w:val="-4"/>
                <w:lang w:val="en-US" w:eastAsia="zh-CN"/>
              </w:rPr>
              <w:t>内容存在缺陷</w:t>
            </w:r>
            <w:r>
              <w:rPr>
                <w:rFonts w:hint="eastAsia" w:asciiTheme="minorEastAsia" w:hAnsiTheme="minorEastAsia" w:eastAsiaTheme="minorEastAsia" w:cstheme="minorEastAsia"/>
                <w:spacing w:val="-4"/>
                <w:lang w:val="en-US" w:eastAsia="en-US"/>
              </w:rPr>
              <w:t>的，得</w:t>
            </w:r>
            <w:r>
              <w:rPr>
                <w:rFonts w:hint="eastAsia" w:asciiTheme="minorEastAsia" w:hAnsiTheme="minorEastAsia" w:eastAsiaTheme="minorEastAsia" w:cstheme="minorEastAsia"/>
                <w:spacing w:val="-4"/>
                <w:lang w:val="en-US" w:eastAsia="zh-CN"/>
              </w:rPr>
              <w:t>5</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未提供的</w:t>
            </w:r>
            <w:r>
              <w:rPr>
                <w:rFonts w:hint="eastAsia" w:asciiTheme="minorEastAsia" w:hAnsiTheme="minorEastAsia" w:eastAsiaTheme="minorEastAsia" w:cstheme="minorEastAsia"/>
                <w:spacing w:val="-4"/>
                <w:lang w:val="en-US" w:eastAsia="en-US"/>
              </w:rPr>
              <w:t>得0分。</w:t>
            </w:r>
          </w:p>
          <w:p w14:paraId="2FCBB07B">
            <w:pPr>
              <w:pStyle w:val="44"/>
              <w:spacing w:before="113" w:line="231" w:lineRule="auto"/>
              <w:ind w:left="89" w:leftChars="0" w:right="55" w:rightChars="0" w:hanging="17" w:firstLineChars="0"/>
              <w:rPr>
                <w:rFonts w:hint="default" w:asciiTheme="minorEastAsia" w:hAnsiTheme="minorEastAsia" w:eastAsiaTheme="minorEastAsia" w:cstheme="minorEastAsia"/>
                <w:spacing w:val="-4"/>
                <w:lang w:val="en-US" w:eastAsia="zh-CN"/>
              </w:rPr>
            </w:pPr>
            <w:r>
              <w:rPr>
                <w:rFonts w:hint="default" w:asciiTheme="minorEastAsia" w:hAnsiTheme="minorEastAsia" w:eastAsiaTheme="minorEastAsia" w:cstheme="minorEastAsia"/>
                <w:spacing w:val="-4"/>
                <w:lang w:val="en-US" w:eastAsia="zh-CN"/>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858" w:type="dxa"/>
            <w:vAlign w:val="top"/>
          </w:tcPr>
          <w:p w14:paraId="35C2D381">
            <w:pPr>
              <w:pStyle w:val="44"/>
              <w:spacing w:before="113" w:line="231" w:lineRule="auto"/>
              <w:ind w:left="89" w:right="55" w:hanging="17"/>
              <w:jc w:val="center"/>
              <w:rPr>
                <w:rFonts w:hint="eastAsia" w:asciiTheme="minorEastAsia" w:hAnsiTheme="minorEastAsia" w:eastAsiaTheme="minorEastAsia" w:cstheme="minorEastAsia"/>
                <w:spacing w:val="-4"/>
              </w:rPr>
            </w:pPr>
          </w:p>
          <w:p w14:paraId="3ED6E9DA">
            <w:pPr>
              <w:pStyle w:val="44"/>
              <w:spacing w:before="113" w:line="231" w:lineRule="auto"/>
              <w:ind w:left="89" w:leftChars="0" w:right="55" w:rightChars="0" w:hanging="17" w:firstLineChars="0"/>
              <w:jc w:val="center"/>
              <w:rPr>
                <w:rFonts w:hint="eastAsia"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lang w:val="en-US" w:eastAsia="zh-CN"/>
              </w:rPr>
              <w:t>8</w:t>
            </w:r>
          </w:p>
        </w:tc>
      </w:tr>
      <w:tr w14:paraId="7088B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96" w:type="dxa"/>
            <w:vMerge w:val="continue"/>
            <w:vAlign w:val="center"/>
          </w:tcPr>
          <w:p w14:paraId="4100D468">
            <w:pPr>
              <w:pStyle w:val="44"/>
              <w:spacing w:before="113" w:line="231" w:lineRule="auto"/>
              <w:ind w:left="89" w:right="55" w:hanging="17"/>
              <w:jc w:val="center"/>
              <w:rPr>
                <w:rFonts w:hint="eastAsia" w:asciiTheme="minorEastAsia" w:hAnsiTheme="minorEastAsia" w:eastAsiaTheme="minorEastAsia" w:cstheme="minorEastAsia"/>
                <w:spacing w:val="-4"/>
              </w:rPr>
            </w:pPr>
          </w:p>
        </w:tc>
        <w:tc>
          <w:tcPr>
            <w:tcW w:w="1315" w:type="dxa"/>
            <w:vAlign w:val="center"/>
          </w:tcPr>
          <w:p w14:paraId="2C614B50">
            <w:pPr>
              <w:pStyle w:val="44"/>
              <w:spacing w:before="113" w:line="231" w:lineRule="auto"/>
              <w:ind w:left="89" w:leftChars="0" w:right="55" w:rightChars="0" w:hanging="17" w:firstLineChars="0"/>
              <w:jc w:val="center"/>
              <w:rPr>
                <w:rFonts w:hint="eastAsia" w:asciiTheme="minorEastAsia" w:hAnsiTheme="minorEastAsia" w:eastAsiaTheme="minorEastAsia" w:cstheme="minorEastAsia"/>
                <w:spacing w:val="-4"/>
              </w:rPr>
            </w:pPr>
            <w:r>
              <w:rPr>
                <w:rFonts w:hint="eastAsia" w:asciiTheme="minorEastAsia" w:hAnsiTheme="minorEastAsia" w:eastAsiaTheme="minorEastAsia" w:cstheme="minorEastAsia"/>
                <w:spacing w:val="-4"/>
              </w:rPr>
              <w:t>工程进度计 划与措施</w:t>
            </w:r>
          </w:p>
        </w:tc>
        <w:tc>
          <w:tcPr>
            <w:tcW w:w="6761" w:type="dxa"/>
            <w:vAlign w:val="top"/>
          </w:tcPr>
          <w:p w14:paraId="062CA81E">
            <w:pPr>
              <w:pStyle w:val="44"/>
              <w:spacing w:before="113" w:line="231" w:lineRule="auto"/>
              <w:ind w:left="89" w:leftChars="0" w:right="55" w:rightChars="0" w:hanging="17" w:firstLineChars="0"/>
              <w:rPr>
                <w:rFonts w:hint="default"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lang w:val="en-US" w:eastAsia="zh-CN"/>
              </w:rPr>
              <w:t>工程进度计划应在空间和时间上做合理的统筹安排且符合施工的科学规律，</w:t>
            </w:r>
            <w:r>
              <w:rPr>
                <w:rFonts w:hint="eastAsia" w:asciiTheme="minorEastAsia" w:hAnsiTheme="minorEastAsia" w:eastAsiaTheme="minorEastAsia" w:cstheme="minorEastAsia"/>
                <w:spacing w:val="-4"/>
              </w:rPr>
              <w:t>工程施工流程、进度计划横道图（或者网络图）中关键线路以及措施合理的，得6分，否则得0分。</w:t>
            </w:r>
          </w:p>
        </w:tc>
        <w:tc>
          <w:tcPr>
            <w:tcW w:w="858" w:type="dxa"/>
            <w:vAlign w:val="top"/>
          </w:tcPr>
          <w:p w14:paraId="0A40E97A">
            <w:pPr>
              <w:pStyle w:val="44"/>
              <w:spacing w:before="113" w:line="231" w:lineRule="auto"/>
              <w:ind w:left="89" w:right="55" w:hanging="17"/>
              <w:jc w:val="center"/>
              <w:rPr>
                <w:rFonts w:hint="eastAsia" w:asciiTheme="minorEastAsia" w:hAnsiTheme="minorEastAsia" w:eastAsiaTheme="minorEastAsia" w:cstheme="minorEastAsia"/>
                <w:spacing w:val="-4"/>
              </w:rPr>
            </w:pPr>
          </w:p>
          <w:p w14:paraId="4F0D8D70">
            <w:pPr>
              <w:pStyle w:val="44"/>
              <w:spacing w:before="113" w:line="231" w:lineRule="auto"/>
              <w:ind w:left="89" w:leftChars="0" w:right="55" w:rightChars="0" w:hanging="17" w:firstLineChars="0"/>
              <w:jc w:val="center"/>
              <w:rPr>
                <w:rFonts w:hint="eastAsia"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rPr>
              <w:t>6</w:t>
            </w:r>
          </w:p>
        </w:tc>
      </w:tr>
      <w:tr w14:paraId="09318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96" w:type="dxa"/>
            <w:vMerge w:val="continue"/>
            <w:vAlign w:val="center"/>
          </w:tcPr>
          <w:p w14:paraId="0CCC2E8F">
            <w:pPr>
              <w:pStyle w:val="44"/>
              <w:spacing w:before="113" w:line="231" w:lineRule="auto"/>
              <w:ind w:left="89" w:right="55" w:hanging="17"/>
              <w:jc w:val="center"/>
              <w:rPr>
                <w:rFonts w:hint="eastAsia" w:asciiTheme="minorEastAsia" w:hAnsiTheme="minorEastAsia" w:eastAsiaTheme="minorEastAsia" w:cstheme="minorEastAsia"/>
                <w:spacing w:val="-4"/>
              </w:rPr>
            </w:pPr>
          </w:p>
        </w:tc>
        <w:tc>
          <w:tcPr>
            <w:tcW w:w="1315" w:type="dxa"/>
            <w:vAlign w:val="center"/>
          </w:tcPr>
          <w:p w14:paraId="7A84735C">
            <w:pPr>
              <w:pStyle w:val="44"/>
              <w:spacing w:before="113" w:line="231" w:lineRule="auto"/>
              <w:ind w:left="89" w:right="55" w:hanging="17"/>
              <w:jc w:val="center"/>
              <w:rPr>
                <w:rFonts w:hint="eastAsia" w:asciiTheme="minorEastAsia" w:hAnsiTheme="minorEastAsia" w:eastAsiaTheme="minorEastAsia" w:cstheme="minorEastAsia"/>
                <w:spacing w:val="-4"/>
              </w:rPr>
            </w:pPr>
          </w:p>
          <w:p w14:paraId="72D2CA3D">
            <w:pPr>
              <w:pStyle w:val="44"/>
              <w:spacing w:before="113" w:line="231" w:lineRule="auto"/>
              <w:ind w:left="89" w:right="55" w:hanging="17"/>
              <w:jc w:val="center"/>
              <w:rPr>
                <w:rFonts w:hint="eastAsia" w:asciiTheme="minorEastAsia" w:hAnsiTheme="minorEastAsia" w:eastAsiaTheme="minorEastAsia" w:cstheme="minorEastAsia"/>
                <w:spacing w:val="-4"/>
              </w:rPr>
            </w:pPr>
          </w:p>
          <w:p w14:paraId="6E908D54">
            <w:pPr>
              <w:pStyle w:val="44"/>
              <w:spacing w:before="113" w:line="231" w:lineRule="auto"/>
              <w:ind w:left="89" w:leftChars="0" w:right="55" w:rightChars="0" w:hanging="17" w:firstLineChars="0"/>
              <w:jc w:val="center"/>
              <w:rPr>
                <w:rFonts w:hint="eastAsia" w:asciiTheme="minorEastAsia" w:hAnsiTheme="minorEastAsia" w:eastAsiaTheme="minorEastAsia" w:cstheme="minorEastAsia"/>
                <w:spacing w:val="-4"/>
              </w:rPr>
            </w:pPr>
            <w:r>
              <w:rPr>
                <w:rFonts w:hint="eastAsia" w:asciiTheme="minorEastAsia" w:hAnsiTheme="minorEastAsia" w:eastAsiaTheme="minorEastAsia" w:cstheme="minorEastAsia"/>
                <w:spacing w:val="-4"/>
              </w:rPr>
              <w:t>资源配备计 划</w:t>
            </w:r>
          </w:p>
        </w:tc>
        <w:tc>
          <w:tcPr>
            <w:tcW w:w="6761" w:type="dxa"/>
            <w:vAlign w:val="top"/>
          </w:tcPr>
          <w:p w14:paraId="3B5C5D03">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（1）资金使用计划安排合理的，得2分</w:t>
            </w:r>
            <w:r>
              <w:rPr>
                <w:rFonts w:hint="eastAsia" w:asciiTheme="minorEastAsia" w:hAnsiTheme="minorEastAsia" w:eastAsiaTheme="minorEastAsia" w:cstheme="minorEastAsia"/>
                <w:spacing w:val="-4"/>
                <w:lang w:val="en-US" w:eastAsia="zh-CN"/>
              </w:rPr>
              <w:t>，内容存在缺陷</w:t>
            </w:r>
            <w:r>
              <w:rPr>
                <w:rFonts w:hint="eastAsia" w:asciiTheme="minorEastAsia" w:hAnsiTheme="minorEastAsia" w:eastAsiaTheme="minorEastAsia" w:cstheme="minorEastAsia"/>
                <w:spacing w:val="-4"/>
                <w:lang w:val="en-US" w:eastAsia="en-US"/>
              </w:rPr>
              <w:t>的，得1分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的，得0分。</w:t>
            </w:r>
          </w:p>
          <w:p w14:paraId="0C8BE03C">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（2）劳动力安排计划合理且有计算说明的，得2分</w:t>
            </w:r>
            <w:r>
              <w:rPr>
                <w:rFonts w:hint="eastAsia" w:asciiTheme="minorEastAsia" w:hAnsiTheme="minorEastAsia" w:eastAsiaTheme="minorEastAsia" w:cstheme="minorEastAsia"/>
                <w:spacing w:val="-4"/>
                <w:lang w:val="en-US" w:eastAsia="zh-CN"/>
              </w:rPr>
              <w:t>，内容存在缺陷</w:t>
            </w:r>
            <w:r>
              <w:rPr>
                <w:rFonts w:hint="eastAsia" w:asciiTheme="minorEastAsia" w:hAnsiTheme="minorEastAsia" w:eastAsiaTheme="minorEastAsia" w:cstheme="minorEastAsia"/>
                <w:spacing w:val="-4"/>
                <w:lang w:val="en-US" w:eastAsia="en-US"/>
              </w:rPr>
              <w:t>的，得1分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的，得0分。</w:t>
            </w:r>
          </w:p>
          <w:p w14:paraId="5090DA83">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（3）主要材料用量计划安排合理且有计算说明的，得2分</w:t>
            </w:r>
            <w:r>
              <w:rPr>
                <w:rFonts w:hint="eastAsia" w:asciiTheme="minorEastAsia" w:hAnsiTheme="minorEastAsia" w:eastAsiaTheme="minorEastAsia" w:cstheme="minorEastAsia"/>
                <w:spacing w:val="-4"/>
                <w:lang w:val="en-US" w:eastAsia="zh-CN"/>
              </w:rPr>
              <w:t>，内容存在缺陷</w:t>
            </w:r>
            <w:r>
              <w:rPr>
                <w:rFonts w:hint="eastAsia" w:asciiTheme="minorEastAsia" w:hAnsiTheme="minorEastAsia" w:eastAsiaTheme="minorEastAsia" w:cstheme="minorEastAsia"/>
                <w:spacing w:val="-4"/>
                <w:lang w:val="en-US" w:eastAsia="en-US"/>
              </w:rPr>
              <w:t>的，得1分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的，得0分。</w:t>
            </w:r>
          </w:p>
          <w:p w14:paraId="6E2FBC64">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（4）主要施工机械设备使用计划合理且有计算说明的，得2分</w:t>
            </w:r>
            <w:r>
              <w:rPr>
                <w:rFonts w:hint="eastAsia" w:asciiTheme="minorEastAsia" w:hAnsiTheme="minorEastAsia" w:eastAsiaTheme="minorEastAsia" w:cstheme="minorEastAsia"/>
                <w:spacing w:val="-4"/>
                <w:lang w:val="en-US" w:eastAsia="zh-CN"/>
              </w:rPr>
              <w:t>，内容存在缺陷</w:t>
            </w:r>
            <w:r>
              <w:rPr>
                <w:rFonts w:hint="eastAsia" w:asciiTheme="minorEastAsia" w:hAnsiTheme="minorEastAsia" w:eastAsiaTheme="minorEastAsia" w:cstheme="minorEastAsia"/>
                <w:spacing w:val="-4"/>
                <w:lang w:val="en-US" w:eastAsia="en-US"/>
              </w:rPr>
              <w:t>的，得1分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的，得0分。</w:t>
            </w:r>
          </w:p>
          <w:p w14:paraId="50CA409D">
            <w:pPr>
              <w:pStyle w:val="44"/>
              <w:spacing w:before="113" w:line="231" w:lineRule="auto"/>
              <w:ind w:left="89" w:leftChars="0" w:right="55" w:rightChars="0" w:hanging="17" w:firstLineChars="0"/>
              <w:rPr>
                <w:rFonts w:hint="default" w:asciiTheme="minorEastAsia" w:hAnsiTheme="minorEastAsia" w:eastAsiaTheme="minorEastAsia" w:cstheme="minorEastAsia"/>
                <w:spacing w:val="-4"/>
                <w:lang w:val="en-US" w:eastAsia="zh-CN"/>
              </w:rPr>
            </w:pPr>
            <w:r>
              <w:rPr>
                <w:rFonts w:hint="default" w:asciiTheme="minorEastAsia" w:hAnsiTheme="minorEastAsia" w:eastAsiaTheme="minorEastAsia" w:cstheme="minorEastAsia"/>
                <w:spacing w:val="-4"/>
                <w:lang w:val="en-US" w:eastAsia="zh-CN"/>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858" w:type="dxa"/>
            <w:vAlign w:val="top"/>
          </w:tcPr>
          <w:p w14:paraId="5E7EA774">
            <w:pPr>
              <w:pStyle w:val="44"/>
              <w:spacing w:before="113" w:line="231" w:lineRule="auto"/>
              <w:ind w:left="89" w:right="55" w:hanging="17"/>
              <w:jc w:val="center"/>
              <w:rPr>
                <w:rFonts w:hint="eastAsia" w:asciiTheme="minorEastAsia" w:hAnsiTheme="minorEastAsia" w:eastAsiaTheme="minorEastAsia" w:cstheme="minorEastAsia"/>
                <w:spacing w:val="-4"/>
              </w:rPr>
            </w:pPr>
          </w:p>
          <w:p w14:paraId="71CEC111">
            <w:pPr>
              <w:pStyle w:val="44"/>
              <w:spacing w:before="113" w:line="231" w:lineRule="auto"/>
              <w:ind w:left="89" w:right="55" w:hanging="17"/>
              <w:jc w:val="center"/>
              <w:rPr>
                <w:rFonts w:hint="eastAsia" w:asciiTheme="minorEastAsia" w:hAnsiTheme="minorEastAsia" w:eastAsiaTheme="minorEastAsia" w:cstheme="minorEastAsia"/>
                <w:spacing w:val="-4"/>
              </w:rPr>
            </w:pPr>
          </w:p>
          <w:p w14:paraId="7E17634B">
            <w:pPr>
              <w:pStyle w:val="44"/>
              <w:spacing w:before="113" w:line="231" w:lineRule="auto"/>
              <w:ind w:left="89" w:right="55" w:hanging="17"/>
              <w:jc w:val="center"/>
              <w:rPr>
                <w:rFonts w:hint="eastAsia" w:asciiTheme="minorEastAsia" w:hAnsiTheme="minorEastAsia" w:eastAsiaTheme="minorEastAsia" w:cstheme="minorEastAsia"/>
                <w:spacing w:val="-4"/>
              </w:rPr>
            </w:pPr>
          </w:p>
          <w:p w14:paraId="5112A64B">
            <w:pPr>
              <w:pStyle w:val="44"/>
              <w:spacing w:before="113" w:line="231" w:lineRule="auto"/>
              <w:ind w:left="89" w:leftChars="0" w:right="55" w:rightChars="0" w:hanging="17" w:firstLineChars="0"/>
              <w:jc w:val="center"/>
              <w:rPr>
                <w:rFonts w:hint="eastAsia"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rPr>
              <w:t>8</w:t>
            </w:r>
          </w:p>
        </w:tc>
      </w:tr>
      <w:tr w14:paraId="2E020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96" w:type="dxa"/>
            <w:vMerge w:val="continue"/>
            <w:vAlign w:val="center"/>
          </w:tcPr>
          <w:p w14:paraId="3346CC40">
            <w:pPr>
              <w:pStyle w:val="44"/>
              <w:spacing w:before="113" w:line="231" w:lineRule="auto"/>
              <w:ind w:left="89" w:right="55" w:hanging="17"/>
              <w:jc w:val="center"/>
              <w:rPr>
                <w:rFonts w:hint="eastAsia" w:asciiTheme="minorEastAsia" w:hAnsiTheme="minorEastAsia" w:eastAsiaTheme="minorEastAsia" w:cstheme="minorEastAsia"/>
                <w:spacing w:val="-4"/>
              </w:rPr>
            </w:pPr>
          </w:p>
        </w:tc>
        <w:tc>
          <w:tcPr>
            <w:tcW w:w="1315" w:type="dxa"/>
            <w:vAlign w:val="center"/>
          </w:tcPr>
          <w:p w14:paraId="026670E9">
            <w:pPr>
              <w:pStyle w:val="44"/>
              <w:spacing w:before="113" w:line="231" w:lineRule="auto"/>
              <w:ind w:left="89" w:right="55" w:hanging="17"/>
              <w:jc w:val="center"/>
              <w:rPr>
                <w:rFonts w:hint="eastAsia" w:asciiTheme="minorEastAsia" w:hAnsiTheme="minorEastAsia" w:eastAsiaTheme="minorEastAsia" w:cstheme="minorEastAsia"/>
                <w:spacing w:val="-4"/>
              </w:rPr>
            </w:pPr>
          </w:p>
          <w:p w14:paraId="7834A678">
            <w:pPr>
              <w:pStyle w:val="44"/>
              <w:spacing w:before="113" w:line="231" w:lineRule="auto"/>
              <w:ind w:left="89" w:leftChars="0" w:right="55" w:rightChars="0" w:hanging="17" w:firstLineChars="0"/>
              <w:jc w:val="center"/>
              <w:rPr>
                <w:rFonts w:hint="eastAsia" w:asciiTheme="minorEastAsia" w:hAnsiTheme="minorEastAsia" w:eastAsiaTheme="minorEastAsia" w:cstheme="minorEastAsia"/>
                <w:spacing w:val="-4"/>
              </w:rPr>
            </w:pPr>
            <w:r>
              <w:rPr>
                <w:rFonts w:hint="eastAsia" w:asciiTheme="minorEastAsia" w:hAnsiTheme="minorEastAsia" w:eastAsiaTheme="minorEastAsia" w:cstheme="minorEastAsia"/>
                <w:spacing w:val="-4"/>
              </w:rPr>
              <w:t>内容完整性 和编制水平</w:t>
            </w:r>
          </w:p>
        </w:tc>
        <w:tc>
          <w:tcPr>
            <w:tcW w:w="6761" w:type="dxa"/>
            <w:vAlign w:val="top"/>
          </w:tcPr>
          <w:p w14:paraId="32948A71">
            <w:pPr>
              <w:pStyle w:val="44"/>
              <w:spacing w:before="113" w:line="231" w:lineRule="auto"/>
              <w:ind w:left="89" w:right="55" w:hanging="17"/>
              <w:rPr>
                <w:rFonts w:hint="eastAsia" w:asciiTheme="minorEastAsia" w:hAnsiTheme="minorEastAsia" w:eastAsiaTheme="minorEastAsia" w:cstheme="minorEastAsia"/>
                <w:spacing w:val="-4"/>
                <w:lang w:val="en-US" w:eastAsia="en-US"/>
              </w:rPr>
            </w:pPr>
            <w:r>
              <w:rPr>
                <w:rFonts w:hint="eastAsia" w:asciiTheme="minorEastAsia" w:hAnsiTheme="minorEastAsia" w:eastAsiaTheme="minorEastAsia" w:cstheme="minorEastAsia"/>
                <w:spacing w:val="-4"/>
                <w:lang w:val="en-US" w:eastAsia="en-US"/>
              </w:rPr>
              <w:t>施工组织包含施工条件、施工导流（如需要）、料场的选择与开采（如需要）、主体工程施工、施工交通运输、施工工厂设施 （如需要）、施工总布置、施工总进度、主要技术供应等章节，且内容完整、编制合理的，得</w:t>
            </w:r>
            <w:r>
              <w:rPr>
                <w:rFonts w:hint="eastAsia" w:asciiTheme="minorEastAsia" w:hAnsiTheme="minorEastAsia" w:eastAsiaTheme="minorEastAsia" w:cstheme="minorEastAsia"/>
                <w:spacing w:val="-4"/>
                <w:lang w:val="en-US" w:eastAsia="zh-CN"/>
              </w:rPr>
              <w:t>9</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，每</w:t>
            </w:r>
            <w:r>
              <w:rPr>
                <w:rFonts w:hint="eastAsia" w:asciiTheme="minorEastAsia" w:hAnsiTheme="minorEastAsia" w:eastAsiaTheme="minorEastAsia" w:cstheme="minorEastAsia"/>
                <w:sz w:val="22"/>
                <w:szCs w:val="22"/>
                <w:lang w:val="en-US" w:eastAsia="en-US" w:bidi="ar-SA"/>
              </w:rPr>
              <w:t>缺少一项则减</w:t>
            </w:r>
            <w:r>
              <w:rPr>
                <w:rFonts w:hint="eastAsia" w:asciiTheme="minorEastAsia" w:hAnsiTheme="minorEastAsia" w:eastAsiaTheme="minorEastAsia" w:cstheme="minorEastAsia"/>
                <w:sz w:val="22"/>
                <w:szCs w:val="22"/>
                <w:lang w:val="en-US" w:eastAsia="zh-CN" w:bidi="ar-SA"/>
              </w:rPr>
              <w:t>1</w:t>
            </w:r>
            <w:r>
              <w:rPr>
                <w:rFonts w:hint="eastAsia" w:asciiTheme="minorEastAsia" w:hAnsiTheme="minorEastAsia" w:eastAsiaTheme="minorEastAsia" w:cstheme="minorEastAsia"/>
                <w:sz w:val="22"/>
                <w:szCs w:val="22"/>
                <w:lang w:val="en-US" w:eastAsia="en-US" w:bidi="ar-SA"/>
              </w:rPr>
              <w:t>分，</w:t>
            </w:r>
            <w:r>
              <w:rPr>
                <w:rFonts w:hint="eastAsia" w:asciiTheme="minorEastAsia" w:hAnsiTheme="minorEastAsia" w:eastAsiaTheme="minorEastAsia" w:cstheme="minorEastAsia"/>
                <w:spacing w:val="-4"/>
                <w:lang w:val="en-US" w:eastAsia="zh-CN"/>
              </w:rPr>
              <w:t>每项内容存在一处缺陷</w:t>
            </w:r>
            <w:r>
              <w:rPr>
                <w:rFonts w:hint="eastAsia" w:asciiTheme="minorEastAsia" w:hAnsiTheme="minorEastAsia" w:eastAsiaTheme="minorEastAsia" w:cstheme="minorEastAsia"/>
                <w:spacing w:val="-4"/>
                <w:lang w:val="en-US" w:eastAsia="en-US"/>
              </w:rPr>
              <w:t>的，</w:t>
            </w:r>
            <w:r>
              <w:rPr>
                <w:rFonts w:hint="eastAsia" w:asciiTheme="minorEastAsia" w:hAnsiTheme="minorEastAsia" w:eastAsiaTheme="minorEastAsia" w:cstheme="minorEastAsia"/>
                <w:spacing w:val="-4"/>
                <w:lang w:val="en-US" w:eastAsia="zh-CN"/>
              </w:rPr>
              <w:t>扣0.5</w:t>
            </w:r>
            <w:r>
              <w:rPr>
                <w:rFonts w:hint="eastAsia" w:asciiTheme="minorEastAsia" w:hAnsiTheme="minorEastAsia" w:eastAsiaTheme="minorEastAsia" w:cstheme="minorEastAsia"/>
                <w:spacing w:val="-4"/>
                <w:lang w:val="en-US" w:eastAsia="en-US"/>
              </w:rPr>
              <w:t>分</w:t>
            </w:r>
            <w:r>
              <w:rPr>
                <w:rFonts w:hint="eastAsia" w:asciiTheme="minorEastAsia" w:hAnsiTheme="minorEastAsia" w:eastAsiaTheme="minorEastAsia" w:cstheme="minorEastAsia"/>
                <w:spacing w:val="-4"/>
                <w:lang w:val="en-US" w:eastAsia="zh-CN"/>
              </w:rPr>
              <w:t>；未提供</w:t>
            </w:r>
            <w:r>
              <w:rPr>
                <w:rFonts w:hint="eastAsia" w:asciiTheme="minorEastAsia" w:hAnsiTheme="minorEastAsia" w:eastAsiaTheme="minorEastAsia" w:cstheme="minorEastAsia"/>
                <w:spacing w:val="-4"/>
                <w:lang w:val="en-US" w:eastAsia="en-US"/>
              </w:rPr>
              <w:t>的，得0分。</w:t>
            </w:r>
          </w:p>
          <w:p w14:paraId="108AFCA4">
            <w:pPr>
              <w:pStyle w:val="44"/>
              <w:spacing w:before="113" w:line="231" w:lineRule="auto"/>
              <w:ind w:left="89" w:leftChars="0" w:right="55" w:rightChars="0" w:hanging="17" w:firstLineChars="0"/>
              <w:rPr>
                <w:rFonts w:hint="default" w:asciiTheme="minorEastAsia" w:hAnsiTheme="minorEastAsia" w:eastAsiaTheme="minorEastAsia" w:cstheme="minorEastAsia"/>
                <w:spacing w:val="-4"/>
                <w:lang w:val="en-US" w:eastAsia="zh-CN"/>
              </w:rPr>
            </w:pPr>
            <w:r>
              <w:rPr>
                <w:rFonts w:hint="default" w:asciiTheme="minorEastAsia" w:hAnsiTheme="minorEastAsia" w:eastAsiaTheme="minorEastAsia" w:cstheme="minorEastAsia"/>
                <w:spacing w:val="-4"/>
                <w:lang w:val="en-US" w:eastAsia="zh-CN"/>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858" w:type="dxa"/>
            <w:vAlign w:val="top"/>
          </w:tcPr>
          <w:p w14:paraId="09847863">
            <w:pPr>
              <w:pStyle w:val="44"/>
              <w:spacing w:before="113" w:line="231" w:lineRule="auto"/>
              <w:ind w:left="89" w:right="55" w:hanging="17"/>
              <w:jc w:val="center"/>
              <w:rPr>
                <w:rFonts w:hint="eastAsia" w:asciiTheme="minorEastAsia" w:hAnsiTheme="minorEastAsia" w:eastAsiaTheme="minorEastAsia" w:cstheme="minorEastAsia"/>
                <w:spacing w:val="-4"/>
              </w:rPr>
            </w:pPr>
          </w:p>
          <w:p w14:paraId="7AA27DBC">
            <w:pPr>
              <w:pStyle w:val="44"/>
              <w:spacing w:before="113" w:line="231" w:lineRule="auto"/>
              <w:ind w:left="89" w:right="55" w:hanging="17"/>
              <w:jc w:val="center"/>
              <w:rPr>
                <w:rFonts w:hint="eastAsia" w:asciiTheme="minorEastAsia" w:hAnsiTheme="minorEastAsia" w:eastAsiaTheme="minorEastAsia" w:cstheme="minorEastAsia"/>
                <w:spacing w:val="-4"/>
              </w:rPr>
            </w:pPr>
          </w:p>
          <w:p w14:paraId="0F4542E2">
            <w:pPr>
              <w:pStyle w:val="44"/>
              <w:spacing w:before="113" w:line="231" w:lineRule="auto"/>
              <w:ind w:left="89" w:leftChars="0" w:right="55" w:rightChars="0" w:hanging="17" w:firstLineChars="0"/>
              <w:jc w:val="center"/>
              <w:rPr>
                <w:rFonts w:hint="eastAsia"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lang w:val="en-US" w:eastAsia="zh-CN"/>
              </w:rPr>
              <w:t>9</w:t>
            </w:r>
          </w:p>
        </w:tc>
      </w:tr>
      <w:tr w14:paraId="636B8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072" w:type="dxa"/>
            <w:gridSpan w:val="3"/>
            <w:vAlign w:val="top"/>
          </w:tcPr>
          <w:p w14:paraId="6475ECE6">
            <w:pPr>
              <w:pStyle w:val="44"/>
              <w:spacing w:before="113" w:line="231" w:lineRule="auto"/>
              <w:ind w:left="89" w:leftChars="0" w:right="55" w:rightChars="0" w:hanging="17" w:firstLineChars="0"/>
              <w:jc w:val="center"/>
              <w:rPr>
                <w:rFonts w:hint="default"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lang w:val="en-US" w:eastAsia="zh-CN"/>
              </w:rPr>
              <w:t>合计</w:t>
            </w:r>
          </w:p>
        </w:tc>
        <w:tc>
          <w:tcPr>
            <w:tcW w:w="858" w:type="dxa"/>
            <w:vAlign w:val="top"/>
          </w:tcPr>
          <w:p w14:paraId="072E06A6">
            <w:pPr>
              <w:pStyle w:val="44"/>
              <w:spacing w:before="113" w:line="231" w:lineRule="auto"/>
              <w:ind w:left="89" w:leftChars="0" w:right="55" w:rightChars="0" w:hanging="17" w:firstLineChars="0"/>
              <w:jc w:val="center"/>
              <w:rPr>
                <w:rFonts w:hint="default" w:asciiTheme="minorEastAsia" w:hAnsiTheme="minorEastAsia" w:eastAsiaTheme="minorEastAsia" w:cstheme="minorEastAsia"/>
                <w:spacing w:val="-4"/>
                <w:lang w:val="en-US" w:eastAsia="zh-CN"/>
              </w:rPr>
            </w:pPr>
            <w:r>
              <w:rPr>
                <w:rFonts w:hint="eastAsia" w:asciiTheme="minorEastAsia" w:hAnsiTheme="minorEastAsia" w:eastAsiaTheme="minorEastAsia" w:cstheme="minorEastAsia"/>
                <w:spacing w:val="-4"/>
                <w:lang w:val="en-US" w:eastAsia="zh-CN"/>
              </w:rPr>
              <w:t>100</w:t>
            </w:r>
          </w:p>
        </w:tc>
      </w:tr>
    </w:tbl>
    <w:p w14:paraId="58503A06">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 w:hAnsi="仿宋" w:eastAsia="仿宋" w:cs="仿宋"/>
          <w:b/>
          <w:bCs/>
          <w:color w:val="auto"/>
          <w:sz w:val="28"/>
          <w:szCs w:val="28"/>
          <w:lang w:val="en-US" w:eastAsia="zh-CN"/>
        </w:rPr>
      </w:pPr>
    </w:p>
    <w:p w14:paraId="1D74214F">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 w:hAnsi="仿宋" w:eastAsia="仿宋" w:cs="仿宋"/>
          <w:b/>
          <w:bCs/>
          <w:color w:val="auto"/>
          <w:sz w:val="28"/>
          <w:szCs w:val="28"/>
          <w:lang w:val="en-US" w:eastAsia="zh-CN"/>
        </w:rPr>
      </w:pPr>
    </w:p>
    <w:p w14:paraId="68FB3FC7">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根据《关于推动解决政府采购异常低价问题的通知》财库〔2026〕2号</w:t>
      </w:r>
    </w:p>
    <w:p w14:paraId="50D866C2">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评审中出现下列情形之一的，评审委员会应当启动异常低价投标（响应）审查程序：</w:t>
      </w:r>
    </w:p>
    <w:p w14:paraId="7536EA5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1.投标（响应）报价低于全部通过符合性审查供应商投标（响应）报价平均值50%的，即投标（响应）报价&lt;全部通过符合性审查供应商投标（响应）报价平均值×50%；</w:t>
      </w:r>
    </w:p>
    <w:p w14:paraId="0DF643D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2.投标（响应）报价低于通过符合性审查的次低报价供应商投标（响应）报价50%的，即投标（响应）报价&lt;通过符合性审查的次低报价供应商投标（响应）报价×50%；</w:t>
      </w:r>
    </w:p>
    <w:p w14:paraId="67C8B60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3.投标（响应）报价低于采购项目最高限价45%的，即投标（响应）报价&lt;采购项目最高限价×45%；</w:t>
      </w:r>
    </w:p>
    <w:p w14:paraId="2B3DECD3">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pacing w:val="-4"/>
        </w:rPr>
        <w:sectPr>
          <w:footerReference r:id="rId13" w:type="default"/>
          <w:pgSz w:w="11910" w:h="16840"/>
          <w:pgMar w:top="1196" w:right="1016" w:bottom="1204" w:left="958" w:header="0" w:footer="1041" w:gutter="0"/>
          <w:pgNumType w:fmt="decimal"/>
          <w:cols w:space="720" w:num="1"/>
        </w:sectPr>
      </w:pPr>
      <w:r>
        <w:rPr>
          <w:rFonts w:hint="eastAsia" w:ascii="仿宋" w:hAnsi="仿宋" w:eastAsia="仿宋" w:cs="仿宋"/>
          <w:b/>
          <w:bCs/>
          <w:color w:val="auto"/>
          <w:sz w:val="28"/>
          <w:szCs w:val="28"/>
          <w:lang w:val="en-US" w:eastAsia="zh-CN"/>
        </w:rPr>
        <w:t>4.评审委员会基于专业判断，认为供应商报价过低，有可能影响产品质量或者不能诚信履约的其他情形。</w:t>
      </w:r>
    </w:p>
    <w:p w14:paraId="383304FC">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微软雅黑" w:hAnsi="微软雅黑" w:eastAsia="微软雅黑" w:cs="微软雅黑"/>
          <w:b/>
          <w:bCs/>
          <w:color w:val="auto"/>
          <w:sz w:val="32"/>
          <w:szCs w:val="32"/>
          <w:highlight w:val="none"/>
        </w:rPr>
      </w:pPr>
      <w:bookmarkStart w:id="14" w:name="_Toc26743_WPSOffice_Level1"/>
      <w:r>
        <w:rPr>
          <w:rFonts w:hint="eastAsia" w:ascii="微软雅黑" w:hAnsi="微软雅黑" w:eastAsia="微软雅黑" w:cs="微软雅黑"/>
          <w:b/>
          <w:bCs/>
          <w:color w:val="auto"/>
          <w:sz w:val="32"/>
          <w:szCs w:val="32"/>
          <w:highlight w:val="none"/>
        </w:rPr>
        <w:t>第三部分</w:t>
      </w:r>
      <w:r>
        <w:rPr>
          <w:rFonts w:hint="eastAsia" w:ascii="微软雅黑" w:hAnsi="微软雅黑" w:eastAsia="微软雅黑" w:cs="微软雅黑"/>
          <w:b/>
          <w:bCs/>
          <w:color w:val="auto"/>
          <w:sz w:val="32"/>
          <w:szCs w:val="32"/>
          <w:highlight w:val="none"/>
        </w:rPr>
        <w:tab/>
      </w:r>
      <w:r>
        <w:rPr>
          <w:rFonts w:hint="eastAsia" w:ascii="微软雅黑" w:hAnsi="微软雅黑" w:eastAsia="微软雅黑" w:cs="微软雅黑"/>
          <w:b/>
          <w:bCs/>
          <w:color w:val="auto"/>
          <w:sz w:val="32"/>
          <w:szCs w:val="32"/>
          <w:highlight w:val="none"/>
          <w:lang w:val="en-US" w:eastAsia="zh-CN"/>
        </w:rPr>
        <w:t>采购项目需求</w:t>
      </w:r>
      <w:bookmarkEnd w:id="14"/>
    </w:p>
    <w:p w14:paraId="7248BC7C">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val="en-US" w:eastAsia="zh-CN"/>
        </w:rPr>
        <w:t>采购项目需求</w:t>
      </w:r>
      <w:r>
        <w:rPr>
          <w:rFonts w:hint="eastAsia" w:ascii="宋体" w:hAnsi="宋体" w:eastAsia="宋体" w:cs="宋体"/>
          <w:b/>
          <w:bCs/>
          <w:color w:val="auto"/>
          <w:sz w:val="24"/>
          <w:szCs w:val="24"/>
          <w:highlight w:val="none"/>
        </w:rPr>
        <w:t>中标注“★部分”条款为实质性条款，供应商如在任何一条负偏离则导致响应无效。</w:t>
      </w:r>
      <w:r>
        <w:rPr>
          <w:rFonts w:hint="eastAsia" w:ascii="宋体" w:hAnsi="宋体" w:eastAsia="宋体" w:cs="宋体"/>
          <w:color w:val="auto"/>
          <w:sz w:val="24"/>
          <w:szCs w:val="24"/>
          <w:highlight w:val="none"/>
        </w:rPr>
        <w:t xml:space="preserve"> </w:t>
      </w:r>
    </w:p>
    <w:p w14:paraId="65F9148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center"/>
        <w:textAlignment w:val="auto"/>
        <w:rPr>
          <w:rFonts w:hint="eastAsia" w:ascii="宋体" w:hAnsi="宋体" w:eastAsia="宋体" w:cs="宋体"/>
          <w:b/>
          <w:bCs/>
          <w:color w:val="auto"/>
          <w:sz w:val="24"/>
          <w:szCs w:val="24"/>
          <w:highlight w:val="none"/>
        </w:rPr>
      </w:pPr>
    </w:p>
    <w:p w14:paraId="644C297C">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I 商务要求</w:t>
      </w:r>
    </w:p>
    <w:p w14:paraId="269B178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tbl>
      <w:tblPr>
        <w:tblStyle w:val="20"/>
        <w:tblW w:w="98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6"/>
        <w:gridCol w:w="1471"/>
        <w:gridCol w:w="7549"/>
      </w:tblGrid>
      <w:tr w14:paraId="5107A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836" w:type="dxa"/>
            <w:noWrap w:val="0"/>
            <w:vAlign w:val="top"/>
          </w:tcPr>
          <w:p w14:paraId="3E9CA0C0">
            <w:pPr>
              <w:keepNext w:val="0"/>
              <w:keepLines w:val="0"/>
              <w:pageBreakBefore w:val="0"/>
              <w:widowControl w:val="0"/>
              <w:kinsoku/>
              <w:wordWrap/>
              <w:overflowPunct/>
              <w:topLinePunct w:val="0"/>
              <w:autoSpaceDE w:val="0"/>
              <w:autoSpaceDN w:val="0"/>
              <w:bidi w:val="0"/>
              <w:adjustRightInd/>
              <w:snapToGrid/>
              <w:spacing w:line="440" w:lineRule="exact"/>
              <w:ind w:firstLine="241" w:firstLineChars="1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序号 </w:t>
            </w:r>
          </w:p>
        </w:tc>
        <w:tc>
          <w:tcPr>
            <w:tcW w:w="1471" w:type="dxa"/>
            <w:noWrap w:val="0"/>
            <w:vAlign w:val="top"/>
          </w:tcPr>
          <w:p w14:paraId="4A495FEB">
            <w:pPr>
              <w:keepNext w:val="0"/>
              <w:keepLines w:val="0"/>
              <w:pageBreakBefore w:val="0"/>
              <w:widowControl w:val="0"/>
              <w:kinsoku/>
              <w:wordWrap/>
              <w:overflowPunct/>
              <w:topLinePunct w:val="0"/>
              <w:autoSpaceDE w:val="0"/>
              <w:autoSpaceDN w:val="0"/>
              <w:bidi w:val="0"/>
              <w:adjustRightInd/>
              <w:snapToGrid/>
              <w:spacing w:line="440" w:lineRule="exact"/>
              <w:ind w:firstLine="241" w:firstLineChars="1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条款名称 </w:t>
            </w:r>
          </w:p>
        </w:tc>
        <w:tc>
          <w:tcPr>
            <w:tcW w:w="7549" w:type="dxa"/>
            <w:noWrap w:val="0"/>
            <w:vAlign w:val="top"/>
          </w:tcPr>
          <w:p w14:paraId="5E60575B">
            <w:pPr>
              <w:keepNext w:val="0"/>
              <w:keepLines w:val="0"/>
              <w:pageBreakBefore w:val="0"/>
              <w:widowControl w:val="0"/>
              <w:kinsoku/>
              <w:wordWrap/>
              <w:overflowPunct/>
              <w:topLinePunct w:val="0"/>
              <w:autoSpaceDE w:val="0"/>
              <w:autoSpaceDN w:val="0"/>
              <w:bidi w:val="0"/>
              <w:adjustRightInd/>
              <w:snapToGrid/>
              <w:spacing w:line="440" w:lineRule="exact"/>
              <w:ind w:firstLine="2891" w:firstLineChars="1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说   明 </w:t>
            </w:r>
          </w:p>
        </w:tc>
      </w:tr>
      <w:tr w14:paraId="0978B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836" w:type="dxa"/>
            <w:noWrap w:val="0"/>
            <w:vAlign w:val="top"/>
          </w:tcPr>
          <w:p w14:paraId="50A0EC0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  </w:t>
            </w:r>
          </w:p>
        </w:tc>
        <w:tc>
          <w:tcPr>
            <w:tcW w:w="1471" w:type="dxa"/>
            <w:noWrap w:val="0"/>
            <w:vAlign w:val="top"/>
          </w:tcPr>
          <w:p w14:paraId="4E97D10D">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资格要求</w:t>
            </w:r>
          </w:p>
        </w:tc>
        <w:tc>
          <w:tcPr>
            <w:tcW w:w="7549" w:type="dxa"/>
            <w:noWrap w:val="0"/>
            <w:vAlign w:val="top"/>
          </w:tcPr>
          <w:p w14:paraId="10744612">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详见本项目</w:t>
            </w:r>
            <w:r>
              <w:rPr>
                <w:rFonts w:hint="eastAsia" w:ascii="宋体" w:hAnsi="宋体" w:eastAsia="宋体" w:cs="宋体"/>
                <w:color w:val="000000" w:themeColor="text1"/>
                <w:sz w:val="24"/>
                <w:szCs w:val="24"/>
                <w:highlight w:val="none"/>
                <w:lang w:eastAsia="zh-CN"/>
                <w14:textFill>
                  <w14:solidFill>
                    <w14:schemeClr w14:val="tx1"/>
                  </w14:solidFill>
                </w14:textFill>
              </w:rPr>
              <w:t>磋商文件</w:t>
            </w:r>
            <w:r>
              <w:rPr>
                <w:rFonts w:hint="eastAsia" w:ascii="宋体" w:hAnsi="宋体" w:eastAsia="宋体" w:cs="宋体"/>
                <w:color w:val="000000" w:themeColor="text1"/>
                <w:sz w:val="24"/>
                <w:szCs w:val="24"/>
                <w:highlight w:val="none"/>
                <w14:textFill>
                  <w14:solidFill>
                    <w14:schemeClr w14:val="tx1"/>
                  </w14:solidFill>
                </w14:textFill>
              </w:rPr>
              <w:t>第一部分</w:t>
            </w:r>
            <w:r>
              <w:rPr>
                <w:rFonts w:hint="eastAsia" w:cs="宋体"/>
                <w:color w:val="000000" w:themeColor="text1"/>
                <w:sz w:val="24"/>
                <w:szCs w:val="24"/>
                <w:highlight w:val="none"/>
                <w:lang w:val="en-US" w:eastAsia="zh-CN"/>
                <w14:textFill>
                  <w14:solidFill>
                    <w14:schemeClr w14:val="tx1"/>
                  </w14:solidFill>
                </w14:textFill>
              </w:rPr>
              <w:t>招标公告</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 xml:space="preserve">资格要求”。 </w:t>
            </w:r>
          </w:p>
        </w:tc>
      </w:tr>
      <w:tr w14:paraId="5DC95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836" w:type="dxa"/>
            <w:noWrap w:val="0"/>
            <w:vAlign w:val="top"/>
          </w:tcPr>
          <w:p w14:paraId="4D6F21E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  </w:t>
            </w:r>
          </w:p>
        </w:tc>
        <w:tc>
          <w:tcPr>
            <w:tcW w:w="1471" w:type="dxa"/>
            <w:noWrap w:val="0"/>
            <w:vAlign w:val="top"/>
          </w:tcPr>
          <w:p w14:paraId="457341C7">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★完工期 </w:t>
            </w:r>
          </w:p>
        </w:tc>
        <w:tc>
          <w:tcPr>
            <w:tcW w:w="7549" w:type="dxa"/>
            <w:noWrap w:val="0"/>
            <w:vAlign w:val="top"/>
          </w:tcPr>
          <w:p w14:paraId="0C4CD0C6">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cs="宋体"/>
                <w:color w:val="000000" w:themeColor="text1"/>
                <w:sz w:val="24"/>
                <w:highlight w:val="none"/>
                <w:lang w:val="en-US" w:eastAsia="zh-CN"/>
                <w14:textFill>
                  <w14:solidFill>
                    <w14:schemeClr w14:val="tx1"/>
                  </w14:solidFill>
                </w14:textFill>
              </w:rPr>
              <w:t>合同签订后90日历天</w:t>
            </w:r>
          </w:p>
        </w:tc>
      </w:tr>
      <w:tr w14:paraId="6580E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836" w:type="dxa"/>
            <w:noWrap w:val="0"/>
            <w:vAlign w:val="top"/>
          </w:tcPr>
          <w:p w14:paraId="206C2EA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  </w:t>
            </w:r>
          </w:p>
        </w:tc>
        <w:tc>
          <w:tcPr>
            <w:tcW w:w="1471" w:type="dxa"/>
            <w:noWrap w:val="0"/>
            <w:vAlign w:val="top"/>
          </w:tcPr>
          <w:p w14:paraId="15D48332">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★质保期 </w:t>
            </w:r>
          </w:p>
        </w:tc>
        <w:tc>
          <w:tcPr>
            <w:tcW w:w="7549" w:type="dxa"/>
            <w:noWrap w:val="0"/>
            <w:vAlign w:val="top"/>
          </w:tcPr>
          <w:p w14:paraId="48846A2D">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符合国家规定</w:t>
            </w:r>
          </w:p>
        </w:tc>
      </w:tr>
      <w:tr w14:paraId="5601B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836" w:type="dxa"/>
            <w:noWrap w:val="0"/>
            <w:vAlign w:val="top"/>
          </w:tcPr>
          <w:p w14:paraId="44FDAD7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  </w:t>
            </w:r>
          </w:p>
        </w:tc>
        <w:tc>
          <w:tcPr>
            <w:tcW w:w="1471" w:type="dxa"/>
            <w:noWrap w:val="0"/>
            <w:vAlign w:val="top"/>
          </w:tcPr>
          <w:p w14:paraId="64F9687C">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施工地点 </w:t>
            </w:r>
          </w:p>
        </w:tc>
        <w:tc>
          <w:tcPr>
            <w:tcW w:w="7549" w:type="dxa"/>
            <w:noWrap w:val="0"/>
            <w:vAlign w:val="top"/>
          </w:tcPr>
          <w:p w14:paraId="0545D581">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采购人指定地点。 </w:t>
            </w:r>
          </w:p>
        </w:tc>
      </w:tr>
      <w:tr w14:paraId="6E5D9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36" w:type="dxa"/>
            <w:noWrap w:val="0"/>
            <w:vAlign w:val="top"/>
          </w:tcPr>
          <w:p w14:paraId="3477865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46C066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65FC22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005B17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A19B50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6909A4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E4DD79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  </w:t>
            </w:r>
          </w:p>
        </w:tc>
        <w:tc>
          <w:tcPr>
            <w:tcW w:w="1471" w:type="dxa"/>
            <w:noWrap w:val="0"/>
            <w:vAlign w:val="top"/>
          </w:tcPr>
          <w:p w14:paraId="582142B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6943A9D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2AC9228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05DF684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21B74E6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69E67A2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0D5DCE4D">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报价要求 </w:t>
            </w:r>
          </w:p>
        </w:tc>
        <w:tc>
          <w:tcPr>
            <w:tcW w:w="7549" w:type="dxa"/>
            <w:noWrap w:val="0"/>
            <w:vAlign w:val="top"/>
          </w:tcPr>
          <w:p w14:paraId="7CD461F2">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1、本项目的报价和结算支付均以人民币为货币单位。 </w:t>
            </w:r>
          </w:p>
          <w:p w14:paraId="66E4381D">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2、供应商报价应包括设计、采购、运输、安装、相关部门验收及保修期内的维护保养等所有含税费用，以及供应商认为必要的其他货物、材料、工程、服务。</w:t>
            </w:r>
          </w:p>
          <w:p w14:paraId="46BA5AB9">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3、如出现任何遗漏内容需产生额外费用，均由成交供应商自行承担，采购人将不再另支付任何费用。 </w:t>
            </w:r>
          </w:p>
          <w:p w14:paraId="18AD7D42">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4、供应商的报价文件应包括单价和总价，总价是对采购的所有内容所计算的总价，为合同总价；其填报的明细单价则应是供应商对本采购项目所包含的具体的服务进行详细列示的计算单价。 </w:t>
            </w:r>
          </w:p>
          <w:p w14:paraId="6697E7E0">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5、供应商应被认为在填报报价之前，已经仔细阅读了本</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文件的所有有关章节以及审查了所有相关资料，已确保本次</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的所有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范围内的各种价格风险均已包含在</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 xml:space="preserve">的报价内。 </w:t>
            </w:r>
          </w:p>
        </w:tc>
      </w:tr>
      <w:tr w14:paraId="36814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0" w:hRule="atLeast"/>
          <w:jc w:val="center"/>
        </w:trPr>
        <w:tc>
          <w:tcPr>
            <w:tcW w:w="836" w:type="dxa"/>
            <w:noWrap w:val="0"/>
            <w:vAlign w:val="top"/>
          </w:tcPr>
          <w:p w14:paraId="3487F25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2ED936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1640AAA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823E1E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426BD7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AF2D86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  </w:t>
            </w:r>
          </w:p>
        </w:tc>
        <w:tc>
          <w:tcPr>
            <w:tcW w:w="1471" w:type="dxa"/>
            <w:noWrap w:val="0"/>
            <w:vAlign w:val="top"/>
          </w:tcPr>
          <w:p w14:paraId="7189BBB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2CF0B71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44ED3FC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02EC8CE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4958ECF5">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质量要求和质量保修期 </w:t>
            </w:r>
          </w:p>
        </w:tc>
        <w:tc>
          <w:tcPr>
            <w:tcW w:w="7549" w:type="dxa"/>
            <w:noWrap w:val="0"/>
            <w:vAlign w:val="top"/>
          </w:tcPr>
          <w:p w14:paraId="6D93B0AD">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1、质量：符合国家有关施工质量验收标准的合格工程或合同约定。工程规范以现行的或承担具体施工任务期间国家和行业新颁布施行的规范、规程为准。</w:t>
            </w:r>
          </w:p>
          <w:p w14:paraId="176D1595">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2、材料、设备、施工须达到现行中华人民共和国以及省、自治区、直辖市或行业的工程建设标准、规范的要求及验收标准及有关规范为质量评定验收标准。 </w:t>
            </w:r>
          </w:p>
          <w:p w14:paraId="368F92BA">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3、质量保修期：</w:t>
            </w:r>
            <w:r>
              <w:rPr>
                <w:rFonts w:hint="eastAsia" w:ascii="宋体" w:hAnsi="宋体" w:eastAsia="宋体" w:cs="宋体"/>
                <w:color w:val="auto"/>
                <w:sz w:val="24"/>
                <w:szCs w:val="24"/>
                <w:highlight w:val="none"/>
                <w:lang w:val="en-US" w:eastAsia="zh-CN"/>
              </w:rPr>
              <w:t>按</w:t>
            </w:r>
            <w:r>
              <w:rPr>
                <w:rFonts w:hint="eastAsia" w:ascii="宋体" w:hAnsi="宋体" w:eastAsia="宋体" w:cs="宋体"/>
                <w:color w:val="auto"/>
                <w:sz w:val="24"/>
                <w:szCs w:val="24"/>
                <w:highlight w:val="none"/>
              </w:rPr>
              <w:t>国务院《建设工程质量管理条例》第四十</w:t>
            </w:r>
            <w:r>
              <w:rPr>
                <w:rFonts w:hint="eastAsia" w:ascii="宋体" w:hAnsi="宋体" w:eastAsia="宋体" w:cs="宋体"/>
                <w:color w:val="auto"/>
                <w:sz w:val="24"/>
                <w:szCs w:val="24"/>
                <w:highlight w:val="none"/>
                <w:lang w:val="en-US" w:eastAsia="zh-CN"/>
              </w:rPr>
              <w:t>条相关</w:t>
            </w:r>
            <w:r>
              <w:rPr>
                <w:rFonts w:hint="eastAsia" w:ascii="宋体" w:hAnsi="宋体" w:eastAsia="宋体" w:cs="宋体"/>
                <w:color w:val="auto"/>
                <w:sz w:val="24"/>
                <w:szCs w:val="24"/>
                <w:highlight w:val="none"/>
              </w:rPr>
              <w:t>规定</w:t>
            </w:r>
            <w:r>
              <w:rPr>
                <w:rFonts w:hint="eastAsia" w:ascii="宋体" w:hAnsi="宋体" w:eastAsia="宋体" w:cs="宋体"/>
                <w:color w:val="auto"/>
                <w:sz w:val="24"/>
                <w:szCs w:val="24"/>
                <w:highlight w:val="none"/>
                <w:lang w:val="en-US" w:eastAsia="zh-CN"/>
              </w:rPr>
              <w:t>执行。</w:t>
            </w:r>
          </w:p>
          <w:p w14:paraId="2CCC521A">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4、质量保修响应时间：属于保修范围的项目，应在接到采购人通知后的 24 小时内内派人保修。如未能在规定时间内派人保修的，采购人可自行或委托第三方保修，费用由成交供应商支付。发生紧急抢修事故的，成交供应商在接到通知后，应立即到达事故现场抢修。</w:t>
            </w:r>
          </w:p>
        </w:tc>
      </w:tr>
      <w:tr w14:paraId="4D990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7" w:hRule="atLeast"/>
          <w:jc w:val="center"/>
        </w:trPr>
        <w:tc>
          <w:tcPr>
            <w:tcW w:w="836" w:type="dxa"/>
            <w:noWrap w:val="0"/>
            <w:vAlign w:val="top"/>
          </w:tcPr>
          <w:p w14:paraId="6D3909C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0A8DF6E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2D1AB46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7  </w:t>
            </w:r>
          </w:p>
        </w:tc>
        <w:tc>
          <w:tcPr>
            <w:tcW w:w="1471" w:type="dxa"/>
            <w:noWrap w:val="0"/>
            <w:vAlign w:val="top"/>
          </w:tcPr>
          <w:p w14:paraId="7F8951B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612526A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24CA4E9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验收 </w:t>
            </w:r>
          </w:p>
        </w:tc>
        <w:tc>
          <w:tcPr>
            <w:tcW w:w="7549" w:type="dxa"/>
            <w:noWrap w:val="0"/>
            <w:vAlign w:val="top"/>
          </w:tcPr>
          <w:p w14:paraId="5D73F038">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1、采购人在收到成交供应商提交的竣工报告后组织验收，并在验收后 14 天内予以认可或提出修改意见。验收不合格，成交供应商应按要求修改后再次提请采购人验收，并承担因自身原因造成修改的费用。 </w:t>
            </w:r>
          </w:p>
          <w:p w14:paraId="6FC06388">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2、采购人在收到成交供应商提交的竣工报告后不组织验收，或验收后不提出修改意见，视为竣工报告已被认可。 </w:t>
            </w:r>
          </w:p>
          <w:p w14:paraId="22342E49">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验收时如发现所交付的设备有短装、次品、损坏或其它不符合竞价文件规定之情形者，采购人应做出详尽的现场记录，或由用户和成交供应商双方签署备忘录。此现场记录或备忘录可用作补充、缺失和更换损坏部件的有效证据。由此产生的有关费用由成交供应商承担。 </w:t>
            </w:r>
          </w:p>
          <w:p w14:paraId="607B9113">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4、竣工报告被认可，则表明已完成合同工程，并视为通过竣工验收，采购人应向成交供应商颁发工程竣工验收证书。 </w:t>
            </w:r>
          </w:p>
        </w:tc>
      </w:tr>
      <w:tr w14:paraId="74DD8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36" w:type="dxa"/>
            <w:noWrap w:val="0"/>
            <w:vAlign w:val="top"/>
          </w:tcPr>
          <w:p w14:paraId="5BDF6D7C">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351A0545">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p>
        </w:tc>
        <w:tc>
          <w:tcPr>
            <w:tcW w:w="1471" w:type="dxa"/>
            <w:noWrap w:val="0"/>
            <w:vAlign w:val="top"/>
          </w:tcPr>
          <w:p w14:paraId="3C5DD435">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55F36840">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付款方式</w:t>
            </w:r>
          </w:p>
        </w:tc>
        <w:tc>
          <w:tcPr>
            <w:tcW w:w="7549" w:type="dxa"/>
            <w:noWrap w:val="0"/>
            <w:vAlign w:val="top"/>
          </w:tcPr>
          <w:p w14:paraId="0057D07C">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施工合同签订开工后，首次按合同价的30%支付预付款。施工过程中根据施工进度支付工程进度款，峻工验收后按审计结算价支付剩余工程款。预留3%作为质量保证金（质保期一年，接受担保机构的保函、保险机构的保单等其他非现金交易担保方式)，质保期满项目承包方提请返还保证金申请，经双方验收无误并签署一致意见后一次性结清。</w:t>
            </w:r>
          </w:p>
        </w:tc>
      </w:tr>
      <w:tr w14:paraId="79E0E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836" w:type="dxa"/>
            <w:noWrap w:val="0"/>
            <w:vAlign w:val="top"/>
          </w:tcPr>
          <w:p w14:paraId="235B64F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F6290D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CE32A0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DDE765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C9E7F3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9  </w:t>
            </w:r>
          </w:p>
        </w:tc>
        <w:tc>
          <w:tcPr>
            <w:tcW w:w="1471" w:type="dxa"/>
            <w:noWrap w:val="0"/>
            <w:vAlign w:val="top"/>
          </w:tcPr>
          <w:p w14:paraId="335B312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3DA0C0C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37838BB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52C437D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67F80428">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项目要求 </w:t>
            </w:r>
          </w:p>
        </w:tc>
        <w:tc>
          <w:tcPr>
            <w:tcW w:w="7549" w:type="dxa"/>
            <w:noWrap w:val="0"/>
            <w:vAlign w:val="top"/>
          </w:tcPr>
          <w:p w14:paraId="762CDA8E">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1、成交人必须遵照采购人的管理及安排，按采购人的内容、质量、时间要求制作,所有的服务必须达到采购人的要求。 </w:t>
            </w:r>
          </w:p>
          <w:p w14:paraId="23B5784C">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2、项目建设工作完成后应按要求及时清理现场工作。 </w:t>
            </w:r>
          </w:p>
          <w:p w14:paraId="70A07424">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3、★成交供应商必须在施工过程中注意自身及周边安全，负责施工过程中的所有事故处理和费用。 </w:t>
            </w:r>
          </w:p>
          <w:p w14:paraId="1B2ED42A">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4、为便于与采购人就活动细节等方面进行适时沟通联系、及时处理和反馈,并使项目按质、按量、按时、有序实施，成交人应保证有固定专人负责联络工作。本项目必须有一个完善且固定的策划和组织管理团队，供应商须在</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 xml:space="preserve">中详细列出参与本项目的人员名单。 </w:t>
            </w:r>
          </w:p>
        </w:tc>
      </w:tr>
      <w:tr w14:paraId="1C32D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2" w:hRule="atLeast"/>
          <w:jc w:val="center"/>
        </w:trPr>
        <w:tc>
          <w:tcPr>
            <w:tcW w:w="836" w:type="dxa"/>
            <w:noWrap w:val="0"/>
            <w:vAlign w:val="top"/>
          </w:tcPr>
          <w:p w14:paraId="09A5DA6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17E2D7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CF0E66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10.  </w:t>
            </w:r>
          </w:p>
        </w:tc>
        <w:tc>
          <w:tcPr>
            <w:tcW w:w="1471" w:type="dxa"/>
            <w:noWrap w:val="0"/>
            <w:vAlign w:val="top"/>
          </w:tcPr>
          <w:p w14:paraId="550304C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541FFF4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14:paraId="364BD970">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其它要求 </w:t>
            </w:r>
          </w:p>
        </w:tc>
        <w:tc>
          <w:tcPr>
            <w:tcW w:w="7549" w:type="dxa"/>
            <w:noWrap w:val="0"/>
            <w:vAlign w:val="top"/>
          </w:tcPr>
          <w:p w14:paraId="21E4A9BC">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1、成交供应商施工前后，需负责原有地面拆旧，杂物清理及外运； </w:t>
            </w:r>
          </w:p>
          <w:p w14:paraId="3D01BA83">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2、成交供应商需严格按照采购人需求及设计效果图保质保量施工，不得偷工减料； </w:t>
            </w:r>
          </w:p>
          <w:p w14:paraId="32C0C8E5">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3、施工中使用的原材料必须为原厂全新材料，不得翻旧利旧，保证设计效果质量。 </w:t>
            </w:r>
          </w:p>
        </w:tc>
      </w:tr>
    </w:tbl>
    <w:p w14:paraId="191A2542">
      <w:pPr>
        <w:tabs>
          <w:tab w:val="left" w:pos="562"/>
        </w:tabs>
        <w:bidi w:val="0"/>
        <w:jc w:val="left"/>
        <w:rPr>
          <w:rFonts w:hint="eastAsia"/>
          <w:color w:val="auto"/>
          <w:highlight w:val="none"/>
          <w:lang w:val="zh-CN" w:eastAsia="zh-CN"/>
        </w:rPr>
        <w:sectPr>
          <w:footerReference r:id="rId14" w:type="default"/>
          <w:pgSz w:w="11910" w:h="16840"/>
          <w:pgMar w:top="1984" w:right="1531" w:bottom="2098" w:left="1531" w:header="670" w:footer="1041" w:gutter="0"/>
          <w:pgNumType w:fmt="decimal"/>
          <w:cols w:space="720" w:num="1"/>
          <w:rtlGutter w:val="0"/>
          <w:docGrid w:linePitch="1" w:charSpace="0"/>
        </w:sectPr>
      </w:pPr>
    </w:p>
    <w:p w14:paraId="42BE51B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II  技术要求 </w:t>
      </w:r>
    </w:p>
    <w:p w14:paraId="31853F2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1095FD8">
      <w:pPr>
        <w:keepNext w:val="0"/>
        <w:keepLines w:val="0"/>
        <w:pageBreakBefore w:val="0"/>
        <w:widowControl w:val="0"/>
        <w:numPr>
          <w:ilvl w:val="0"/>
          <w:numId w:val="6"/>
        </w:numPr>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工程量清单 </w:t>
      </w:r>
    </w:p>
    <w:p w14:paraId="0AA44945">
      <w:pPr>
        <w:pStyle w:val="15"/>
        <w:numPr>
          <w:ilvl w:val="0"/>
          <w:numId w:val="0"/>
        </w:numPr>
        <w:ind w:right="0" w:rightChars="0"/>
        <w:rPr>
          <w:rFonts w:hint="eastAsia"/>
          <w:color w:val="auto"/>
          <w:highlight w:val="none"/>
        </w:rPr>
      </w:pPr>
    </w:p>
    <w:p w14:paraId="03930D38">
      <w:pPr>
        <w:pStyle w:val="2"/>
        <w:spacing w:line="360" w:lineRule="exact"/>
        <w:ind w:left="0" w:leftChars="0" w:firstLine="0" w:firstLineChars="0"/>
        <w:rPr>
          <w:rFonts w:hint="eastAsia"/>
          <w:color w:val="auto"/>
          <w:sz w:val="24"/>
          <w:szCs w:val="24"/>
          <w:highlight w:val="none"/>
        </w:rPr>
      </w:pPr>
      <w:bookmarkStart w:id="15" w:name="_Toc247085856"/>
      <w:bookmarkStart w:id="16" w:name="_Toc246996341"/>
      <w:bookmarkStart w:id="17" w:name="_Toc418164814"/>
      <w:bookmarkStart w:id="18" w:name="_Toc179632790"/>
      <w:bookmarkStart w:id="19" w:name="_Toc246997084"/>
      <w:bookmarkStart w:id="20" w:name="_Toc152045773"/>
      <w:bookmarkStart w:id="21" w:name="_Toc152042555"/>
      <w:bookmarkStart w:id="22" w:name="_Toc144974835"/>
      <w:bookmarkStart w:id="23" w:name="_Toc495501809"/>
      <w:r>
        <w:rPr>
          <w:rFonts w:hint="eastAsia"/>
          <w:color w:val="auto"/>
          <w:sz w:val="24"/>
          <w:szCs w:val="24"/>
          <w:highlight w:val="none"/>
        </w:rPr>
        <w:t>1. 工程量清单说明</w:t>
      </w:r>
      <w:bookmarkEnd w:id="15"/>
      <w:bookmarkEnd w:id="16"/>
      <w:bookmarkEnd w:id="17"/>
      <w:bookmarkEnd w:id="18"/>
      <w:bookmarkEnd w:id="19"/>
      <w:bookmarkEnd w:id="20"/>
      <w:bookmarkEnd w:id="21"/>
      <w:bookmarkEnd w:id="22"/>
      <w:bookmarkEnd w:id="23"/>
    </w:p>
    <w:p w14:paraId="473A9996">
      <w:pPr>
        <w:spacing w:line="360" w:lineRule="exact"/>
        <w:rPr>
          <w:rFonts w:hint="eastAsia"/>
          <w:color w:val="auto"/>
          <w:highlight w:val="none"/>
        </w:rPr>
      </w:pPr>
      <w:r>
        <w:rPr>
          <w:rFonts w:hint="eastAsia"/>
          <w:color w:val="auto"/>
          <w:highlight w:val="none"/>
        </w:rPr>
        <w:t>1.1 本工程量清单是根据</w:t>
      </w:r>
      <w:r>
        <w:rPr>
          <w:rFonts w:hint="eastAsia"/>
          <w:color w:val="auto"/>
          <w:highlight w:val="none"/>
          <w:lang w:eastAsia="zh-CN"/>
        </w:rPr>
        <w:t>谈判文件</w:t>
      </w:r>
      <w:r>
        <w:rPr>
          <w:rFonts w:hint="eastAsia"/>
          <w:color w:val="auto"/>
          <w:highlight w:val="none"/>
        </w:rPr>
        <w:t>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57677849">
      <w:pPr>
        <w:spacing w:line="360" w:lineRule="exact"/>
        <w:rPr>
          <w:rFonts w:hint="eastAsia"/>
          <w:color w:val="auto"/>
          <w:highlight w:val="none"/>
        </w:rPr>
      </w:pPr>
      <w:r>
        <w:rPr>
          <w:rFonts w:hint="eastAsia"/>
          <w:color w:val="auto"/>
          <w:highlight w:val="none"/>
        </w:rPr>
        <w:t>1.2 本工程量清单应与</w:t>
      </w:r>
      <w:r>
        <w:rPr>
          <w:rFonts w:hint="eastAsia"/>
          <w:color w:val="auto"/>
          <w:highlight w:val="none"/>
          <w:lang w:eastAsia="zh-CN"/>
        </w:rPr>
        <w:t>谈判文件</w:t>
      </w:r>
      <w:r>
        <w:rPr>
          <w:rFonts w:hint="eastAsia"/>
          <w:color w:val="auto"/>
          <w:highlight w:val="none"/>
        </w:rPr>
        <w:t>中的</w:t>
      </w:r>
      <w:r>
        <w:rPr>
          <w:rFonts w:hint="eastAsia"/>
          <w:color w:val="auto"/>
          <w:highlight w:val="none"/>
          <w:lang w:eastAsia="zh-CN"/>
        </w:rPr>
        <w:t>供应商</w:t>
      </w:r>
      <w:r>
        <w:rPr>
          <w:rFonts w:hint="eastAsia"/>
          <w:color w:val="auto"/>
          <w:highlight w:val="none"/>
        </w:rPr>
        <w:t>须知、通用合同条款、专用合同条款、技术标准和要求及图纸等一起阅读和理解。</w:t>
      </w:r>
    </w:p>
    <w:p w14:paraId="7191C17A">
      <w:pPr>
        <w:spacing w:line="360" w:lineRule="exact"/>
        <w:rPr>
          <w:rFonts w:hint="eastAsia"/>
          <w:color w:val="auto"/>
          <w:highlight w:val="none"/>
        </w:rPr>
      </w:pPr>
      <w:r>
        <w:rPr>
          <w:rFonts w:hint="eastAsia"/>
          <w:color w:val="auto"/>
          <w:highlight w:val="none"/>
        </w:rPr>
        <w:t>1.3 本工程量清单仅是投标报价的共同基础，实际工程计量和工程价款的支付应遵循合同条款的约定和第七章“技术标准和要求”的有关规定。</w:t>
      </w:r>
    </w:p>
    <w:p w14:paraId="7DC272F1">
      <w:pPr>
        <w:spacing w:line="360" w:lineRule="exact"/>
        <w:rPr>
          <w:rFonts w:hint="eastAsia"/>
          <w:color w:val="auto"/>
          <w:highlight w:val="none"/>
        </w:rPr>
      </w:pPr>
      <w:r>
        <w:rPr>
          <w:rFonts w:hint="eastAsia"/>
          <w:color w:val="auto"/>
          <w:highlight w:val="none"/>
        </w:rPr>
        <w:t>1.4 补充子目工程量计算规则及子目工作内容说明：</w:t>
      </w:r>
      <w:r>
        <w:rPr>
          <w:rFonts w:hint="eastAsia"/>
          <w:color w:val="auto"/>
          <w:highlight w:val="none"/>
          <w:u w:val="single"/>
        </w:rPr>
        <w:t xml:space="preserve">                </w:t>
      </w:r>
      <w:r>
        <w:rPr>
          <w:rFonts w:hint="eastAsia"/>
          <w:color w:val="auto"/>
          <w:highlight w:val="none"/>
          <w:u w:val="single"/>
          <w:lang w:val="en-US" w:eastAsia="zh-CN"/>
        </w:rPr>
        <w:t>/</w:t>
      </w:r>
      <w:r>
        <w:rPr>
          <w:rFonts w:hint="eastAsia"/>
          <w:color w:val="auto"/>
          <w:highlight w:val="none"/>
          <w:u w:val="single"/>
        </w:rPr>
        <w:t xml:space="preserve">                </w:t>
      </w:r>
      <w:r>
        <w:rPr>
          <w:rFonts w:hint="eastAsia"/>
          <w:color w:val="auto"/>
          <w:highlight w:val="none"/>
        </w:rPr>
        <w:t>。</w:t>
      </w:r>
    </w:p>
    <w:p w14:paraId="73217800">
      <w:pPr>
        <w:pStyle w:val="2"/>
        <w:spacing w:line="360" w:lineRule="exact"/>
        <w:ind w:left="0" w:leftChars="0" w:firstLine="0" w:firstLineChars="0"/>
        <w:rPr>
          <w:rFonts w:hint="eastAsia"/>
          <w:color w:val="auto"/>
          <w:sz w:val="24"/>
          <w:szCs w:val="24"/>
          <w:highlight w:val="none"/>
        </w:rPr>
      </w:pPr>
      <w:bookmarkStart w:id="24" w:name="_Toc246997085"/>
      <w:bookmarkStart w:id="25" w:name="_Toc495501810"/>
      <w:bookmarkStart w:id="26" w:name="_Toc144974836"/>
      <w:bookmarkStart w:id="27" w:name="_Toc247085857"/>
      <w:bookmarkStart w:id="28" w:name="_Toc152042556"/>
      <w:bookmarkStart w:id="29" w:name="_Toc152045774"/>
      <w:bookmarkStart w:id="30" w:name="_Toc418164815"/>
      <w:bookmarkStart w:id="31" w:name="_Toc246996342"/>
      <w:bookmarkStart w:id="32" w:name="_Toc179632791"/>
      <w:r>
        <w:rPr>
          <w:rFonts w:hint="eastAsia"/>
          <w:color w:val="auto"/>
          <w:sz w:val="24"/>
          <w:szCs w:val="24"/>
          <w:highlight w:val="none"/>
        </w:rPr>
        <w:t>2. 投标报价说明</w:t>
      </w:r>
      <w:bookmarkEnd w:id="24"/>
      <w:bookmarkEnd w:id="25"/>
      <w:bookmarkEnd w:id="26"/>
      <w:bookmarkEnd w:id="27"/>
      <w:bookmarkEnd w:id="28"/>
      <w:bookmarkEnd w:id="29"/>
      <w:bookmarkEnd w:id="30"/>
      <w:bookmarkEnd w:id="31"/>
      <w:bookmarkEnd w:id="32"/>
    </w:p>
    <w:p w14:paraId="4731003C">
      <w:pPr>
        <w:spacing w:line="360" w:lineRule="exact"/>
        <w:rPr>
          <w:rFonts w:hint="eastAsia"/>
          <w:color w:val="auto"/>
          <w:highlight w:val="none"/>
        </w:rPr>
      </w:pPr>
      <w:bookmarkStart w:id="33" w:name="_Toc152042557"/>
      <w:bookmarkStart w:id="34" w:name="_Toc247085859"/>
      <w:bookmarkStart w:id="35" w:name="_Toc144974838"/>
      <w:bookmarkStart w:id="36" w:name="_Toc144974837"/>
      <w:bookmarkStart w:id="37" w:name="_Toc246997087"/>
      <w:bookmarkStart w:id="38" w:name="_Toc179632793"/>
      <w:bookmarkStart w:id="39" w:name="_Toc246996344"/>
      <w:bookmarkStart w:id="40" w:name="_Toc152045775"/>
      <w:bookmarkStart w:id="41" w:name="_Toc152042558"/>
      <w:bookmarkStart w:id="42" w:name="_Toc152045776"/>
      <w:r>
        <w:rPr>
          <w:rFonts w:hint="eastAsia"/>
          <w:color w:val="auto"/>
          <w:highlight w:val="none"/>
        </w:rPr>
        <w:t>2.1</w:t>
      </w:r>
      <w:r>
        <w:rPr>
          <w:rFonts w:hint="eastAsia"/>
          <w:color w:val="auto"/>
          <w:highlight w:val="none"/>
          <w:lang w:val="en-US" w:eastAsia="zh-CN"/>
        </w:rPr>
        <w:t xml:space="preserve"> </w:t>
      </w:r>
      <w:r>
        <w:rPr>
          <w:rFonts w:hint="eastAsia"/>
          <w:color w:val="auto"/>
          <w:highlight w:val="none"/>
        </w:rPr>
        <w:t>投标报价应根据</w:t>
      </w:r>
      <w:r>
        <w:rPr>
          <w:rFonts w:hint="eastAsia"/>
          <w:color w:val="auto"/>
          <w:highlight w:val="none"/>
          <w:lang w:eastAsia="zh-CN"/>
        </w:rPr>
        <w:t>谈判文件</w:t>
      </w:r>
      <w:r>
        <w:rPr>
          <w:rFonts w:hint="eastAsia"/>
          <w:color w:val="auto"/>
          <w:highlight w:val="none"/>
        </w:rPr>
        <w:t>中的有关计价要求，并按照下列依据自主报价（另附）</w:t>
      </w:r>
    </w:p>
    <w:p w14:paraId="0699BB24">
      <w:pPr>
        <w:spacing w:line="360" w:lineRule="exact"/>
        <w:rPr>
          <w:rFonts w:hint="eastAsia"/>
          <w:color w:val="auto"/>
          <w:highlight w:val="none"/>
        </w:rPr>
      </w:pPr>
      <w:r>
        <w:rPr>
          <w:rFonts w:hint="eastAsia"/>
          <w:color w:val="auto"/>
          <w:highlight w:val="none"/>
        </w:rPr>
        <w:t>2.2 工程量清单中的每一子目须填入单价或价格，且只允许有一个报价。工程量清单中</w:t>
      </w:r>
      <w:r>
        <w:rPr>
          <w:rFonts w:hint="eastAsia"/>
          <w:color w:val="auto"/>
          <w:highlight w:val="none"/>
          <w:lang w:eastAsia="zh-CN"/>
        </w:rPr>
        <w:t>供应商</w:t>
      </w:r>
      <w:r>
        <w:rPr>
          <w:rFonts w:hint="eastAsia"/>
          <w:color w:val="auto"/>
          <w:highlight w:val="none"/>
        </w:rPr>
        <w:t>没有填入单价或价格的子目，其费用视为已分摊在工程量清单中其他相关子目的单价或价格之中。</w:t>
      </w:r>
    </w:p>
    <w:p w14:paraId="5557403F">
      <w:pPr>
        <w:spacing w:line="360" w:lineRule="exact"/>
        <w:rPr>
          <w:rFonts w:hint="eastAsia"/>
          <w:color w:val="auto"/>
          <w:highlight w:val="none"/>
        </w:rPr>
      </w:pPr>
      <w:r>
        <w:rPr>
          <w:rFonts w:hint="eastAsia"/>
          <w:color w:val="auto"/>
          <w:highlight w:val="none"/>
        </w:rPr>
        <w:t>2.3 工程量清单中标价的单价或金额，应包括所需的人工费、材料和施工机具使用费和企业管理费、利润以及一定范围内的风险费用等。</w:t>
      </w:r>
    </w:p>
    <w:p w14:paraId="132A8982">
      <w:pPr>
        <w:spacing w:line="360" w:lineRule="exact"/>
        <w:rPr>
          <w:rFonts w:hint="eastAsia"/>
          <w:color w:val="auto"/>
          <w:highlight w:val="none"/>
        </w:rPr>
      </w:pPr>
      <w:r>
        <w:rPr>
          <w:rFonts w:hint="eastAsia"/>
          <w:color w:val="auto"/>
          <w:highlight w:val="none"/>
        </w:rPr>
        <w:t>2.4</w:t>
      </w:r>
      <w:r>
        <w:rPr>
          <w:rFonts w:hint="eastAsia"/>
          <w:color w:val="auto"/>
          <w:highlight w:val="none"/>
          <w:lang w:val="en-US" w:eastAsia="zh-CN"/>
        </w:rPr>
        <w:t xml:space="preserve"> </w:t>
      </w:r>
      <w:r>
        <w:rPr>
          <w:rFonts w:hint="eastAsia"/>
          <w:color w:val="auto"/>
          <w:highlight w:val="none"/>
        </w:rPr>
        <w:t>投标总报价为</w:t>
      </w:r>
      <w:r>
        <w:rPr>
          <w:rFonts w:hint="eastAsia"/>
          <w:color w:val="auto"/>
          <w:highlight w:val="none"/>
          <w:lang w:eastAsia="zh-CN"/>
        </w:rPr>
        <w:t>供应商</w:t>
      </w:r>
      <w:r>
        <w:rPr>
          <w:rFonts w:hint="eastAsia"/>
          <w:color w:val="auto"/>
          <w:highlight w:val="none"/>
        </w:rPr>
        <w:t>完成招标范围所述的全部工程内容的体现和完成该工程项目的成本、管理费、技术措施费、利润、风险费及政策性文件规定的不可竞争费用、规费和税金等所有费用，以及所有根据合同或其它原因由</w:t>
      </w:r>
      <w:r>
        <w:rPr>
          <w:rFonts w:hint="eastAsia"/>
          <w:color w:val="auto"/>
          <w:highlight w:val="none"/>
          <w:lang w:eastAsia="zh-CN"/>
        </w:rPr>
        <w:t>供应商</w:t>
      </w:r>
      <w:r>
        <w:rPr>
          <w:rFonts w:hint="eastAsia"/>
          <w:color w:val="auto"/>
          <w:highlight w:val="none"/>
        </w:rPr>
        <w:t>支付的税金和其它应缴纳的费用。</w:t>
      </w:r>
    </w:p>
    <w:p w14:paraId="0448E806">
      <w:pPr>
        <w:spacing w:line="360" w:lineRule="exact"/>
        <w:rPr>
          <w:rFonts w:hint="eastAsia"/>
          <w:color w:val="auto"/>
          <w:highlight w:val="none"/>
        </w:rPr>
      </w:pPr>
      <w:r>
        <w:rPr>
          <w:rFonts w:hint="eastAsia"/>
          <w:color w:val="auto"/>
          <w:highlight w:val="none"/>
        </w:rPr>
        <w:t xml:space="preserve">2.5 </w:t>
      </w:r>
      <w:r>
        <w:rPr>
          <w:rFonts w:hint="eastAsia"/>
          <w:color w:val="auto"/>
          <w:highlight w:val="none"/>
          <w:lang w:val="en-US" w:eastAsia="zh-CN"/>
        </w:rPr>
        <w:t xml:space="preserve"> </w:t>
      </w:r>
      <w:r>
        <w:rPr>
          <w:rFonts w:hint="eastAsia"/>
          <w:color w:val="auto"/>
          <w:highlight w:val="none"/>
        </w:rPr>
        <w:t>暂列金额的数量及拟用子目的说明：（另附）</w:t>
      </w:r>
    </w:p>
    <w:p w14:paraId="066F273E">
      <w:pPr>
        <w:pStyle w:val="2"/>
        <w:spacing w:line="360" w:lineRule="exact"/>
        <w:ind w:left="0" w:leftChars="0" w:firstLine="0" w:firstLineChars="0"/>
        <w:rPr>
          <w:rFonts w:hint="eastAsia"/>
          <w:color w:val="auto"/>
          <w:sz w:val="24"/>
          <w:szCs w:val="24"/>
          <w:highlight w:val="none"/>
        </w:rPr>
      </w:pPr>
      <w:bookmarkStart w:id="43" w:name="_Toc246996343"/>
      <w:bookmarkStart w:id="44" w:name="_Toc411795051"/>
      <w:bookmarkStart w:id="45" w:name="_Toc495501811"/>
      <w:bookmarkStart w:id="46" w:name="_Toc246997086"/>
      <w:bookmarkStart w:id="47" w:name="_Toc418164816"/>
      <w:bookmarkStart w:id="48" w:name="_Toc247085858"/>
      <w:bookmarkStart w:id="49" w:name="_Toc179632792"/>
      <w:r>
        <w:rPr>
          <w:rFonts w:hint="eastAsia"/>
          <w:color w:val="auto"/>
          <w:sz w:val="24"/>
          <w:szCs w:val="24"/>
          <w:highlight w:val="none"/>
        </w:rPr>
        <w:t>3. 其他说明</w:t>
      </w:r>
      <w:bookmarkEnd w:id="43"/>
      <w:bookmarkEnd w:id="44"/>
      <w:bookmarkEnd w:id="45"/>
      <w:bookmarkEnd w:id="46"/>
      <w:bookmarkEnd w:id="47"/>
      <w:bookmarkEnd w:id="48"/>
      <w:bookmarkEnd w:id="49"/>
    </w:p>
    <w:p w14:paraId="29BFFACB">
      <w:pPr>
        <w:pStyle w:val="2"/>
        <w:spacing w:line="360" w:lineRule="exact"/>
        <w:ind w:left="0" w:leftChars="0" w:firstLine="0" w:firstLineChars="0"/>
        <w:rPr>
          <w:rFonts w:hint="eastAsia"/>
          <w:color w:val="auto"/>
          <w:sz w:val="24"/>
          <w:szCs w:val="24"/>
          <w:highlight w:val="none"/>
        </w:rPr>
      </w:pPr>
    </w:p>
    <w:p w14:paraId="5E1FF02E">
      <w:pPr>
        <w:pStyle w:val="2"/>
        <w:spacing w:line="360" w:lineRule="exact"/>
        <w:ind w:left="0" w:leftChars="0" w:firstLine="0" w:firstLineChars="0"/>
        <w:rPr>
          <w:rFonts w:hint="eastAsia"/>
          <w:color w:val="auto"/>
          <w:sz w:val="24"/>
          <w:szCs w:val="24"/>
          <w:highlight w:val="none"/>
        </w:rPr>
      </w:pPr>
      <w:bookmarkStart w:id="50" w:name="_Toc418164817"/>
      <w:bookmarkStart w:id="51" w:name="_Toc495501812"/>
      <w:r>
        <w:rPr>
          <w:rFonts w:hint="eastAsia"/>
          <w:color w:val="auto"/>
          <w:sz w:val="24"/>
          <w:szCs w:val="24"/>
          <w:highlight w:val="none"/>
        </w:rPr>
        <w:t>4. 工程量清单</w:t>
      </w:r>
      <w:bookmarkEnd w:id="33"/>
      <w:bookmarkEnd w:id="34"/>
      <w:bookmarkEnd w:id="35"/>
      <w:bookmarkEnd w:id="36"/>
      <w:bookmarkEnd w:id="37"/>
      <w:bookmarkEnd w:id="38"/>
      <w:bookmarkEnd w:id="39"/>
      <w:bookmarkEnd w:id="40"/>
      <w:bookmarkEnd w:id="41"/>
      <w:bookmarkEnd w:id="42"/>
      <w:bookmarkEnd w:id="50"/>
      <w:r>
        <w:rPr>
          <w:rFonts w:hint="eastAsia"/>
          <w:color w:val="auto"/>
          <w:sz w:val="24"/>
          <w:szCs w:val="24"/>
          <w:highlight w:val="none"/>
        </w:rPr>
        <w:t xml:space="preserve"> （另附）</w:t>
      </w:r>
      <w:bookmarkEnd w:id="51"/>
    </w:p>
    <w:p w14:paraId="17BD272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24209B1">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二、图纸（</w:t>
      </w:r>
      <w:r>
        <w:rPr>
          <w:rFonts w:hint="eastAsia" w:cs="宋体"/>
          <w:b/>
          <w:bCs/>
          <w:color w:val="auto"/>
          <w:sz w:val="24"/>
          <w:szCs w:val="24"/>
          <w:highlight w:val="none"/>
          <w:lang w:val="en-US" w:eastAsia="zh-CN"/>
        </w:rPr>
        <w:t>如有，</w:t>
      </w:r>
      <w:r>
        <w:rPr>
          <w:rFonts w:hint="eastAsia" w:ascii="宋体" w:hAnsi="宋体" w:eastAsia="宋体" w:cs="宋体"/>
          <w:b/>
          <w:bCs/>
          <w:color w:val="auto"/>
          <w:sz w:val="24"/>
          <w:szCs w:val="24"/>
          <w:highlight w:val="none"/>
        </w:rPr>
        <w:t>另附）</w:t>
      </w:r>
    </w:p>
    <w:p w14:paraId="74FC711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sectPr>
          <w:headerReference r:id="rId15" w:type="default"/>
          <w:pgSz w:w="11910" w:h="16840"/>
          <w:pgMar w:top="1984" w:right="1531" w:bottom="2098" w:left="1531" w:header="670" w:footer="1041" w:gutter="0"/>
          <w:pgNumType w:fmt="decimal"/>
          <w:cols w:space="720" w:num="1"/>
          <w:rtlGutter w:val="0"/>
          <w:docGrid w:linePitch="1" w:charSpace="0"/>
        </w:sectPr>
      </w:pPr>
    </w:p>
    <w:p w14:paraId="08DE5039">
      <w:pPr>
        <w:keepNext w:val="0"/>
        <w:keepLines w:val="0"/>
        <w:pageBreakBefore w:val="0"/>
        <w:widowControl w:val="0"/>
        <w:numPr>
          <w:ilvl w:val="0"/>
          <w:numId w:val="7"/>
        </w:numPr>
        <w:kinsoku/>
        <w:wordWrap/>
        <w:overflowPunct/>
        <w:topLinePunct w:val="0"/>
        <w:autoSpaceDE w:val="0"/>
        <w:autoSpaceDN w:val="0"/>
        <w:bidi w:val="0"/>
        <w:adjustRightInd/>
        <w:snapToGrid/>
        <w:spacing w:line="440" w:lineRule="exact"/>
        <w:ind w:firstLine="640" w:firstLineChars="200"/>
        <w:jc w:val="center"/>
        <w:textAlignment w:val="auto"/>
        <w:rPr>
          <w:rFonts w:hint="eastAsia" w:ascii="微软雅黑" w:hAnsi="微软雅黑" w:eastAsia="微软雅黑" w:cs="微软雅黑"/>
          <w:b/>
          <w:bCs/>
          <w:color w:val="auto"/>
          <w:sz w:val="32"/>
          <w:szCs w:val="32"/>
          <w:highlight w:val="none"/>
        </w:rPr>
      </w:pPr>
      <w:bookmarkStart w:id="52" w:name="_Toc2627_WPSOffice_Level1"/>
      <w:r>
        <w:rPr>
          <w:rFonts w:hint="eastAsia" w:ascii="微软雅黑" w:hAnsi="微软雅黑" w:eastAsia="微软雅黑" w:cs="微软雅黑"/>
          <w:b/>
          <w:bCs/>
          <w:color w:val="auto"/>
          <w:sz w:val="32"/>
          <w:szCs w:val="32"/>
          <w:highlight w:val="none"/>
        </w:rPr>
        <w:t>合同格式</w:t>
      </w:r>
      <w:bookmarkEnd w:id="52"/>
      <w:r>
        <w:rPr>
          <w:rFonts w:hint="eastAsia" w:ascii="微软雅黑" w:hAnsi="微软雅黑" w:eastAsia="微软雅黑" w:cs="微软雅黑"/>
          <w:b/>
          <w:bCs/>
          <w:color w:val="auto"/>
          <w:sz w:val="32"/>
          <w:szCs w:val="32"/>
          <w:highlight w:val="none"/>
        </w:rPr>
        <w:t xml:space="preserve"> </w:t>
      </w:r>
    </w:p>
    <w:p w14:paraId="2BAFEE61">
      <w:pPr>
        <w:pStyle w:val="15"/>
        <w:rPr>
          <w:rFonts w:hint="eastAsia"/>
          <w:color w:val="auto"/>
          <w:highlight w:val="none"/>
        </w:rPr>
      </w:pPr>
    </w:p>
    <w:p w14:paraId="6467CE77">
      <w:pPr>
        <w:pStyle w:val="7"/>
        <w:numPr>
          <w:ilvl w:val="0"/>
          <w:numId w:val="0"/>
        </w:numPr>
        <w:ind w:right="0" w:rightChars="0"/>
        <w:rPr>
          <w:rFonts w:hint="eastAsia"/>
          <w:color w:val="auto"/>
          <w:highlight w:val="none"/>
        </w:rPr>
      </w:pPr>
    </w:p>
    <w:p w14:paraId="642AB3D4">
      <w:pPr>
        <w:pStyle w:val="2"/>
        <w:numPr>
          <w:ilvl w:val="0"/>
          <w:numId w:val="0"/>
        </w:numPr>
        <w:spacing w:line="360" w:lineRule="exact"/>
        <w:ind w:right="0" w:rightChars="0" w:firstLine="3012" w:firstLineChars="1000"/>
        <w:jc w:val="both"/>
        <w:rPr>
          <w:rFonts w:hint="eastAsia" w:ascii="宋体" w:hAnsi="宋体" w:eastAsia="宋体" w:cs="宋体"/>
          <w:color w:val="auto"/>
          <w:sz w:val="30"/>
          <w:szCs w:val="30"/>
          <w:highlight w:val="none"/>
        </w:rPr>
      </w:pPr>
      <w:bookmarkStart w:id="53" w:name="_Toc418164810"/>
      <w:bookmarkStart w:id="54" w:name="_Toc495501805"/>
      <w:r>
        <w:rPr>
          <w:rFonts w:hint="eastAsia" w:ascii="宋体" w:hAnsi="宋体" w:eastAsia="宋体" w:cs="宋体"/>
          <w:color w:val="auto"/>
          <w:sz w:val="30"/>
          <w:szCs w:val="30"/>
          <w:highlight w:val="none"/>
          <w:lang w:val="en-US" w:eastAsia="zh-CN"/>
        </w:rPr>
        <w:t xml:space="preserve">第一节 </w:t>
      </w:r>
      <w:r>
        <w:rPr>
          <w:rFonts w:hint="eastAsia" w:ascii="宋体" w:hAnsi="宋体" w:eastAsia="宋体" w:cs="宋体"/>
          <w:color w:val="auto"/>
          <w:sz w:val="30"/>
          <w:szCs w:val="30"/>
          <w:highlight w:val="none"/>
        </w:rPr>
        <w:t xml:space="preserve"> 合同条款</w:t>
      </w:r>
      <w:bookmarkEnd w:id="53"/>
      <w:bookmarkEnd w:id="54"/>
    </w:p>
    <w:p w14:paraId="387945FF">
      <w:pPr>
        <w:numPr>
          <w:ilvl w:val="0"/>
          <w:numId w:val="0"/>
        </w:numPr>
        <w:ind w:right="0" w:rightChars="0"/>
        <w:rPr>
          <w:rFonts w:hint="eastAsia" w:ascii="宋体" w:hAnsi="宋体" w:eastAsia="宋体" w:cs="宋体"/>
          <w:color w:val="auto"/>
          <w:sz w:val="24"/>
          <w:szCs w:val="24"/>
          <w:highlight w:val="none"/>
        </w:rPr>
      </w:pPr>
    </w:p>
    <w:p w14:paraId="42D8F42D">
      <w:pPr>
        <w:spacing w:line="460" w:lineRule="exact"/>
        <w:ind w:firstLine="480" w:firstLineChars="200"/>
        <w:rPr>
          <w:rFonts w:hint="eastAsia" w:ascii="宋体" w:hAnsi="宋体" w:eastAsia="宋体" w:cs="宋体"/>
          <w:color w:val="auto"/>
          <w:sz w:val="24"/>
          <w:szCs w:val="24"/>
          <w:highlight w:val="none"/>
        </w:rPr>
      </w:pPr>
      <w:bookmarkStart w:id="55" w:name="_Toc144974826"/>
      <w:bookmarkStart w:id="56" w:name="_Toc152045767"/>
      <w:bookmarkStart w:id="57" w:name="_Toc152042546"/>
      <w:bookmarkStart w:id="58" w:name="_Toc179632785"/>
      <w:r>
        <w:rPr>
          <w:rFonts w:hint="eastAsia" w:ascii="宋体" w:hAnsi="宋体" w:eastAsia="宋体" w:cs="宋体"/>
          <w:color w:val="auto"/>
          <w:sz w:val="24"/>
          <w:szCs w:val="24"/>
          <w:highlight w:val="none"/>
        </w:rPr>
        <w:t>通用合同条款直接引用住房城乡建设部、国家工商行政管理总局</w:t>
      </w:r>
      <w:r>
        <w:rPr>
          <w:rFonts w:hint="eastAsia" w:cs="宋体"/>
          <w:color w:val="auto"/>
          <w:sz w:val="24"/>
          <w:szCs w:val="24"/>
          <w:highlight w:val="none"/>
          <w:lang w:val="en-US" w:eastAsia="zh-CN"/>
        </w:rPr>
        <w:t>修订的</w:t>
      </w:r>
      <w:r>
        <w:rPr>
          <w:rFonts w:hint="eastAsia" w:ascii="宋体" w:hAnsi="宋体" w:eastAsia="宋体" w:cs="宋体"/>
          <w:color w:val="auto"/>
          <w:sz w:val="24"/>
          <w:szCs w:val="24"/>
          <w:highlight w:val="none"/>
        </w:rPr>
        <w:t>《建设工程施工合同（示范文本）》（GF-201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-0201）第二部分“通用合同条款”。</w:t>
      </w:r>
    </w:p>
    <w:p w14:paraId="0BD634DC">
      <w:pPr>
        <w:pStyle w:val="33"/>
        <w:jc w:val="center"/>
        <w:rPr>
          <w:rFonts w:hint="eastAsia" w:ascii="宋体" w:hAnsi="宋体" w:eastAsia="宋体" w:cs="宋体"/>
          <w:color w:val="auto"/>
          <w:sz w:val="24"/>
          <w:szCs w:val="24"/>
          <w:highlight w:val="none"/>
        </w:rPr>
      </w:pPr>
    </w:p>
    <w:p w14:paraId="282F63C4">
      <w:pPr>
        <w:pStyle w:val="33"/>
        <w:jc w:val="center"/>
        <w:rPr>
          <w:rFonts w:hint="eastAsia" w:ascii="宋体" w:hAnsi="宋体" w:eastAsia="宋体" w:cs="宋体"/>
          <w:color w:val="auto"/>
          <w:sz w:val="24"/>
          <w:szCs w:val="24"/>
          <w:highlight w:val="none"/>
        </w:rPr>
      </w:pPr>
    </w:p>
    <w:p w14:paraId="2F54BACE">
      <w:pPr>
        <w:pStyle w:val="2"/>
        <w:keepNext w:val="0"/>
        <w:keepLines w:val="0"/>
        <w:pageBreakBefore w:val="0"/>
        <w:widowControl w:val="0"/>
        <w:numPr>
          <w:ilvl w:val="0"/>
          <w:numId w:val="0"/>
        </w:numPr>
        <w:kinsoku/>
        <w:wordWrap/>
        <w:overflowPunct/>
        <w:topLinePunct w:val="0"/>
        <w:autoSpaceDE w:val="0"/>
        <w:autoSpaceDN w:val="0"/>
        <w:bidi w:val="0"/>
        <w:snapToGrid/>
        <w:spacing w:line="340" w:lineRule="exact"/>
        <w:ind w:right="0" w:rightChars="0" w:firstLine="3012" w:firstLineChars="1000"/>
        <w:jc w:val="both"/>
        <w:textAlignment w:val="auto"/>
        <w:rPr>
          <w:rFonts w:hint="eastAsia" w:ascii="宋体" w:hAnsi="宋体" w:eastAsia="宋体" w:cs="宋体"/>
          <w:color w:val="auto"/>
          <w:sz w:val="30"/>
          <w:szCs w:val="30"/>
          <w:highlight w:val="none"/>
          <w:lang w:val="en-US" w:eastAsia="zh-CN"/>
        </w:rPr>
      </w:pPr>
      <w:bookmarkStart w:id="59" w:name="_Toc495501806"/>
      <w:bookmarkStart w:id="60" w:name="_Toc418164811"/>
      <w:r>
        <w:rPr>
          <w:rFonts w:hint="eastAsia" w:ascii="宋体" w:hAnsi="宋体" w:eastAsia="宋体" w:cs="宋体"/>
          <w:color w:val="auto"/>
          <w:sz w:val="30"/>
          <w:szCs w:val="30"/>
          <w:highlight w:val="none"/>
          <w:lang w:val="en-US" w:eastAsia="zh-CN"/>
        </w:rPr>
        <w:t>第二节  专用合同条款</w:t>
      </w:r>
      <w:bookmarkEnd w:id="59"/>
      <w:bookmarkEnd w:id="60"/>
    </w:p>
    <w:p w14:paraId="6B6DCE46">
      <w:pPr>
        <w:keepNext w:val="0"/>
        <w:keepLines w:val="0"/>
        <w:pageBreakBefore w:val="0"/>
        <w:widowControl w:val="0"/>
        <w:kinsoku/>
        <w:wordWrap/>
        <w:overflowPunct/>
        <w:topLinePunct w:val="0"/>
        <w:autoSpaceDE w:val="0"/>
        <w:autoSpaceDN w:val="0"/>
        <w:bidi w:val="0"/>
        <w:snapToGrid/>
        <w:spacing w:line="340" w:lineRule="exact"/>
        <w:jc w:val="center"/>
        <w:textAlignment w:val="auto"/>
        <w:rPr>
          <w:rFonts w:hint="eastAsia" w:ascii="宋体" w:hAnsi="宋体" w:eastAsia="宋体" w:cs="宋体"/>
          <w:color w:val="auto"/>
          <w:sz w:val="24"/>
          <w:szCs w:val="24"/>
          <w:highlight w:val="none"/>
        </w:rPr>
      </w:pPr>
    </w:p>
    <w:p w14:paraId="52DA8B07">
      <w:pPr>
        <w:keepNext w:val="0"/>
        <w:keepLines w:val="0"/>
        <w:pageBreakBefore w:val="0"/>
        <w:widowControl w:val="0"/>
        <w:kinsoku/>
        <w:wordWrap/>
        <w:overflowPunct/>
        <w:topLinePunct w:val="0"/>
        <w:autoSpaceDE w:val="0"/>
        <w:autoSpaceDN w:val="0"/>
        <w:bidi w:val="0"/>
        <w:snapToGrid/>
        <w:spacing w:line="340" w:lineRule="exact"/>
        <w:jc w:val="center"/>
        <w:textAlignment w:val="auto"/>
        <w:rPr>
          <w:rFonts w:hint="eastAsia" w:ascii="宋体" w:hAnsi="宋体" w:eastAsia="宋体" w:cs="宋体"/>
          <w:color w:val="auto"/>
          <w:sz w:val="24"/>
          <w:szCs w:val="24"/>
          <w:highlight w:val="none"/>
        </w:rPr>
      </w:pPr>
    </w:p>
    <w:p w14:paraId="7768E69F">
      <w:pPr>
        <w:pStyle w:val="5"/>
        <w:keepNext w:val="0"/>
        <w:keepLines w:val="0"/>
        <w:pageBreakBefore w:val="0"/>
        <w:widowControl w:val="0"/>
        <w:kinsoku/>
        <w:wordWrap/>
        <w:overflowPunct/>
        <w:topLinePunct w:val="0"/>
        <w:autoSpaceDE w:val="0"/>
        <w:autoSpaceDN w:val="0"/>
        <w:bidi w:val="0"/>
        <w:snapToGrid/>
        <w:spacing w:before="120" w:after="120" w:line="340" w:lineRule="exac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 一般约定</w:t>
      </w:r>
    </w:p>
    <w:p w14:paraId="68780291">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词语定义</w:t>
      </w:r>
    </w:p>
    <w:p w14:paraId="200B1BD4">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1.1.1合同</w:t>
      </w:r>
    </w:p>
    <w:p w14:paraId="3FEC0F93">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1.1.1.10其他合同文件包括：</w:t>
      </w:r>
      <w:r>
        <w:rPr>
          <w:rFonts w:hint="eastAsia" w:ascii="宋体" w:hAnsi="宋体" w:eastAsia="宋体" w:cs="宋体"/>
          <w:color w:val="auto"/>
          <w:sz w:val="24"/>
          <w:szCs w:val="24"/>
          <w:highlight w:val="none"/>
          <w:u w:val="single"/>
        </w:rPr>
        <w:t>履行合同过程中双方总经理以上管理者（或双方工地代表人）书面确认的对合同内容有实质性影响的会议纪要、签证、设计变更等资料</w:t>
      </w:r>
      <w:r>
        <w:rPr>
          <w:rFonts w:hint="eastAsia" w:ascii="宋体" w:hAnsi="宋体" w:eastAsia="宋体" w:cs="宋体"/>
          <w:color w:val="auto"/>
          <w:sz w:val="24"/>
          <w:szCs w:val="24"/>
          <w:highlight w:val="none"/>
        </w:rPr>
        <w:t>。</w:t>
      </w:r>
    </w:p>
    <w:p w14:paraId="166F2DDF">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合同当事人及其他相关方</w:t>
      </w:r>
    </w:p>
    <w:p w14:paraId="36FA6871">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1.1.2.4监理人：</w:t>
      </w:r>
    </w:p>
    <w:p w14:paraId="66490A70">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     </w:t>
      </w:r>
      <w:r>
        <w:rPr>
          <w:rFonts w:hint="eastAsia" w:ascii="宋体" w:hAnsi="宋体" w:eastAsia="宋体" w:cs="宋体"/>
          <w:color w:val="auto"/>
          <w:sz w:val="24"/>
          <w:szCs w:val="24"/>
          <w:highlight w:val="none"/>
        </w:rPr>
        <w:t>；</w:t>
      </w:r>
    </w:p>
    <w:p w14:paraId="581E4C9A">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19C93459">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1960CB2">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514DB912">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75E8674C">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1.1.2.5 设计人：</w:t>
      </w:r>
    </w:p>
    <w:p w14:paraId="57B1E638">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8D3D0D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26CD34D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31223E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4E9D3C52">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工程和设备</w:t>
      </w:r>
    </w:p>
    <w:p w14:paraId="309E8CF2">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1.1.3.7 作为施工现场组成部分的其他场所包括：</w:t>
      </w:r>
      <w:r>
        <w:rPr>
          <w:rFonts w:hint="eastAsia" w:ascii="宋体" w:hAnsi="宋体" w:eastAsia="宋体" w:cs="宋体"/>
          <w:color w:val="auto"/>
          <w:sz w:val="24"/>
          <w:szCs w:val="24"/>
          <w:highlight w:val="none"/>
          <w:u w:val="single"/>
        </w:rPr>
        <w:t xml:space="preserve"> 通用条款规定的发包方提供的施工场地 </w:t>
      </w:r>
      <w:r>
        <w:rPr>
          <w:rFonts w:hint="eastAsia" w:ascii="宋体" w:hAnsi="宋体" w:eastAsia="宋体" w:cs="宋体"/>
          <w:color w:val="auto"/>
          <w:sz w:val="24"/>
          <w:szCs w:val="24"/>
          <w:highlight w:val="none"/>
        </w:rPr>
        <w:t>。</w:t>
      </w:r>
    </w:p>
    <w:p w14:paraId="437C8EC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1.1.3.9 永久占地包括：</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kern w:val="0"/>
          <w:sz w:val="24"/>
          <w:szCs w:val="24"/>
          <w:highlight w:val="none"/>
        </w:rPr>
        <w:t>。</w:t>
      </w:r>
    </w:p>
    <w:p w14:paraId="2C825186">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1.1.3.10 临时占地包括：</w:t>
      </w:r>
      <w:r>
        <w:rPr>
          <w:rFonts w:hint="eastAsia" w:ascii="宋体" w:hAnsi="宋体" w:eastAsia="宋体" w:cs="宋体"/>
          <w:color w:val="auto"/>
          <w:sz w:val="24"/>
          <w:szCs w:val="24"/>
          <w:highlight w:val="none"/>
          <w:u w:val="single"/>
        </w:rPr>
        <w:t xml:space="preserve">        双方在合同履行过程中确定              </w:t>
      </w:r>
      <w:r>
        <w:rPr>
          <w:rFonts w:hint="eastAsia" w:ascii="宋体" w:hAnsi="宋体" w:eastAsia="宋体" w:cs="宋体"/>
          <w:color w:val="auto"/>
          <w:kern w:val="0"/>
          <w:sz w:val="24"/>
          <w:szCs w:val="24"/>
          <w:highlight w:val="none"/>
        </w:rPr>
        <w:t>。</w:t>
      </w:r>
    </w:p>
    <w:p w14:paraId="09E28E0E">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1.3法律 </w:t>
      </w:r>
    </w:p>
    <w:p w14:paraId="2216C94A">
      <w:pPr>
        <w:keepNext w:val="0"/>
        <w:keepLines w:val="0"/>
        <w:pageBreakBefore w:val="0"/>
        <w:widowControl w:val="0"/>
        <w:kinsoku/>
        <w:wordWrap/>
        <w:overflowPunct/>
        <w:topLinePunct w:val="0"/>
        <w:autoSpaceDE w:val="0"/>
        <w:autoSpaceDN w:val="0"/>
        <w:bidi w:val="0"/>
        <w:adjustRightInd w:val="0"/>
        <w:snapToGrid/>
        <w:spacing w:line="340" w:lineRule="exact"/>
        <w:ind w:left="625" w:leftChars="284"/>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适用于合同的其他规范性文件：</w:t>
      </w:r>
      <w:r>
        <w:rPr>
          <w:rFonts w:hint="eastAsia" w:ascii="宋体" w:hAnsi="宋体" w:eastAsia="宋体" w:cs="宋体"/>
          <w:color w:val="auto"/>
          <w:sz w:val="24"/>
          <w:szCs w:val="24"/>
          <w:highlight w:val="none"/>
          <w:u w:val="single"/>
        </w:rPr>
        <w:t xml:space="preserve">需要明示的法律、行政法规：《中华人民共和国合同法》、《中华人民共和国建筑法》、《中华人民共和国招标投标法》、《中华人民共和国安全生产法》、《建设工程质量管理条例》，以及其他有关法律、法规 </w:t>
      </w:r>
      <w:r>
        <w:rPr>
          <w:rFonts w:hint="eastAsia" w:ascii="宋体" w:hAnsi="宋体" w:eastAsia="宋体" w:cs="宋体"/>
          <w:color w:val="auto"/>
          <w:sz w:val="24"/>
          <w:szCs w:val="24"/>
          <w:highlight w:val="none"/>
        </w:rPr>
        <w:t>。</w:t>
      </w:r>
    </w:p>
    <w:p w14:paraId="43EABFEC">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标准和规范</w:t>
      </w:r>
    </w:p>
    <w:p w14:paraId="194F1225">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1.4.1适用于工程的标准规范包括：</w:t>
      </w:r>
      <w:r>
        <w:rPr>
          <w:rFonts w:hint="eastAsia" w:ascii="宋体" w:hAnsi="宋体" w:eastAsia="宋体" w:cs="宋体"/>
          <w:color w:val="auto"/>
          <w:sz w:val="24"/>
          <w:szCs w:val="24"/>
          <w:highlight w:val="none"/>
          <w:u w:val="single"/>
        </w:rPr>
        <w:t>国家和地方现行的有关标准、规范、详细施工图</w:t>
      </w:r>
      <w:r>
        <w:rPr>
          <w:rFonts w:hint="eastAsia" w:ascii="宋体" w:hAnsi="宋体" w:eastAsia="宋体" w:cs="宋体"/>
          <w:color w:val="auto"/>
          <w:sz w:val="24"/>
          <w:szCs w:val="24"/>
          <w:highlight w:val="none"/>
        </w:rPr>
        <w:t xml:space="preserve"> 。</w:t>
      </w:r>
    </w:p>
    <w:p w14:paraId="7B2375FE">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1.4.2 发包人提供国外标准、规范的名称：</w:t>
      </w:r>
      <w:r>
        <w:rPr>
          <w:rFonts w:hint="eastAsia" w:ascii="宋体" w:hAnsi="宋体" w:eastAsia="宋体" w:cs="宋体"/>
          <w:color w:val="auto"/>
          <w:kern w:val="0"/>
          <w:sz w:val="24"/>
          <w:szCs w:val="24"/>
          <w:highlight w:val="none"/>
          <w:u w:val="single"/>
        </w:rPr>
        <w:t xml:space="preserve">      不采用                </w:t>
      </w:r>
      <w:r>
        <w:rPr>
          <w:rFonts w:hint="eastAsia" w:ascii="宋体" w:hAnsi="宋体" w:eastAsia="宋体" w:cs="宋体"/>
          <w:color w:val="auto"/>
          <w:kern w:val="0"/>
          <w:sz w:val="24"/>
          <w:szCs w:val="24"/>
          <w:highlight w:val="none"/>
        </w:rPr>
        <w:t>；</w:t>
      </w:r>
    </w:p>
    <w:p w14:paraId="12B63C32">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发包人提供国外标准、规范的份数：</w:t>
      </w:r>
      <w:r>
        <w:rPr>
          <w:rFonts w:hint="eastAsia" w:ascii="宋体" w:hAnsi="宋体" w:eastAsia="宋体" w:cs="宋体"/>
          <w:color w:val="auto"/>
          <w:kern w:val="0"/>
          <w:sz w:val="24"/>
          <w:szCs w:val="24"/>
          <w:highlight w:val="none"/>
          <w:u w:val="single"/>
        </w:rPr>
        <w:t xml:space="preserve">          不采用                </w:t>
      </w:r>
      <w:r>
        <w:rPr>
          <w:rFonts w:hint="eastAsia" w:ascii="宋体" w:hAnsi="宋体" w:eastAsia="宋体" w:cs="宋体"/>
          <w:color w:val="auto"/>
          <w:kern w:val="0"/>
          <w:sz w:val="24"/>
          <w:szCs w:val="24"/>
          <w:highlight w:val="none"/>
        </w:rPr>
        <w:t>；</w:t>
      </w:r>
    </w:p>
    <w:p w14:paraId="18B5D75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发包人提供国外标准、规范的名称：</w:t>
      </w:r>
      <w:r>
        <w:rPr>
          <w:rFonts w:hint="eastAsia" w:ascii="宋体" w:hAnsi="宋体" w:eastAsia="宋体" w:cs="宋体"/>
          <w:color w:val="auto"/>
          <w:kern w:val="0"/>
          <w:sz w:val="24"/>
          <w:szCs w:val="24"/>
          <w:highlight w:val="none"/>
          <w:u w:val="single"/>
        </w:rPr>
        <w:t xml:space="preserve">         不采用               </w:t>
      </w:r>
      <w:r>
        <w:rPr>
          <w:rFonts w:hint="eastAsia" w:ascii="宋体" w:hAnsi="宋体" w:eastAsia="宋体" w:cs="宋体"/>
          <w:color w:val="auto"/>
          <w:kern w:val="0"/>
          <w:sz w:val="24"/>
          <w:szCs w:val="24"/>
          <w:highlight w:val="none"/>
        </w:rPr>
        <w:t>。</w:t>
      </w:r>
    </w:p>
    <w:p w14:paraId="3530C721">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1.4.3发包人对工程的技术标准和功能要求的特殊要求：</w:t>
      </w:r>
      <w:r>
        <w:rPr>
          <w:rFonts w:hint="eastAsia" w:ascii="宋体" w:hAnsi="宋体" w:eastAsia="宋体" w:cs="宋体"/>
          <w:color w:val="auto"/>
          <w:sz w:val="24"/>
          <w:szCs w:val="24"/>
          <w:highlight w:val="none"/>
          <w:u w:val="single"/>
        </w:rPr>
        <w:t xml:space="preserve">  详见图纸</w:t>
      </w:r>
      <w:r>
        <w:rPr>
          <w:rFonts w:hint="eastAsia" w:ascii="宋体" w:hAnsi="宋体" w:eastAsia="宋体" w:cs="宋体"/>
          <w:color w:val="auto"/>
          <w:sz w:val="24"/>
          <w:szCs w:val="24"/>
          <w:highlight w:val="none"/>
        </w:rPr>
        <w:t>。</w:t>
      </w:r>
    </w:p>
    <w:p w14:paraId="6D5F8B86">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合同文件的优先顺序</w:t>
      </w:r>
    </w:p>
    <w:p w14:paraId="2A8980A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合同文件组成及优先顺序为：</w:t>
      </w:r>
      <w:r>
        <w:rPr>
          <w:rFonts w:hint="eastAsia" w:ascii="宋体" w:hAnsi="宋体" w:eastAsia="宋体" w:cs="宋体"/>
          <w:color w:val="auto"/>
          <w:sz w:val="24"/>
          <w:szCs w:val="24"/>
          <w:highlight w:val="none"/>
          <w:u w:val="single"/>
        </w:rPr>
        <w:t>执行通用条款             </w:t>
      </w:r>
      <w:r>
        <w:rPr>
          <w:rFonts w:hint="eastAsia" w:ascii="宋体" w:hAnsi="宋体" w:eastAsia="宋体" w:cs="宋体"/>
          <w:color w:val="auto"/>
          <w:sz w:val="24"/>
          <w:szCs w:val="24"/>
          <w:highlight w:val="none"/>
        </w:rPr>
        <w:t>。</w:t>
      </w:r>
    </w:p>
    <w:p w14:paraId="3E7F7086">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 图纸和承包人文件</w:t>
      </w:r>
      <w:r>
        <w:rPr>
          <w:rFonts w:hint="eastAsia" w:ascii="宋体" w:hAnsi="宋体" w:eastAsia="宋体" w:cs="宋体"/>
          <w:color w:val="auto"/>
          <w:sz w:val="24"/>
          <w:szCs w:val="24"/>
          <w:highlight w:val="none"/>
        </w:rPr>
        <w:tab/>
      </w:r>
    </w:p>
    <w:p w14:paraId="05A16723">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图纸的提供</w:t>
      </w:r>
    </w:p>
    <w:p w14:paraId="35FE5BEB">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发包人向承包人提供图纸的期限：</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6FE001A1">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发包人向承包人提供图纸的数量：</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1BF64FA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发包人向承包人提供图纸的内容：</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0C98B8DD">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 承包人文件</w:t>
      </w:r>
    </w:p>
    <w:p w14:paraId="1285FBE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需要由承包人提供的文件，包括：</w:t>
      </w:r>
      <w:r>
        <w:rPr>
          <w:rFonts w:hint="eastAsia" w:ascii="宋体" w:hAnsi="宋体" w:eastAsia="宋体" w:cs="宋体"/>
          <w:color w:val="auto"/>
          <w:sz w:val="24"/>
          <w:szCs w:val="24"/>
          <w:highlight w:val="none"/>
          <w:u w:val="single"/>
        </w:rPr>
        <w:t>实施性施工组织设计及方案   </w:t>
      </w:r>
      <w:r>
        <w:rPr>
          <w:rFonts w:hint="eastAsia" w:ascii="宋体" w:hAnsi="宋体" w:eastAsia="宋体" w:cs="宋体"/>
          <w:color w:val="auto"/>
          <w:sz w:val="24"/>
          <w:szCs w:val="24"/>
          <w:highlight w:val="none"/>
        </w:rPr>
        <w:t>；</w:t>
      </w:r>
    </w:p>
    <w:p w14:paraId="63451746">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承包人提供的文件的期限为：</w:t>
      </w:r>
      <w:r>
        <w:rPr>
          <w:rFonts w:hint="eastAsia" w:ascii="宋体" w:hAnsi="宋体" w:eastAsia="宋体" w:cs="宋体"/>
          <w:color w:val="auto"/>
          <w:sz w:val="24"/>
          <w:szCs w:val="24"/>
          <w:highlight w:val="none"/>
          <w:u w:val="single"/>
        </w:rPr>
        <w:t>   开工前     </w:t>
      </w:r>
      <w:r>
        <w:rPr>
          <w:rFonts w:hint="eastAsia" w:ascii="宋体" w:hAnsi="宋体" w:eastAsia="宋体" w:cs="宋体"/>
          <w:color w:val="auto"/>
          <w:sz w:val="24"/>
          <w:szCs w:val="24"/>
          <w:highlight w:val="none"/>
        </w:rPr>
        <w:t>；</w:t>
      </w:r>
    </w:p>
    <w:p w14:paraId="2161F80F">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承包人提供的文件的数量为：</w:t>
      </w:r>
      <w:r>
        <w:rPr>
          <w:rFonts w:hint="eastAsia" w:ascii="宋体" w:hAnsi="宋体" w:eastAsia="宋体" w:cs="宋体"/>
          <w:color w:val="auto"/>
          <w:sz w:val="24"/>
          <w:szCs w:val="24"/>
          <w:highlight w:val="none"/>
          <w:u w:val="single"/>
        </w:rPr>
        <w:t>肆份              </w:t>
      </w:r>
      <w:r>
        <w:rPr>
          <w:rFonts w:hint="eastAsia" w:ascii="宋体" w:hAnsi="宋体" w:eastAsia="宋体" w:cs="宋体"/>
          <w:color w:val="auto"/>
          <w:sz w:val="24"/>
          <w:szCs w:val="24"/>
          <w:highlight w:val="none"/>
        </w:rPr>
        <w:t>；</w:t>
      </w:r>
    </w:p>
    <w:p w14:paraId="66E64E4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承包人提供的文件的形式为：</w:t>
      </w:r>
      <w:r>
        <w:rPr>
          <w:rFonts w:hint="eastAsia" w:ascii="宋体" w:hAnsi="宋体" w:eastAsia="宋体" w:cs="宋体"/>
          <w:color w:val="auto"/>
          <w:sz w:val="24"/>
          <w:szCs w:val="24"/>
          <w:highlight w:val="none"/>
          <w:u w:val="single"/>
        </w:rPr>
        <w:t> 书面             </w:t>
      </w:r>
      <w:r>
        <w:rPr>
          <w:rFonts w:hint="eastAsia" w:ascii="宋体" w:hAnsi="宋体" w:eastAsia="宋体" w:cs="宋体"/>
          <w:color w:val="auto"/>
          <w:sz w:val="24"/>
          <w:szCs w:val="24"/>
          <w:highlight w:val="none"/>
        </w:rPr>
        <w:t>；</w:t>
      </w:r>
    </w:p>
    <w:p w14:paraId="49C1E98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发包人审批承包人文件的期限：</w:t>
      </w:r>
      <w:r>
        <w:rPr>
          <w:rFonts w:hint="eastAsia" w:ascii="宋体" w:hAnsi="宋体" w:eastAsia="宋体" w:cs="宋体"/>
          <w:color w:val="auto"/>
          <w:sz w:val="24"/>
          <w:szCs w:val="24"/>
          <w:highlight w:val="none"/>
          <w:u w:val="single"/>
        </w:rPr>
        <w:t>收到文件后7天内审查完毕    </w:t>
      </w:r>
      <w:r>
        <w:rPr>
          <w:rFonts w:hint="eastAsia" w:ascii="宋体" w:hAnsi="宋体" w:eastAsia="宋体" w:cs="宋体"/>
          <w:color w:val="auto"/>
          <w:sz w:val="24"/>
          <w:szCs w:val="24"/>
          <w:highlight w:val="none"/>
        </w:rPr>
        <w:t>。</w:t>
      </w:r>
    </w:p>
    <w:p w14:paraId="69B47D14">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 现场图纸准备</w:t>
      </w:r>
    </w:p>
    <w:p w14:paraId="7A7DA09A">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关于现场图纸准备的约定：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2C7A5F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 联络</w:t>
      </w:r>
    </w:p>
    <w:p w14:paraId="7267D494">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1.7.1发包人和承包人应当在</w:t>
      </w:r>
      <w:r>
        <w:rPr>
          <w:rFonts w:hint="eastAsia" w:ascii="宋体" w:hAnsi="宋体" w:eastAsia="宋体" w:cs="宋体"/>
          <w:color w:val="auto"/>
          <w:sz w:val="24"/>
          <w:szCs w:val="24"/>
          <w:highlight w:val="none"/>
          <w:u w:val="single"/>
        </w:rPr>
        <w:t xml:space="preserve"> 7   </w:t>
      </w:r>
      <w:r>
        <w:rPr>
          <w:rFonts w:hint="eastAsia" w:ascii="宋体" w:hAnsi="宋体" w:eastAsia="宋体" w:cs="宋体"/>
          <w:color w:val="auto"/>
          <w:kern w:val="0"/>
          <w:sz w:val="24"/>
          <w:szCs w:val="24"/>
          <w:highlight w:val="none"/>
        </w:rPr>
        <w:t>天内将与合同有关的通知、批准、证明、证书、指示、指令、要求、请求、同意、意见、确定和决定等书面函件送达对方当事人。</w:t>
      </w:r>
    </w:p>
    <w:p w14:paraId="1EA039A6">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 发包人接收文件的地点：</w:t>
      </w:r>
      <w:r>
        <w:rPr>
          <w:rFonts w:hint="eastAsia" w:ascii="宋体" w:hAnsi="宋体" w:eastAsia="宋体" w:cs="宋体"/>
          <w:color w:val="auto"/>
          <w:sz w:val="24"/>
          <w:szCs w:val="24"/>
          <w:highlight w:val="none"/>
          <w:u w:val="single"/>
        </w:rPr>
        <w:t>项目所在地发包人办公室              </w:t>
      </w:r>
      <w:r>
        <w:rPr>
          <w:rFonts w:hint="eastAsia" w:ascii="宋体" w:hAnsi="宋体" w:eastAsia="宋体" w:cs="宋体"/>
          <w:color w:val="auto"/>
          <w:kern w:val="0"/>
          <w:sz w:val="24"/>
          <w:szCs w:val="24"/>
          <w:highlight w:val="none"/>
        </w:rPr>
        <w:t>；</w:t>
      </w:r>
    </w:p>
    <w:p w14:paraId="4D0A95A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发包人指定的接收人为：</w:t>
      </w:r>
      <w:r>
        <w:rPr>
          <w:rFonts w:hint="eastAsia" w:ascii="宋体" w:hAnsi="宋体" w:eastAsia="宋体" w:cs="宋体"/>
          <w:color w:val="auto"/>
          <w:sz w:val="24"/>
          <w:szCs w:val="24"/>
          <w:highlight w:val="none"/>
          <w:u w:val="single"/>
        </w:rPr>
        <w:t>                     </w:t>
      </w:r>
      <w:r>
        <w:rPr>
          <w:rFonts w:hint="eastAsia" w:ascii="宋体" w:hAnsi="宋体" w:eastAsia="宋体" w:cs="宋体"/>
          <w:color w:val="auto"/>
          <w:kern w:val="0"/>
          <w:sz w:val="24"/>
          <w:szCs w:val="24"/>
          <w:highlight w:val="none"/>
        </w:rPr>
        <w:t>。</w:t>
      </w:r>
    </w:p>
    <w:p w14:paraId="575719FE">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承包人接收文件的地点：</w:t>
      </w:r>
      <w:r>
        <w:rPr>
          <w:rFonts w:hint="eastAsia" w:ascii="宋体" w:hAnsi="宋体" w:eastAsia="宋体" w:cs="宋体"/>
          <w:color w:val="auto"/>
          <w:sz w:val="24"/>
          <w:szCs w:val="24"/>
          <w:highlight w:val="none"/>
          <w:u w:val="single"/>
        </w:rPr>
        <w:t>项目所在地承包人项目部                   </w:t>
      </w:r>
      <w:r>
        <w:rPr>
          <w:rFonts w:hint="eastAsia" w:ascii="宋体" w:hAnsi="宋体" w:eastAsia="宋体" w:cs="宋体"/>
          <w:color w:val="auto"/>
          <w:kern w:val="0"/>
          <w:sz w:val="24"/>
          <w:szCs w:val="24"/>
          <w:highlight w:val="none"/>
        </w:rPr>
        <w:t>；</w:t>
      </w:r>
    </w:p>
    <w:p w14:paraId="3AFB2A52">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承包人指定的接收人为：</w:t>
      </w:r>
      <w:r>
        <w:rPr>
          <w:rFonts w:hint="eastAsia" w:ascii="宋体" w:hAnsi="宋体" w:eastAsia="宋体" w:cs="宋体"/>
          <w:color w:val="auto"/>
          <w:sz w:val="24"/>
          <w:szCs w:val="24"/>
          <w:highlight w:val="none"/>
          <w:u w:val="single"/>
        </w:rPr>
        <w:t>承包方项目经理                    </w:t>
      </w:r>
      <w:r>
        <w:rPr>
          <w:rFonts w:hint="eastAsia" w:ascii="宋体" w:hAnsi="宋体" w:eastAsia="宋体" w:cs="宋体"/>
          <w:color w:val="auto"/>
          <w:kern w:val="0"/>
          <w:sz w:val="24"/>
          <w:szCs w:val="24"/>
          <w:highlight w:val="none"/>
        </w:rPr>
        <w:t>。</w:t>
      </w:r>
    </w:p>
    <w:p w14:paraId="5DAF3ECC">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监理人接收文件的地点：</w:t>
      </w:r>
      <w:r>
        <w:rPr>
          <w:rFonts w:hint="eastAsia" w:ascii="宋体" w:hAnsi="宋体" w:eastAsia="宋体" w:cs="宋体"/>
          <w:color w:val="auto"/>
          <w:sz w:val="24"/>
          <w:szCs w:val="24"/>
          <w:highlight w:val="none"/>
          <w:u w:val="single"/>
        </w:rPr>
        <w:t>\                   </w:t>
      </w:r>
      <w:r>
        <w:rPr>
          <w:rFonts w:hint="eastAsia" w:ascii="宋体" w:hAnsi="宋体" w:eastAsia="宋体" w:cs="宋体"/>
          <w:color w:val="auto"/>
          <w:kern w:val="0"/>
          <w:sz w:val="24"/>
          <w:szCs w:val="24"/>
          <w:highlight w:val="none"/>
        </w:rPr>
        <w:t>；</w:t>
      </w:r>
    </w:p>
    <w:p w14:paraId="040779A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监理人指定的接收人为：</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kern w:val="0"/>
          <w:sz w:val="24"/>
          <w:szCs w:val="24"/>
          <w:highlight w:val="none"/>
        </w:rPr>
        <w:t>。</w:t>
      </w:r>
    </w:p>
    <w:p w14:paraId="0E8F48D4">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 交通运输</w:t>
      </w:r>
    </w:p>
    <w:p w14:paraId="532CC83A">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1.10.1 出入现场的权利</w:t>
      </w:r>
    </w:p>
    <w:p w14:paraId="219EAB7E">
      <w:pPr>
        <w:keepNext w:val="0"/>
        <w:keepLines w:val="0"/>
        <w:pageBreakBefore w:val="0"/>
        <w:widowControl w:val="0"/>
        <w:kinsoku/>
        <w:wordWrap/>
        <w:overflowPunct/>
        <w:topLinePunct w:val="0"/>
        <w:autoSpaceDE w:val="0"/>
        <w:autoSpaceDN w:val="0"/>
        <w:bidi w:val="0"/>
        <w:snapToGrid/>
        <w:spacing w:line="340" w:lineRule="exact"/>
        <w:ind w:left="625" w:leftChars="284"/>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关于出入现场的权利的约定：</w:t>
      </w:r>
      <w:r>
        <w:rPr>
          <w:rFonts w:hint="eastAsia" w:ascii="宋体" w:hAnsi="宋体" w:eastAsia="宋体" w:cs="宋体"/>
          <w:color w:val="auto"/>
          <w:sz w:val="24"/>
          <w:szCs w:val="24"/>
          <w:highlight w:val="none"/>
          <w:u w:val="single"/>
        </w:rPr>
        <w:t xml:space="preserve">由承包人按发包人要求取得出入现场所需的批准手续 </w:t>
      </w:r>
      <w:r>
        <w:rPr>
          <w:rFonts w:hint="eastAsia" w:ascii="宋体" w:hAnsi="宋体" w:eastAsia="宋体" w:cs="宋体"/>
          <w:color w:val="auto"/>
          <w:sz w:val="24"/>
          <w:szCs w:val="24"/>
          <w:highlight w:val="none"/>
        </w:rPr>
        <w:t>。</w:t>
      </w:r>
    </w:p>
    <w:p w14:paraId="67296187">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1.10.3 场内交通</w:t>
      </w:r>
    </w:p>
    <w:p w14:paraId="739A0B93">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关于场外交通和场内交通的边界的约定：</w:t>
      </w:r>
      <w:r>
        <w:rPr>
          <w:rFonts w:hint="eastAsia" w:ascii="宋体" w:hAnsi="宋体" w:eastAsia="宋体" w:cs="宋体"/>
          <w:color w:val="auto"/>
          <w:sz w:val="24"/>
          <w:szCs w:val="24"/>
          <w:highlight w:val="none"/>
          <w:u w:val="single"/>
        </w:rPr>
        <w:t>本项目施工现场    </w:t>
      </w:r>
      <w:r>
        <w:rPr>
          <w:rFonts w:hint="eastAsia" w:ascii="宋体" w:hAnsi="宋体" w:eastAsia="宋体" w:cs="宋体"/>
          <w:color w:val="auto"/>
          <w:sz w:val="24"/>
          <w:szCs w:val="24"/>
          <w:highlight w:val="none"/>
        </w:rPr>
        <w:t>。</w:t>
      </w:r>
    </w:p>
    <w:p w14:paraId="0745713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关于发包人向承包人免费提供满足工程施工需要的场内道路和交通设施的约定：</w:t>
      </w:r>
      <w:r>
        <w:rPr>
          <w:rFonts w:hint="eastAsia" w:ascii="宋体" w:hAnsi="宋体" w:eastAsia="宋体" w:cs="宋体"/>
          <w:color w:val="auto"/>
          <w:sz w:val="24"/>
          <w:szCs w:val="24"/>
          <w:highlight w:val="none"/>
          <w:u w:val="single"/>
        </w:rPr>
        <w:t xml:space="preserve">以现场实际施工条件为准   </w:t>
      </w:r>
      <w:r>
        <w:rPr>
          <w:rFonts w:hint="eastAsia" w:ascii="宋体" w:hAnsi="宋体" w:eastAsia="宋体" w:cs="宋体"/>
          <w:color w:val="auto"/>
          <w:sz w:val="24"/>
          <w:szCs w:val="24"/>
          <w:highlight w:val="none"/>
        </w:rPr>
        <w:t xml:space="preserve">。  </w:t>
      </w:r>
    </w:p>
    <w:p w14:paraId="70947828">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1.10.4超大件和超重件的运输</w:t>
      </w:r>
    </w:p>
    <w:p w14:paraId="0B0A7D9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运输超大件或超重件所需的道路和桥梁临时加固改造费用和其他有关费用由</w:t>
      </w:r>
      <w:r>
        <w:rPr>
          <w:rFonts w:hint="eastAsia" w:ascii="宋体" w:hAnsi="宋体" w:eastAsia="宋体" w:cs="宋体"/>
          <w:color w:val="auto"/>
          <w:sz w:val="24"/>
          <w:szCs w:val="24"/>
          <w:highlight w:val="none"/>
          <w:u w:val="single"/>
        </w:rPr>
        <w:t xml:space="preserve">承包人  </w:t>
      </w:r>
      <w:r>
        <w:rPr>
          <w:rFonts w:hint="eastAsia" w:ascii="宋体" w:hAnsi="宋体" w:eastAsia="宋体" w:cs="宋体"/>
          <w:color w:val="auto"/>
          <w:sz w:val="24"/>
          <w:szCs w:val="24"/>
          <w:highlight w:val="none"/>
        </w:rPr>
        <w:t>承担。</w:t>
      </w:r>
    </w:p>
    <w:p w14:paraId="433C4821">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知识产权</w:t>
      </w:r>
    </w:p>
    <w:p w14:paraId="1F889BCC">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4"/>
          <w:szCs w:val="24"/>
          <w:highlight w:val="none"/>
          <w:u w:val="single"/>
        </w:rPr>
        <w:t xml:space="preserve">执行通用条款         </w:t>
      </w:r>
      <w:r>
        <w:rPr>
          <w:rFonts w:hint="eastAsia" w:ascii="宋体" w:hAnsi="宋体" w:eastAsia="宋体" w:cs="宋体"/>
          <w:color w:val="auto"/>
          <w:sz w:val="24"/>
          <w:szCs w:val="24"/>
          <w:highlight w:val="none"/>
        </w:rPr>
        <w:t>。</w:t>
      </w:r>
    </w:p>
    <w:p w14:paraId="4AA43F8B">
      <w:pPr>
        <w:keepNext w:val="0"/>
        <w:keepLines w:val="0"/>
        <w:pageBreakBefore w:val="0"/>
        <w:widowControl w:val="0"/>
        <w:kinsoku/>
        <w:wordWrap/>
        <w:overflowPunct/>
        <w:topLinePunct w:val="0"/>
        <w:autoSpaceDE w:val="0"/>
        <w:autoSpaceDN w:val="0"/>
        <w:bidi w:val="0"/>
        <w:snapToGrid/>
        <w:spacing w:line="340" w:lineRule="exact"/>
        <w:ind w:left="625" w:leftChars="28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关于发包人提供的上述文件的使用限制的要求：</w:t>
      </w:r>
      <w:r>
        <w:rPr>
          <w:rFonts w:hint="eastAsia" w:ascii="宋体" w:hAnsi="宋体" w:eastAsia="宋体" w:cs="宋体"/>
          <w:color w:val="auto"/>
          <w:sz w:val="24"/>
          <w:szCs w:val="24"/>
          <w:highlight w:val="none"/>
          <w:u w:val="single"/>
        </w:rPr>
        <w:t xml:space="preserve">    执行通用条款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9AC0501">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1.11.2 关于承包人为实施工程所编制文件的著作权的归属：</w:t>
      </w:r>
      <w:r>
        <w:rPr>
          <w:rFonts w:hint="eastAsia" w:ascii="宋体" w:hAnsi="宋体" w:eastAsia="宋体" w:cs="宋体"/>
          <w:color w:val="auto"/>
          <w:sz w:val="24"/>
          <w:szCs w:val="24"/>
          <w:highlight w:val="none"/>
          <w:u w:val="single"/>
        </w:rPr>
        <w:t xml:space="preserve"> 执行通用条款</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5F97724B">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关于承包人提供的上述文件的使用限制的要求：</w:t>
      </w:r>
      <w:r>
        <w:rPr>
          <w:rFonts w:hint="eastAsia" w:ascii="宋体" w:hAnsi="宋体" w:eastAsia="宋体" w:cs="宋体"/>
          <w:color w:val="auto"/>
          <w:sz w:val="24"/>
          <w:szCs w:val="24"/>
          <w:highlight w:val="none"/>
          <w:u w:val="single"/>
        </w:rPr>
        <w:t xml:space="preserve">执行通用条款   </w:t>
      </w:r>
      <w:r>
        <w:rPr>
          <w:rFonts w:hint="eastAsia" w:ascii="宋体" w:hAnsi="宋体" w:eastAsia="宋体" w:cs="宋体"/>
          <w:color w:val="auto"/>
          <w:sz w:val="24"/>
          <w:szCs w:val="24"/>
          <w:highlight w:val="none"/>
        </w:rPr>
        <w:t>。</w:t>
      </w:r>
    </w:p>
    <w:p w14:paraId="1BC87E9F">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1.11.4 承包人在施工过程中所采用的专利、专有技术、技术秘密的使用费的承担方式：</w:t>
      </w:r>
      <w:r>
        <w:rPr>
          <w:rFonts w:hint="eastAsia" w:ascii="宋体" w:hAnsi="宋体" w:eastAsia="宋体" w:cs="宋体"/>
          <w:color w:val="auto"/>
          <w:sz w:val="24"/>
          <w:szCs w:val="24"/>
          <w:highlight w:val="none"/>
          <w:u w:val="single"/>
        </w:rPr>
        <w:t xml:space="preserve">执行通用条款    </w:t>
      </w:r>
      <w:r>
        <w:rPr>
          <w:rFonts w:hint="eastAsia" w:ascii="宋体" w:hAnsi="宋体" w:eastAsia="宋体" w:cs="宋体"/>
          <w:color w:val="auto"/>
          <w:kern w:val="0"/>
          <w:sz w:val="24"/>
          <w:szCs w:val="24"/>
          <w:highlight w:val="none"/>
        </w:rPr>
        <w:t>。</w:t>
      </w:r>
    </w:p>
    <w:p w14:paraId="3934FA0D">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1.13工程量清单错误的修正</w:t>
      </w:r>
    </w:p>
    <w:p w14:paraId="4862706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出现工程量清单错误时，是否调整合同价格：</w:t>
      </w:r>
      <w:r>
        <w:rPr>
          <w:rFonts w:hint="eastAsia" w:ascii="宋体" w:hAnsi="宋体" w:eastAsia="宋体" w:cs="宋体"/>
          <w:color w:val="auto"/>
          <w:sz w:val="24"/>
          <w:szCs w:val="24"/>
          <w:highlight w:val="none"/>
          <w:u w:val="single"/>
        </w:rPr>
        <w:t xml:space="preserve">         是           </w:t>
      </w:r>
      <w:r>
        <w:rPr>
          <w:rFonts w:hint="eastAsia" w:ascii="宋体" w:hAnsi="宋体" w:eastAsia="宋体" w:cs="宋体"/>
          <w:color w:val="auto"/>
          <w:kern w:val="0"/>
          <w:sz w:val="24"/>
          <w:szCs w:val="24"/>
          <w:highlight w:val="none"/>
        </w:rPr>
        <w:t>。</w:t>
      </w:r>
    </w:p>
    <w:p w14:paraId="1B49618E">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允许调整合同价格的工程量偏差范围：</w:t>
      </w:r>
      <w:r>
        <w:rPr>
          <w:rFonts w:hint="eastAsia" w:ascii="宋体" w:hAnsi="宋体" w:eastAsia="宋体" w:cs="宋体"/>
          <w:color w:val="auto"/>
          <w:sz w:val="24"/>
          <w:szCs w:val="24"/>
          <w:highlight w:val="none"/>
          <w:u w:val="single"/>
        </w:rPr>
        <w:t xml:space="preserve">      超过±3%          </w:t>
      </w:r>
      <w:r>
        <w:rPr>
          <w:rFonts w:hint="eastAsia" w:ascii="宋体" w:hAnsi="宋体" w:eastAsia="宋体" w:cs="宋体"/>
          <w:color w:val="auto"/>
          <w:kern w:val="0"/>
          <w:sz w:val="24"/>
          <w:szCs w:val="24"/>
          <w:highlight w:val="none"/>
        </w:rPr>
        <w:t>。</w:t>
      </w:r>
    </w:p>
    <w:p w14:paraId="7AF25757">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 发包人</w:t>
      </w:r>
    </w:p>
    <w:p w14:paraId="38093D6A">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发包人代表</w:t>
      </w:r>
    </w:p>
    <w:p w14:paraId="3FE14076">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发包人代表：</w:t>
      </w:r>
    </w:p>
    <w:p w14:paraId="3CA78006">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    </w:t>
      </w:r>
      <w:r>
        <w:rPr>
          <w:rFonts w:hint="eastAsia" w:ascii="宋体" w:hAnsi="宋体" w:eastAsia="宋体" w:cs="宋体"/>
          <w:color w:val="auto"/>
          <w:sz w:val="24"/>
          <w:szCs w:val="24"/>
          <w:highlight w:val="none"/>
        </w:rPr>
        <w:t>；</w:t>
      </w:r>
    </w:p>
    <w:p w14:paraId="0EBC2769">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22D7CA10">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575F92BC">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89BB524">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6F77ED3F">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0E22EE38">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发包人对发包人代表的授权范围如下：</w:t>
      </w:r>
      <w:r>
        <w:rPr>
          <w:rFonts w:hint="eastAsia" w:ascii="宋体" w:hAnsi="宋体" w:eastAsia="宋体" w:cs="宋体"/>
          <w:color w:val="auto"/>
          <w:sz w:val="24"/>
          <w:szCs w:val="24"/>
          <w:highlight w:val="none"/>
          <w:u w:val="single"/>
        </w:rPr>
        <w:t xml:space="preserve">督促指导监理工程师行使职权、协调施工现场各方面的关系、协调工程质量、进度和安全文明施工中存在的问题，解决有关设计和技术签证，办理现场经济技术签证。     </w:t>
      </w:r>
      <w:r>
        <w:rPr>
          <w:rFonts w:hint="eastAsia" w:ascii="宋体" w:hAnsi="宋体" w:eastAsia="宋体" w:cs="宋体"/>
          <w:color w:val="auto"/>
          <w:sz w:val="24"/>
          <w:szCs w:val="24"/>
          <w:highlight w:val="none"/>
        </w:rPr>
        <w:t>。</w:t>
      </w:r>
    </w:p>
    <w:p w14:paraId="58954307">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施工现场、施工条件和基础资料的提供</w:t>
      </w:r>
    </w:p>
    <w:p w14:paraId="0AEBBB41">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提供施工现场</w:t>
      </w:r>
    </w:p>
    <w:p w14:paraId="2184788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关于发包人移交施工现场的期限要求：</w:t>
      </w:r>
      <w:r>
        <w:rPr>
          <w:rFonts w:hint="eastAsia" w:ascii="宋体" w:hAnsi="宋体" w:eastAsia="宋体" w:cs="宋体"/>
          <w:color w:val="auto"/>
          <w:sz w:val="24"/>
          <w:szCs w:val="24"/>
          <w:highlight w:val="none"/>
          <w:u w:val="single"/>
        </w:rPr>
        <w:t>开工前    </w:t>
      </w:r>
      <w:r>
        <w:rPr>
          <w:rFonts w:hint="eastAsia" w:ascii="宋体" w:hAnsi="宋体" w:eastAsia="宋体" w:cs="宋体"/>
          <w:color w:val="auto"/>
          <w:sz w:val="24"/>
          <w:szCs w:val="24"/>
          <w:highlight w:val="none"/>
        </w:rPr>
        <w:t>。</w:t>
      </w:r>
    </w:p>
    <w:p w14:paraId="2D19991B">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提供施工条件</w:t>
      </w:r>
    </w:p>
    <w:p w14:paraId="39F6977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关于发包人应负责提供施工所需要的条件，包括：</w:t>
      </w:r>
      <w:r>
        <w:rPr>
          <w:rFonts w:hint="eastAsia" w:ascii="宋体" w:hAnsi="宋体" w:eastAsia="宋体" w:cs="宋体"/>
          <w:color w:val="auto"/>
          <w:sz w:val="24"/>
          <w:szCs w:val="24"/>
          <w:highlight w:val="none"/>
          <w:u w:val="single"/>
        </w:rPr>
        <w:t xml:space="preserve"> 执行通用条款          </w:t>
      </w:r>
      <w:r>
        <w:rPr>
          <w:rFonts w:hint="eastAsia" w:ascii="宋体" w:hAnsi="宋体" w:eastAsia="宋体" w:cs="宋体"/>
          <w:color w:val="auto"/>
          <w:sz w:val="24"/>
          <w:szCs w:val="24"/>
          <w:highlight w:val="none"/>
        </w:rPr>
        <w:t>。</w:t>
      </w:r>
    </w:p>
    <w:p w14:paraId="034DEC9A">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资金来源证明及支付担保</w:t>
      </w:r>
    </w:p>
    <w:p w14:paraId="05A31E14">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发包人提供资金来源证明的期限要求：</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CFA9469">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发包人是否提供支付担保：</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7CC67E0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发包人提供支付担保的形式：</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5B9ECB64">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 承包人</w:t>
      </w:r>
    </w:p>
    <w:p w14:paraId="04FE589E">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承包人的一般义务</w:t>
      </w:r>
    </w:p>
    <w:p w14:paraId="7FF06CE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（5）</w:t>
      </w:r>
      <w:r>
        <w:rPr>
          <w:rFonts w:hint="eastAsia" w:ascii="宋体" w:hAnsi="宋体" w:eastAsia="宋体" w:cs="宋体"/>
          <w:color w:val="auto"/>
          <w:sz w:val="24"/>
          <w:szCs w:val="24"/>
          <w:highlight w:val="none"/>
        </w:rPr>
        <w:t>承包人提交的竣工资料的内容：</w:t>
      </w:r>
      <w:r>
        <w:rPr>
          <w:rFonts w:hint="eastAsia" w:ascii="宋体" w:hAnsi="宋体" w:eastAsia="宋体" w:cs="宋体"/>
          <w:color w:val="auto"/>
          <w:sz w:val="24"/>
          <w:szCs w:val="24"/>
          <w:highlight w:val="none"/>
          <w:u w:val="single"/>
        </w:rPr>
        <w:t xml:space="preserve">    竣工图及资料                 </w:t>
      </w:r>
      <w:r>
        <w:rPr>
          <w:rFonts w:hint="eastAsia" w:ascii="宋体" w:hAnsi="宋体" w:eastAsia="宋体" w:cs="宋体"/>
          <w:color w:val="auto"/>
          <w:sz w:val="24"/>
          <w:szCs w:val="24"/>
          <w:highlight w:val="none"/>
        </w:rPr>
        <w:t xml:space="preserve"> 。</w:t>
      </w:r>
    </w:p>
    <w:p w14:paraId="13094B29">
      <w:pPr>
        <w:keepNext w:val="0"/>
        <w:keepLines w:val="0"/>
        <w:pageBreakBefore w:val="0"/>
        <w:widowControl w:val="0"/>
        <w:kinsoku/>
        <w:wordWrap/>
        <w:overflowPunct/>
        <w:topLinePunct w:val="0"/>
        <w:autoSpaceDE w:val="0"/>
        <w:autoSpaceDN w:val="0"/>
        <w:bidi w:val="0"/>
        <w:snapToGrid/>
        <w:spacing w:line="340" w:lineRule="exact"/>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承包人需要提交的竣工资料套数：</w:t>
      </w:r>
      <w:r>
        <w:rPr>
          <w:rFonts w:hint="eastAsia" w:ascii="宋体" w:hAnsi="宋体" w:eastAsia="宋体" w:cs="宋体"/>
          <w:color w:val="auto"/>
          <w:sz w:val="24"/>
          <w:szCs w:val="24"/>
          <w:highlight w:val="none"/>
          <w:u w:val="single"/>
        </w:rPr>
        <w:t xml:space="preserve">        两套                       </w:t>
      </w:r>
      <w:r>
        <w:rPr>
          <w:rFonts w:hint="eastAsia" w:ascii="宋体" w:hAnsi="宋体" w:eastAsia="宋体" w:cs="宋体"/>
          <w:color w:val="auto"/>
          <w:sz w:val="24"/>
          <w:szCs w:val="24"/>
          <w:highlight w:val="none"/>
        </w:rPr>
        <w:t>。</w:t>
      </w:r>
    </w:p>
    <w:p w14:paraId="3A1B048F">
      <w:pPr>
        <w:keepNext w:val="0"/>
        <w:keepLines w:val="0"/>
        <w:pageBreakBefore w:val="0"/>
        <w:widowControl w:val="0"/>
        <w:kinsoku/>
        <w:wordWrap/>
        <w:overflowPunct/>
        <w:topLinePunct w:val="0"/>
        <w:autoSpaceDE w:val="0"/>
        <w:autoSpaceDN w:val="0"/>
        <w:bidi w:val="0"/>
        <w:snapToGrid/>
        <w:spacing w:line="340" w:lineRule="exact"/>
        <w:ind w:left="669" w:leftChars="3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承包人提交的竣工资料的费用承担：</w:t>
      </w:r>
      <w:r>
        <w:rPr>
          <w:rFonts w:hint="eastAsia" w:ascii="宋体" w:hAnsi="宋体" w:eastAsia="宋体" w:cs="宋体"/>
          <w:color w:val="auto"/>
          <w:sz w:val="24"/>
          <w:szCs w:val="24"/>
          <w:highlight w:val="none"/>
          <w:u w:val="single"/>
        </w:rPr>
        <w:t xml:space="preserve">  由承包人承担                    </w:t>
      </w:r>
      <w:r>
        <w:rPr>
          <w:rFonts w:hint="eastAsia" w:ascii="宋体" w:hAnsi="宋体" w:eastAsia="宋体" w:cs="宋体"/>
          <w:color w:val="auto"/>
          <w:sz w:val="24"/>
          <w:szCs w:val="24"/>
          <w:highlight w:val="none"/>
        </w:rPr>
        <w:t>。</w:t>
      </w:r>
    </w:p>
    <w:p w14:paraId="1B7E9D88">
      <w:pPr>
        <w:keepNext w:val="0"/>
        <w:keepLines w:val="0"/>
        <w:pageBreakBefore w:val="0"/>
        <w:widowControl w:val="0"/>
        <w:kinsoku/>
        <w:wordWrap/>
        <w:overflowPunct/>
        <w:topLinePunct w:val="0"/>
        <w:autoSpaceDE w:val="0"/>
        <w:autoSpaceDN w:val="0"/>
        <w:bidi w:val="0"/>
        <w:snapToGrid/>
        <w:spacing w:line="340" w:lineRule="exact"/>
        <w:ind w:left="669" w:leftChars="3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承包人提交的竣工资料移交时间：</w:t>
      </w:r>
      <w:r>
        <w:rPr>
          <w:rFonts w:hint="eastAsia" w:ascii="宋体" w:hAnsi="宋体" w:eastAsia="宋体" w:cs="宋体"/>
          <w:color w:val="auto"/>
          <w:sz w:val="24"/>
          <w:szCs w:val="24"/>
          <w:highlight w:val="none"/>
          <w:u w:val="single"/>
        </w:rPr>
        <w:t xml:space="preserve">   工程竣工后壹个月                </w:t>
      </w:r>
      <w:r>
        <w:rPr>
          <w:rFonts w:hint="eastAsia" w:ascii="宋体" w:hAnsi="宋体" w:eastAsia="宋体" w:cs="宋体"/>
          <w:color w:val="auto"/>
          <w:sz w:val="24"/>
          <w:szCs w:val="24"/>
          <w:highlight w:val="none"/>
        </w:rPr>
        <w:t>。</w:t>
      </w:r>
    </w:p>
    <w:p w14:paraId="2AADB1D6">
      <w:pPr>
        <w:keepNext w:val="0"/>
        <w:keepLines w:val="0"/>
        <w:pageBreakBefore w:val="0"/>
        <w:widowControl w:val="0"/>
        <w:kinsoku/>
        <w:wordWrap/>
        <w:overflowPunct/>
        <w:topLinePunct w:val="0"/>
        <w:autoSpaceDE w:val="0"/>
        <w:autoSpaceDN w:val="0"/>
        <w:bidi w:val="0"/>
        <w:snapToGrid/>
        <w:spacing w:line="340" w:lineRule="exact"/>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承包人提交的竣工资料形式要求：</w:t>
      </w:r>
      <w:r>
        <w:rPr>
          <w:rFonts w:hint="eastAsia" w:ascii="宋体" w:hAnsi="宋体" w:eastAsia="宋体" w:cs="宋体"/>
          <w:color w:val="auto"/>
          <w:sz w:val="24"/>
          <w:szCs w:val="24"/>
          <w:highlight w:val="none"/>
          <w:u w:val="single"/>
        </w:rPr>
        <w:t xml:space="preserve">    书面                            </w:t>
      </w:r>
      <w:r>
        <w:rPr>
          <w:rFonts w:hint="eastAsia" w:ascii="宋体" w:hAnsi="宋体" w:eastAsia="宋体" w:cs="宋体"/>
          <w:color w:val="auto"/>
          <w:sz w:val="24"/>
          <w:szCs w:val="24"/>
          <w:highlight w:val="none"/>
        </w:rPr>
        <w:t>。</w:t>
      </w:r>
    </w:p>
    <w:p w14:paraId="6DC138AE">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（6）承包人应履行的其他义务：</w:t>
      </w:r>
      <w:r>
        <w:rPr>
          <w:rFonts w:hint="eastAsia" w:ascii="宋体" w:hAnsi="宋体" w:eastAsia="宋体" w:cs="宋体"/>
          <w:color w:val="auto"/>
          <w:sz w:val="24"/>
          <w:szCs w:val="24"/>
          <w:highlight w:val="none"/>
          <w:u w:val="single"/>
        </w:rPr>
        <w:t xml:space="preserve"> 双方协商确定                       </w:t>
      </w:r>
      <w:r>
        <w:rPr>
          <w:rFonts w:hint="eastAsia" w:ascii="宋体" w:hAnsi="宋体" w:eastAsia="宋体" w:cs="宋体"/>
          <w:color w:val="auto"/>
          <w:sz w:val="24"/>
          <w:szCs w:val="24"/>
          <w:highlight w:val="none"/>
        </w:rPr>
        <w:t>。</w:t>
      </w:r>
    </w:p>
    <w:p w14:paraId="4EC06E2D">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项目负责人</w:t>
      </w:r>
    </w:p>
    <w:p w14:paraId="506C8AB1">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3.2.1 </w:t>
      </w:r>
      <w:r>
        <w:rPr>
          <w:rFonts w:hint="eastAsia" w:ascii="宋体" w:hAnsi="宋体" w:eastAsia="宋体" w:cs="宋体"/>
          <w:color w:val="auto"/>
          <w:sz w:val="24"/>
          <w:szCs w:val="24"/>
          <w:highlight w:val="none"/>
        </w:rPr>
        <w:t>项目负责人：</w:t>
      </w:r>
    </w:p>
    <w:p w14:paraId="659AF631">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A0F268E">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FDDC887">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建造师执业资格等级：</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0C2846F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建造师注册证书号：</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6F41C67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建造师执业印章号：</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43DE170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安全生产考核合格证书号：</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5414C320">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86DCFB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D395D96">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F424AA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承包人对项目负责人的授权范围如下：</w:t>
      </w:r>
      <w:r>
        <w:rPr>
          <w:rFonts w:hint="eastAsia" w:ascii="宋体" w:hAnsi="宋体" w:eastAsia="宋体" w:cs="宋体"/>
          <w:color w:val="auto"/>
          <w:sz w:val="24"/>
          <w:szCs w:val="24"/>
          <w:highlight w:val="none"/>
          <w:u w:val="single"/>
        </w:rPr>
        <w:t>全面负责项目施工过程中质量、安全、进度管理工作</w:t>
      </w:r>
      <w:r>
        <w:rPr>
          <w:rFonts w:hint="eastAsia" w:ascii="宋体" w:hAnsi="宋体" w:eastAsia="宋体" w:cs="宋体"/>
          <w:color w:val="auto"/>
          <w:sz w:val="24"/>
          <w:szCs w:val="24"/>
          <w:highlight w:val="none"/>
        </w:rPr>
        <w:t>。</w:t>
      </w:r>
    </w:p>
    <w:p w14:paraId="504602E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关于项目负责人每月在施工现场的时间要求：</w:t>
      </w:r>
      <w:r>
        <w:rPr>
          <w:rFonts w:hint="eastAsia" w:ascii="宋体" w:hAnsi="宋体" w:eastAsia="宋体" w:cs="宋体"/>
          <w:color w:val="auto"/>
          <w:sz w:val="24"/>
          <w:szCs w:val="24"/>
          <w:highlight w:val="none"/>
          <w:u w:val="single"/>
        </w:rPr>
        <w:t xml:space="preserve">       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8DF6BE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承包人未提交劳动合同，以及没有为项目负责人缴纳社会保险证明的违约责任：</w:t>
      </w:r>
      <w:r>
        <w:rPr>
          <w:rFonts w:hint="eastAsia" w:ascii="宋体" w:hAnsi="宋体" w:eastAsia="宋体" w:cs="宋体"/>
          <w:color w:val="auto"/>
          <w:sz w:val="24"/>
          <w:szCs w:val="24"/>
          <w:highlight w:val="none"/>
          <w:u w:val="single"/>
        </w:rPr>
        <w:t>承包人承担上述违约责任给发包人造成的损失</w:t>
      </w:r>
      <w:r>
        <w:rPr>
          <w:rFonts w:hint="eastAsia" w:ascii="宋体" w:hAnsi="宋体" w:eastAsia="宋体" w:cs="宋体"/>
          <w:color w:val="auto"/>
          <w:sz w:val="24"/>
          <w:szCs w:val="24"/>
          <w:highlight w:val="none"/>
        </w:rPr>
        <w:t>。</w:t>
      </w:r>
    </w:p>
    <w:p w14:paraId="400F65E3">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项目负责人未经批准，擅自离开施工现场的违约责任：</w:t>
      </w:r>
      <w:r>
        <w:rPr>
          <w:rFonts w:hint="eastAsia" w:ascii="宋体" w:hAnsi="宋体" w:eastAsia="宋体" w:cs="宋体"/>
          <w:color w:val="auto"/>
          <w:sz w:val="24"/>
          <w:szCs w:val="24"/>
          <w:highlight w:val="none"/>
          <w:u w:val="single"/>
        </w:rPr>
        <w:t xml:space="preserve">  承包人承担上述违约责任给发包人造成的损失    </w:t>
      </w:r>
      <w:r>
        <w:rPr>
          <w:rFonts w:hint="eastAsia" w:ascii="宋体" w:hAnsi="宋体" w:eastAsia="宋体" w:cs="宋体"/>
          <w:color w:val="auto"/>
          <w:sz w:val="24"/>
          <w:szCs w:val="24"/>
          <w:highlight w:val="none"/>
        </w:rPr>
        <w:t>。</w:t>
      </w:r>
    </w:p>
    <w:p w14:paraId="27E2FCC5">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 承包人擅自更换项目负责人的违约责任：</w:t>
      </w:r>
      <w:r>
        <w:rPr>
          <w:rFonts w:hint="eastAsia" w:ascii="宋体" w:hAnsi="宋体" w:eastAsia="宋体" w:cs="宋体"/>
          <w:color w:val="auto"/>
          <w:sz w:val="24"/>
          <w:szCs w:val="24"/>
          <w:highlight w:val="none"/>
          <w:u w:val="single"/>
        </w:rPr>
        <w:t>承包人承担上述违约责任给发包人造成的损失</w:t>
      </w:r>
      <w:r>
        <w:rPr>
          <w:rFonts w:hint="eastAsia" w:ascii="宋体" w:hAnsi="宋体" w:eastAsia="宋体" w:cs="宋体"/>
          <w:color w:val="auto"/>
          <w:sz w:val="24"/>
          <w:szCs w:val="24"/>
          <w:highlight w:val="none"/>
        </w:rPr>
        <w:t>。</w:t>
      </w:r>
    </w:p>
    <w:p w14:paraId="6A379F7F">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 承包人无正当理由拒绝更换项目负责人的违约责任：</w:t>
      </w:r>
      <w:r>
        <w:rPr>
          <w:rFonts w:hint="eastAsia" w:ascii="宋体" w:hAnsi="宋体" w:eastAsia="宋体" w:cs="宋体"/>
          <w:color w:val="auto"/>
          <w:sz w:val="24"/>
          <w:szCs w:val="24"/>
          <w:highlight w:val="none"/>
          <w:u w:val="single"/>
        </w:rPr>
        <w:t xml:space="preserve">  承包人承担上述违约责任给发包人造成的损失  </w:t>
      </w:r>
      <w:r>
        <w:rPr>
          <w:rFonts w:hint="eastAsia" w:ascii="宋体" w:hAnsi="宋体" w:eastAsia="宋体" w:cs="宋体"/>
          <w:color w:val="auto"/>
          <w:sz w:val="24"/>
          <w:szCs w:val="24"/>
          <w:highlight w:val="none"/>
        </w:rPr>
        <w:t>。</w:t>
      </w:r>
    </w:p>
    <w:p w14:paraId="30C9B877">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承包人人员</w:t>
      </w:r>
    </w:p>
    <w:p w14:paraId="59E81B5E">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承包人提交项目管理机构及施工现场管理人员安排报告的期限：</w:t>
      </w:r>
      <w:r>
        <w:rPr>
          <w:rFonts w:hint="eastAsia" w:ascii="宋体" w:hAnsi="宋体" w:eastAsia="宋体" w:cs="宋体"/>
          <w:color w:val="auto"/>
          <w:sz w:val="24"/>
          <w:szCs w:val="24"/>
          <w:highlight w:val="none"/>
          <w:u w:val="single"/>
        </w:rPr>
        <w:t xml:space="preserve">工程开工前2天  </w:t>
      </w:r>
      <w:r>
        <w:rPr>
          <w:rFonts w:hint="eastAsia" w:ascii="宋体" w:hAnsi="宋体" w:eastAsia="宋体" w:cs="宋体"/>
          <w:color w:val="auto"/>
          <w:sz w:val="24"/>
          <w:szCs w:val="24"/>
          <w:highlight w:val="none"/>
        </w:rPr>
        <w:t>。</w:t>
      </w:r>
    </w:p>
    <w:p w14:paraId="43AB9A5B">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承包人无正当理由拒绝撤换主要施工管理人员的违约责任：</w:t>
      </w:r>
      <w:r>
        <w:rPr>
          <w:rFonts w:hint="eastAsia" w:ascii="宋体" w:hAnsi="宋体" w:eastAsia="宋体" w:cs="宋体"/>
          <w:color w:val="auto"/>
          <w:sz w:val="24"/>
          <w:szCs w:val="24"/>
          <w:highlight w:val="none"/>
          <w:u w:val="single"/>
        </w:rPr>
        <w:t xml:space="preserve"> 承包人承担上述违约责任给发包人造成的损失      </w:t>
      </w:r>
      <w:r>
        <w:rPr>
          <w:rFonts w:hint="eastAsia" w:ascii="宋体" w:hAnsi="宋体" w:eastAsia="宋体" w:cs="宋体"/>
          <w:color w:val="auto"/>
          <w:sz w:val="24"/>
          <w:szCs w:val="24"/>
          <w:highlight w:val="none"/>
        </w:rPr>
        <w:t>。</w:t>
      </w:r>
    </w:p>
    <w:p w14:paraId="5F7C2FF8">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3.3.4 承包人主要施工管理人员离开施工现场的批准要求： </w:t>
      </w:r>
      <w:r>
        <w:rPr>
          <w:rFonts w:hint="eastAsia" w:ascii="宋体" w:hAnsi="宋体" w:eastAsia="宋体" w:cs="宋体"/>
          <w:color w:val="auto"/>
          <w:sz w:val="24"/>
          <w:szCs w:val="24"/>
          <w:highlight w:val="none"/>
          <w:u w:val="single"/>
        </w:rPr>
        <w:t xml:space="preserve">由发包人师批准后方可离开      </w:t>
      </w:r>
      <w:r>
        <w:rPr>
          <w:rFonts w:hint="eastAsia" w:ascii="宋体" w:hAnsi="宋体" w:eastAsia="宋体" w:cs="宋体"/>
          <w:color w:val="auto"/>
          <w:sz w:val="24"/>
          <w:szCs w:val="24"/>
          <w:highlight w:val="none"/>
        </w:rPr>
        <w:t>。</w:t>
      </w:r>
    </w:p>
    <w:p w14:paraId="61B34FFB">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3.3.5承包人擅自更换主要施工管理人员的违约责任：</w:t>
      </w:r>
      <w:r>
        <w:rPr>
          <w:rFonts w:hint="eastAsia" w:ascii="宋体" w:hAnsi="宋体" w:eastAsia="宋体" w:cs="宋体"/>
          <w:color w:val="auto"/>
          <w:sz w:val="24"/>
          <w:szCs w:val="24"/>
          <w:highlight w:val="none"/>
          <w:u w:val="single"/>
        </w:rPr>
        <w:t xml:space="preserve">承包人承担上述违约责任给发包人造成的损失    </w:t>
      </w:r>
      <w:r>
        <w:rPr>
          <w:rFonts w:hint="eastAsia" w:ascii="宋体" w:hAnsi="宋体" w:eastAsia="宋体" w:cs="宋体"/>
          <w:color w:val="auto"/>
          <w:sz w:val="24"/>
          <w:szCs w:val="24"/>
          <w:highlight w:val="none"/>
        </w:rPr>
        <w:t>。</w:t>
      </w:r>
    </w:p>
    <w:p w14:paraId="62285C9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承包人主要施工管理人员擅自离开施工现场的违约责任：</w:t>
      </w:r>
      <w:r>
        <w:rPr>
          <w:rFonts w:hint="eastAsia" w:ascii="宋体" w:hAnsi="宋体" w:eastAsia="宋体" w:cs="宋体"/>
          <w:color w:val="auto"/>
          <w:sz w:val="24"/>
          <w:szCs w:val="24"/>
          <w:highlight w:val="none"/>
          <w:u w:val="single"/>
        </w:rPr>
        <w:t xml:space="preserve"> 承包人承担上述违约责任给发包人造成的损失  </w:t>
      </w:r>
      <w:r>
        <w:rPr>
          <w:rFonts w:hint="eastAsia" w:ascii="宋体" w:hAnsi="宋体" w:eastAsia="宋体" w:cs="宋体"/>
          <w:color w:val="auto"/>
          <w:sz w:val="24"/>
          <w:szCs w:val="24"/>
          <w:highlight w:val="none"/>
        </w:rPr>
        <w:t>。</w:t>
      </w:r>
    </w:p>
    <w:p w14:paraId="46B1341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Start w:id="61" w:name="_Toc297048345"/>
      <w:bookmarkStart w:id="62" w:name="_Toc296891199"/>
      <w:bookmarkStart w:id="63" w:name="_Toc296347158"/>
      <w:bookmarkStart w:id="64" w:name="_Toc292559869"/>
      <w:bookmarkStart w:id="65" w:name="_Toc304295523"/>
      <w:bookmarkStart w:id="66" w:name="_Toc296503159"/>
      <w:bookmarkStart w:id="67" w:name="_Toc296346660"/>
      <w:bookmarkStart w:id="68" w:name="_Toc292559364"/>
      <w:bookmarkStart w:id="69" w:name="_Toc296890987"/>
      <w:bookmarkStart w:id="70" w:name="_Toc312677988"/>
      <w:bookmarkStart w:id="71" w:name="_Toc296944498"/>
      <w:bookmarkStart w:id="72" w:name="_Toc297120459"/>
      <w:bookmarkStart w:id="73" w:name="_Toc297123492"/>
      <w:bookmarkStart w:id="74" w:name="_Toc297216151"/>
      <w:bookmarkStart w:id="75" w:name="_Toc303539102"/>
      <w:bookmarkStart w:id="76" w:name="_Toc300934945"/>
      <w:r>
        <w:rPr>
          <w:rFonts w:hint="eastAsia" w:ascii="宋体" w:hAnsi="宋体" w:eastAsia="宋体" w:cs="宋体"/>
          <w:color w:val="auto"/>
          <w:sz w:val="24"/>
          <w:szCs w:val="24"/>
          <w:highlight w:val="none"/>
        </w:rPr>
        <w:t>.5 分包</w:t>
      </w:r>
    </w:p>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14:paraId="7329C075">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Start w:id="77" w:name="_Toc296944499"/>
      <w:bookmarkStart w:id="78" w:name="_Toc296503160"/>
      <w:bookmarkStart w:id="79" w:name="_Toc296346661"/>
      <w:bookmarkStart w:id="80" w:name="_Toc300934946"/>
      <w:bookmarkStart w:id="81" w:name="_Toc292559870"/>
      <w:bookmarkStart w:id="82" w:name="_Toc297216152"/>
      <w:bookmarkStart w:id="83" w:name="_Toc303539103"/>
      <w:bookmarkStart w:id="84" w:name="_Toc297048346"/>
      <w:bookmarkStart w:id="85" w:name="_Toc296347159"/>
      <w:bookmarkStart w:id="86" w:name="_Toc296891200"/>
      <w:bookmarkStart w:id="87" w:name="_Toc297123493"/>
      <w:bookmarkStart w:id="88" w:name="_Toc304295524"/>
      <w:bookmarkStart w:id="89" w:name="_Toc296890988"/>
      <w:bookmarkStart w:id="90" w:name="_Toc292559365"/>
      <w:bookmarkStart w:id="91" w:name="_Toc297120460"/>
      <w:bookmarkStart w:id="92" w:name="_Toc318581158"/>
      <w:bookmarkStart w:id="93" w:name="_Toc312677989"/>
      <w:r>
        <w:rPr>
          <w:rFonts w:hint="eastAsia" w:ascii="宋体" w:hAnsi="宋体" w:eastAsia="宋体" w:cs="宋体"/>
          <w:color w:val="auto"/>
          <w:sz w:val="24"/>
          <w:szCs w:val="24"/>
          <w:highlight w:val="none"/>
        </w:rPr>
        <w:t>.5.1 分包的一般约定</w:t>
      </w:r>
    </w:p>
    <w:p w14:paraId="1BE2332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禁止分包的工程包括：</w:t>
      </w:r>
      <w:r>
        <w:rPr>
          <w:rFonts w:hint="eastAsia" w:ascii="宋体" w:hAnsi="宋体" w:eastAsia="宋体" w:cs="宋体"/>
          <w:color w:val="auto"/>
          <w:sz w:val="24"/>
          <w:szCs w:val="24"/>
          <w:highlight w:val="none"/>
          <w:u w:val="single"/>
        </w:rPr>
        <w:t xml:space="preserve">执行通用条款  </w:t>
      </w:r>
      <w:r>
        <w:rPr>
          <w:rFonts w:hint="eastAsia" w:ascii="宋体" w:hAnsi="宋体" w:eastAsia="宋体" w:cs="宋体"/>
          <w:color w:val="auto"/>
          <w:sz w:val="24"/>
          <w:szCs w:val="24"/>
          <w:highlight w:val="none"/>
        </w:rPr>
        <w:t>。</w:t>
      </w:r>
    </w:p>
    <w:p w14:paraId="73B5895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主体结构、关键性工作的范围：</w:t>
      </w:r>
      <w:r>
        <w:rPr>
          <w:rFonts w:hint="eastAsia" w:ascii="宋体" w:hAnsi="宋体" w:eastAsia="宋体" w:cs="宋体"/>
          <w:color w:val="auto"/>
          <w:sz w:val="24"/>
          <w:szCs w:val="24"/>
          <w:highlight w:val="none"/>
          <w:u w:val="single"/>
        </w:rPr>
        <w:t xml:space="preserve">执行通用条款          </w:t>
      </w:r>
      <w:r>
        <w:rPr>
          <w:rFonts w:hint="eastAsia" w:ascii="宋体" w:hAnsi="宋体" w:eastAsia="宋体" w:cs="宋体"/>
          <w:color w:val="auto"/>
          <w:sz w:val="24"/>
          <w:szCs w:val="24"/>
          <w:highlight w:val="none"/>
        </w:rPr>
        <w:t>。</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Start w:id="94" w:name="_Toc296503161"/>
      <w:bookmarkStart w:id="95" w:name="_Toc300934947"/>
      <w:bookmarkStart w:id="96" w:name="_Toc296347160"/>
      <w:bookmarkStart w:id="97" w:name="_Toc296944500"/>
      <w:bookmarkStart w:id="98" w:name="_Toc296891201"/>
      <w:bookmarkStart w:id="99" w:name="_Toc296346662"/>
      <w:bookmarkStart w:id="100" w:name="_Toc304295525"/>
      <w:bookmarkStart w:id="101" w:name="_Toc296890989"/>
      <w:bookmarkStart w:id="102" w:name="_Toc297120461"/>
      <w:bookmarkStart w:id="103" w:name="_Toc297216153"/>
      <w:bookmarkStart w:id="104" w:name="_Toc297048347"/>
      <w:bookmarkStart w:id="105" w:name="_Toc303539104"/>
      <w:bookmarkStart w:id="106" w:name="_Toc297123494"/>
    </w:p>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14:paraId="22761518">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Start w:id="107" w:name="_Toc318581159"/>
      <w:bookmarkStart w:id="108" w:name="_Toc312677990"/>
      <w:r>
        <w:rPr>
          <w:rFonts w:hint="eastAsia" w:ascii="宋体" w:hAnsi="宋体" w:eastAsia="宋体" w:cs="宋体"/>
          <w:color w:val="auto"/>
          <w:sz w:val="24"/>
          <w:szCs w:val="24"/>
          <w:highlight w:val="none"/>
        </w:rPr>
        <w:t>.5.2分包的确定</w:t>
      </w:r>
    </w:p>
    <w:p w14:paraId="1531284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允许分包的专业工程包括：</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14:paraId="7840833A">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其他关于分包的约定：</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14:paraId="580FEB94">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3.5.4 分包合同价款</w:t>
      </w:r>
    </w:p>
    <w:p w14:paraId="41E2ADFD">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关于分包合同价款支付的约定：</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bookmarkEnd w:id="107"/>
    <w:bookmarkEnd w:id="108"/>
    <w:p w14:paraId="5DEA0CDF">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 工程照管与成品、半成品保护</w:t>
      </w:r>
    </w:p>
    <w:p w14:paraId="6B3DCD37">
      <w:pPr>
        <w:keepNext w:val="0"/>
        <w:keepLines w:val="0"/>
        <w:pageBreakBefore w:val="0"/>
        <w:widowControl w:val="0"/>
        <w:kinsoku/>
        <w:wordWrap/>
        <w:overflowPunct/>
        <w:topLinePunct w:val="0"/>
        <w:autoSpaceDE w:val="0"/>
        <w:autoSpaceDN w:val="0"/>
        <w:bidi w:val="0"/>
        <w:snapToGrid/>
        <w:spacing w:before="120" w:after="120" w:line="340" w:lineRule="exact"/>
        <w:ind w:firstLine="480" w:firstLineChars="200"/>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承包人负责照管工程及工程相关的材料、工程设备的起始时间：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材料、设备进场至验交付使用前由承包人负责保修，交付使用后由发包人做成品保护</w:t>
      </w:r>
      <w:r>
        <w:rPr>
          <w:rFonts w:hint="eastAsia" w:cs="宋体"/>
          <w:color w:val="auto"/>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3569863">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 履约担保</w:t>
      </w:r>
    </w:p>
    <w:p w14:paraId="1922791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承包人是否提供履约担保：</w:t>
      </w:r>
      <w:r>
        <w:rPr>
          <w:rFonts w:hint="eastAsia" w:ascii="宋体" w:hAnsi="宋体" w:eastAsia="宋体" w:cs="宋体"/>
          <w:color w:val="auto"/>
          <w:sz w:val="24"/>
          <w:szCs w:val="24"/>
          <w:highlight w:val="none"/>
          <w:u w:val="single"/>
        </w:rPr>
        <w:t xml:space="preserve">   发包人与承包人协商确定  </w:t>
      </w:r>
      <w:r>
        <w:rPr>
          <w:rFonts w:hint="eastAsia" w:ascii="宋体" w:hAnsi="宋体" w:eastAsia="宋体" w:cs="宋体"/>
          <w:color w:val="auto"/>
          <w:sz w:val="24"/>
          <w:szCs w:val="24"/>
          <w:highlight w:val="none"/>
        </w:rPr>
        <w:t>。</w:t>
      </w:r>
    </w:p>
    <w:p w14:paraId="166FF0A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承包人提供履约担保的形式、金额及期限的：</w:t>
      </w:r>
      <w:r>
        <w:rPr>
          <w:rFonts w:hint="eastAsia" w:ascii="宋体" w:hAnsi="宋体" w:eastAsia="宋体" w:cs="宋体"/>
          <w:color w:val="auto"/>
          <w:sz w:val="24"/>
          <w:szCs w:val="24"/>
          <w:highlight w:val="none"/>
          <w:u w:val="single"/>
        </w:rPr>
        <w:t xml:space="preserve"> 发包人与承包人协商确定  </w:t>
      </w:r>
      <w:r>
        <w:rPr>
          <w:rFonts w:hint="eastAsia" w:ascii="宋体" w:hAnsi="宋体" w:eastAsia="宋体" w:cs="宋体"/>
          <w:color w:val="auto"/>
          <w:sz w:val="24"/>
          <w:szCs w:val="24"/>
          <w:highlight w:val="none"/>
        </w:rPr>
        <w:t>。</w:t>
      </w:r>
    </w:p>
    <w:p w14:paraId="34510E06">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 监理人</w:t>
      </w:r>
    </w:p>
    <w:p w14:paraId="3A183C70">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4.1监理人的一般规定</w:t>
      </w:r>
    </w:p>
    <w:p w14:paraId="3D0E0CE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关于监理人的监理内容：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7BC44A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关于监理人的监理权限：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D37B72E">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关于监理人在施工现场的办公场所、生活场所的提供和费用承担的约定：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4B89DEB">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监理人员</w:t>
      </w:r>
    </w:p>
    <w:p w14:paraId="7FA07536">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总监理工程师：</w:t>
      </w:r>
    </w:p>
    <w:p w14:paraId="21BBE7AC">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21DDF46E">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603EAC8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监理工程师执业资格证书号：</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4C307E70">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5FAEF085">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A673439">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F23B20C">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关于监理人的其他约定：</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256434A0">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商定或确定</w:t>
      </w:r>
    </w:p>
    <w:p w14:paraId="17BC2CB6">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在发包人和承包人不能通过协商达成一致意见时，发包人授权监理人对以下事项进行确定：</w:t>
      </w:r>
    </w:p>
    <w:p w14:paraId="42229847">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B594688">
      <w:pPr>
        <w:pStyle w:val="5"/>
        <w:keepNext w:val="0"/>
        <w:keepLines w:val="0"/>
        <w:pageBreakBefore w:val="0"/>
        <w:widowControl w:val="0"/>
        <w:kinsoku/>
        <w:wordWrap/>
        <w:overflowPunct/>
        <w:topLinePunct w:val="0"/>
        <w:autoSpaceDE w:val="0"/>
        <w:autoSpaceDN w:val="0"/>
        <w:bidi w:val="0"/>
        <w:snapToGrid/>
        <w:spacing w:before="120" w:after="120" w:line="34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 工程质量</w:t>
      </w:r>
    </w:p>
    <w:p w14:paraId="2B20F528">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质量要求</w:t>
      </w:r>
    </w:p>
    <w:p w14:paraId="6A67BAD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 特殊质量标准和要求：</w:t>
      </w:r>
      <w:r>
        <w:rPr>
          <w:rFonts w:hint="eastAsia" w:ascii="宋体" w:hAnsi="宋体" w:eastAsia="宋体" w:cs="宋体"/>
          <w:color w:val="auto"/>
          <w:sz w:val="24"/>
          <w:szCs w:val="24"/>
          <w:highlight w:val="none"/>
          <w:u w:val="single"/>
        </w:rPr>
        <w:t xml:space="preserve">     合格     </w:t>
      </w:r>
      <w:r>
        <w:rPr>
          <w:rFonts w:hint="eastAsia" w:ascii="宋体" w:hAnsi="宋体" w:eastAsia="宋体" w:cs="宋体"/>
          <w:color w:val="auto"/>
          <w:sz w:val="24"/>
          <w:szCs w:val="24"/>
          <w:highlight w:val="none"/>
        </w:rPr>
        <w:t>。</w:t>
      </w:r>
    </w:p>
    <w:p w14:paraId="5896D35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关于工程奖项的约定：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D95CBDA">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 隐蔽工程检查</w:t>
      </w:r>
    </w:p>
    <w:p w14:paraId="4364C3DF">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5.3.2承包人提前通知监理人隐蔽工程检查的期限的约定：</w:t>
      </w:r>
      <w:r>
        <w:rPr>
          <w:rFonts w:hint="eastAsia" w:ascii="宋体" w:hAnsi="宋体" w:eastAsia="宋体" w:cs="宋体"/>
          <w:color w:val="auto"/>
          <w:sz w:val="24"/>
          <w:szCs w:val="24"/>
          <w:highlight w:val="none"/>
          <w:u w:val="single"/>
        </w:rPr>
        <w:t>共同检查前48小时书面通知监理人</w:t>
      </w:r>
      <w:r>
        <w:rPr>
          <w:rFonts w:hint="eastAsia" w:ascii="宋体" w:hAnsi="宋体" w:eastAsia="宋体" w:cs="宋体"/>
          <w:color w:val="auto"/>
          <w:sz w:val="24"/>
          <w:szCs w:val="24"/>
          <w:highlight w:val="none"/>
        </w:rPr>
        <w:t>。</w:t>
      </w:r>
    </w:p>
    <w:p w14:paraId="31DCA9D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监理人不能按时进行检查时，应提前</w:t>
      </w:r>
      <w:r>
        <w:rPr>
          <w:rFonts w:hint="eastAsia" w:ascii="宋体" w:hAnsi="宋体" w:eastAsia="宋体" w:cs="宋体"/>
          <w:color w:val="auto"/>
          <w:sz w:val="24"/>
          <w:szCs w:val="24"/>
          <w:highlight w:val="none"/>
          <w:u w:val="single"/>
        </w:rPr>
        <w:t xml:space="preserve">    24   </w:t>
      </w:r>
      <w:r>
        <w:rPr>
          <w:rFonts w:hint="eastAsia" w:ascii="宋体" w:hAnsi="宋体" w:eastAsia="宋体" w:cs="宋体"/>
          <w:color w:val="auto"/>
          <w:sz w:val="24"/>
          <w:szCs w:val="24"/>
          <w:highlight w:val="none"/>
        </w:rPr>
        <w:t>小时提交书面延期要求。</w:t>
      </w:r>
    </w:p>
    <w:p w14:paraId="0F72B02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关于延期最长不得超过：</w:t>
      </w:r>
      <w:r>
        <w:rPr>
          <w:rFonts w:hint="eastAsia" w:ascii="宋体" w:hAnsi="宋体" w:eastAsia="宋体" w:cs="宋体"/>
          <w:color w:val="auto"/>
          <w:sz w:val="24"/>
          <w:szCs w:val="24"/>
          <w:highlight w:val="none"/>
          <w:u w:val="single"/>
        </w:rPr>
        <w:t xml:space="preserve">    48     </w:t>
      </w:r>
      <w:r>
        <w:rPr>
          <w:rFonts w:hint="eastAsia" w:ascii="宋体" w:hAnsi="宋体" w:eastAsia="宋体" w:cs="宋体"/>
          <w:color w:val="auto"/>
          <w:sz w:val="24"/>
          <w:szCs w:val="24"/>
          <w:highlight w:val="none"/>
        </w:rPr>
        <w:t>小时。</w:t>
      </w:r>
    </w:p>
    <w:p w14:paraId="750B6A6C">
      <w:pPr>
        <w:pStyle w:val="5"/>
        <w:keepNext w:val="0"/>
        <w:keepLines w:val="0"/>
        <w:pageBreakBefore w:val="0"/>
        <w:widowControl w:val="0"/>
        <w:kinsoku/>
        <w:wordWrap/>
        <w:overflowPunct/>
        <w:topLinePunct w:val="0"/>
        <w:autoSpaceDE w:val="0"/>
        <w:autoSpaceDN w:val="0"/>
        <w:bidi w:val="0"/>
        <w:snapToGrid/>
        <w:spacing w:before="120" w:after="120" w:line="34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6. 安全文明施工与环境保护</w:t>
      </w:r>
    </w:p>
    <w:p w14:paraId="49CED918">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6.1安全文明施工</w:t>
      </w:r>
    </w:p>
    <w:p w14:paraId="682F4D63">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 项目安全生产的达标目标及相应事项的约定：</w:t>
      </w:r>
      <w:r>
        <w:rPr>
          <w:rFonts w:hint="eastAsia" w:ascii="宋体" w:hAnsi="宋体" w:eastAsia="宋体" w:cs="宋体"/>
          <w:color w:val="auto"/>
          <w:sz w:val="24"/>
          <w:szCs w:val="24"/>
          <w:highlight w:val="none"/>
          <w:u w:val="single"/>
        </w:rPr>
        <w:t>达到《建筑工程安全检查标准》（JGJ59-2011）标准</w:t>
      </w:r>
      <w:r>
        <w:rPr>
          <w:rFonts w:hint="eastAsia" w:ascii="宋体" w:hAnsi="宋体" w:eastAsia="宋体" w:cs="宋体"/>
          <w:color w:val="auto"/>
          <w:sz w:val="24"/>
          <w:szCs w:val="24"/>
          <w:highlight w:val="none"/>
        </w:rPr>
        <w:t>。</w:t>
      </w:r>
    </w:p>
    <w:p w14:paraId="4AA9112F">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6.1.4 关于治安保卫的特别约定：</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14:paraId="3570910D">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关于编制施工场地治安管理计划的约定：</w:t>
      </w:r>
      <w:r>
        <w:rPr>
          <w:rFonts w:hint="eastAsia" w:ascii="宋体" w:hAnsi="宋体" w:eastAsia="宋体" w:cs="宋体"/>
          <w:color w:val="auto"/>
          <w:sz w:val="24"/>
          <w:szCs w:val="24"/>
          <w:highlight w:val="none"/>
          <w:u w:val="single"/>
        </w:rPr>
        <w:t xml:space="preserve">     开工前提供场地治安管理计划       </w:t>
      </w:r>
      <w:r>
        <w:rPr>
          <w:rFonts w:hint="eastAsia" w:ascii="宋体" w:hAnsi="宋体" w:eastAsia="宋体" w:cs="宋体"/>
          <w:color w:val="auto"/>
          <w:sz w:val="24"/>
          <w:szCs w:val="24"/>
          <w:highlight w:val="none"/>
        </w:rPr>
        <w:t>。</w:t>
      </w:r>
    </w:p>
    <w:p w14:paraId="5034F0EA">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6.1.5 文明施工</w:t>
      </w:r>
    </w:p>
    <w:p w14:paraId="180E813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合同当事人对文明施工的要求：</w:t>
      </w:r>
      <w:r>
        <w:rPr>
          <w:rFonts w:hint="eastAsia" w:ascii="宋体" w:hAnsi="宋体" w:eastAsia="宋体" w:cs="宋体"/>
          <w:color w:val="auto"/>
          <w:sz w:val="24"/>
          <w:szCs w:val="24"/>
          <w:highlight w:val="none"/>
          <w:u w:val="single"/>
        </w:rPr>
        <w:t>达到《建筑施工现场环境与卫生标准》（JGJ146-2004）标准</w:t>
      </w:r>
      <w:r>
        <w:rPr>
          <w:rFonts w:hint="eastAsia" w:ascii="宋体" w:hAnsi="宋体" w:eastAsia="宋体" w:cs="宋体"/>
          <w:color w:val="auto"/>
          <w:sz w:val="24"/>
          <w:szCs w:val="24"/>
          <w:highlight w:val="none"/>
        </w:rPr>
        <w:t>。</w:t>
      </w:r>
    </w:p>
    <w:p w14:paraId="080D0DE0">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6.1.6 关于安全文明施工费支付比例和支付期限的约定：</w:t>
      </w:r>
      <w:r>
        <w:rPr>
          <w:rFonts w:hint="eastAsia" w:ascii="宋体" w:hAnsi="宋体" w:eastAsia="宋体" w:cs="宋体"/>
          <w:color w:val="auto"/>
          <w:sz w:val="24"/>
          <w:szCs w:val="24"/>
          <w:highlight w:val="none"/>
          <w:u w:val="single"/>
        </w:rPr>
        <w:t xml:space="preserve">  纳入合同价格支付    </w:t>
      </w:r>
      <w:r>
        <w:rPr>
          <w:rFonts w:hint="eastAsia" w:ascii="宋体" w:hAnsi="宋体" w:eastAsia="宋体" w:cs="宋体"/>
          <w:color w:val="auto"/>
          <w:sz w:val="24"/>
          <w:szCs w:val="24"/>
          <w:highlight w:val="none"/>
        </w:rPr>
        <w:t>。</w:t>
      </w:r>
    </w:p>
    <w:p w14:paraId="339DFA7A">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109" w:name="_Toc351203639"/>
      <w:r>
        <w:rPr>
          <w:rFonts w:hint="eastAsia" w:ascii="宋体" w:hAnsi="宋体" w:eastAsia="宋体" w:cs="宋体"/>
          <w:b w:val="0"/>
          <w:color w:val="auto"/>
          <w:sz w:val="24"/>
          <w:szCs w:val="24"/>
          <w:highlight w:val="none"/>
        </w:rPr>
        <w:t>7. 工期和进度</w:t>
      </w:r>
      <w:bookmarkEnd w:id="109"/>
    </w:p>
    <w:p w14:paraId="41778891">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施工组织设计</w:t>
      </w:r>
    </w:p>
    <w:p w14:paraId="03F48872">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7.1.1 合</w:t>
      </w:r>
      <w:r>
        <w:rPr>
          <w:rFonts w:hint="eastAsia" w:ascii="宋体" w:hAnsi="宋体" w:eastAsia="宋体" w:cs="宋体"/>
          <w:color w:val="auto"/>
          <w:kern w:val="0"/>
          <w:sz w:val="24"/>
          <w:szCs w:val="24"/>
          <w:highlight w:val="none"/>
        </w:rPr>
        <w:t>同当事人约定的施工组织设计应包括的其他内容：</w:t>
      </w:r>
      <w:r>
        <w:rPr>
          <w:rFonts w:hint="eastAsia" w:ascii="宋体" w:hAnsi="宋体" w:eastAsia="宋体" w:cs="宋体"/>
          <w:color w:val="auto"/>
          <w:sz w:val="24"/>
          <w:szCs w:val="24"/>
          <w:highlight w:val="none"/>
          <w:u w:val="single"/>
        </w:rPr>
        <w:t xml:space="preserve">按通用条款执行   </w:t>
      </w:r>
      <w:r>
        <w:rPr>
          <w:rFonts w:hint="eastAsia" w:ascii="宋体" w:hAnsi="宋体" w:eastAsia="宋体" w:cs="宋体"/>
          <w:color w:val="auto"/>
          <w:sz w:val="24"/>
          <w:szCs w:val="24"/>
          <w:highlight w:val="none"/>
        </w:rPr>
        <w:t>。</w:t>
      </w:r>
    </w:p>
    <w:p w14:paraId="53BA4EC3">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7.1.2 </w:t>
      </w:r>
      <w:r>
        <w:rPr>
          <w:rFonts w:hint="eastAsia" w:ascii="宋体" w:hAnsi="宋体" w:eastAsia="宋体" w:cs="宋体"/>
          <w:color w:val="auto"/>
          <w:kern w:val="0"/>
          <w:sz w:val="24"/>
          <w:szCs w:val="24"/>
          <w:highlight w:val="none"/>
        </w:rPr>
        <w:t>施工组织设计的提交和修改</w:t>
      </w:r>
    </w:p>
    <w:p w14:paraId="1475C832">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承包人提交详细施工组织设计的期限的约定：</w:t>
      </w:r>
      <w:r>
        <w:rPr>
          <w:rFonts w:hint="eastAsia" w:ascii="宋体" w:hAnsi="宋体" w:eastAsia="宋体" w:cs="宋体"/>
          <w:color w:val="auto"/>
          <w:sz w:val="24"/>
          <w:szCs w:val="24"/>
          <w:highlight w:val="none"/>
          <w:u w:val="single"/>
        </w:rPr>
        <w:t xml:space="preserve">        开工前          </w:t>
      </w:r>
      <w:r>
        <w:rPr>
          <w:rFonts w:hint="eastAsia" w:ascii="宋体" w:hAnsi="宋体" w:eastAsia="宋体" w:cs="宋体"/>
          <w:color w:val="auto"/>
          <w:sz w:val="24"/>
          <w:szCs w:val="24"/>
          <w:highlight w:val="none"/>
        </w:rPr>
        <w:t>。</w:t>
      </w:r>
    </w:p>
    <w:p w14:paraId="28EF5FF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发包人和监理人在收到详细的施工组织设计后确认或提出修改意见的期限：</w:t>
      </w:r>
      <w:r>
        <w:rPr>
          <w:rFonts w:hint="eastAsia" w:ascii="宋体" w:hAnsi="宋体" w:eastAsia="宋体" w:cs="宋体"/>
          <w:color w:val="auto"/>
          <w:sz w:val="24"/>
          <w:szCs w:val="24"/>
          <w:highlight w:val="none"/>
          <w:u w:val="single"/>
        </w:rPr>
        <w:t>收到后7天内</w:t>
      </w:r>
      <w:r>
        <w:rPr>
          <w:rFonts w:hint="eastAsia" w:ascii="宋体" w:hAnsi="宋体" w:eastAsia="宋体" w:cs="宋体"/>
          <w:color w:val="auto"/>
          <w:sz w:val="24"/>
          <w:szCs w:val="24"/>
          <w:highlight w:val="none"/>
        </w:rPr>
        <w:t>。</w:t>
      </w:r>
    </w:p>
    <w:p w14:paraId="262F6DB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110" w:name="_Toc297123514"/>
      <w:bookmarkStart w:id="111" w:name="_Toc297216173"/>
      <w:bookmarkStart w:id="112" w:name="_Toc312677479"/>
      <w:bookmarkStart w:id="113" w:name="_Toc300934966"/>
      <w:bookmarkStart w:id="114" w:name="_Toc312678005"/>
      <w:bookmarkStart w:id="115" w:name="_Toc304295541"/>
      <w:bookmarkStart w:id="116" w:name="_Toc303539123"/>
      <w:r>
        <w:rPr>
          <w:rFonts w:hint="eastAsia" w:ascii="宋体" w:hAnsi="宋体" w:eastAsia="宋体" w:cs="宋体"/>
          <w:color w:val="auto"/>
          <w:sz w:val="24"/>
          <w:szCs w:val="24"/>
          <w:highlight w:val="none"/>
        </w:rPr>
        <w:t>.2 施工进度计划</w:t>
      </w:r>
    </w:p>
    <w:p w14:paraId="2F7A04A7">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7.2.2 施工进度计划的修订</w:t>
      </w:r>
    </w:p>
    <w:p w14:paraId="49E309B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发包人和监理人在收到修订的施工进度计划后确认或提出修改意见的期限：</w:t>
      </w:r>
      <w:r>
        <w:rPr>
          <w:rFonts w:hint="eastAsia" w:ascii="宋体" w:hAnsi="宋体" w:eastAsia="宋体" w:cs="宋体"/>
          <w:color w:val="auto"/>
          <w:sz w:val="24"/>
          <w:szCs w:val="24"/>
          <w:highlight w:val="none"/>
          <w:u w:val="single"/>
        </w:rPr>
        <w:t xml:space="preserve"> 收到后5日内  </w:t>
      </w:r>
      <w:r>
        <w:rPr>
          <w:rFonts w:hint="eastAsia" w:ascii="宋体" w:hAnsi="宋体" w:eastAsia="宋体" w:cs="宋体"/>
          <w:color w:val="auto"/>
          <w:sz w:val="24"/>
          <w:szCs w:val="24"/>
          <w:highlight w:val="none"/>
        </w:rPr>
        <w:t>。</w:t>
      </w:r>
    </w:p>
    <w:p w14:paraId="6D824654">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开工</w:t>
      </w:r>
    </w:p>
    <w:p w14:paraId="0ADA07E5">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 开工准备</w:t>
      </w:r>
    </w:p>
    <w:p w14:paraId="67282C3C">
      <w:pPr>
        <w:keepNext w:val="0"/>
        <w:keepLines w:val="0"/>
        <w:pageBreakBefore w:val="0"/>
        <w:widowControl w:val="0"/>
        <w:kinsoku/>
        <w:wordWrap/>
        <w:overflowPunct/>
        <w:topLinePunct w:val="0"/>
        <w:autoSpaceDE w:val="0"/>
        <w:autoSpaceDN w:val="0"/>
        <w:bidi w:val="0"/>
        <w:snapToGrid/>
        <w:spacing w:line="340" w:lineRule="exact"/>
        <w:ind w:firstLine="645"/>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关于承包人提交</w:t>
      </w:r>
      <w:r>
        <w:rPr>
          <w:rFonts w:hint="eastAsia" w:ascii="宋体" w:hAnsi="宋体" w:eastAsia="宋体" w:cs="宋体"/>
          <w:color w:val="auto"/>
          <w:kern w:val="0"/>
          <w:sz w:val="24"/>
          <w:szCs w:val="24"/>
          <w:highlight w:val="none"/>
        </w:rPr>
        <w:t>工程开工报审表的期限：</w:t>
      </w:r>
      <w:r>
        <w:rPr>
          <w:rFonts w:hint="eastAsia" w:ascii="宋体" w:hAnsi="宋体" w:eastAsia="宋体" w:cs="宋体"/>
          <w:color w:val="auto"/>
          <w:sz w:val="24"/>
          <w:szCs w:val="24"/>
          <w:highlight w:val="none"/>
          <w:u w:val="single"/>
        </w:rPr>
        <w:t xml:space="preserve">  合同签订后、开工前    </w:t>
      </w:r>
      <w:r>
        <w:rPr>
          <w:rFonts w:hint="eastAsia" w:ascii="宋体" w:hAnsi="宋体" w:eastAsia="宋体" w:cs="宋体"/>
          <w:color w:val="auto"/>
          <w:sz w:val="24"/>
          <w:szCs w:val="24"/>
          <w:highlight w:val="none"/>
        </w:rPr>
        <w:t>。</w:t>
      </w:r>
    </w:p>
    <w:p w14:paraId="4FE8C3DD">
      <w:pPr>
        <w:keepNext w:val="0"/>
        <w:keepLines w:val="0"/>
        <w:pageBreakBefore w:val="0"/>
        <w:widowControl w:val="0"/>
        <w:kinsoku/>
        <w:wordWrap/>
        <w:overflowPunct/>
        <w:topLinePunct w:val="0"/>
        <w:autoSpaceDE w:val="0"/>
        <w:autoSpaceDN w:val="0"/>
        <w:bidi w:val="0"/>
        <w:snapToGrid/>
        <w:spacing w:line="340" w:lineRule="exact"/>
        <w:ind w:firstLine="64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关于发包人应完成的其他开工准备工作及期限：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24A3AA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关于承包人应完成的其他开工准备工作及期限：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04BE1F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7.3.2开工通知</w:t>
      </w:r>
    </w:p>
    <w:p w14:paraId="34980450">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因发包人原因造成监理人未能在计划开工日期之日起</w:t>
      </w:r>
      <w:r>
        <w:rPr>
          <w:rFonts w:hint="eastAsia" w:ascii="宋体" w:hAnsi="宋体" w:eastAsia="宋体" w:cs="宋体"/>
          <w:color w:val="auto"/>
          <w:sz w:val="24"/>
          <w:szCs w:val="24"/>
          <w:highlight w:val="none"/>
          <w:u w:val="single"/>
        </w:rPr>
        <w:t xml:space="preserve"> 180 </w:t>
      </w:r>
      <w:r>
        <w:rPr>
          <w:rFonts w:hint="eastAsia" w:ascii="宋体" w:hAnsi="宋体" w:eastAsia="宋体" w:cs="宋体"/>
          <w:color w:val="auto"/>
          <w:sz w:val="24"/>
          <w:szCs w:val="24"/>
          <w:highlight w:val="none"/>
        </w:rPr>
        <w:t>天内发出开工通知的，承包人有权提出价格调整要求，或者解除合同。</w:t>
      </w:r>
    </w:p>
    <w:bookmarkEnd w:id="110"/>
    <w:bookmarkEnd w:id="111"/>
    <w:bookmarkEnd w:id="112"/>
    <w:bookmarkEnd w:id="113"/>
    <w:bookmarkEnd w:id="114"/>
    <w:bookmarkEnd w:id="115"/>
    <w:bookmarkEnd w:id="116"/>
    <w:p w14:paraId="4832E36E">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测量放线</w:t>
      </w:r>
    </w:p>
    <w:p w14:paraId="13690D6A">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7.4.1发包人通过监理人向承包人提供测量基准点、基准线和水准点及其书面资料的期限：</w:t>
      </w:r>
      <w:r>
        <w:rPr>
          <w:rFonts w:hint="eastAsia" w:ascii="宋体" w:hAnsi="宋体" w:eastAsia="宋体" w:cs="宋体"/>
          <w:color w:val="auto"/>
          <w:sz w:val="24"/>
          <w:szCs w:val="24"/>
          <w:highlight w:val="none"/>
          <w:u w:val="single"/>
        </w:rPr>
        <w:t xml:space="preserve">  合同签订后、开工前             </w:t>
      </w:r>
      <w:r>
        <w:rPr>
          <w:rFonts w:hint="eastAsia" w:ascii="宋体" w:hAnsi="宋体" w:eastAsia="宋体" w:cs="宋体"/>
          <w:color w:val="auto"/>
          <w:sz w:val="24"/>
          <w:szCs w:val="24"/>
          <w:highlight w:val="none"/>
        </w:rPr>
        <w:t>。</w:t>
      </w:r>
    </w:p>
    <w:p w14:paraId="468E5392">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117" w:name="_Toc312677484"/>
      <w:bookmarkStart w:id="118" w:name="_Toc312678010"/>
      <w:bookmarkStart w:id="119" w:name="_Toc297216175"/>
      <w:bookmarkStart w:id="120" w:name="_Toc300934968"/>
      <w:bookmarkStart w:id="121" w:name="_Toc297123516"/>
      <w:bookmarkStart w:id="122" w:name="_Toc303539125"/>
      <w:bookmarkStart w:id="123" w:name="_Toc304295546"/>
      <w:r>
        <w:rPr>
          <w:rFonts w:hint="eastAsia" w:ascii="宋体" w:hAnsi="宋体" w:eastAsia="宋体" w:cs="宋体"/>
          <w:color w:val="auto"/>
          <w:sz w:val="24"/>
          <w:szCs w:val="24"/>
          <w:highlight w:val="none"/>
        </w:rPr>
        <w:t>.5 工期延误</w:t>
      </w:r>
    </w:p>
    <w:bookmarkEnd w:id="117"/>
    <w:bookmarkEnd w:id="118"/>
    <w:bookmarkEnd w:id="119"/>
    <w:bookmarkEnd w:id="120"/>
    <w:bookmarkEnd w:id="121"/>
    <w:bookmarkEnd w:id="122"/>
    <w:bookmarkEnd w:id="123"/>
    <w:p w14:paraId="75EFFA57">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7.5.1 因发包人原因导致工期延误</w:t>
      </w:r>
    </w:p>
    <w:p w14:paraId="3133778E">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（7）因发包人原因导致工期延误的其他情形：</w:t>
      </w:r>
      <w:r>
        <w:rPr>
          <w:rFonts w:hint="eastAsia" w:ascii="宋体" w:hAnsi="宋体" w:eastAsia="宋体" w:cs="宋体"/>
          <w:color w:val="auto"/>
          <w:sz w:val="24"/>
          <w:szCs w:val="24"/>
          <w:highlight w:val="none"/>
          <w:u w:val="single"/>
        </w:rPr>
        <w:t xml:space="preserve">  ①发包人未按合同规定支付工程款并确实影响工程进度； ②重大设计变更而影响工程进度；③政策处理问题影响施工进度；④ 不不可抗力，此延误工期须在发现后七天内办理签证，逾期不予认可   </w:t>
      </w:r>
      <w:r>
        <w:rPr>
          <w:rFonts w:hint="eastAsia" w:ascii="宋体" w:hAnsi="宋体" w:eastAsia="宋体" w:cs="宋体"/>
          <w:color w:val="auto"/>
          <w:sz w:val="24"/>
          <w:szCs w:val="24"/>
          <w:highlight w:val="none"/>
        </w:rPr>
        <w:t>。</w:t>
      </w:r>
    </w:p>
    <w:p w14:paraId="08EAF755">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124" w:name="_Toc312678012"/>
      <w:bookmarkStart w:id="125" w:name="_Toc312677486"/>
      <w:bookmarkStart w:id="126" w:name="_Toc318581169"/>
      <w:bookmarkStart w:id="127" w:name="_Toc297216177"/>
      <w:bookmarkStart w:id="128" w:name="_Toc304295548"/>
      <w:bookmarkStart w:id="129" w:name="_Toc303539127"/>
      <w:bookmarkStart w:id="130" w:name="_Toc300934970"/>
      <w:bookmarkStart w:id="131" w:name="_Toc297123518"/>
      <w:r>
        <w:rPr>
          <w:rFonts w:hint="eastAsia" w:ascii="宋体" w:hAnsi="宋体" w:eastAsia="宋体" w:cs="宋体"/>
          <w:color w:val="auto"/>
          <w:sz w:val="24"/>
          <w:szCs w:val="24"/>
          <w:highlight w:val="none"/>
        </w:rPr>
        <w:t>.5.2 因承包人原因导致工期延误</w:t>
      </w:r>
    </w:p>
    <w:bookmarkEnd w:id="124"/>
    <w:bookmarkEnd w:id="125"/>
    <w:bookmarkEnd w:id="126"/>
    <w:p w14:paraId="3755B00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因</w:t>
      </w:r>
      <w:bookmarkStart w:id="132" w:name="_Toc312677487"/>
      <w:bookmarkStart w:id="133" w:name="_Toc312678013"/>
      <w:bookmarkStart w:id="134" w:name="_Toc318581170"/>
      <w:r>
        <w:rPr>
          <w:rFonts w:hint="eastAsia" w:ascii="宋体" w:hAnsi="宋体" w:eastAsia="宋体" w:cs="宋体"/>
          <w:color w:val="auto"/>
          <w:sz w:val="24"/>
          <w:szCs w:val="24"/>
          <w:highlight w:val="none"/>
        </w:rPr>
        <w:t>承包人原因造成工期延误，逾期竣工违约金的计算方法为：</w:t>
      </w:r>
    </w:p>
    <w:p w14:paraId="0A115029">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每推延一天，赔偿合同价款的0.1%                 </w:t>
      </w:r>
      <w:r>
        <w:rPr>
          <w:rFonts w:hint="eastAsia" w:ascii="宋体" w:hAnsi="宋体" w:eastAsia="宋体" w:cs="宋体"/>
          <w:color w:val="auto"/>
          <w:sz w:val="24"/>
          <w:szCs w:val="24"/>
          <w:highlight w:val="none"/>
        </w:rPr>
        <w:t>。</w:t>
      </w:r>
      <w:bookmarkEnd w:id="127"/>
      <w:bookmarkEnd w:id="128"/>
      <w:bookmarkEnd w:id="129"/>
      <w:bookmarkEnd w:id="130"/>
      <w:bookmarkEnd w:id="131"/>
      <w:bookmarkEnd w:id="132"/>
      <w:bookmarkEnd w:id="133"/>
    </w:p>
    <w:bookmarkEnd w:id="134"/>
    <w:p w14:paraId="715FE82E">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因承包人原因造成工期延误，逾</w:t>
      </w:r>
      <w:bookmarkStart w:id="135" w:name="_Toc312678014"/>
      <w:bookmarkStart w:id="136" w:name="_Toc318581171"/>
      <w:r>
        <w:rPr>
          <w:rFonts w:hint="eastAsia" w:ascii="宋体" w:hAnsi="宋体" w:eastAsia="宋体" w:cs="宋体"/>
          <w:color w:val="auto"/>
          <w:sz w:val="24"/>
          <w:szCs w:val="24"/>
          <w:highlight w:val="none"/>
        </w:rPr>
        <w:t>期竣工违约金的上限：</w:t>
      </w:r>
      <w:r>
        <w:rPr>
          <w:rFonts w:hint="eastAsia" w:ascii="宋体" w:hAnsi="宋体" w:eastAsia="宋体" w:cs="宋体"/>
          <w:color w:val="auto"/>
          <w:sz w:val="24"/>
          <w:szCs w:val="24"/>
          <w:highlight w:val="none"/>
          <w:u w:val="single"/>
        </w:rPr>
        <w:t xml:space="preserve">   合同价款的2％     </w:t>
      </w:r>
      <w:r>
        <w:rPr>
          <w:rFonts w:hint="eastAsia" w:ascii="宋体" w:hAnsi="宋体" w:eastAsia="宋体" w:cs="宋体"/>
          <w:color w:val="auto"/>
          <w:sz w:val="24"/>
          <w:szCs w:val="24"/>
          <w:highlight w:val="none"/>
        </w:rPr>
        <w:t>。</w:t>
      </w:r>
    </w:p>
    <w:bookmarkEnd w:id="135"/>
    <w:bookmarkEnd w:id="136"/>
    <w:p w14:paraId="76F7A1FA">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137" w:name="_Toc297123519"/>
      <w:bookmarkStart w:id="138" w:name="_Toc304295549"/>
      <w:bookmarkStart w:id="139" w:name="_Toc297216178"/>
      <w:bookmarkStart w:id="140" w:name="_Toc303539128"/>
      <w:bookmarkStart w:id="141" w:name="_Toc312678015"/>
      <w:bookmarkStart w:id="142" w:name="_Toc300934971"/>
      <w:r>
        <w:rPr>
          <w:rFonts w:hint="eastAsia" w:ascii="宋体" w:hAnsi="宋体" w:eastAsia="宋体" w:cs="宋体"/>
          <w:color w:val="auto"/>
          <w:sz w:val="24"/>
          <w:szCs w:val="24"/>
          <w:highlight w:val="none"/>
        </w:rPr>
        <w:t>.6 不</w:t>
      </w:r>
      <w:bookmarkEnd w:id="137"/>
      <w:bookmarkEnd w:id="138"/>
      <w:bookmarkEnd w:id="139"/>
      <w:bookmarkEnd w:id="140"/>
      <w:bookmarkEnd w:id="141"/>
      <w:bookmarkEnd w:id="142"/>
      <w:r>
        <w:rPr>
          <w:rFonts w:hint="eastAsia" w:ascii="宋体" w:hAnsi="宋体" w:eastAsia="宋体" w:cs="宋体"/>
          <w:color w:val="auto"/>
          <w:sz w:val="24"/>
          <w:szCs w:val="24"/>
          <w:highlight w:val="none"/>
        </w:rPr>
        <w:t>利物质条件</w:t>
      </w:r>
    </w:p>
    <w:p w14:paraId="43741CB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bookmarkStart w:id="143" w:name="_Toc304295550"/>
      <w:bookmarkStart w:id="144" w:name="_Toc312678016"/>
      <w:bookmarkStart w:id="145" w:name="_Toc300934972"/>
      <w:bookmarkStart w:id="146" w:name="_Toc297216179"/>
      <w:bookmarkStart w:id="147" w:name="_Toc318581172"/>
      <w:bookmarkStart w:id="148" w:name="_Toc303539129"/>
      <w:bookmarkStart w:id="149" w:name="_Toc297123520"/>
      <w:r>
        <w:rPr>
          <w:rFonts w:hint="eastAsia" w:ascii="宋体" w:hAnsi="宋体" w:eastAsia="宋体" w:cs="宋体"/>
          <w:color w:val="auto"/>
          <w:sz w:val="24"/>
          <w:szCs w:val="24"/>
          <w:highlight w:val="none"/>
        </w:rPr>
        <w:t>不利物质条件的其他情形和有关约定：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143"/>
    <w:bookmarkEnd w:id="144"/>
    <w:bookmarkEnd w:id="145"/>
    <w:bookmarkEnd w:id="146"/>
    <w:bookmarkEnd w:id="147"/>
    <w:bookmarkEnd w:id="148"/>
    <w:bookmarkEnd w:id="149"/>
    <w:p w14:paraId="62FE7D97">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150" w:name="_Toc300934973"/>
      <w:bookmarkStart w:id="151" w:name="_Toc297216180"/>
      <w:bookmarkStart w:id="152" w:name="_Toc303539130"/>
      <w:bookmarkStart w:id="153" w:name="_Toc304295551"/>
      <w:bookmarkStart w:id="154" w:name="_Toc312678017"/>
      <w:bookmarkStart w:id="155" w:name="_Toc297123521"/>
      <w:r>
        <w:rPr>
          <w:rFonts w:hint="eastAsia" w:ascii="宋体" w:hAnsi="宋体" w:eastAsia="宋体" w:cs="宋体"/>
          <w:color w:val="auto"/>
          <w:sz w:val="24"/>
          <w:szCs w:val="24"/>
          <w:highlight w:val="none"/>
        </w:rPr>
        <w:t>.7异常恶劣的气候条件</w:t>
      </w:r>
    </w:p>
    <w:bookmarkEnd w:id="150"/>
    <w:bookmarkEnd w:id="151"/>
    <w:bookmarkEnd w:id="152"/>
    <w:bookmarkEnd w:id="153"/>
    <w:bookmarkEnd w:id="154"/>
    <w:bookmarkEnd w:id="155"/>
    <w:p w14:paraId="68FE582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发包人和承包人同意以下情形视为异常恶劣的气候条件：</w:t>
      </w:r>
    </w:p>
    <w:p w14:paraId="384DCD23">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地震、暴风雪            </w:t>
      </w:r>
      <w:r>
        <w:rPr>
          <w:rFonts w:hint="eastAsia" w:ascii="宋体" w:hAnsi="宋体" w:eastAsia="宋体" w:cs="宋体"/>
          <w:color w:val="auto"/>
          <w:sz w:val="24"/>
          <w:szCs w:val="24"/>
          <w:highlight w:val="none"/>
        </w:rPr>
        <w:t>；</w:t>
      </w:r>
    </w:p>
    <w:p w14:paraId="16586D9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 提前竣工的奖励</w:t>
      </w:r>
    </w:p>
    <w:p w14:paraId="1464840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7.9.2提前竣工的奖励：</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D1F30BB">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156" w:name="_Toc351203640"/>
      <w:r>
        <w:rPr>
          <w:rFonts w:hint="eastAsia" w:ascii="宋体" w:hAnsi="宋体" w:eastAsia="宋体" w:cs="宋体"/>
          <w:b w:val="0"/>
          <w:color w:val="auto"/>
          <w:sz w:val="24"/>
          <w:szCs w:val="24"/>
          <w:highlight w:val="none"/>
        </w:rPr>
        <w:t>8. 材料与设备</w:t>
      </w:r>
      <w:bookmarkEnd w:id="156"/>
    </w:p>
    <w:p w14:paraId="4E8C9432">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bookmarkStart w:id="157" w:name="_Toc296347166"/>
      <w:bookmarkStart w:id="158" w:name="_Toc280868654"/>
      <w:bookmarkStart w:id="159" w:name="_Toc303539136"/>
      <w:bookmarkStart w:id="160" w:name="_Toc297048353"/>
      <w:bookmarkStart w:id="161" w:name="_Toc297120467"/>
      <w:bookmarkStart w:id="162" w:name="_Toc297123527"/>
      <w:bookmarkStart w:id="163" w:name="_Toc296890995"/>
      <w:bookmarkStart w:id="164" w:name="_Toc312678019"/>
      <w:bookmarkStart w:id="165" w:name="_Toc292559877"/>
      <w:bookmarkStart w:id="166" w:name="_Toc296891207"/>
      <w:bookmarkStart w:id="167" w:name="_Toc292559372"/>
      <w:bookmarkStart w:id="168" w:name="_Toc296944506"/>
      <w:bookmarkStart w:id="169" w:name="_Toc296503167"/>
      <w:bookmarkStart w:id="170" w:name="_Toc300934979"/>
      <w:bookmarkStart w:id="171" w:name="_Toc296346668"/>
      <w:bookmarkStart w:id="172" w:name="_Toc312677493"/>
      <w:bookmarkStart w:id="173" w:name="_Toc304295556"/>
      <w:bookmarkStart w:id="174" w:name="_Toc297216186"/>
      <w:bookmarkStart w:id="175" w:name="_Toc267251424"/>
      <w:bookmarkStart w:id="176" w:name="_Toc280868656"/>
      <w:bookmarkStart w:id="177" w:name="_Toc280868655"/>
      <w:r>
        <w:rPr>
          <w:rFonts w:hint="eastAsia" w:ascii="宋体" w:hAnsi="宋体" w:eastAsia="宋体" w:cs="宋体"/>
          <w:color w:val="auto"/>
          <w:sz w:val="24"/>
          <w:szCs w:val="24"/>
          <w:highlight w:val="none"/>
        </w:rPr>
        <w:t>.4材料与工程设备的保管与使用</w:t>
      </w:r>
    </w:p>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14:paraId="6B6E8EEE">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bookmarkStart w:id="178" w:name="_Toc292559373"/>
      <w:bookmarkStart w:id="179" w:name="_Toc292559878"/>
      <w:bookmarkStart w:id="180" w:name="_Toc304295557"/>
      <w:bookmarkStart w:id="181" w:name="_Toc296347167"/>
      <w:bookmarkStart w:id="182" w:name="_Toc318581173"/>
      <w:bookmarkStart w:id="183" w:name="_Toc296890996"/>
      <w:bookmarkStart w:id="184" w:name="_Toc297216187"/>
      <w:bookmarkStart w:id="185" w:name="_Toc312677494"/>
      <w:bookmarkStart w:id="186" w:name="_Toc303539137"/>
      <w:bookmarkStart w:id="187" w:name="_Toc297120468"/>
      <w:bookmarkStart w:id="188" w:name="_Toc296891208"/>
      <w:bookmarkStart w:id="189" w:name="_Toc296503168"/>
      <w:bookmarkStart w:id="190" w:name="_Toc312678020"/>
      <w:bookmarkStart w:id="191" w:name="_Toc296944507"/>
      <w:bookmarkStart w:id="192" w:name="_Toc297048354"/>
      <w:bookmarkStart w:id="193" w:name="_Toc300934980"/>
      <w:bookmarkStart w:id="194" w:name="_Toc296346669"/>
      <w:bookmarkStart w:id="195" w:name="_Toc297123528"/>
      <w:r>
        <w:rPr>
          <w:rFonts w:hint="eastAsia" w:ascii="宋体" w:hAnsi="宋体" w:eastAsia="宋体" w:cs="宋体"/>
          <w:color w:val="auto"/>
          <w:sz w:val="24"/>
          <w:szCs w:val="24"/>
          <w:highlight w:val="none"/>
        </w:rPr>
        <w:t>.4.1发包人供应的材料设备的保管费用的承担：</w:t>
      </w:r>
      <w:r>
        <w:rPr>
          <w:rFonts w:hint="eastAsia" w:ascii="宋体" w:hAnsi="宋体" w:eastAsia="宋体" w:cs="宋体"/>
          <w:color w:val="auto"/>
          <w:sz w:val="24"/>
          <w:szCs w:val="24"/>
          <w:highlight w:val="none"/>
          <w:u w:val="single"/>
        </w:rPr>
        <w:t xml:space="preserve">   由承包人承担    </w:t>
      </w:r>
      <w:r>
        <w:rPr>
          <w:rFonts w:hint="eastAsia" w:ascii="宋体" w:hAnsi="宋体" w:eastAsia="宋体" w:cs="宋体"/>
          <w:color w:val="auto"/>
          <w:sz w:val="24"/>
          <w:szCs w:val="24"/>
          <w:highlight w:val="none"/>
        </w:rPr>
        <w:t>。</w:t>
      </w:r>
      <w:bookmarkEnd w:id="178"/>
      <w:bookmarkEnd w:id="179"/>
    </w:p>
    <w:p w14:paraId="6E7DB280">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 样品</w:t>
      </w:r>
    </w:p>
    <w:p w14:paraId="7386A16E">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8.6.1</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样品的报送与封存</w:t>
      </w:r>
    </w:p>
    <w:p w14:paraId="59818AF2">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需要承包人报送样品的材料或工程设备，样品的种类、名称、规格、数量要求：</w:t>
      </w:r>
      <w:r>
        <w:rPr>
          <w:rFonts w:hint="eastAsia" w:ascii="宋体" w:hAnsi="宋体" w:eastAsia="宋体" w:cs="宋体"/>
          <w:color w:val="auto"/>
          <w:sz w:val="24"/>
          <w:szCs w:val="24"/>
          <w:highlight w:val="none"/>
          <w:u w:val="single"/>
        </w:rPr>
        <w:t xml:space="preserve"> 执行通用条款，按发包人需求确定     </w:t>
      </w:r>
      <w:r>
        <w:rPr>
          <w:rFonts w:hint="eastAsia" w:ascii="宋体" w:hAnsi="宋体" w:eastAsia="宋体" w:cs="宋体"/>
          <w:color w:val="auto"/>
          <w:sz w:val="24"/>
          <w:szCs w:val="24"/>
          <w:highlight w:val="none"/>
        </w:rPr>
        <w:t>。</w:t>
      </w:r>
    </w:p>
    <w:p w14:paraId="2AB88CB4">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 施工设备和临时设施</w:t>
      </w:r>
    </w:p>
    <w:p w14:paraId="01275BF9">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8.8.1 承包人提供的施工设备和临时设施</w:t>
      </w:r>
    </w:p>
    <w:p w14:paraId="16B791B9">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关于修建临时设施费用承担的约定：</w:t>
      </w:r>
      <w:r>
        <w:rPr>
          <w:rFonts w:hint="eastAsia" w:ascii="宋体" w:hAnsi="宋体" w:eastAsia="宋体" w:cs="宋体"/>
          <w:color w:val="auto"/>
          <w:sz w:val="24"/>
          <w:szCs w:val="24"/>
          <w:highlight w:val="none"/>
          <w:u w:val="single"/>
        </w:rPr>
        <w:t xml:space="preserve">   由承包人承担             </w:t>
      </w:r>
      <w:r>
        <w:rPr>
          <w:rFonts w:hint="eastAsia" w:ascii="宋体" w:hAnsi="宋体" w:eastAsia="宋体" w:cs="宋体"/>
          <w:color w:val="auto"/>
          <w:sz w:val="24"/>
          <w:szCs w:val="24"/>
          <w:highlight w:val="none"/>
        </w:rPr>
        <w:t>。</w:t>
      </w:r>
    </w:p>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14:paraId="1F666EBD">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196" w:name="_Toc351203641"/>
      <w:r>
        <w:rPr>
          <w:rFonts w:hint="eastAsia" w:ascii="宋体" w:hAnsi="宋体" w:eastAsia="宋体" w:cs="宋体"/>
          <w:b w:val="0"/>
          <w:color w:val="auto"/>
          <w:sz w:val="24"/>
          <w:szCs w:val="24"/>
          <w:highlight w:val="none"/>
        </w:rPr>
        <w:t>9</w:t>
      </w:r>
      <w:bookmarkEnd w:id="175"/>
      <w:bookmarkEnd w:id="176"/>
      <w:bookmarkEnd w:id="177"/>
      <w:bookmarkStart w:id="197" w:name="_Toc303539139"/>
      <w:bookmarkStart w:id="198" w:name="_Toc300934982"/>
      <w:bookmarkStart w:id="199" w:name="_Toc312678021"/>
      <w:bookmarkStart w:id="200" w:name="_Toc312677495"/>
      <w:bookmarkStart w:id="201" w:name="_Toc297123533"/>
      <w:bookmarkStart w:id="202" w:name="_Toc304295559"/>
      <w:bookmarkStart w:id="203" w:name="_Toc297216192"/>
      <w:bookmarkStart w:id="204" w:name="_Toc296891213"/>
      <w:bookmarkStart w:id="205" w:name="_Toc297048359"/>
      <w:bookmarkStart w:id="206" w:name="_Toc292559378"/>
      <w:bookmarkStart w:id="207" w:name="_Toc296891001"/>
      <w:bookmarkStart w:id="208" w:name="_Toc297120473"/>
      <w:bookmarkStart w:id="209" w:name="_Toc296503173"/>
      <w:bookmarkStart w:id="210" w:name="_Toc292559883"/>
      <w:bookmarkStart w:id="211" w:name="_Toc267251428"/>
      <w:bookmarkStart w:id="212" w:name="_Toc296346674"/>
      <w:bookmarkStart w:id="213" w:name="_Toc296944512"/>
      <w:bookmarkStart w:id="214" w:name="_Toc267251427"/>
      <w:bookmarkStart w:id="215" w:name="_Toc296347172"/>
      <w:r>
        <w:rPr>
          <w:rFonts w:hint="eastAsia" w:ascii="宋体" w:hAnsi="宋体" w:eastAsia="宋体" w:cs="宋体"/>
          <w:b w:val="0"/>
          <w:color w:val="auto"/>
          <w:sz w:val="24"/>
          <w:szCs w:val="24"/>
          <w:highlight w:val="none"/>
        </w:rPr>
        <w:t>. 试验与检验</w:t>
      </w:r>
      <w:bookmarkEnd w:id="196"/>
    </w:p>
    <w:bookmarkEnd w:id="197"/>
    <w:bookmarkEnd w:id="198"/>
    <w:bookmarkEnd w:id="199"/>
    <w:bookmarkEnd w:id="200"/>
    <w:bookmarkEnd w:id="201"/>
    <w:bookmarkEnd w:id="202"/>
    <w:bookmarkEnd w:id="203"/>
    <w:p w14:paraId="30105B0D">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bookmarkStart w:id="216" w:name="_Toc303539140"/>
      <w:bookmarkStart w:id="217" w:name="_Toc304295560"/>
      <w:bookmarkStart w:id="218" w:name="_Toc297216193"/>
      <w:bookmarkStart w:id="219" w:name="_Toc297123534"/>
      <w:bookmarkStart w:id="220" w:name="_Toc300934983"/>
      <w:bookmarkStart w:id="221" w:name="_Toc312678022"/>
      <w:bookmarkStart w:id="222" w:name="_Toc312677496"/>
      <w:r>
        <w:rPr>
          <w:rFonts w:hint="eastAsia" w:ascii="宋体" w:hAnsi="宋体" w:eastAsia="宋体" w:cs="宋体"/>
          <w:color w:val="auto"/>
          <w:sz w:val="24"/>
          <w:szCs w:val="24"/>
          <w:highlight w:val="none"/>
        </w:rPr>
        <w:t>.1试验设备与试验人员</w:t>
      </w:r>
    </w:p>
    <w:bookmarkEnd w:id="216"/>
    <w:bookmarkEnd w:id="217"/>
    <w:bookmarkEnd w:id="218"/>
    <w:bookmarkEnd w:id="219"/>
    <w:bookmarkEnd w:id="220"/>
    <w:bookmarkEnd w:id="221"/>
    <w:bookmarkEnd w:id="222"/>
    <w:p w14:paraId="08EB2FA5">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bookmarkStart w:id="223" w:name="_Toc303539141"/>
      <w:bookmarkStart w:id="224" w:name="_Toc300934984"/>
      <w:bookmarkStart w:id="225" w:name="_Toc312678023"/>
      <w:bookmarkStart w:id="226" w:name="_Toc312677497"/>
      <w:bookmarkStart w:id="227" w:name="_Toc297216194"/>
      <w:bookmarkStart w:id="228" w:name="_Toc297123535"/>
      <w:bookmarkStart w:id="229" w:name="_Toc304295561"/>
      <w:bookmarkStart w:id="230" w:name="_Toc318581174"/>
      <w:r>
        <w:rPr>
          <w:rFonts w:hint="eastAsia" w:ascii="宋体" w:hAnsi="宋体" w:eastAsia="宋体" w:cs="宋体"/>
          <w:color w:val="auto"/>
          <w:sz w:val="24"/>
          <w:szCs w:val="24"/>
          <w:highlight w:val="none"/>
        </w:rPr>
        <w:t>.1.2 试验设备</w:t>
      </w:r>
    </w:p>
    <w:p w14:paraId="3787016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施工现场需要配置的试验场所：</w:t>
      </w:r>
      <w:bookmarkEnd w:id="223"/>
      <w:bookmarkEnd w:id="224"/>
      <w:bookmarkEnd w:id="225"/>
      <w:bookmarkEnd w:id="226"/>
      <w:bookmarkEnd w:id="227"/>
      <w:bookmarkEnd w:id="228"/>
      <w:bookmarkEnd w:id="229"/>
      <w:bookmarkStart w:id="231" w:name="_Toc304295562"/>
      <w:bookmarkStart w:id="232" w:name="_Toc312678024"/>
      <w:bookmarkStart w:id="233" w:name="_Toc300934985"/>
      <w:bookmarkStart w:id="234" w:name="_Toc312677498"/>
      <w:bookmarkStart w:id="235" w:name="_Toc303539142"/>
      <w:bookmarkStart w:id="236" w:name="_Toc297216195"/>
      <w:bookmarkStart w:id="237" w:name="_Toc297123536"/>
      <w:r>
        <w:rPr>
          <w:rFonts w:hint="eastAsia" w:ascii="宋体" w:hAnsi="宋体" w:eastAsia="宋体" w:cs="宋体"/>
          <w:color w:val="auto"/>
          <w:sz w:val="24"/>
          <w:szCs w:val="24"/>
          <w:highlight w:val="none"/>
          <w:u w:val="single"/>
        </w:rPr>
        <w:t xml:space="preserve">    按有关规定执行      </w:t>
      </w:r>
      <w:r>
        <w:rPr>
          <w:rFonts w:hint="eastAsia" w:ascii="宋体" w:hAnsi="宋体" w:eastAsia="宋体" w:cs="宋体"/>
          <w:color w:val="auto"/>
          <w:sz w:val="24"/>
          <w:szCs w:val="24"/>
          <w:highlight w:val="none"/>
        </w:rPr>
        <w:t xml:space="preserve">。 </w:t>
      </w:r>
    </w:p>
    <w:p w14:paraId="10BF88A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施工现场需要配备的试验设备：</w:t>
      </w:r>
      <w:r>
        <w:rPr>
          <w:rFonts w:hint="eastAsia" w:ascii="宋体" w:hAnsi="宋体" w:eastAsia="宋体" w:cs="宋体"/>
          <w:color w:val="auto"/>
          <w:sz w:val="24"/>
          <w:szCs w:val="24"/>
          <w:highlight w:val="none"/>
          <w:u w:val="single"/>
        </w:rPr>
        <w:t xml:space="preserve">    按有关规定执行       </w:t>
      </w:r>
      <w:r>
        <w:rPr>
          <w:rFonts w:hint="eastAsia" w:ascii="宋体" w:hAnsi="宋体" w:eastAsia="宋体" w:cs="宋体"/>
          <w:color w:val="auto"/>
          <w:sz w:val="24"/>
          <w:szCs w:val="24"/>
          <w:highlight w:val="none"/>
        </w:rPr>
        <w:t>。</w:t>
      </w:r>
    </w:p>
    <w:p w14:paraId="3A1FD5C3">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施工现场需要具备的其他试验条件：</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E9DCA1B">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9.4 现场工艺试验 </w:t>
      </w:r>
    </w:p>
    <w:p w14:paraId="3932181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现场工艺试验的有关约定：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230"/>
    <w:bookmarkEnd w:id="231"/>
    <w:bookmarkEnd w:id="232"/>
    <w:bookmarkEnd w:id="233"/>
    <w:bookmarkEnd w:id="234"/>
    <w:bookmarkEnd w:id="235"/>
    <w:bookmarkEnd w:id="236"/>
    <w:bookmarkEnd w:id="237"/>
    <w:p w14:paraId="36CD0AAD">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238" w:name="_Toc351203642"/>
      <w:r>
        <w:rPr>
          <w:rFonts w:hint="eastAsia" w:ascii="宋体" w:hAnsi="宋体" w:eastAsia="宋体" w:cs="宋体"/>
          <w:b w:val="0"/>
          <w:color w:val="auto"/>
          <w:sz w:val="24"/>
          <w:szCs w:val="24"/>
          <w:highlight w:val="none"/>
        </w:rPr>
        <w:t>1</w:t>
      </w:r>
      <w:bookmarkEnd w:id="204"/>
      <w:bookmarkEnd w:id="205"/>
      <w:bookmarkEnd w:id="206"/>
      <w:bookmarkEnd w:id="207"/>
      <w:bookmarkEnd w:id="208"/>
      <w:bookmarkEnd w:id="209"/>
      <w:bookmarkEnd w:id="210"/>
      <w:bookmarkEnd w:id="211"/>
      <w:bookmarkEnd w:id="212"/>
      <w:bookmarkEnd w:id="213"/>
      <w:bookmarkEnd w:id="214"/>
      <w:bookmarkEnd w:id="215"/>
      <w:bookmarkStart w:id="239" w:name="_Toc296891021"/>
      <w:bookmarkStart w:id="240" w:name="_Toc303539146"/>
      <w:bookmarkStart w:id="241" w:name="_Toc300934989"/>
      <w:bookmarkStart w:id="242" w:name="_Toc296944532"/>
      <w:bookmarkStart w:id="243" w:name="_Toc292559903"/>
      <w:bookmarkStart w:id="244" w:name="_Toc297123540"/>
      <w:bookmarkStart w:id="245" w:name="_Toc297048379"/>
      <w:bookmarkStart w:id="246" w:name="_Toc297120493"/>
      <w:bookmarkStart w:id="247" w:name="_Toc292559398"/>
      <w:bookmarkStart w:id="248" w:name="_Toc296347192"/>
      <w:bookmarkStart w:id="249" w:name="_Toc296346694"/>
      <w:bookmarkStart w:id="250" w:name="_Toc297216199"/>
      <w:bookmarkStart w:id="251" w:name="_Toc296503193"/>
      <w:bookmarkStart w:id="252" w:name="_Toc304295566"/>
      <w:bookmarkStart w:id="253" w:name="_Toc296891233"/>
      <w:bookmarkStart w:id="254" w:name="_Toc312678025"/>
      <w:bookmarkStart w:id="255" w:name="_Toc312677499"/>
      <w:bookmarkStart w:id="256" w:name="_Toc267251439"/>
      <w:bookmarkStart w:id="257" w:name="_Toc267251433"/>
      <w:bookmarkStart w:id="258" w:name="_Toc267251440"/>
      <w:bookmarkStart w:id="259" w:name="_Toc267251437"/>
      <w:bookmarkStart w:id="260" w:name="_Toc267251441"/>
      <w:bookmarkStart w:id="261" w:name="_Toc267251435"/>
      <w:bookmarkStart w:id="262" w:name="_Toc267251442"/>
      <w:r>
        <w:rPr>
          <w:rFonts w:hint="eastAsia" w:ascii="宋体" w:hAnsi="宋体" w:eastAsia="宋体" w:cs="宋体"/>
          <w:b w:val="0"/>
          <w:color w:val="auto"/>
          <w:sz w:val="24"/>
          <w:szCs w:val="24"/>
          <w:highlight w:val="none"/>
        </w:rPr>
        <w:t>0. 变更</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bookmarkEnd w:id="254"/>
    <w:bookmarkEnd w:id="255"/>
    <w:p w14:paraId="1A2B228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263" w:name="_Toc297216200"/>
      <w:bookmarkStart w:id="264" w:name="_Toc300934990"/>
      <w:bookmarkStart w:id="265" w:name="_Toc296347193"/>
      <w:bookmarkStart w:id="266" w:name="_Toc296503194"/>
      <w:bookmarkStart w:id="267" w:name="_Toc296346695"/>
      <w:bookmarkStart w:id="268" w:name="_Toc312677500"/>
      <w:bookmarkStart w:id="269" w:name="_Toc296891234"/>
      <w:bookmarkStart w:id="270" w:name="_Toc292559904"/>
      <w:bookmarkStart w:id="271" w:name="_Toc297048380"/>
      <w:bookmarkStart w:id="272" w:name="_Toc303539147"/>
      <w:bookmarkStart w:id="273" w:name="_Toc296944533"/>
      <w:bookmarkStart w:id="274" w:name="_Toc292559399"/>
      <w:bookmarkStart w:id="275" w:name="_Toc304295567"/>
      <w:bookmarkStart w:id="276" w:name="_Toc297123541"/>
      <w:bookmarkStart w:id="277" w:name="_Toc297120494"/>
      <w:bookmarkStart w:id="278" w:name="_Toc296891022"/>
      <w:bookmarkStart w:id="279" w:name="_Toc312678026"/>
      <w:r>
        <w:rPr>
          <w:rFonts w:hint="eastAsia" w:ascii="宋体" w:hAnsi="宋体" w:eastAsia="宋体" w:cs="宋体"/>
          <w:color w:val="auto"/>
          <w:sz w:val="24"/>
          <w:szCs w:val="24"/>
          <w:highlight w:val="none"/>
        </w:rPr>
        <w:t>0.1变更的范围</w:t>
      </w:r>
    </w:p>
    <w:p w14:paraId="09E4C39E">
      <w:pPr>
        <w:keepNext w:val="0"/>
        <w:keepLines w:val="0"/>
        <w:pageBreakBefore w:val="0"/>
        <w:widowControl w:val="0"/>
        <w:kinsoku/>
        <w:wordWrap/>
        <w:overflowPunct/>
        <w:topLinePunct w:val="0"/>
        <w:autoSpaceDE w:val="0"/>
        <w:autoSpaceDN w:val="0"/>
        <w:bidi w:val="0"/>
        <w:snapToGrid/>
        <w:spacing w:line="340" w:lineRule="exact"/>
        <w:ind w:firstLine="6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关于变更的范围的约定：</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14:paraId="53961275">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 变更估价</w:t>
      </w:r>
    </w:p>
    <w:p w14:paraId="62E12585">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10.4.1 变更估价原则</w:t>
      </w:r>
    </w:p>
    <w:p w14:paraId="6C2AFE0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关于变更估价的约定: </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14:paraId="572FC1D8">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Start w:id="280" w:name="_Toc296891025"/>
      <w:bookmarkStart w:id="281" w:name="_Toc303539150"/>
      <w:bookmarkStart w:id="282" w:name="_Toc296347196"/>
      <w:bookmarkStart w:id="283" w:name="_Toc292559907"/>
      <w:bookmarkStart w:id="284" w:name="_Toc296503197"/>
      <w:bookmarkStart w:id="285" w:name="_Toc296944536"/>
      <w:bookmarkStart w:id="286" w:name="_Toc296346698"/>
      <w:bookmarkStart w:id="287" w:name="_Toc292559402"/>
      <w:bookmarkStart w:id="288" w:name="_Toc297216203"/>
      <w:bookmarkStart w:id="289" w:name="_Toc297123544"/>
      <w:bookmarkStart w:id="290" w:name="_Toc297048383"/>
      <w:bookmarkStart w:id="291" w:name="_Toc296891237"/>
      <w:bookmarkStart w:id="292" w:name="_Toc300934993"/>
      <w:bookmarkStart w:id="293" w:name="_Toc297120497"/>
      <w:bookmarkStart w:id="294" w:name="_Toc304295570"/>
      <w:bookmarkStart w:id="295" w:name="_Toc312678029"/>
      <w:bookmarkStart w:id="296" w:name="_Toc312677503"/>
      <w:r>
        <w:rPr>
          <w:rFonts w:hint="eastAsia" w:ascii="宋体" w:hAnsi="宋体" w:eastAsia="宋体" w:cs="宋体"/>
          <w:color w:val="auto"/>
          <w:sz w:val="24"/>
          <w:szCs w:val="24"/>
          <w:highlight w:val="none"/>
        </w:rPr>
        <w:t>0.5承</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Start w:id="297" w:name="_Toc296347202"/>
      <w:bookmarkStart w:id="298" w:name="_Toc297216204"/>
      <w:bookmarkStart w:id="299" w:name="_Toc296891031"/>
      <w:bookmarkStart w:id="300" w:name="_Toc296346704"/>
      <w:bookmarkStart w:id="301" w:name="_Toc297123545"/>
      <w:bookmarkStart w:id="302" w:name="_Toc296503203"/>
      <w:bookmarkStart w:id="303" w:name="_Toc292559913"/>
      <w:bookmarkStart w:id="304" w:name="_Toc296944542"/>
      <w:bookmarkStart w:id="305" w:name="_Toc292559408"/>
      <w:bookmarkStart w:id="306" w:name="_Toc303539151"/>
      <w:bookmarkStart w:id="307" w:name="_Toc297120503"/>
      <w:bookmarkStart w:id="308" w:name="_Toc296891243"/>
      <w:bookmarkStart w:id="309" w:name="_Toc297048389"/>
      <w:bookmarkStart w:id="310" w:name="_Toc300934994"/>
      <w:r>
        <w:rPr>
          <w:rFonts w:hint="eastAsia" w:ascii="宋体" w:hAnsi="宋体" w:eastAsia="宋体" w:cs="宋体"/>
          <w:color w:val="auto"/>
          <w:sz w:val="24"/>
          <w:szCs w:val="24"/>
          <w:highlight w:val="none"/>
        </w:rPr>
        <w:t>包人的合理化建议</w:t>
      </w:r>
    </w:p>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14:paraId="1BB18B3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监理人审查承包人合理化建议的期限：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08D004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发包人审批承包人合理化建议的期限：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89EE87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w:t>
      </w:r>
      <w:bookmarkStart w:id="311" w:name="_Toc296891032"/>
      <w:bookmarkStart w:id="312" w:name="_Toc297123546"/>
      <w:bookmarkStart w:id="313" w:name="_Toc304295571"/>
      <w:bookmarkStart w:id="314" w:name="_Toc296503204"/>
      <w:bookmarkStart w:id="315" w:name="_Toc303539152"/>
      <w:bookmarkStart w:id="316" w:name="_Toc292559914"/>
      <w:bookmarkStart w:id="317" w:name="_Toc296944543"/>
      <w:bookmarkStart w:id="318" w:name="_Toc297216205"/>
      <w:bookmarkStart w:id="319" w:name="_Toc297048390"/>
      <w:bookmarkStart w:id="320" w:name="_Toc296346705"/>
      <w:bookmarkStart w:id="321" w:name="_Toc292559409"/>
      <w:bookmarkStart w:id="322" w:name="_Toc318581175"/>
      <w:bookmarkStart w:id="323" w:name="_Toc300934995"/>
      <w:bookmarkStart w:id="324" w:name="_Toc312678030"/>
      <w:bookmarkStart w:id="325" w:name="_Toc296891244"/>
      <w:bookmarkStart w:id="326" w:name="_Toc312677504"/>
      <w:bookmarkStart w:id="327" w:name="_Toc296347203"/>
      <w:bookmarkStart w:id="328" w:name="_Toc297120504"/>
      <w:r>
        <w:rPr>
          <w:rFonts w:hint="eastAsia" w:ascii="宋体" w:hAnsi="宋体" w:eastAsia="宋体" w:cs="宋体"/>
          <w:color w:val="auto"/>
          <w:sz w:val="24"/>
          <w:szCs w:val="24"/>
          <w:highlight w:val="none"/>
        </w:rPr>
        <w:t>包人提出的合理化建议降低了合同价格或者提高了工程经济效益的奖励的方法和金额为：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14:paraId="268A6A9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329" w:name="_Toc296891239"/>
      <w:bookmarkStart w:id="330" w:name="_Toc297120499"/>
      <w:bookmarkStart w:id="331" w:name="_Toc312678033"/>
      <w:bookmarkStart w:id="332" w:name="_Toc303539154"/>
      <w:bookmarkStart w:id="333" w:name="_Toc304295574"/>
      <w:bookmarkStart w:id="334" w:name="_Toc296891027"/>
      <w:bookmarkStart w:id="335" w:name="_Toc292559909"/>
      <w:bookmarkStart w:id="336" w:name="_Toc296944538"/>
      <w:bookmarkStart w:id="337" w:name="_Toc296346700"/>
      <w:bookmarkStart w:id="338" w:name="_Toc292559404"/>
      <w:bookmarkStart w:id="339" w:name="_Toc297123548"/>
      <w:bookmarkStart w:id="340" w:name="_Toc312677507"/>
      <w:bookmarkStart w:id="341" w:name="_Toc296347198"/>
      <w:bookmarkStart w:id="342" w:name="_Toc297048385"/>
      <w:bookmarkStart w:id="343" w:name="_Toc297216207"/>
      <w:bookmarkStart w:id="344" w:name="_Toc296503199"/>
      <w:bookmarkStart w:id="345" w:name="_Toc300934997"/>
      <w:r>
        <w:rPr>
          <w:rFonts w:hint="eastAsia" w:ascii="宋体" w:hAnsi="宋体" w:eastAsia="宋体" w:cs="宋体"/>
          <w:color w:val="auto"/>
          <w:sz w:val="24"/>
          <w:szCs w:val="24"/>
          <w:highlight w:val="none"/>
        </w:rPr>
        <w:t>0.7 暂估价</w:t>
      </w:r>
    </w:p>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14:paraId="0F087AD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暂</w:t>
      </w:r>
      <w:bookmarkStart w:id="346" w:name="_Toc312677508"/>
      <w:bookmarkStart w:id="347" w:name="_Toc318581176"/>
      <w:bookmarkStart w:id="348" w:name="_Toc312678034"/>
      <w:r>
        <w:rPr>
          <w:rFonts w:hint="eastAsia" w:ascii="宋体" w:hAnsi="宋体" w:eastAsia="宋体" w:cs="宋体"/>
          <w:color w:val="auto"/>
          <w:kern w:val="0"/>
          <w:sz w:val="24"/>
          <w:szCs w:val="24"/>
          <w:highlight w:val="none"/>
        </w:rPr>
        <w:t>估价材料和工程设备的明细详见附件11：《</w:t>
      </w:r>
      <w:r>
        <w:rPr>
          <w:rFonts w:hint="eastAsia" w:ascii="宋体" w:hAnsi="宋体" w:eastAsia="宋体" w:cs="宋体"/>
          <w:color w:val="auto"/>
          <w:sz w:val="24"/>
          <w:szCs w:val="24"/>
          <w:highlight w:val="none"/>
        </w:rPr>
        <w:t>暂估价一览表》</w:t>
      </w:r>
      <w:r>
        <w:rPr>
          <w:rFonts w:hint="eastAsia" w:ascii="宋体" w:hAnsi="宋体" w:eastAsia="宋体" w:cs="宋体"/>
          <w:color w:val="auto"/>
          <w:kern w:val="0"/>
          <w:sz w:val="24"/>
          <w:szCs w:val="24"/>
          <w:highlight w:val="none"/>
        </w:rPr>
        <w:t>。</w:t>
      </w:r>
    </w:p>
    <w:bookmarkEnd w:id="346"/>
    <w:bookmarkEnd w:id="347"/>
    <w:bookmarkEnd w:id="348"/>
    <w:p w14:paraId="1FF61BE8">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349" w:name="_Toc318581177"/>
      <w:bookmarkStart w:id="350" w:name="_Toc312678035"/>
      <w:bookmarkStart w:id="351" w:name="_Toc312677509"/>
      <w:r>
        <w:rPr>
          <w:rFonts w:hint="eastAsia" w:ascii="宋体" w:hAnsi="宋体" w:eastAsia="宋体" w:cs="宋体"/>
          <w:color w:val="auto"/>
          <w:sz w:val="24"/>
          <w:szCs w:val="24"/>
          <w:highlight w:val="none"/>
        </w:rPr>
        <w:t>0.7.1 依法必须招标的暂估价项目</w:t>
      </w:r>
    </w:p>
    <w:bookmarkEnd w:id="349"/>
    <w:bookmarkEnd w:id="350"/>
    <w:bookmarkEnd w:id="351"/>
    <w:p w14:paraId="0F30F0B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对于依法必须招标的暂估价项目的确认和批准采取第</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种方式确定。</w:t>
      </w:r>
    </w:p>
    <w:p w14:paraId="656481E0">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10.7.2 不属于依法必须招标的暂估价项目</w:t>
      </w:r>
    </w:p>
    <w:p w14:paraId="4301073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对于不属于依法必须招标的暂估价项目的确认和批准采取第</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种方式确定。</w:t>
      </w:r>
    </w:p>
    <w:p w14:paraId="4C18268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第3种方式：</w:t>
      </w:r>
      <w:r>
        <w:rPr>
          <w:rFonts w:hint="eastAsia" w:ascii="宋体" w:hAnsi="宋体" w:eastAsia="宋体" w:cs="宋体"/>
          <w:color w:val="auto"/>
          <w:kern w:val="0"/>
          <w:sz w:val="24"/>
          <w:szCs w:val="24"/>
          <w:highlight w:val="none"/>
        </w:rPr>
        <w:t>承包人直接实施的暂估价项目</w:t>
      </w:r>
    </w:p>
    <w:p w14:paraId="1E82891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承包人直接实施的暂估价项目的约定：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88F83E6">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10.8 暂列金额</w:t>
      </w:r>
    </w:p>
    <w:p w14:paraId="40798A17">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合同当事人关于暂列金额使用的约定：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0DE98508">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352" w:name="_Toc351203643"/>
      <w:r>
        <w:rPr>
          <w:rFonts w:hint="eastAsia" w:ascii="宋体" w:hAnsi="宋体" w:eastAsia="宋体" w:cs="宋体"/>
          <w:b w:val="0"/>
          <w:color w:val="auto"/>
          <w:sz w:val="24"/>
          <w:szCs w:val="24"/>
          <w:highlight w:val="none"/>
        </w:rPr>
        <w:t>11. 价格调整</w:t>
      </w:r>
      <w:bookmarkEnd w:id="352"/>
    </w:p>
    <w:p w14:paraId="14F8438B">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bookmarkStart w:id="353" w:name="_Toc303539157"/>
      <w:bookmarkStart w:id="354" w:name="_Toc297216209"/>
      <w:bookmarkStart w:id="355" w:name="_Toc296891029"/>
      <w:bookmarkStart w:id="356" w:name="_Toc296346702"/>
      <w:bookmarkStart w:id="357" w:name="_Toc297123550"/>
      <w:bookmarkStart w:id="358" w:name="_Toc296347200"/>
      <w:bookmarkStart w:id="359" w:name="_Toc300935000"/>
      <w:bookmarkStart w:id="360" w:name="_Toc292559406"/>
      <w:bookmarkStart w:id="361" w:name="_Toc292559911"/>
      <w:bookmarkStart w:id="362" w:name="_Toc296891241"/>
      <w:bookmarkStart w:id="363" w:name="_Toc312678039"/>
      <w:bookmarkStart w:id="364" w:name="_Toc304295577"/>
      <w:bookmarkStart w:id="365" w:name="_Toc296503201"/>
      <w:bookmarkStart w:id="366" w:name="_Toc297120501"/>
      <w:bookmarkStart w:id="367" w:name="_Toc297048387"/>
      <w:bookmarkStart w:id="368" w:name="_Toc296944540"/>
      <w:r>
        <w:rPr>
          <w:rFonts w:hint="eastAsia" w:ascii="宋体" w:hAnsi="宋体" w:eastAsia="宋体" w:cs="宋体"/>
          <w:color w:val="auto"/>
          <w:sz w:val="24"/>
          <w:szCs w:val="24"/>
          <w:highlight w:val="none"/>
        </w:rPr>
        <w:t>11.1 市场价格波动引起的调整</w:t>
      </w:r>
    </w:p>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14:paraId="567AE3A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市场价格波动是否调整合同价格的约定：</w:t>
      </w:r>
      <w:r>
        <w:rPr>
          <w:rFonts w:hint="eastAsia" w:ascii="宋体" w:hAnsi="宋体" w:eastAsia="宋体" w:cs="宋体"/>
          <w:color w:val="auto"/>
          <w:sz w:val="24"/>
          <w:szCs w:val="24"/>
          <w:highlight w:val="none"/>
          <w:u w:val="single"/>
        </w:rPr>
        <w:t xml:space="preserve">   是  </w:t>
      </w:r>
      <w:r>
        <w:rPr>
          <w:rFonts w:hint="eastAsia" w:ascii="宋体" w:hAnsi="宋体" w:eastAsia="宋体" w:cs="宋体"/>
          <w:color w:val="auto"/>
          <w:sz w:val="24"/>
          <w:szCs w:val="24"/>
          <w:highlight w:val="none"/>
        </w:rPr>
        <w:t>。</w:t>
      </w:r>
    </w:p>
    <w:p w14:paraId="652B847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因市场价格波动调整合同价格，采用以下第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种方式对合同价格进行调整：</w:t>
      </w:r>
    </w:p>
    <w:p w14:paraId="346D44A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第1种方式：采用价格指数进行价格调整。</w:t>
      </w:r>
    </w:p>
    <w:p w14:paraId="56333059">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关于各可调因子、定值和变值权重，以及基本价格指数及其来源的约定：</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3BE33E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第2种方式：采用造价信息进行价格调整。</w:t>
      </w:r>
    </w:p>
    <w:p w14:paraId="5323AF5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（2）关于基准价格的约定：</w:t>
      </w:r>
      <w:r>
        <w:rPr>
          <w:rFonts w:hint="eastAsia" w:ascii="宋体" w:hAnsi="宋体" w:eastAsia="宋体" w:cs="宋体"/>
          <w:color w:val="auto"/>
          <w:sz w:val="24"/>
          <w:szCs w:val="24"/>
          <w:highlight w:val="none"/>
          <w:u w:val="single"/>
        </w:rPr>
        <w:t xml:space="preserve"> 根据编制说明中约定的价格信息文件 </w:t>
      </w:r>
      <w:r>
        <w:rPr>
          <w:rFonts w:hint="eastAsia" w:ascii="宋体" w:hAnsi="宋体" w:eastAsia="宋体" w:cs="宋体"/>
          <w:color w:val="auto"/>
          <w:sz w:val="24"/>
          <w:szCs w:val="24"/>
          <w:highlight w:val="none"/>
        </w:rPr>
        <w:t>。</w:t>
      </w:r>
    </w:p>
    <w:p w14:paraId="60262E5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%时，或材料单价跌幅以已标价工程量清单或预算书中载明材料单价为基础超过</w:t>
      </w:r>
      <w:r>
        <w:rPr>
          <w:rFonts w:hint="eastAsia" w:ascii="宋体" w:hAnsi="宋体" w:eastAsia="宋体" w:cs="宋体"/>
          <w:b/>
          <w:color w:val="auto"/>
          <w:sz w:val="24"/>
          <w:szCs w:val="24"/>
          <w:highlight w:val="none"/>
          <w:u w:val="single"/>
        </w:rPr>
        <w:t>5</w:t>
      </w:r>
      <w:r>
        <w:rPr>
          <w:rFonts w:hint="eastAsia" w:ascii="宋体" w:hAnsi="宋体" w:eastAsia="宋体" w:cs="宋体"/>
          <w:color w:val="auto"/>
          <w:sz w:val="24"/>
          <w:szCs w:val="24"/>
          <w:highlight w:val="none"/>
        </w:rPr>
        <w:t>%时，其超过部分据实调整。</w:t>
      </w:r>
    </w:p>
    <w:p w14:paraId="6EBEF1F9">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%时，材料单价涨幅以已标价工程量清单或预算书中载明材料单价为基础超过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%时，其超过部分据实调整。</w:t>
      </w:r>
    </w:p>
    <w:p w14:paraId="337C27B1">
      <w:pPr>
        <w:keepNext w:val="0"/>
        <w:keepLines w:val="0"/>
        <w:pageBreakBefore w:val="0"/>
        <w:widowControl w:val="0"/>
        <w:kinsoku/>
        <w:wordWrap/>
        <w:overflowPunct/>
        <w:topLinePunct w:val="0"/>
        <w:autoSpaceDE w:val="0"/>
        <w:autoSpaceDN w:val="0"/>
        <w:bidi w:val="0"/>
        <w:snapToGrid/>
        <w:spacing w:line="340" w:lineRule="exact"/>
        <w:ind w:firstLine="64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%时，其超过部分据实调整。</w:t>
      </w:r>
    </w:p>
    <w:p w14:paraId="6F79410F">
      <w:pPr>
        <w:keepNext w:val="0"/>
        <w:keepLines w:val="0"/>
        <w:pageBreakBefore w:val="0"/>
        <w:widowControl w:val="0"/>
        <w:kinsoku/>
        <w:wordWrap/>
        <w:overflowPunct/>
        <w:topLinePunct w:val="0"/>
        <w:autoSpaceDE w:val="0"/>
        <w:autoSpaceDN w:val="0"/>
        <w:bidi w:val="0"/>
        <w:snapToGrid/>
        <w:spacing w:line="340" w:lineRule="exact"/>
        <w:ind w:firstLine="64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第3种方式：其他价格调整方式：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256"/>
    <w:bookmarkEnd w:id="257"/>
    <w:bookmarkEnd w:id="258"/>
    <w:bookmarkEnd w:id="259"/>
    <w:bookmarkEnd w:id="260"/>
    <w:bookmarkEnd w:id="261"/>
    <w:p w14:paraId="53DE2C50">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369" w:name="_Toc296346706"/>
      <w:bookmarkStart w:id="370" w:name="_Toc292559410"/>
      <w:bookmarkStart w:id="371" w:name="_Toc296944544"/>
      <w:bookmarkStart w:id="372" w:name="_Toc292559915"/>
      <w:bookmarkStart w:id="373" w:name="_Toc296503205"/>
      <w:bookmarkStart w:id="374" w:name="_Toc296891245"/>
      <w:bookmarkStart w:id="375" w:name="_Toc297048391"/>
      <w:bookmarkStart w:id="376" w:name="_Toc297120505"/>
      <w:bookmarkStart w:id="377" w:name="_Toc296347204"/>
      <w:bookmarkStart w:id="378" w:name="_Toc296891033"/>
      <w:bookmarkStart w:id="379" w:name="_Toc351203644"/>
      <w:bookmarkStart w:id="380" w:name="_Toc304295579"/>
      <w:bookmarkStart w:id="381" w:name="_Toc312678040"/>
      <w:bookmarkStart w:id="382" w:name="_Toc303539159"/>
      <w:bookmarkStart w:id="383" w:name="_Toc297123552"/>
      <w:bookmarkStart w:id="384" w:name="_Toc300935002"/>
      <w:bookmarkStart w:id="385" w:name="_Toc297216211"/>
      <w:r>
        <w:rPr>
          <w:rFonts w:hint="eastAsia" w:ascii="宋体" w:hAnsi="宋体" w:eastAsia="宋体" w:cs="宋体"/>
          <w:b w:val="0"/>
          <w:color w:val="auto"/>
          <w:sz w:val="24"/>
          <w:szCs w:val="24"/>
          <w:highlight w:val="none"/>
        </w:rPr>
        <w:t xml:space="preserve">12. </w:t>
      </w:r>
      <w:bookmarkEnd w:id="369"/>
      <w:bookmarkEnd w:id="370"/>
      <w:bookmarkEnd w:id="371"/>
      <w:bookmarkEnd w:id="372"/>
      <w:bookmarkEnd w:id="373"/>
      <w:bookmarkEnd w:id="374"/>
      <w:bookmarkEnd w:id="375"/>
      <w:bookmarkEnd w:id="376"/>
      <w:bookmarkEnd w:id="377"/>
      <w:bookmarkEnd w:id="378"/>
      <w:r>
        <w:rPr>
          <w:rFonts w:hint="eastAsia" w:ascii="宋体" w:hAnsi="宋体" w:eastAsia="宋体" w:cs="宋体"/>
          <w:b w:val="0"/>
          <w:color w:val="auto"/>
          <w:sz w:val="24"/>
          <w:szCs w:val="24"/>
          <w:highlight w:val="none"/>
        </w:rPr>
        <w:t>合同价格、计量与支付</w:t>
      </w:r>
      <w:bookmarkEnd w:id="379"/>
    </w:p>
    <w:bookmarkEnd w:id="380"/>
    <w:bookmarkEnd w:id="381"/>
    <w:bookmarkEnd w:id="382"/>
    <w:bookmarkEnd w:id="383"/>
    <w:bookmarkEnd w:id="384"/>
    <w:bookmarkEnd w:id="385"/>
    <w:p w14:paraId="44BD2A77">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bookmarkStart w:id="386" w:name="_Toc267251461"/>
      <w:bookmarkStart w:id="387" w:name="_Toc292559411"/>
      <w:bookmarkStart w:id="388" w:name="_Toc292559916"/>
      <w:bookmarkStart w:id="389" w:name="_Toc296503206"/>
      <w:bookmarkStart w:id="390" w:name="_Toc297120506"/>
      <w:bookmarkStart w:id="391" w:name="_Toc296944545"/>
      <w:bookmarkStart w:id="392" w:name="_Toc297048392"/>
      <w:bookmarkStart w:id="393" w:name="_Toc296346707"/>
      <w:bookmarkStart w:id="394" w:name="_Toc296891246"/>
      <w:bookmarkStart w:id="395" w:name="_Toc296891034"/>
      <w:bookmarkStart w:id="396" w:name="_Toc296347205"/>
      <w:bookmarkStart w:id="397" w:name="_Toc297216212"/>
      <w:bookmarkStart w:id="398" w:name="_Toc304295580"/>
      <w:bookmarkStart w:id="399" w:name="_Toc312678041"/>
      <w:bookmarkStart w:id="400" w:name="_Toc300935003"/>
      <w:bookmarkStart w:id="401" w:name="_Toc303539160"/>
      <w:bookmarkStart w:id="402" w:name="_Toc297123553"/>
      <w:r>
        <w:rPr>
          <w:rFonts w:hint="eastAsia" w:ascii="宋体" w:hAnsi="宋体" w:eastAsia="宋体" w:cs="宋体"/>
          <w:color w:val="auto"/>
          <w:sz w:val="24"/>
          <w:szCs w:val="24"/>
          <w:highlight w:val="none"/>
        </w:rPr>
        <w:t>12.1 合</w:t>
      </w:r>
      <w:bookmarkEnd w:id="386"/>
      <w:bookmarkEnd w:id="387"/>
      <w:bookmarkEnd w:id="388"/>
      <w:r>
        <w:rPr>
          <w:rFonts w:hint="eastAsia" w:ascii="宋体" w:hAnsi="宋体" w:eastAsia="宋体" w:cs="宋体"/>
          <w:color w:val="auto"/>
          <w:sz w:val="24"/>
          <w:szCs w:val="24"/>
          <w:highlight w:val="none"/>
        </w:rPr>
        <w:t>同价</w:t>
      </w:r>
      <w:bookmarkEnd w:id="389"/>
      <w:bookmarkEnd w:id="390"/>
      <w:bookmarkEnd w:id="391"/>
      <w:bookmarkEnd w:id="392"/>
      <w:bookmarkEnd w:id="393"/>
      <w:bookmarkEnd w:id="394"/>
      <w:bookmarkEnd w:id="395"/>
      <w:bookmarkEnd w:id="396"/>
      <w:r>
        <w:rPr>
          <w:rFonts w:hint="eastAsia" w:ascii="宋体" w:hAnsi="宋体" w:eastAsia="宋体" w:cs="宋体"/>
          <w:color w:val="auto"/>
          <w:sz w:val="24"/>
          <w:szCs w:val="24"/>
          <w:highlight w:val="none"/>
        </w:rPr>
        <w:t>格形式</w:t>
      </w:r>
    </w:p>
    <w:bookmarkEnd w:id="397"/>
    <w:bookmarkEnd w:id="398"/>
    <w:bookmarkEnd w:id="399"/>
    <w:bookmarkEnd w:id="400"/>
    <w:bookmarkEnd w:id="401"/>
    <w:bookmarkEnd w:id="402"/>
    <w:p w14:paraId="09C6BDBF">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1、单价合同。</w:t>
      </w:r>
    </w:p>
    <w:p w14:paraId="5CC4ED8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综合单价包含的风险范围：</w:t>
      </w:r>
      <w:r>
        <w:rPr>
          <w:rFonts w:hint="eastAsia" w:ascii="宋体" w:hAnsi="宋体" w:eastAsia="宋体" w:cs="宋体"/>
          <w:color w:val="auto"/>
          <w:sz w:val="24"/>
          <w:szCs w:val="24"/>
          <w:highlight w:val="none"/>
          <w:u w:val="single"/>
        </w:rPr>
        <w:t>除经济签证、设计变更、市场因素以外的所有风险</w:t>
      </w:r>
      <w:r>
        <w:rPr>
          <w:rFonts w:hint="eastAsia" w:ascii="宋体" w:hAnsi="宋体" w:eastAsia="宋体" w:cs="宋体"/>
          <w:color w:val="auto"/>
          <w:sz w:val="24"/>
          <w:szCs w:val="24"/>
          <w:highlight w:val="none"/>
        </w:rPr>
        <w:t>。</w:t>
      </w:r>
    </w:p>
    <w:p w14:paraId="3DB2346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风险费用的计算方法：</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C992B32">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w:t>
      </w:r>
    </w:p>
    <w:p w14:paraId="01143CD9">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总价包含的风险范围：</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3CB895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风险费用的计算方法：</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D18D21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风险范围以外合同价格的调整方法：</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64681A0">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3、其他价格方式：</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0F0B4CC">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bookmarkStart w:id="403" w:name="_Toc297123554"/>
      <w:bookmarkStart w:id="404" w:name="_Toc304295581"/>
      <w:bookmarkStart w:id="405" w:name="_Toc303539161"/>
      <w:bookmarkStart w:id="406" w:name="_Toc300935004"/>
      <w:bookmarkStart w:id="407" w:name="_Toc297216213"/>
      <w:bookmarkStart w:id="408" w:name="_Toc312678042"/>
      <w:bookmarkStart w:id="409" w:name="_Toc296503207"/>
      <w:bookmarkStart w:id="410" w:name="_Toc297048393"/>
      <w:bookmarkStart w:id="411" w:name="_Toc292559917"/>
      <w:bookmarkStart w:id="412" w:name="_Toc297120507"/>
      <w:bookmarkStart w:id="413" w:name="_Toc296891035"/>
      <w:bookmarkStart w:id="414" w:name="_Toc296347206"/>
      <w:bookmarkStart w:id="415" w:name="_Toc296891247"/>
      <w:bookmarkStart w:id="416" w:name="_Toc296944546"/>
      <w:bookmarkStart w:id="417" w:name="_Toc292559412"/>
      <w:bookmarkStart w:id="418" w:name="_Toc296346708"/>
      <w:r>
        <w:rPr>
          <w:rFonts w:hint="eastAsia" w:ascii="宋体" w:hAnsi="宋体" w:eastAsia="宋体" w:cs="宋体"/>
          <w:color w:val="auto"/>
          <w:sz w:val="24"/>
          <w:szCs w:val="24"/>
          <w:highlight w:val="none"/>
        </w:rPr>
        <w:t>12.2 预付款</w:t>
      </w:r>
    </w:p>
    <w:bookmarkEnd w:id="403"/>
    <w:bookmarkEnd w:id="404"/>
    <w:bookmarkEnd w:id="405"/>
    <w:bookmarkEnd w:id="406"/>
    <w:bookmarkEnd w:id="407"/>
    <w:bookmarkEnd w:id="408"/>
    <w:p w14:paraId="33B516A8">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12.2.1 预付款的支付</w:t>
      </w:r>
    </w:p>
    <w:p w14:paraId="74EE6061">
      <w:pPr>
        <w:pStyle w:val="46"/>
        <w:keepLines w:val="0"/>
        <w:pageBreakBefore w:val="0"/>
        <w:widowControl/>
        <w:kinsoku/>
        <w:wordWrap/>
        <w:overflowPunct/>
        <w:topLinePunct w:val="0"/>
        <w:bidi w:val="0"/>
        <w:snapToGrid/>
        <w:spacing w:line="380" w:lineRule="exact"/>
        <w:ind w:left="0" w:right="26" w:firstLine="480" w:firstLineChars="200"/>
        <w:textAlignment w:val="auto"/>
        <w:rPr>
          <w:rFonts w:hint="eastAsia" w:ascii="宋体" w:hAnsi="宋体"/>
          <w:color w:val="auto"/>
          <w:u w:val="single"/>
        </w:rPr>
      </w:pPr>
      <w:r>
        <w:rPr>
          <w:rFonts w:hint="eastAsia" w:ascii="宋体" w:hAnsi="宋体"/>
          <w:color w:val="auto"/>
        </w:rPr>
        <w:t>预付款支付比例或金额：</w:t>
      </w:r>
      <w:r>
        <w:rPr>
          <w:rFonts w:hint="eastAsia" w:ascii="宋体" w:hAnsi="宋体"/>
          <w:color w:val="auto"/>
          <w:u w:val="single"/>
          <w:lang w:eastAsia="zh-CN"/>
        </w:rPr>
        <w:t>《建设工程价款结算暂行办法》包工包料工程的预付款按合同约定拨付，原则上预付比例不低于合同金额的</w:t>
      </w:r>
      <w:r>
        <w:rPr>
          <w:rFonts w:hint="eastAsia" w:ascii="宋体" w:hAnsi="宋体"/>
          <w:color w:val="auto"/>
          <w:u w:val="single"/>
        </w:rPr>
        <w:t>10%</w:t>
      </w:r>
      <w:r>
        <w:rPr>
          <w:rFonts w:hint="eastAsia" w:ascii="宋体" w:hAnsi="宋体"/>
          <w:color w:val="auto"/>
          <w:u w:val="single"/>
          <w:lang w:eastAsia="zh-CN"/>
        </w:rPr>
        <w:t>，不高于合同金额的</w:t>
      </w:r>
      <w:r>
        <w:rPr>
          <w:rFonts w:hint="eastAsia" w:ascii="宋体" w:hAnsi="宋体"/>
          <w:color w:val="auto"/>
          <w:u w:val="single"/>
          <w:lang w:val="en-US" w:eastAsia="zh-CN"/>
        </w:rPr>
        <w:t>30</w:t>
      </w:r>
      <w:r>
        <w:rPr>
          <w:rFonts w:hint="eastAsia" w:ascii="宋体" w:hAnsi="宋体"/>
          <w:color w:val="auto"/>
          <w:u w:val="single"/>
        </w:rPr>
        <w:t>%</w:t>
      </w:r>
      <w:r>
        <w:rPr>
          <w:rFonts w:hint="eastAsia" w:ascii="宋体" w:hAnsi="宋体"/>
          <w:color w:val="auto"/>
          <w:u w:val="single"/>
          <w:lang w:eastAsia="zh-CN"/>
        </w:rPr>
        <w:t>。对重大工程项目，按年度工程计划逐年预付。计价执行《建设工程工程量清单计价规范（</w:t>
      </w:r>
      <w:r>
        <w:rPr>
          <w:rFonts w:hint="eastAsia" w:ascii="宋体" w:hAnsi="宋体"/>
          <w:color w:val="auto"/>
          <w:u w:val="single"/>
          <w:lang w:val="en-US" w:eastAsia="zh-CN"/>
        </w:rPr>
        <w:t>GB50500-2003</w:t>
      </w:r>
      <w:r>
        <w:rPr>
          <w:rFonts w:hint="eastAsia" w:ascii="宋体" w:hAnsi="宋体"/>
          <w:color w:val="auto"/>
          <w:u w:val="single"/>
          <w:lang w:eastAsia="zh-CN"/>
        </w:rPr>
        <w:t>）的工程，实体性消耗部分应在合同中分别约定预付款比例</w:t>
      </w:r>
      <w:r>
        <w:rPr>
          <w:rFonts w:hint="eastAsia" w:ascii="宋体" w:hAnsi="宋体"/>
          <w:color w:val="auto"/>
        </w:rPr>
        <w:t>。</w:t>
      </w:r>
    </w:p>
    <w:p w14:paraId="37E9EB4A">
      <w:pPr>
        <w:pStyle w:val="46"/>
        <w:keepLines w:val="0"/>
        <w:pageBreakBefore w:val="0"/>
        <w:widowControl/>
        <w:kinsoku/>
        <w:wordWrap/>
        <w:overflowPunct/>
        <w:topLinePunct w:val="0"/>
        <w:bidi w:val="0"/>
        <w:snapToGrid/>
        <w:spacing w:line="380" w:lineRule="exact"/>
        <w:ind w:left="0" w:right="26" w:firstLine="480" w:firstLineChars="200"/>
        <w:textAlignment w:val="auto"/>
        <w:rPr>
          <w:rFonts w:hint="eastAsia" w:ascii="宋体" w:hAnsi="宋体"/>
          <w:color w:val="auto"/>
        </w:rPr>
      </w:pPr>
      <w:r>
        <w:rPr>
          <w:rFonts w:hint="eastAsia" w:ascii="宋体" w:hAnsi="宋体"/>
          <w:color w:val="auto"/>
        </w:rPr>
        <w:t>预付款支付期限：</w:t>
      </w:r>
      <w:r>
        <w:rPr>
          <w:rFonts w:hint="eastAsia" w:ascii="宋体" w:hAnsi="宋体"/>
          <w:color w:val="auto"/>
          <w:u w:val="single"/>
        </w:rPr>
        <w:t xml:space="preserve">  合同签定并取得开工报告7日内              </w:t>
      </w:r>
      <w:r>
        <w:rPr>
          <w:rFonts w:hint="eastAsia" w:ascii="宋体" w:hAnsi="宋体"/>
          <w:color w:val="auto"/>
        </w:rPr>
        <w:t>。</w:t>
      </w:r>
    </w:p>
    <w:p w14:paraId="14E14BB5">
      <w:pPr>
        <w:pStyle w:val="46"/>
        <w:keepLines w:val="0"/>
        <w:pageBreakBefore w:val="0"/>
        <w:widowControl/>
        <w:kinsoku/>
        <w:wordWrap/>
        <w:overflowPunct/>
        <w:topLinePunct w:val="0"/>
        <w:bidi w:val="0"/>
        <w:snapToGrid/>
        <w:spacing w:line="380" w:lineRule="exact"/>
        <w:ind w:left="0" w:right="26" w:firstLine="480" w:firstLineChars="200"/>
        <w:textAlignment w:val="auto"/>
        <w:rPr>
          <w:rFonts w:hint="eastAsia" w:ascii="宋体" w:hAnsi="宋体"/>
          <w:color w:val="auto"/>
          <w:u w:val="single"/>
        </w:rPr>
      </w:pPr>
      <w:r>
        <w:rPr>
          <w:rFonts w:hint="eastAsia" w:ascii="宋体" w:hAnsi="宋体"/>
          <w:color w:val="auto"/>
        </w:rPr>
        <w:t>预付款扣回的方式：</w:t>
      </w:r>
      <w:r>
        <w:rPr>
          <w:rFonts w:hint="eastAsia" w:ascii="宋体" w:hAnsi="宋体"/>
          <w:color w:val="auto"/>
          <w:u w:val="single"/>
        </w:rPr>
        <w:t>甲乙双方约定。</w:t>
      </w:r>
    </w:p>
    <w:p w14:paraId="7DE2B9B8">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12.2.2 预付款担保</w:t>
      </w:r>
    </w:p>
    <w:p w14:paraId="27D057C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承包人提交预付款担保的期限：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CD22DE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预付款担保的形式为：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bookmarkEnd w:id="409"/>
    <w:bookmarkEnd w:id="410"/>
    <w:bookmarkEnd w:id="411"/>
    <w:bookmarkEnd w:id="412"/>
    <w:bookmarkEnd w:id="413"/>
    <w:bookmarkEnd w:id="414"/>
    <w:bookmarkEnd w:id="415"/>
    <w:bookmarkEnd w:id="416"/>
    <w:bookmarkEnd w:id="417"/>
    <w:bookmarkEnd w:id="418"/>
    <w:p w14:paraId="16B741AD">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计量</w:t>
      </w:r>
    </w:p>
    <w:p w14:paraId="673D9A24">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12.3.1 计量原则</w:t>
      </w:r>
    </w:p>
    <w:p w14:paraId="586E926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工程量计算规则：</w:t>
      </w:r>
      <w:r>
        <w:rPr>
          <w:rFonts w:hint="eastAsia" w:ascii="宋体" w:hAnsi="宋体" w:eastAsia="宋体" w:cs="宋体"/>
          <w:color w:val="auto"/>
          <w:sz w:val="24"/>
          <w:szCs w:val="24"/>
          <w:highlight w:val="none"/>
          <w:u w:val="single"/>
        </w:rPr>
        <w:t xml:space="preserve">按GB50500-2013建设工程工程量清单计价规范工程量计算规则  </w:t>
      </w:r>
      <w:r>
        <w:rPr>
          <w:rFonts w:hint="eastAsia" w:ascii="宋体" w:hAnsi="宋体" w:eastAsia="宋体" w:cs="宋体"/>
          <w:color w:val="auto"/>
          <w:sz w:val="24"/>
          <w:szCs w:val="24"/>
          <w:highlight w:val="none"/>
        </w:rPr>
        <w:t>。</w:t>
      </w:r>
    </w:p>
    <w:p w14:paraId="7C7DF45D">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12.3.2 计量周期</w:t>
      </w:r>
    </w:p>
    <w:p w14:paraId="378FBE2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关于计量周期的约定：</w:t>
      </w:r>
      <w:r>
        <w:rPr>
          <w:rFonts w:hint="eastAsia" w:ascii="宋体" w:hAnsi="宋体" w:eastAsia="宋体" w:cs="宋体"/>
          <w:color w:val="auto"/>
          <w:sz w:val="24"/>
          <w:szCs w:val="24"/>
          <w:highlight w:val="none"/>
          <w:u w:val="single"/>
        </w:rPr>
        <w:t xml:space="preserve">   按月计量        </w:t>
      </w:r>
      <w:r>
        <w:rPr>
          <w:rFonts w:hint="eastAsia" w:ascii="宋体" w:hAnsi="宋体" w:eastAsia="宋体" w:cs="宋体"/>
          <w:color w:val="auto"/>
          <w:sz w:val="24"/>
          <w:szCs w:val="24"/>
          <w:highlight w:val="none"/>
        </w:rPr>
        <w:t>。</w:t>
      </w:r>
    </w:p>
    <w:p w14:paraId="45B09B64">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12.3.3 单价合同的计量</w:t>
      </w:r>
    </w:p>
    <w:p w14:paraId="0E1DF0B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关于单价合同计量的约定：</w:t>
      </w:r>
      <w:r>
        <w:rPr>
          <w:rFonts w:hint="eastAsia" w:ascii="宋体" w:hAnsi="宋体" w:eastAsia="宋体" w:cs="宋体"/>
          <w:color w:val="auto"/>
          <w:sz w:val="24"/>
          <w:szCs w:val="24"/>
          <w:highlight w:val="none"/>
          <w:u w:val="single"/>
        </w:rPr>
        <w:t xml:space="preserve">   按月计量     </w:t>
      </w:r>
      <w:r>
        <w:rPr>
          <w:rFonts w:hint="eastAsia" w:ascii="宋体" w:hAnsi="宋体" w:eastAsia="宋体" w:cs="宋体"/>
          <w:color w:val="auto"/>
          <w:sz w:val="24"/>
          <w:szCs w:val="24"/>
          <w:highlight w:val="none"/>
        </w:rPr>
        <w:t>。</w:t>
      </w:r>
    </w:p>
    <w:p w14:paraId="7268D984">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12.3.4 总价合同的计量</w:t>
      </w:r>
    </w:p>
    <w:p w14:paraId="55366AE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关于总价合同计量的约定：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7A42A68">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12.3.5总价合同采用支付分解表计量支付的，是否适用第</w:t>
      </w:r>
      <w:r>
        <w:rPr>
          <w:rFonts w:hint="eastAsia" w:ascii="宋体" w:hAnsi="宋体" w:eastAsia="宋体" w:cs="宋体"/>
          <w:color w:val="auto"/>
          <w:kern w:val="0"/>
          <w:sz w:val="24"/>
          <w:szCs w:val="24"/>
          <w:highlight w:val="none"/>
        </w:rPr>
        <w:t xml:space="preserve">12.3.4 </w:t>
      </w:r>
      <w:r>
        <w:rPr>
          <w:rFonts w:hint="eastAsia" w:ascii="宋体" w:hAnsi="宋体" w:eastAsia="宋体" w:cs="宋体"/>
          <w:color w:val="auto"/>
          <w:sz w:val="24"/>
          <w:szCs w:val="24"/>
          <w:highlight w:val="none"/>
        </w:rPr>
        <w:t>项</w:t>
      </w:r>
      <w:r>
        <w:rPr>
          <w:rFonts w:hint="eastAsia" w:ascii="宋体" w:hAnsi="宋体" w:eastAsia="宋体" w:cs="宋体"/>
          <w:color w:val="auto"/>
          <w:kern w:val="0"/>
          <w:sz w:val="24"/>
          <w:szCs w:val="24"/>
          <w:highlight w:val="none"/>
        </w:rPr>
        <w:t>〔总价合同的计量〕</w:t>
      </w:r>
      <w:r>
        <w:rPr>
          <w:rFonts w:hint="eastAsia" w:ascii="宋体" w:hAnsi="宋体" w:eastAsia="宋体" w:cs="宋体"/>
          <w:color w:val="auto"/>
          <w:sz w:val="24"/>
          <w:szCs w:val="24"/>
          <w:highlight w:val="none"/>
        </w:rPr>
        <w:t>约定进行计量：</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1ECD6F4">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12.3.6 其他价格形式合同的计量</w:t>
      </w:r>
    </w:p>
    <w:p w14:paraId="45369C3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其他价格形式的计量方式和程序：</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7995A0F">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 工程进度款支付</w:t>
      </w:r>
    </w:p>
    <w:p w14:paraId="21DF12EA">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bookmarkStart w:id="419" w:name="_Toc300935006"/>
      <w:bookmarkStart w:id="420" w:name="_Toc292559416"/>
      <w:bookmarkStart w:id="421" w:name="_Toc303539163"/>
      <w:bookmarkStart w:id="422" w:name="_Toc292559921"/>
      <w:bookmarkStart w:id="423" w:name="_Toc297048397"/>
      <w:bookmarkStart w:id="424" w:name="_Toc297216215"/>
      <w:bookmarkStart w:id="425" w:name="_Toc296891039"/>
      <w:bookmarkStart w:id="426" w:name="_Toc297120511"/>
      <w:bookmarkStart w:id="427" w:name="_Toc296891251"/>
      <w:bookmarkStart w:id="428" w:name="_Toc296347210"/>
      <w:bookmarkStart w:id="429" w:name="_Toc297123556"/>
      <w:bookmarkStart w:id="430" w:name="_Toc296503211"/>
      <w:bookmarkStart w:id="431" w:name="_Toc296944550"/>
      <w:bookmarkStart w:id="432" w:name="_Toc296346712"/>
      <w:r>
        <w:rPr>
          <w:rFonts w:hint="eastAsia" w:ascii="宋体" w:hAnsi="宋体" w:eastAsia="宋体" w:cs="宋体"/>
          <w:color w:val="auto"/>
          <w:sz w:val="24"/>
          <w:szCs w:val="24"/>
          <w:highlight w:val="none"/>
        </w:rPr>
        <w:t>12.4.1 付款周期</w:t>
      </w:r>
    </w:p>
    <w:p w14:paraId="4414D063">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u w:val="single"/>
          <w:lang w:val="zh-CN" w:eastAsia="zh-CN"/>
        </w:rPr>
      </w:pPr>
      <w:r>
        <w:rPr>
          <w:rFonts w:hint="eastAsia" w:ascii="宋体" w:hAnsi="宋体" w:eastAsia="宋体" w:cs="宋体"/>
          <w:color w:val="auto"/>
          <w:sz w:val="24"/>
          <w:szCs w:val="24"/>
          <w:highlight w:val="none"/>
        </w:rPr>
        <w:t>关于付款周期的约定：</w:t>
      </w:r>
      <w:r>
        <w:rPr>
          <w:rFonts w:hint="eastAsia" w:ascii="宋体" w:hAnsi="宋体" w:eastAsia="宋体" w:cs="宋体"/>
          <w:color w:val="auto"/>
          <w:sz w:val="24"/>
          <w:szCs w:val="24"/>
          <w:highlight w:val="none"/>
          <w:u w:val="single"/>
        </w:rPr>
        <w:t>施工合同签订开工后，首次按合同价的30%支付预付款。施工过程中根据施工进度支付工程进度款，峻工验收后按审计结算价支付剩余工程款。预留3%作为质量保证金（质保期一年，接受担保机构的保函、保险机构的保单等其他非现金交易担保方式)，质保期满项目承包方提请返还保证金申请，经双方验收无误并签署一致意见后一次性结清。</w:t>
      </w:r>
    </w:p>
    <w:p w14:paraId="7B523ACA">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12.4.2 进度付款申请单的编制</w:t>
      </w:r>
    </w:p>
    <w:p w14:paraId="4BC483D3">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关于进度付款申请单编制的约定：</w:t>
      </w:r>
      <w:r>
        <w:rPr>
          <w:rFonts w:hint="eastAsia" w:ascii="宋体" w:hAnsi="宋体" w:eastAsia="宋体" w:cs="宋体"/>
          <w:color w:val="auto"/>
          <w:sz w:val="24"/>
          <w:szCs w:val="24"/>
          <w:highlight w:val="none"/>
          <w:u w:val="single"/>
        </w:rPr>
        <w:t xml:space="preserve">按发包方工程款支付管理规定执行  </w:t>
      </w:r>
      <w:r>
        <w:rPr>
          <w:rFonts w:hint="eastAsia" w:ascii="宋体" w:hAnsi="宋体" w:eastAsia="宋体" w:cs="宋体"/>
          <w:color w:val="auto"/>
          <w:sz w:val="24"/>
          <w:szCs w:val="24"/>
          <w:highlight w:val="none"/>
        </w:rPr>
        <w:t>。</w:t>
      </w:r>
    </w:p>
    <w:p w14:paraId="7F11A3F6">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r>
        <w:rPr>
          <w:rFonts w:hint="eastAsia" w:ascii="宋体" w:hAnsi="宋体" w:eastAsia="宋体" w:cs="宋体"/>
          <w:color w:val="auto"/>
          <w:sz w:val="24"/>
          <w:szCs w:val="24"/>
          <w:highlight w:val="none"/>
        </w:rPr>
        <w:t>2.4.3 进度付款申请单的提交</w:t>
      </w:r>
    </w:p>
    <w:p w14:paraId="637987B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（1）单价合同进度付款申请单提交的约定：</w:t>
      </w:r>
      <w:r>
        <w:rPr>
          <w:rFonts w:hint="eastAsia" w:ascii="宋体" w:hAnsi="宋体" w:eastAsia="宋体" w:cs="宋体"/>
          <w:color w:val="auto"/>
          <w:sz w:val="24"/>
          <w:szCs w:val="24"/>
          <w:highlight w:val="none"/>
          <w:u w:val="single"/>
        </w:rPr>
        <w:t xml:space="preserve">    按发包方工程款支付管理规定执行   </w:t>
      </w:r>
      <w:r>
        <w:rPr>
          <w:rFonts w:hint="eastAsia" w:ascii="宋体" w:hAnsi="宋体" w:eastAsia="宋体" w:cs="宋体"/>
          <w:color w:val="auto"/>
          <w:sz w:val="24"/>
          <w:szCs w:val="24"/>
          <w:highlight w:val="none"/>
        </w:rPr>
        <w:t>。</w:t>
      </w:r>
    </w:p>
    <w:p w14:paraId="5F1F9E3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（2）总价合同进度付款申请单提交的约定：</w:t>
      </w:r>
      <w:r>
        <w:rPr>
          <w:rFonts w:hint="eastAsia" w:ascii="宋体" w:hAnsi="宋体" w:eastAsia="宋体" w:cs="宋体"/>
          <w:color w:val="auto"/>
          <w:sz w:val="24"/>
          <w:szCs w:val="24"/>
          <w:highlight w:val="none"/>
          <w:u w:val="single"/>
        </w:rPr>
        <w:t xml:space="preserve">  按发包方工程款支付管理规定执行  </w:t>
      </w:r>
      <w:r>
        <w:rPr>
          <w:rFonts w:hint="eastAsia" w:ascii="宋体" w:hAnsi="宋体" w:eastAsia="宋体" w:cs="宋体"/>
          <w:color w:val="auto"/>
          <w:sz w:val="24"/>
          <w:szCs w:val="24"/>
          <w:highlight w:val="none"/>
        </w:rPr>
        <w:t>。</w:t>
      </w:r>
    </w:p>
    <w:p w14:paraId="7F0A39D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（3）其他价格形式合同进度付款申请单提交的约定：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9307B59">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12.4.4 进度款审核和支付</w:t>
      </w:r>
    </w:p>
    <w:p w14:paraId="04A22773">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（1）监理人审查并报送发包人的期限：</w:t>
      </w:r>
      <w:r>
        <w:rPr>
          <w:rFonts w:hint="eastAsia" w:ascii="宋体" w:hAnsi="宋体" w:eastAsia="宋体" w:cs="宋体"/>
          <w:color w:val="auto"/>
          <w:sz w:val="24"/>
          <w:szCs w:val="24"/>
          <w:highlight w:val="none"/>
          <w:u w:val="single"/>
        </w:rPr>
        <w:t xml:space="preserve">  收到申请7日内审查并报送     </w:t>
      </w:r>
      <w:r>
        <w:rPr>
          <w:rFonts w:hint="eastAsia" w:ascii="宋体" w:hAnsi="宋体" w:eastAsia="宋体" w:cs="宋体"/>
          <w:color w:val="auto"/>
          <w:sz w:val="24"/>
          <w:szCs w:val="24"/>
          <w:highlight w:val="none"/>
        </w:rPr>
        <w:t>。</w:t>
      </w:r>
    </w:p>
    <w:p w14:paraId="036756E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发包人完成审批并签发进度款支付证书的期限：</w:t>
      </w:r>
      <w:r>
        <w:rPr>
          <w:rFonts w:hint="eastAsia" w:ascii="宋体" w:hAnsi="宋体" w:eastAsia="宋体" w:cs="宋体"/>
          <w:color w:val="auto"/>
          <w:sz w:val="24"/>
          <w:szCs w:val="24"/>
          <w:highlight w:val="none"/>
          <w:u w:val="single"/>
        </w:rPr>
        <w:t xml:space="preserve"> 收到7日内完成       </w:t>
      </w:r>
      <w:r>
        <w:rPr>
          <w:rFonts w:hint="eastAsia" w:ascii="宋体" w:hAnsi="宋体" w:eastAsia="宋体" w:cs="宋体"/>
          <w:color w:val="auto"/>
          <w:sz w:val="24"/>
          <w:szCs w:val="24"/>
          <w:highlight w:val="none"/>
        </w:rPr>
        <w:t>。</w:t>
      </w:r>
    </w:p>
    <w:p w14:paraId="76D0031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（2）发包人支付进度款的期限：</w:t>
      </w:r>
      <w:r>
        <w:rPr>
          <w:rFonts w:hint="eastAsia" w:ascii="宋体" w:hAnsi="宋体" w:eastAsia="宋体" w:cs="宋体"/>
          <w:color w:val="auto"/>
          <w:sz w:val="24"/>
          <w:szCs w:val="24"/>
          <w:highlight w:val="none"/>
          <w:u w:val="single"/>
        </w:rPr>
        <w:t xml:space="preserve">  14日内                         </w:t>
      </w:r>
      <w:r>
        <w:rPr>
          <w:rFonts w:hint="eastAsia" w:ascii="宋体" w:hAnsi="宋体" w:eastAsia="宋体" w:cs="宋体"/>
          <w:color w:val="auto"/>
          <w:sz w:val="24"/>
          <w:szCs w:val="24"/>
          <w:highlight w:val="none"/>
        </w:rPr>
        <w:t>。</w:t>
      </w:r>
    </w:p>
    <w:p w14:paraId="45C4B230">
      <w:pPr>
        <w:keepNext w:val="0"/>
        <w:keepLines w:val="0"/>
        <w:pageBreakBefore w:val="0"/>
        <w:widowControl w:val="0"/>
        <w:kinsoku/>
        <w:wordWrap/>
        <w:overflowPunct/>
        <w:topLinePunct w:val="0"/>
        <w:autoSpaceDE w:val="0"/>
        <w:autoSpaceDN w:val="0"/>
        <w:bidi w:val="0"/>
        <w:snapToGrid/>
        <w:spacing w:line="340" w:lineRule="exact"/>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发包人逾期支付进度款的违约金的计算方式：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DA0FD56">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12.4.6 支付分解表的编制</w:t>
      </w:r>
    </w:p>
    <w:p w14:paraId="35A1630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2、总价合同支付分解表的编制与审批：</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5875AB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3、单价合同的总价项目支付分解表的编制与审批：</w:t>
      </w:r>
      <w:r>
        <w:rPr>
          <w:rFonts w:hint="eastAsia" w:ascii="宋体" w:hAnsi="宋体" w:eastAsia="宋体" w:cs="宋体"/>
          <w:color w:val="auto"/>
          <w:sz w:val="24"/>
          <w:szCs w:val="24"/>
          <w:highlight w:val="none"/>
          <w:u w:val="single"/>
        </w:rPr>
        <w:t xml:space="preserve">  按合同通用条款     </w:t>
      </w:r>
      <w:r>
        <w:rPr>
          <w:rFonts w:hint="eastAsia" w:ascii="宋体" w:hAnsi="宋体" w:eastAsia="宋体" w:cs="宋体"/>
          <w:color w:val="auto"/>
          <w:sz w:val="24"/>
          <w:szCs w:val="24"/>
          <w:highlight w:val="none"/>
        </w:rPr>
        <w:t>。</w:t>
      </w:r>
    </w:p>
    <w:bookmarkEnd w:id="262"/>
    <w:p w14:paraId="499882D7">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433" w:name="_Toc351203645"/>
      <w:bookmarkStart w:id="434" w:name="_Toc296347218"/>
      <w:bookmarkStart w:id="435" w:name="_Toc303539172"/>
      <w:bookmarkStart w:id="436" w:name="_Toc297048405"/>
      <w:bookmarkStart w:id="437" w:name="_Toc296346720"/>
      <w:bookmarkStart w:id="438" w:name="_Toc304295593"/>
      <w:bookmarkStart w:id="439" w:name="_Toc296503219"/>
      <w:bookmarkStart w:id="440" w:name="_Toc297216223"/>
      <w:bookmarkStart w:id="441" w:name="_Toc297120519"/>
      <w:bookmarkStart w:id="442" w:name="_Toc296891259"/>
      <w:bookmarkStart w:id="443" w:name="_Toc296891047"/>
      <w:bookmarkStart w:id="444" w:name="_Toc296944558"/>
      <w:bookmarkStart w:id="445" w:name="_Toc297123564"/>
      <w:bookmarkStart w:id="446" w:name="_Toc292559929"/>
      <w:bookmarkStart w:id="447" w:name="_Toc292559424"/>
      <w:bookmarkStart w:id="448" w:name="_Toc300935015"/>
      <w:bookmarkStart w:id="449" w:name="_Toc312678053"/>
      <w:r>
        <w:rPr>
          <w:rFonts w:hint="eastAsia" w:ascii="宋体" w:hAnsi="宋体" w:eastAsia="宋体" w:cs="宋体"/>
          <w:b w:val="0"/>
          <w:color w:val="auto"/>
          <w:sz w:val="24"/>
          <w:szCs w:val="24"/>
          <w:highlight w:val="none"/>
        </w:rPr>
        <w:t>13. 验收和工程试车</w:t>
      </w:r>
      <w:bookmarkEnd w:id="433"/>
    </w:p>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27F03FA6">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分部分项工程验收</w:t>
      </w:r>
    </w:p>
    <w:p w14:paraId="331560F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13.1.2监理人不能按时进行验收时，应提前</w:t>
      </w:r>
      <w:r>
        <w:rPr>
          <w:rFonts w:hint="eastAsia" w:ascii="宋体" w:hAnsi="宋体" w:eastAsia="宋体" w:cs="宋体"/>
          <w:color w:val="auto"/>
          <w:sz w:val="24"/>
          <w:szCs w:val="24"/>
          <w:highlight w:val="none"/>
          <w:u w:val="single"/>
        </w:rPr>
        <w:t xml:space="preserve">   24   </w:t>
      </w:r>
      <w:r>
        <w:rPr>
          <w:rFonts w:hint="eastAsia" w:ascii="宋体" w:hAnsi="宋体" w:eastAsia="宋体" w:cs="宋体"/>
          <w:color w:val="auto"/>
          <w:sz w:val="24"/>
          <w:szCs w:val="24"/>
          <w:highlight w:val="none"/>
        </w:rPr>
        <w:t>小时提交书面延期要求。</w:t>
      </w:r>
    </w:p>
    <w:p w14:paraId="36035F9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关于延期最长不得超过：</w:t>
      </w:r>
      <w:r>
        <w:rPr>
          <w:rFonts w:hint="eastAsia" w:ascii="宋体" w:hAnsi="宋体" w:eastAsia="宋体" w:cs="宋体"/>
          <w:color w:val="auto"/>
          <w:sz w:val="24"/>
          <w:szCs w:val="24"/>
          <w:highlight w:val="none"/>
          <w:u w:val="single"/>
        </w:rPr>
        <w:t xml:space="preserve">   48   </w:t>
      </w:r>
      <w:r>
        <w:rPr>
          <w:rFonts w:hint="eastAsia" w:ascii="宋体" w:hAnsi="宋体" w:eastAsia="宋体" w:cs="宋体"/>
          <w:color w:val="auto"/>
          <w:sz w:val="24"/>
          <w:szCs w:val="24"/>
          <w:highlight w:val="none"/>
        </w:rPr>
        <w:t>小时。</w:t>
      </w:r>
    </w:p>
    <w:p w14:paraId="6DB45235">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bookmarkStart w:id="450" w:name="_Toc297216224"/>
      <w:bookmarkStart w:id="451" w:name="_Toc296891263"/>
      <w:bookmarkStart w:id="452" w:name="_Toc296503223"/>
      <w:bookmarkStart w:id="453" w:name="_Toc296347222"/>
      <w:bookmarkStart w:id="454" w:name="_Toc296944562"/>
      <w:bookmarkStart w:id="455" w:name="_Toc297120523"/>
      <w:bookmarkStart w:id="456" w:name="_Toc296346724"/>
      <w:bookmarkStart w:id="457" w:name="_Toc292559428"/>
      <w:bookmarkStart w:id="458" w:name="_Toc303539173"/>
      <w:bookmarkStart w:id="459" w:name="_Toc297048409"/>
      <w:bookmarkStart w:id="460" w:name="_Toc296891051"/>
      <w:bookmarkStart w:id="461" w:name="_Toc304295596"/>
      <w:bookmarkStart w:id="462" w:name="_Toc297123565"/>
      <w:bookmarkStart w:id="463" w:name="_Toc312678056"/>
      <w:bookmarkStart w:id="464" w:name="_Toc300935016"/>
      <w:bookmarkStart w:id="465" w:name="_Toc292559933"/>
      <w:bookmarkStart w:id="466" w:name="_Toc267251471"/>
      <w:bookmarkStart w:id="467" w:name="_Toc267251474"/>
      <w:bookmarkStart w:id="468" w:name="_Toc267251473"/>
      <w:bookmarkStart w:id="469" w:name="_Toc267251470"/>
      <w:bookmarkStart w:id="470" w:name="_Toc267251472"/>
      <w:bookmarkStart w:id="471" w:name="_Toc267251475"/>
      <w:bookmarkStart w:id="472" w:name="_Toc267251476"/>
      <w:r>
        <w:rPr>
          <w:rFonts w:hint="eastAsia" w:ascii="宋体" w:hAnsi="宋体" w:eastAsia="宋体" w:cs="宋体"/>
          <w:color w:val="auto"/>
          <w:sz w:val="24"/>
          <w:szCs w:val="24"/>
          <w:highlight w:val="none"/>
        </w:rPr>
        <w:t>13.2 竣工验收</w:t>
      </w:r>
    </w:p>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14:paraId="5AA1B9F6">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bookmarkStart w:id="473" w:name="_Toc280868704"/>
      <w:bookmarkStart w:id="474" w:name="_Toc280868705"/>
      <w:bookmarkStart w:id="475" w:name="_Toc280868706"/>
      <w:bookmarkStart w:id="476" w:name="_Toc280868707"/>
      <w:bookmarkStart w:id="477" w:name="_Toc280868708"/>
      <w:bookmarkStart w:id="478" w:name="_Toc280868709"/>
      <w:r>
        <w:rPr>
          <w:rFonts w:hint="eastAsia" w:ascii="宋体" w:hAnsi="宋体" w:eastAsia="宋体" w:cs="宋体"/>
          <w:color w:val="auto"/>
          <w:sz w:val="24"/>
          <w:szCs w:val="24"/>
          <w:highlight w:val="none"/>
        </w:rPr>
        <w:t>13.2.2竣工验收程序</w:t>
      </w:r>
    </w:p>
    <w:bookmarkEnd w:id="473"/>
    <w:p w14:paraId="47BFC9AD">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关于竣工验收程序的约定：</w:t>
      </w:r>
      <w:r>
        <w:rPr>
          <w:rFonts w:hint="eastAsia" w:ascii="宋体" w:hAnsi="宋体" w:eastAsia="宋体" w:cs="宋体"/>
          <w:color w:val="auto"/>
          <w:sz w:val="24"/>
          <w:szCs w:val="24"/>
          <w:highlight w:val="none"/>
          <w:u w:val="single"/>
        </w:rPr>
        <w:t xml:space="preserve">     按合同通用条款        </w:t>
      </w:r>
      <w:r>
        <w:rPr>
          <w:rFonts w:hint="eastAsia" w:ascii="宋体" w:hAnsi="宋体" w:eastAsia="宋体" w:cs="宋体"/>
          <w:color w:val="auto"/>
          <w:sz w:val="24"/>
          <w:szCs w:val="24"/>
          <w:highlight w:val="none"/>
        </w:rPr>
        <w:t>。</w:t>
      </w:r>
    </w:p>
    <w:p w14:paraId="766F8C6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发包人不按照本项约定组织竣工验收、颁发工程接收证书的违约金的计算方法：</w:t>
      </w:r>
      <w:r>
        <w:rPr>
          <w:rFonts w:hint="eastAsia" w:ascii="宋体" w:hAnsi="宋体" w:eastAsia="宋体" w:cs="宋体"/>
          <w:color w:val="auto"/>
          <w:sz w:val="24"/>
          <w:szCs w:val="24"/>
          <w:highlight w:val="none"/>
          <w:u w:val="single"/>
        </w:rPr>
        <w:t xml:space="preserve"> 按合同通用条款 </w:t>
      </w:r>
      <w:r>
        <w:rPr>
          <w:rFonts w:hint="eastAsia" w:ascii="宋体" w:hAnsi="宋体" w:eastAsia="宋体" w:cs="宋体"/>
          <w:color w:val="auto"/>
          <w:sz w:val="24"/>
          <w:szCs w:val="24"/>
          <w:highlight w:val="none"/>
        </w:rPr>
        <w:t>。</w:t>
      </w:r>
    </w:p>
    <w:bookmarkEnd w:id="474"/>
    <w:p w14:paraId="283F8E12">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13.2.5移交、接收全部与部分工程</w:t>
      </w:r>
    </w:p>
    <w:bookmarkEnd w:id="475"/>
    <w:p w14:paraId="7AFE835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承包人向发包人移交工程的期限：</w:t>
      </w:r>
      <w:r>
        <w:rPr>
          <w:rFonts w:hint="eastAsia" w:ascii="宋体" w:hAnsi="宋体" w:eastAsia="宋体" w:cs="宋体"/>
          <w:color w:val="auto"/>
          <w:sz w:val="24"/>
          <w:szCs w:val="24"/>
          <w:highlight w:val="none"/>
          <w:u w:val="single"/>
        </w:rPr>
        <w:t xml:space="preserve">   颁发工程接收证书后7日内      </w:t>
      </w:r>
      <w:r>
        <w:rPr>
          <w:rFonts w:hint="eastAsia" w:ascii="宋体" w:hAnsi="宋体" w:eastAsia="宋体" w:cs="宋体"/>
          <w:color w:val="auto"/>
          <w:sz w:val="24"/>
          <w:szCs w:val="24"/>
          <w:highlight w:val="none"/>
        </w:rPr>
        <w:t>。</w:t>
      </w:r>
    </w:p>
    <w:p w14:paraId="522256B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发包人未按本合同约定接收全部或部分工程的，违约金的计算方法为：</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476"/>
    <w:p w14:paraId="73C875D9">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承包人未按时移交工程的，违约金的计算方法为：</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A31A88C">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工程试车</w:t>
      </w:r>
    </w:p>
    <w:bookmarkEnd w:id="477"/>
    <w:p w14:paraId="1AEC0EE3">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13.3.1 试车程序</w:t>
      </w:r>
    </w:p>
    <w:p w14:paraId="0E7015BE">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工程试车内容：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B12FDA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（1）单机无负荷试车费用由</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承担；</w:t>
      </w:r>
    </w:p>
    <w:p w14:paraId="2B1D35F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（2）无负荷联动试车费用由</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承担。</w:t>
      </w:r>
    </w:p>
    <w:p w14:paraId="5811C7D4">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13.3.3 投料试车</w:t>
      </w:r>
    </w:p>
    <w:p w14:paraId="3CE5DBF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关于投料试车相关事项的约定：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4595EFC">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 竣工退场</w:t>
      </w:r>
    </w:p>
    <w:p w14:paraId="66ACCD3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13.6.1 竣工退场</w:t>
      </w:r>
    </w:p>
    <w:p w14:paraId="4B0C9EC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承包人完成竣工退场的期限：</w:t>
      </w:r>
      <w:r>
        <w:rPr>
          <w:rFonts w:hint="eastAsia" w:ascii="宋体" w:hAnsi="宋体" w:eastAsia="宋体" w:cs="宋体"/>
          <w:color w:val="auto"/>
          <w:sz w:val="24"/>
          <w:szCs w:val="24"/>
          <w:highlight w:val="none"/>
          <w:u w:val="single"/>
        </w:rPr>
        <w:t xml:space="preserve">   颁发工程接收证书后3日内      </w:t>
      </w:r>
      <w:r>
        <w:rPr>
          <w:rFonts w:hint="eastAsia" w:ascii="宋体" w:hAnsi="宋体" w:eastAsia="宋体" w:cs="宋体"/>
          <w:color w:val="auto"/>
          <w:kern w:val="0"/>
          <w:sz w:val="24"/>
          <w:szCs w:val="24"/>
          <w:highlight w:val="none"/>
        </w:rPr>
        <w:t>。</w:t>
      </w:r>
    </w:p>
    <w:p w14:paraId="2F897E67">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479" w:name="_Toc351203646"/>
      <w:r>
        <w:rPr>
          <w:rFonts w:hint="eastAsia" w:ascii="宋体" w:hAnsi="宋体" w:eastAsia="宋体" w:cs="宋体"/>
          <w:b w:val="0"/>
          <w:color w:val="auto"/>
          <w:sz w:val="24"/>
          <w:szCs w:val="24"/>
          <w:highlight w:val="none"/>
        </w:rPr>
        <w:t>14. 竣工结算</w:t>
      </w:r>
      <w:bookmarkEnd w:id="479"/>
    </w:p>
    <w:p w14:paraId="7C061C28">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竣工付款申请</w:t>
      </w:r>
    </w:p>
    <w:p w14:paraId="1A3CA20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承包人提交竣工付款申请单的期限：</w:t>
      </w:r>
      <w:r>
        <w:rPr>
          <w:rFonts w:hint="eastAsia" w:ascii="宋体" w:hAnsi="宋体" w:eastAsia="宋体" w:cs="宋体"/>
          <w:color w:val="auto"/>
          <w:sz w:val="24"/>
          <w:szCs w:val="24"/>
          <w:highlight w:val="none"/>
          <w:u w:val="single"/>
        </w:rPr>
        <w:t xml:space="preserve">按合同付款约定执行    </w:t>
      </w:r>
      <w:r>
        <w:rPr>
          <w:rFonts w:hint="eastAsia" w:ascii="宋体" w:hAnsi="宋体" w:eastAsia="宋体" w:cs="宋体"/>
          <w:color w:val="auto"/>
          <w:sz w:val="24"/>
          <w:szCs w:val="24"/>
          <w:highlight w:val="none"/>
        </w:rPr>
        <w:t>。</w:t>
      </w:r>
    </w:p>
    <w:p w14:paraId="7233C4F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竣工付款申请单应包括的内容：</w:t>
      </w:r>
      <w:r>
        <w:rPr>
          <w:rFonts w:hint="eastAsia" w:ascii="宋体" w:hAnsi="宋体" w:eastAsia="宋体" w:cs="宋体"/>
          <w:color w:val="auto"/>
          <w:sz w:val="24"/>
          <w:szCs w:val="24"/>
          <w:highlight w:val="none"/>
          <w:u w:val="single"/>
        </w:rPr>
        <w:t xml:space="preserve">   按合同付款约定执行         </w:t>
      </w:r>
      <w:r>
        <w:rPr>
          <w:rFonts w:hint="eastAsia" w:ascii="宋体" w:hAnsi="宋体" w:eastAsia="宋体" w:cs="宋体"/>
          <w:color w:val="auto"/>
          <w:sz w:val="24"/>
          <w:szCs w:val="24"/>
          <w:highlight w:val="none"/>
        </w:rPr>
        <w:t>。</w:t>
      </w:r>
    </w:p>
    <w:p w14:paraId="5C07DC36">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竣工结算审核</w:t>
      </w:r>
    </w:p>
    <w:p w14:paraId="2201199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发包人审批竣工付款申请单的期限：</w:t>
      </w:r>
      <w:r>
        <w:rPr>
          <w:rFonts w:hint="eastAsia" w:ascii="宋体" w:hAnsi="宋体" w:eastAsia="宋体" w:cs="宋体"/>
          <w:color w:val="auto"/>
          <w:sz w:val="24"/>
          <w:szCs w:val="24"/>
          <w:highlight w:val="none"/>
          <w:u w:val="single"/>
        </w:rPr>
        <w:t xml:space="preserve">  按合同付款约定执行   </w:t>
      </w:r>
      <w:r>
        <w:rPr>
          <w:rFonts w:hint="eastAsia" w:ascii="宋体" w:hAnsi="宋体" w:eastAsia="宋体" w:cs="宋体"/>
          <w:color w:val="auto"/>
          <w:sz w:val="24"/>
          <w:szCs w:val="24"/>
          <w:highlight w:val="none"/>
        </w:rPr>
        <w:t>。</w:t>
      </w:r>
    </w:p>
    <w:p w14:paraId="4A9CDEC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发包人完成竣工付款的期限：</w:t>
      </w:r>
      <w:r>
        <w:rPr>
          <w:rFonts w:hint="eastAsia" w:ascii="宋体" w:hAnsi="宋体" w:eastAsia="宋体" w:cs="宋体"/>
          <w:color w:val="auto"/>
          <w:sz w:val="24"/>
          <w:szCs w:val="24"/>
          <w:highlight w:val="none"/>
          <w:u w:val="single"/>
        </w:rPr>
        <w:t xml:space="preserve">按合同付款约定执行    </w:t>
      </w:r>
      <w:r>
        <w:rPr>
          <w:rFonts w:hint="eastAsia" w:ascii="宋体" w:hAnsi="宋体" w:eastAsia="宋体" w:cs="宋体"/>
          <w:color w:val="auto"/>
          <w:sz w:val="24"/>
          <w:szCs w:val="24"/>
          <w:highlight w:val="none"/>
        </w:rPr>
        <w:t>。</w:t>
      </w:r>
    </w:p>
    <w:p w14:paraId="6A02692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关于竣工付款证书异议部分复核的方式和程序：</w:t>
      </w:r>
      <w:r>
        <w:rPr>
          <w:rFonts w:hint="eastAsia" w:ascii="宋体" w:hAnsi="宋体" w:eastAsia="宋体" w:cs="宋体"/>
          <w:color w:val="auto"/>
          <w:sz w:val="24"/>
          <w:szCs w:val="24"/>
          <w:highlight w:val="none"/>
          <w:u w:val="single"/>
        </w:rPr>
        <w:t xml:space="preserve"> 发包方支付工程款必须进入本合同约定账户     </w:t>
      </w:r>
      <w:r>
        <w:rPr>
          <w:rFonts w:hint="eastAsia" w:ascii="宋体" w:hAnsi="宋体" w:eastAsia="宋体" w:cs="宋体"/>
          <w:color w:val="auto"/>
          <w:sz w:val="24"/>
          <w:szCs w:val="24"/>
          <w:highlight w:val="none"/>
        </w:rPr>
        <w:t>。</w:t>
      </w:r>
    </w:p>
    <w:p w14:paraId="208C845C">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 最终结清</w:t>
      </w:r>
    </w:p>
    <w:p w14:paraId="3057ED1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14.4.1 最终结清申请单</w:t>
      </w:r>
    </w:p>
    <w:p w14:paraId="061CC64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承包人提交最终结清申请单的份数：</w:t>
      </w:r>
      <w:r>
        <w:rPr>
          <w:rFonts w:hint="eastAsia" w:ascii="宋体" w:hAnsi="宋体" w:eastAsia="宋体" w:cs="宋体"/>
          <w:color w:val="auto"/>
          <w:sz w:val="24"/>
          <w:szCs w:val="24"/>
          <w:highlight w:val="none"/>
          <w:u w:val="single"/>
        </w:rPr>
        <w:t xml:space="preserve">     肆份        </w:t>
      </w:r>
      <w:r>
        <w:rPr>
          <w:rFonts w:hint="eastAsia" w:ascii="宋体" w:hAnsi="宋体" w:eastAsia="宋体" w:cs="宋体"/>
          <w:color w:val="auto"/>
          <w:sz w:val="24"/>
          <w:szCs w:val="24"/>
          <w:highlight w:val="none"/>
        </w:rPr>
        <w:t>。</w:t>
      </w:r>
    </w:p>
    <w:p w14:paraId="34DDAF6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承包人提交最终结算申请单的期限：</w:t>
      </w:r>
      <w:r>
        <w:rPr>
          <w:rFonts w:hint="eastAsia" w:ascii="宋体" w:hAnsi="宋体" w:eastAsia="宋体" w:cs="宋体"/>
          <w:color w:val="auto"/>
          <w:sz w:val="24"/>
          <w:szCs w:val="24"/>
          <w:highlight w:val="none"/>
          <w:u w:val="single"/>
        </w:rPr>
        <w:t xml:space="preserve">  缺陷责任期终止证书颁发后7天内    </w:t>
      </w:r>
      <w:r>
        <w:rPr>
          <w:rFonts w:hint="eastAsia" w:ascii="宋体" w:hAnsi="宋体" w:eastAsia="宋体" w:cs="宋体"/>
          <w:color w:val="auto"/>
          <w:sz w:val="24"/>
          <w:szCs w:val="24"/>
          <w:highlight w:val="none"/>
        </w:rPr>
        <w:t xml:space="preserve">。 </w:t>
      </w:r>
    </w:p>
    <w:p w14:paraId="2031A1BE">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14.4.2 最终结清证书和支付</w:t>
      </w:r>
    </w:p>
    <w:p w14:paraId="2591982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（1）发包人完成最终结清申请单的审批并颁发最终结清证书的期限：</w:t>
      </w:r>
      <w:r>
        <w:rPr>
          <w:rFonts w:hint="eastAsia" w:ascii="宋体" w:hAnsi="宋体" w:eastAsia="宋体" w:cs="宋体"/>
          <w:color w:val="auto"/>
          <w:sz w:val="24"/>
          <w:szCs w:val="24"/>
          <w:highlight w:val="none"/>
          <w:u w:val="single"/>
        </w:rPr>
        <w:t xml:space="preserve">  收到最终结算申请单后14天内        </w:t>
      </w:r>
      <w:r>
        <w:rPr>
          <w:rFonts w:hint="eastAsia" w:ascii="宋体" w:hAnsi="宋体" w:eastAsia="宋体" w:cs="宋体"/>
          <w:color w:val="auto"/>
          <w:sz w:val="24"/>
          <w:szCs w:val="24"/>
          <w:highlight w:val="none"/>
        </w:rPr>
        <w:t>。</w:t>
      </w:r>
    </w:p>
    <w:p w14:paraId="33DD59F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（2）发包人完成支付的期限：</w:t>
      </w:r>
      <w:r>
        <w:rPr>
          <w:rFonts w:hint="eastAsia" w:ascii="宋体" w:hAnsi="宋体" w:eastAsia="宋体" w:cs="宋体"/>
          <w:color w:val="auto"/>
          <w:sz w:val="24"/>
          <w:szCs w:val="24"/>
          <w:highlight w:val="none"/>
          <w:u w:val="single"/>
        </w:rPr>
        <w:t xml:space="preserve"> 执行合同通用条款   </w:t>
      </w:r>
      <w:r>
        <w:rPr>
          <w:rFonts w:hint="eastAsia" w:ascii="宋体" w:hAnsi="宋体" w:eastAsia="宋体" w:cs="宋体"/>
          <w:color w:val="auto"/>
          <w:sz w:val="24"/>
          <w:szCs w:val="24"/>
          <w:highlight w:val="none"/>
        </w:rPr>
        <w:t>。</w:t>
      </w:r>
    </w:p>
    <w:bookmarkEnd w:id="466"/>
    <w:bookmarkEnd w:id="467"/>
    <w:bookmarkEnd w:id="468"/>
    <w:bookmarkEnd w:id="469"/>
    <w:bookmarkEnd w:id="470"/>
    <w:bookmarkEnd w:id="471"/>
    <w:bookmarkEnd w:id="472"/>
    <w:bookmarkEnd w:id="478"/>
    <w:p w14:paraId="640751FD">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480" w:name="_Toc351203647"/>
      <w:bookmarkStart w:id="481" w:name="_Toc267251483"/>
      <w:bookmarkStart w:id="482" w:name="_Toc267251484"/>
      <w:bookmarkStart w:id="483" w:name="_Toc267251482"/>
      <w:bookmarkStart w:id="484" w:name="_Toc267251485"/>
      <w:bookmarkStart w:id="485" w:name="_Toc267251489"/>
      <w:bookmarkStart w:id="486" w:name="_Toc267251486"/>
      <w:bookmarkStart w:id="487" w:name="_Toc267251490"/>
      <w:bookmarkStart w:id="488" w:name="_Toc267251488"/>
      <w:bookmarkStart w:id="489" w:name="_Toc267251493"/>
      <w:bookmarkStart w:id="490" w:name="_Toc267251499"/>
      <w:bookmarkStart w:id="491" w:name="_Toc267251495"/>
      <w:bookmarkStart w:id="492" w:name="_Toc267251498"/>
      <w:bookmarkStart w:id="493" w:name="_Toc267251496"/>
      <w:bookmarkStart w:id="494" w:name="_Toc267251491"/>
      <w:bookmarkStart w:id="495" w:name="_Toc267251492"/>
      <w:bookmarkStart w:id="496" w:name="_Toc267251494"/>
      <w:bookmarkStart w:id="497" w:name="_Toc267251497"/>
      <w:bookmarkStart w:id="498" w:name="_Toc267251503"/>
      <w:bookmarkStart w:id="499" w:name="_Toc267251501"/>
      <w:bookmarkStart w:id="500" w:name="_Toc267251502"/>
      <w:bookmarkStart w:id="501" w:name="_Toc267251504"/>
      <w:bookmarkStart w:id="502" w:name="_Toc267251506"/>
      <w:bookmarkStart w:id="503" w:name="_Toc267251507"/>
      <w:bookmarkStart w:id="504" w:name="_Toc267251508"/>
      <w:bookmarkStart w:id="505" w:name="_Toc267251515"/>
      <w:bookmarkStart w:id="506" w:name="_Toc267251509"/>
      <w:bookmarkStart w:id="507" w:name="_Toc267251514"/>
      <w:bookmarkStart w:id="508" w:name="_Toc267251513"/>
      <w:bookmarkStart w:id="509" w:name="_Toc267251511"/>
      <w:bookmarkStart w:id="510" w:name="_Toc267251510"/>
      <w:r>
        <w:rPr>
          <w:rFonts w:hint="eastAsia" w:ascii="宋体" w:hAnsi="宋体" w:eastAsia="宋体" w:cs="宋体"/>
          <w:b w:val="0"/>
          <w:color w:val="auto"/>
          <w:sz w:val="24"/>
          <w:szCs w:val="24"/>
          <w:highlight w:val="none"/>
        </w:rPr>
        <w:t>15. 缺陷责任期与保修</w:t>
      </w:r>
      <w:bookmarkEnd w:id="480"/>
    </w:p>
    <w:p w14:paraId="0B820B22">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15.2缺陷责任期</w:t>
      </w:r>
      <w:bookmarkEnd w:id="481"/>
    </w:p>
    <w:p w14:paraId="5990EA9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缺陷责任期的具体期限：</w:t>
      </w:r>
      <w:r>
        <w:rPr>
          <w:rFonts w:hint="eastAsia" w:ascii="宋体" w:hAnsi="宋体" w:eastAsia="宋体" w:cs="宋体"/>
          <w:color w:val="auto"/>
          <w:sz w:val="24"/>
          <w:szCs w:val="24"/>
          <w:highlight w:val="none"/>
          <w:u w:val="single"/>
        </w:rPr>
        <w:t xml:space="preserve">  自实际竣工日期起计算为12个月    </w:t>
      </w:r>
      <w:r>
        <w:rPr>
          <w:rFonts w:hint="eastAsia" w:ascii="宋体" w:hAnsi="宋体" w:eastAsia="宋体" w:cs="宋体"/>
          <w:color w:val="auto"/>
          <w:sz w:val="24"/>
          <w:szCs w:val="24"/>
          <w:highlight w:val="none"/>
        </w:rPr>
        <w:t>。</w:t>
      </w:r>
    </w:p>
    <w:p w14:paraId="5967352F">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质量保证金</w:t>
      </w:r>
    </w:p>
    <w:p w14:paraId="1F56F889">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关于是否扣留质量保证金的约定：</w:t>
      </w:r>
      <w:r>
        <w:rPr>
          <w:rFonts w:hint="eastAsia" w:ascii="宋体" w:hAnsi="宋体" w:eastAsia="宋体" w:cs="宋体"/>
          <w:color w:val="auto"/>
          <w:sz w:val="24"/>
          <w:szCs w:val="24"/>
          <w:highlight w:val="none"/>
          <w:u w:val="single"/>
        </w:rPr>
        <w:t xml:space="preserve">         扣留          </w:t>
      </w:r>
      <w:r>
        <w:rPr>
          <w:rFonts w:hint="eastAsia" w:ascii="宋体" w:hAnsi="宋体" w:eastAsia="宋体" w:cs="宋体"/>
          <w:color w:val="auto"/>
          <w:sz w:val="24"/>
          <w:szCs w:val="24"/>
          <w:highlight w:val="none"/>
        </w:rPr>
        <w:t>。</w:t>
      </w:r>
    </w:p>
    <w:p w14:paraId="02BD1CF6">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15.3.1 承包人提供质量保证金的方式</w:t>
      </w:r>
    </w:p>
    <w:p w14:paraId="051129C3">
      <w:pPr>
        <w:keepNext w:val="0"/>
        <w:keepLines w:val="0"/>
        <w:pageBreakBefore w:val="0"/>
        <w:widowControl/>
        <w:kinsoku/>
        <w:wordWrap/>
        <w:overflowPunct/>
        <w:topLinePunct w:val="0"/>
        <w:bidi w:val="0"/>
        <w:snapToGrid/>
        <w:spacing w:line="340" w:lineRule="exact"/>
        <w:ind w:firstLine="480" w:firstLineChars="200"/>
        <w:jc w:val="left"/>
        <w:textAlignment w:val="auto"/>
        <w:rPr>
          <w:rFonts w:hint="eastAsia" w:ascii="宋体" w:hAnsi="宋体"/>
          <w:color w:val="auto"/>
          <w:kern w:val="0"/>
          <w:sz w:val="24"/>
          <w:szCs w:val="20"/>
          <w:lang w:val="en-US" w:eastAsia="zh-CN" w:bidi="ar-SA"/>
        </w:rPr>
      </w:pPr>
      <w:r>
        <w:rPr>
          <w:rFonts w:hint="eastAsia" w:ascii="宋体" w:hAnsi="宋体"/>
          <w:color w:val="auto"/>
          <w:kern w:val="0"/>
          <w:sz w:val="24"/>
          <w:szCs w:val="20"/>
          <w:lang w:val="en-US" w:eastAsia="zh-CN" w:bidi="ar-SA"/>
        </w:rPr>
        <w:t xml:space="preserve">质量保证金采用以下第 </w:t>
      </w:r>
      <w:r>
        <w:rPr>
          <w:rFonts w:hint="eastAsia" w:ascii="宋体" w:hAnsi="宋体"/>
          <w:b/>
          <w:bCs/>
          <w:color w:val="auto"/>
          <w:kern w:val="0"/>
          <w:sz w:val="24"/>
          <w:szCs w:val="20"/>
          <w:u w:val="single"/>
          <w:lang w:val="en-US" w:eastAsia="zh-CN" w:bidi="ar-SA"/>
        </w:rPr>
        <w:t xml:space="preserve">3 </w:t>
      </w:r>
      <w:r>
        <w:rPr>
          <w:rFonts w:hint="eastAsia" w:ascii="宋体" w:hAnsi="宋体"/>
          <w:color w:val="auto"/>
          <w:kern w:val="0"/>
          <w:sz w:val="24"/>
          <w:szCs w:val="20"/>
          <w:lang w:val="en-US" w:eastAsia="zh-CN" w:bidi="ar-SA"/>
        </w:rPr>
        <w:t>种方式：</w:t>
      </w:r>
    </w:p>
    <w:p w14:paraId="0515167F">
      <w:pPr>
        <w:keepNext w:val="0"/>
        <w:keepLines w:val="0"/>
        <w:pageBreakBefore w:val="0"/>
        <w:widowControl/>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color w:val="auto"/>
          <w:kern w:val="0"/>
          <w:sz w:val="24"/>
          <w:szCs w:val="20"/>
          <w:lang w:val="en-US" w:eastAsia="zh-CN" w:bidi="ar-SA"/>
        </w:rPr>
      </w:pPr>
      <w:r>
        <w:rPr>
          <w:rFonts w:hint="eastAsia" w:ascii="宋体" w:hAnsi="宋体"/>
          <w:color w:val="auto"/>
          <w:kern w:val="0"/>
          <w:sz w:val="24"/>
          <w:szCs w:val="20"/>
          <w:lang w:val="en-US" w:eastAsia="zh-CN" w:bidi="ar-SA"/>
        </w:rPr>
        <w:t>（1）质量保证金保函，保证金额为：</w:t>
      </w:r>
      <w:r>
        <w:rPr>
          <w:rFonts w:hint="eastAsia" w:ascii="宋体" w:hAnsi="宋体"/>
          <w:color w:val="auto"/>
          <w:kern w:val="0"/>
          <w:sz w:val="24"/>
          <w:szCs w:val="20"/>
          <w:u w:val="single"/>
          <w:lang w:val="en-US" w:eastAsia="zh-CN" w:bidi="ar-SA"/>
        </w:rPr>
        <w:t xml:space="preserve">无 </w:t>
      </w:r>
      <w:r>
        <w:rPr>
          <w:rFonts w:hint="eastAsia" w:ascii="宋体" w:hAnsi="宋体"/>
          <w:color w:val="auto"/>
          <w:kern w:val="0"/>
          <w:sz w:val="24"/>
          <w:szCs w:val="20"/>
          <w:lang w:val="en-US" w:eastAsia="zh-CN" w:bidi="ar-SA"/>
        </w:rPr>
        <w:t xml:space="preserve">； </w:t>
      </w:r>
    </w:p>
    <w:p w14:paraId="7FB86B8E">
      <w:pPr>
        <w:keepNext w:val="0"/>
        <w:keepLines w:val="0"/>
        <w:pageBreakBefore w:val="0"/>
        <w:widowControl/>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color w:val="auto"/>
          <w:kern w:val="0"/>
          <w:sz w:val="24"/>
          <w:szCs w:val="20"/>
          <w:lang w:val="en-US" w:eastAsia="zh-CN" w:bidi="ar-SA"/>
        </w:rPr>
      </w:pPr>
      <w:r>
        <w:rPr>
          <w:rFonts w:hint="eastAsia" w:ascii="宋体" w:hAnsi="宋体"/>
          <w:color w:val="auto"/>
          <w:kern w:val="0"/>
          <w:sz w:val="24"/>
          <w:szCs w:val="20"/>
          <w:lang w:val="en-US" w:eastAsia="zh-CN" w:bidi="ar-SA"/>
        </w:rPr>
        <w:t>（2）</w:t>
      </w:r>
      <w:r>
        <w:rPr>
          <w:rFonts w:hint="eastAsia" w:ascii="宋体" w:hAnsi="宋体"/>
          <w:color w:val="auto"/>
          <w:kern w:val="0"/>
          <w:sz w:val="24"/>
          <w:szCs w:val="20"/>
          <w:u w:val="single"/>
          <w:lang w:val="en-US" w:eastAsia="zh-CN" w:bidi="ar-SA"/>
        </w:rPr>
        <w:t xml:space="preserve">      </w:t>
      </w:r>
      <w:r>
        <w:rPr>
          <w:rFonts w:hint="eastAsia" w:ascii="宋体" w:hAnsi="宋体"/>
          <w:color w:val="auto"/>
          <w:kern w:val="0"/>
          <w:sz w:val="24"/>
          <w:szCs w:val="20"/>
          <w:lang w:val="en-US" w:eastAsia="zh-CN" w:bidi="ar-SA"/>
        </w:rPr>
        <w:t xml:space="preserve"> %的工程款；</w:t>
      </w:r>
    </w:p>
    <w:p w14:paraId="21FCFF42">
      <w:pPr>
        <w:keepNext w:val="0"/>
        <w:keepLines w:val="0"/>
        <w:pageBreakBefore w:val="0"/>
        <w:widowControl/>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color w:val="auto"/>
          <w:kern w:val="0"/>
          <w:sz w:val="24"/>
          <w:szCs w:val="20"/>
          <w:lang w:val="en-US" w:eastAsia="zh-CN" w:bidi="ar-SA"/>
        </w:rPr>
      </w:pPr>
      <w:r>
        <w:rPr>
          <w:rFonts w:hint="eastAsia" w:ascii="宋体" w:hAnsi="宋体"/>
          <w:color w:val="auto"/>
          <w:kern w:val="0"/>
          <w:sz w:val="24"/>
          <w:szCs w:val="20"/>
          <w:lang w:val="en-US" w:eastAsia="zh-CN" w:bidi="ar-SA"/>
        </w:rPr>
        <w:t>（3）其他方式:</w:t>
      </w:r>
      <w:r>
        <w:rPr>
          <w:rFonts w:hint="eastAsia" w:ascii="宋体" w:hAnsi="宋体"/>
          <w:color w:val="auto"/>
          <w:kern w:val="0"/>
          <w:sz w:val="24"/>
          <w:szCs w:val="20"/>
          <w:u w:val="single"/>
          <w:lang w:val="en-US" w:eastAsia="zh-CN" w:bidi="ar-SA"/>
        </w:rPr>
        <w:t xml:space="preserve"> 工程结算总造价的3%  </w:t>
      </w:r>
      <w:r>
        <w:rPr>
          <w:rFonts w:hint="eastAsia" w:ascii="宋体" w:hAnsi="宋体"/>
          <w:color w:val="auto"/>
          <w:kern w:val="0"/>
          <w:sz w:val="24"/>
          <w:szCs w:val="20"/>
          <w:lang w:val="en-US" w:eastAsia="zh-CN" w:bidi="ar-SA"/>
        </w:rPr>
        <w:t>。</w:t>
      </w:r>
    </w:p>
    <w:p w14:paraId="5782C45D">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15.3.2 质量保证金的扣留 </w:t>
      </w:r>
    </w:p>
    <w:p w14:paraId="69940C5E">
      <w:pPr>
        <w:keepNext w:val="0"/>
        <w:keepLines w:val="0"/>
        <w:pageBreakBefore w:val="0"/>
        <w:widowControl/>
        <w:kinsoku/>
        <w:wordWrap/>
        <w:overflowPunct/>
        <w:topLinePunct w:val="0"/>
        <w:bidi w:val="0"/>
        <w:snapToGrid/>
        <w:spacing w:line="340" w:lineRule="exact"/>
        <w:ind w:firstLine="480" w:firstLineChars="200"/>
        <w:jc w:val="left"/>
        <w:textAlignment w:val="auto"/>
        <w:rPr>
          <w:rFonts w:hint="eastAsia" w:ascii="宋体" w:hAnsi="宋体"/>
          <w:color w:val="auto"/>
          <w:kern w:val="0"/>
          <w:sz w:val="24"/>
          <w:szCs w:val="20"/>
          <w:lang w:val="en-US" w:eastAsia="zh-CN" w:bidi="ar-SA"/>
        </w:rPr>
      </w:pPr>
      <w:r>
        <w:rPr>
          <w:rFonts w:hint="eastAsia" w:ascii="宋体" w:hAnsi="宋体"/>
          <w:color w:val="auto"/>
          <w:kern w:val="0"/>
          <w:sz w:val="24"/>
          <w:szCs w:val="20"/>
          <w:lang w:val="en-US" w:eastAsia="zh-CN" w:bidi="ar-SA"/>
        </w:rPr>
        <w:t>质量保证金的扣留采取以下第</w:t>
      </w:r>
      <w:r>
        <w:rPr>
          <w:rFonts w:hint="eastAsia" w:ascii="宋体" w:hAnsi="宋体"/>
          <w:color w:val="auto"/>
          <w:kern w:val="0"/>
          <w:sz w:val="24"/>
          <w:szCs w:val="20"/>
          <w:u w:val="single"/>
          <w:lang w:val="en-US" w:eastAsia="zh-CN" w:bidi="ar-SA"/>
        </w:rPr>
        <w:t xml:space="preserve"> </w:t>
      </w:r>
      <w:r>
        <w:rPr>
          <w:rFonts w:hint="eastAsia"/>
          <w:color w:val="auto"/>
          <w:kern w:val="0"/>
          <w:sz w:val="24"/>
          <w:szCs w:val="20"/>
          <w:u w:val="single"/>
          <w:lang w:val="en-US" w:eastAsia="zh-CN" w:bidi="ar-SA"/>
        </w:rPr>
        <w:t>3</w:t>
      </w:r>
      <w:r>
        <w:rPr>
          <w:rFonts w:hint="eastAsia" w:ascii="宋体" w:hAnsi="宋体"/>
          <w:color w:val="auto"/>
          <w:kern w:val="0"/>
          <w:sz w:val="24"/>
          <w:szCs w:val="20"/>
          <w:u w:val="single"/>
          <w:lang w:val="en-US" w:eastAsia="zh-CN" w:bidi="ar-SA"/>
        </w:rPr>
        <w:t xml:space="preserve"> </w:t>
      </w:r>
      <w:r>
        <w:rPr>
          <w:rFonts w:hint="eastAsia" w:ascii="宋体" w:hAnsi="宋体"/>
          <w:color w:val="auto"/>
          <w:kern w:val="0"/>
          <w:sz w:val="24"/>
          <w:szCs w:val="20"/>
          <w:lang w:val="en-US" w:eastAsia="zh-CN" w:bidi="ar-SA"/>
        </w:rPr>
        <w:t>种方式：</w:t>
      </w:r>
    </w:p>
    <w:p w14:paraId="383EE8E1">
      <w:pPr>
        <w:keepNext w:val="0"/>
        <w:keepLines w:val="0"/>
        <w:pageBreakBefore w:val="0"/>
        <w:widowControl/>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color w:val="auto"/>
          <w:kern w:val="0"/>
          <w:sz w:val="24"/>
          <w:szCs w:val="20"/>
          <w:lang w:val="en-US" w:eastAsia="zh-CN" w:bidi="ar-SA"/>
        </w:rPr>
      </w:pPr>
      <w:r>
        <w:rPr>
          <w:rFonts w:hint="eastAsia" w:ascii="宋体" w:hAnsi="宋体"/>
          <w:color w:val="auto"/>
          <w:kern w:val="0"/>
          <w:sz w:val="24"/>
          <w:szCs w:val="20"/>
          <w:lang w:val="en-US" w:eastAsia="zh-CN" w:bidi="ar-SA"/>
        </w:rPr>
        <w:t>（1）在支付工程进度款时逐次扣留，在此情形下，质量保证金的计算基数不包括预付款的支付、扣回以及价格调整的金额；</w:t>
      </w:r>
    </w:p>
    <w:p w14:paraId="7EF60A0E">
      <w:pPr>
        <w:keepNext w:val="0"/>
        <w:keepLines w:val="0"/>
        <w:pageBreakBefore w:val="0"/>
        <w:widowControl/>
        <w:kinsoku/>
        <w:wordWrap/>
        <w:overflowPunct/>
        <w:topLinePunct w:val="0"/>
        <w:autoSpaceDE w:val="0"/>
        <w:autoSpaceDN w:val="0"/>
        <w:bidi w:val="0"/>
        <w:adjustRightInd w:val="0"/>
        <w:snapToGrid/>
        <w:spacing w:line="340" w:lineRule="exact"/>
        <w:ind w:firstLine="480" w:firstLineChars="200"/>
        <w:jc w:val="left"/>
        <w:textAlignment w:val="auto"/>
        <w:outlineLvl w:val="0"/>
        <w:rPr>
          <w:rFonts w:hint="eastAsia" w:ascii="宋体" w:hAnsi="宋体"/>
          <w:color w:val="auto"/>
          <w:kern w:val="0"/>
          <w:sz w:val="24"/>
          <w:szCs w:val="20"/>
          <w:lang w:val="en-US" w:eastAsia="zh-CN" w:bidi="ar-SA"/>
        </w:rPr>
      </w:pPr>
      <w:r>
        <w:rPr>
          <w:rFonts w:hint="eastAsia" w:ascii="宋体" w:hAnsi="宋体"/>
          <w:color w:val="auto"/>
          <w:kern w:val="0"/>
          <w:sz w:val="24"/>
          <w:szCs w:val="20"/>
          <w:lang w:val="en-US" w:eastAsia="zh-CN" w:bidi="ar-SA"/>
        </w:rPr>
        <w:t>（2）工程竣工结算时一次性扣留质量保证金；</w:t>
      </w:r>
    </w:p>
    <w:p w14:paraId="0EF9B451">
      <w:pPr>
        <w:keepNext w:val="0"/>
        <w:keepLines w:val="0"/>
        <w:pageBreakBefore w:val="0"/>
        <w:widowControl/>
        <w:suppressLineNumbers w:val="0"/>
        <w:kinsoku/>
        <w:wordWrap w:val="0"/>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0"/>
          <w:u w:val="single"/>
          <w:lang w:val="zh-CN" w:eastAsia="zh-CN" w:bidi="zh-CN"/>
        </w:rPr>
      </w:pPr>
      <w:r>
        <w:rPr>
          <w:rFonts w:hint="eastAsia" w:ascii="宋体" w:hAnsi="宋体"/>
          <w:color w:val="auto"/>
          <w:kern w:val="0"/>
          <w:sz w:val="24"/>
          <w:szCs w:val="20"/>
          <w:lang w:val="en-US" w:eastAsia="zh-CN" w:bidi="ar-SA"/>
        </w:rPr>
        <w:t>（3）其他扣留方式:</w:t>
      </w:r>
      <w:r>
        <w:rPr>
          <w:rFonts w:hint="eastAsia" w:ascii="宋体" w:hAnsi="宋体"/>
          <w:color w:val="auto"/>
          <w:kern w:val="0"/>
          <w:sz w:val="24"/>
          <w:szCs w:val="20"/>
          <w:u w:val="single"/>
          <w:lang w:val="en-US" w:eastAsia="zh-CN" w:bidi="ar-SA"/>
        </w:rPr>
        <w:t xml:space="preserve"> </w:t>
      </w:r>
      <w:r>
        <w:rPr>
          <w:rFonts w:hint="eastAsia" w:ascii="宋体" w:hAnsi="宋体" w:eastAsia="宋体" w:cs="宋体"/>
          <w:color w:val="auto"/>
          <w:sz w:val="24"/>
          <w:szCs w:val="24"/>
          <w:highlight w:val="none"/>
          <w:u w:val="single"/>
        </w:rPr>
        <w:t>预留3%作为质量保证金（质保期一年，接受担保机构的保函、保险机构的保单等其他非现金交易担保方式)，质保期满项目承包方提请返还保证金申请，经双方验收无误并签署一致意见后一次性结清。</w:t>
      </w:r>
    </w:p>
    <w:p w14:paraId="32B53CB6">
      <w:pPr>
        <w:keepNext w:val="0"/>
        <w:keepLines w:val="0"/>
        <w:pageBreakBefore w:val="0"/>
        <w:widowControl/>
        <w:kinsoku/>
        <w:wordWrap/>
        <w:overflowPunct/>
        <w:topLinePunct w:val="0"/>
        <w:bidi w:val="0"/>
        <w:snapToGrid/>
        <w:spacing w:line="340" w:lineRule="exact"/>
        <w:jc w:val="left"/>
        <w:textAlignment w:val="auto"/>
        <w:rPr>
          <w:rFonts w:hint="eastAsia" w:ascii="宋体" w:hAnsi="宋体"/>
          <w:color w:val="auto"/>
          <w:kern w:val="0"/>
          <w:sz w:val="24"/>
          <w:szCs w:val="20"/>
          <w:lang w:val="en-US" w:eastAsia="zh-CN" w:bidi="ar-SA"/>
        </w:rPr>
      </w:pPr>
      <w:r>
        <w:rPr>
          <w:rFonts w:hint="eastAsia" w:ascii="宋体" w:hAnsi="宋体"/>
          <w:color w:val="auto"/>
          <w:kern w:val="0"/>
          <w:sz w:val="24"/>
          <w:szCs w:val="20"/>
          <w:lang w:val="en-US" w:eastAsia="zh-CN" w:bidi="ar-SA"/>
        </w:rPr>
        <w:t>关于质量保证金的补充约定：</w:t>
      </w:r>
      <w:r>
        <w:rPr>
          <w:rFonts w:hint="eastAsia" w:ascii="宋体" w:hAnsi="宋体"/>
          <w:color w:val="auto"/>
          <w:kern w:val="0"/>
          <w:sz w:val="24"/>
          <w:szCs w:val="20"/>
          <w:u w:val="single"/>
          <w:lang w:val="en-US" w:eastAsia="zh-CN" w:bidi="ar-SA"/>
        </w:rPr>
        <w:t>保修期满后28日内，扣除发包人代为维修发生的费用后，一次性无息支付给承包人。</w:t>
      </w:r>
    </w:p>
    <w:bookmarkEnd w:id="482"/>
    <w:bookmarkEnd w:id="483"/>
    <w:p w14:paraId="757E01FD">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15.4保修</w:t>
      </w:r>
    </w:p>
    <w:bookmarkEnd w:id="484"/>
    <w:p w14:paraId="1F0A9F92">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15.4.1 保修责任</w:t>
      </w:r>
    </w:p>
    <w:p w14:paraId="053BA32A">
      <w:pPr>
        <w:keepNext w:val="0"/>
        <w:keepLines w:val="0"/>
        <w:pageBreakBefore w:val="0"/>
        <w:widowControl w:val="0"/>
        <w:kinsoku/>
        <w:wordWrap/>
        <w:overflowPunct/>
        <w:topLinePunct w:val="0"/>
        <w:autoSpaceDE w:val="0"/>
        <w:autoSpaceDN w:val="0"/>
        <w:bidi w:val="0"/>
        <w:snapToGrid/>
        <w:spacing w:line="340" w:lineRule="exact"/>
        <w:ind w:firstLine="468" w:firstLineChars="195"/>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工程保修期为：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见工程质量保修书</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8891393">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15.4.3 修复通知</w:t>
      </w:r>
    </w:p>
    <w:p w14:paraId="772889E9">
      <w:pPr>
        <w:keepNext w:val="0"/>
        <w:keepLines w:val="0"/>
        <w:pageBreakBefore w:val="0"/>
        <w:widowControl w:val="0"/>
        <w:kinsoku/>
        <w:wordWrap/>
        <w:overflowPunct/>
        <w:topLinePunct w:val="0"/>
        <w:autoSpaceDE w:val="0"/>
        <w:autoSpaceDN w:val="0"/>
        <w:bidi w:val="0"/>
        <w:snapToGrid/>
        <w:spacing w:line="340" w:lineRule="exact"/>
        <w:ind w:firstLine="468" w:firstLineChars="195"/>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承包人收到保修通知并到达工程现场的合理时间：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 xml:space="preserve">24小时内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bookmarkEnd w:id="485"/>
    <w:bookmarkEnd w:id="486"/>
    <w:bookmarkEnd w:id="487"/>
    <w:bookmarkEnd w:id="488"/>
    <w:p w14:paraId="3C68A927">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511" w:name="_Toc351203648"/>
      <w:bookmarkStart w:id="512" w:name="_Toc280868717"/>
      <w:bookmarkStart w:id="513" w:name="_Toc280868718"/>
      <w:r>
        <w:rPr>
          <w:rFonts w:hint="eastAsia" w:ascii="宋体" w:hAnsi="宋体" w:eastAsia="宋体" w:cs="宋体"/>
          <w:b w:val="0"/>
          <w:color w:val="auto"/>
          <w:sz w:val="24"/>
          <w:szCs w:val="24"/>
          <w:highlight w:val="none"/>
        </w:rPr>
        <w:t>16. 违约</w:t>
      </w:r>
      <w:bookmarkEnd w:id="511"/>
    </w:p>
    <w:p w14:paraId="232FF1E7">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发包人违约</w:t>
      </w:r>
    </w:p>
    <w:p w14:paraId="22632F7E">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16.1.1发包人违约的情形</w:t>
      </w:r>
    </w:p>
    <w:p w14:paraId="1D5D705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发包人违约的其他情形：</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2172B25B">
      <w:pPr>
        <w:keepNext w:val="0"/>
        <w:keepLines w:val="0"/>
        <w:pageBreakBefore w:val="0"/>
        <w:widowControl w:val="0"/>
        <w:kinsoku/>
        <w:wordWrap/>
        <w:overflowPunct/>
        <w:topLinePunct w:val="0"/>
        <w:autoSpaceDE w:val="0"/>
        <w:autoSpaceDN w:val="0"/>
        <w:bidi w:val="0"/>
        <w:snapToGrid/>
        <w:spacing w:line="340" w:lineRule="exact"/>
        <w:ind w:left="1050" w:hanging="1200" w:hangingChars="5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16.1.2 发包人违约的责任</w:t>
      </w:r>
    </w:p>
    <w:p w14:paraId="35269A1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发包人违约责任的承担方式和计算方法：</w:t>
      </w:r>
    </w:p>
    <w:p w14:paraId="635F96E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（1）因发包人原因未能在计划开工日期前7天内下达开工通知的违约责任：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6D5A18D">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（2）因发包人原因未能按合同约定支付合同价款的违约责任：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0128053">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（3）发包人违反第10.1款〔变更的范围〕第（2）项约定，自行实施被取消的工作或转由他人实施的违约责任：</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00FF10A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7769720">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（5）因发包人违反合同约定造成暂停施工的违约责任：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511BB296">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（6）发包人无正当理由没有在约定期限内发出复工指示，导致承包人无法复工的违约责任：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274547A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（7）其他：</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20F7221">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16.1.3 因发包人违约解除合同</w:t>
      </w:r>
    </w:p>
    <w:p w14:paraId="3CD6C26F">
      <w:pPr>
        <w:keepNext w:val="0"/>
        <w:keepLines w:val="0"/>
        <w:pageBreakBefore w:val="0"/>
        <w:widowControl w:val="0"/>
        <w:kinsoku/>
        <w:wordWrap/>
        <w:overflowPunct/>
        <w:topLinePunct w:val="0"/>
        <w:autoSpaceDE w:val="0"/>
        <w:autoSpaceDN w:val="0"/>
        <w:bidi w:val="0"/>
        <w:adjustRightInd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承包人按16.1.1项〔发包人违约的情形〕约定暂停施工满</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天后发包人仍不纠正其违约行为并致使合同目的不能实现的，承包人有权解除合同。</w:t>
      </w:r>
    </w:p>
    <w:p w14:paraId="5A45A38E">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承包人违约</w:t>
      </w:r>
    </w:p>
    <w:p w14:paraId="42407B6C">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16.2.1 承包人违约的情形</w:t>
      </w:r>
    </w:p>
    <w:p w14:paraId="55EB1DB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承包人违约的其他情形：</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执行合同通用条款</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025DD8F">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16.2.2承包人违约的责任</w:t>
      </w:r>
    </w:p>
    <w:p w14:paraId="448CB48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承包人违约责任的承担方式和计算方法：</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执行合同通用条款</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 xml:space="preserve">    </w:t>
      </w:r>
    </w:p>
    <w:p w14:paraId="76F3C39D">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16.2.3 因承包人违约解除合同</w:t>
      </w:r>
    </w:p>
    <w:p w14:paraId="048A2ACF">
      <w:pPr>
        <w:keepNext w:val="0"/>
        <w:keepLines w:val="0"/>
        <w:pageBreakBefore w:val="0"/>
        <w:widowControl w:val="0"/>
        <w:kinsoku/>
        <w:wordWrap/>
        <w:overflowPunct/>
        <w:topLinePunct w:val="0"/>
        <w:autoSpaceDE w:val="0"/>
        <w:autoSpaceDN w:val="0"/>
        <w:bidi w:val="0"/>
        <w:snapToGrid/>
        <w:spacing w:before="120" w:after="120"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关于承包人违约解除合同的特别约定：</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 xml:space="preserve"> 执行合同通用条款</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1C3E9E28">
      <w:pPr>
        <w:keepNext w:val="0"/>
        <w:keepLines w:val="0"/>
        <w:pageBreakBefore w:val="0"/>
        <w:widowControl w:val="0"/>
        <w:kinsoku/>
        <w:wordWrap/>
        <w:overflowPunct/>
        <w:topLinePunct w:val="0"/>
        <w:autoSpaceDE w:val="0"/>
        <w:autoSpaceDN w:val="0"/>
        <w:bidi w:val="0"/>
        <w:snapToGrid/>
        <w:spacing w:before="120" w:after="120"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由发包人承担</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5D4B28E">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514" w:name="_Toc351203649"/>
      <w:r>
        <w:rPr>
          <w:rFonts w:hint="eastAsia" w:ascii="宋体" w:hAnsi="宋体" w:eastAsia="宋体" w:cs="宋体"/>
          <w:b w:val="0"/>
          <w:color w:val="auto"/>
          <w:sz w:val="24"/>
          <w:szCs w:val="24"/>
          <w:highlight w:val="none"/>
        </w:rPr>
        <w:t>17. 不可抗力</w:t>
      </w:r>
      <w:bookmarkEnd w:id="514"/>
      <w:r>
        <w:rPr>
          <w:rFonts w:hint="eastAsia" w:ascii="宋体" w:hAnsi="宋体" w:eastAsia="宋体" w:cs="宋体"/>
          <w:b w:val="0"/>
          <w:color w:val="auto"/>
          <w:sz w:val="24"/>
          <w:szCs w:val="24"/>
          <w:highlight w:val="none"/>
        </w:rPr>
        <w:t xml:space="preserve"> </w:t>
      </w:r>
      <w:bookmarkEnd w:id="512"/>
    </w:p>
    <w:p w14:paraId="5E537F35">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不可抗力的确认</w:t>
      </w:r>
    </w:p>
    <w:p w14:paraId="3D8B4EFC">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 xml:space="preserve">除通用合同条款约定的不可抗力事件之外，视为不可抗力的其他情形：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2CE6CBA4">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 因不可抗力解除合同</w:t>
      </w:r>
    </w:p>
    <w:p w14:paraId="0614ED61">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合同解除后，发包人应在商定或确定发包人应支付款项后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天内完成款项的支付。</w:t>
      </w:r>
    </w:p>
    <w:p w14:paraId="6B0DBF7C">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515" w:name="_Toc351203650"/>
      <w:r>
        <w:rPr>
          <w:rFonts w:hint="eastAsia" w:ascii="宋体" w:hAnsi="宋体" w:eastAsia="宋体" w:cs="宋体"/>
          <w:b w:val="0"/>
          <w:color w:val="auto"/>
          <w:sz w:val="24"/>
          <w:szCs w:val="24"/>
          <w:highlight w:val="none"/>
        </w:rPr>
        <w:t>18. 保险</w:t>
      </w:r>
      <w:bookmarkEnd w:id="515"/>
    </w:p>
    <w:bookmarkEnd w:id="513"/>
    <w:p w14:paraId="3538A14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工程保险</w:t>
      </w:r>
    </w:p>
    <w:p w14:paraId="4D3C6D00">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关于工程保险的特别约定：</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执行合同通用条款</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6F8493DA">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其他保险</w:t>
      </w:r>
    </w:p>
    <w:p w14:paraId="01FC81A7">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关于其他保险的约定：</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9B91379">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承包人是否应为其施工设备等办理财产保险：</w:t>
      </w:r>
      <w:r>
        <w:rPr>
          <w:rFonts w:hint="eastAsia" w:ascii="宋体" w:hAnsi="宋体" w:eastAsia="宋体" w:cs="宋体"/>
          <w:color w:val="auto"/>
          <w:sz w:val="24"/>
          <w:szCs w:val="24"/>
          <w:highlight w:val="none"/>
          <w:u w:val="single"/>
        </w:rPr>
        <w:t xml:space="preserve">    执行合同通用条款        </w:t>
      </w:r>
      <w:r>
        <w:rPr>
          <w:rFonts w:hint="eastAsia" w:ascii="宋体" w:hAnsi="宋体" w:eastAsia="宋体" w:cs="宋体"/>
          <w:color w:val="auto"/>
          <w:sz w:val="24"/>
          <w:szCs w:val="24"/>
          <w:highlight w:val="none"/>
        </w:rPr>
        <w:t>。</w:t>
      </w:r>
    </w:p>
    <w:p w14:paraId="5D1E2F39">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18.7 通知义务</w:t>
      </w:r>
    </w:p>
    <w:p w14:paraId="550A5A44">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关于变更保险合同时的通知义务的约定：</w:t>
      </w:r>
      <w:r>
        <w:rPr>
          <w:rFonts w:hint="eastAsia" w:ascii="宋体" w:hAnsi="宋体" w:eastAsia="宋体" w:cs="宋体"/>
          <w:color w:val="auto"/>
          <w:sz w:val="24"/>
          <w:szCs w:val="24"/>
          <w:highlight w:val="none"/>
          <w:u w:val="single"/>
        </w:rPr>
        <w:t xml:space="preserve">    执行合同通用条款           </w:t>
      </w:r>
      <w:r>
        <w:rPr>
          <w:rFonts w:hint="eastAsia" w:ascii="宋体" w:hAnsi="宋体" w:eastAsia="宋体" w:cs="宋体"/>
          <w:color w:val="auto"/>
          <w:sz w:val="24"/>
          <w:szCs w:val="24"/>
          <w:highlight w:val="none"/>
        </w:rPr>
        <w:t>。</w:t>
      </w:r>
    </w:p>
    <w:bookmarkEnd w:id="489"/>
    <w:bookmarkEnd w:id="490"/>
    <w:bookmarkEnd w:id="491"/>
    <w:bookmarkEnd w:id="492"/>
    <w:bookmarkEnd w:id="493"/>
    <w:bookmarkEnd w:id="494"/>
    <w:bookmarkEnd w:id="495"/>
    <w:bookmarkEnd w:id="496"/>
    <w:bookmarkEnd w:id="497"/>
    <w:bookmarkEnd w:id="498"/>
    <w:bookmarkEnd w:id="499"/>
    <w:bookmarkEnd w:id="500"/>
    <w:p w14:paraId="3CEF1497">
      <w:pPr>
        <w:pStyle w:val="5"/>
        <w:keepNext w:val="0"/>
        <w:keepLines w:val="0"/>
        <w:pageBreakBefore w:val="0"/>
        <w:widowControl w:val="0"/>
        <w:kinsoku/>
        <w:wordWrap/>
        <w:overflowPunct/>
        <w:topLinePunct w:val="0"/>
        <w:autoSpaceDE w:val="0"/>
        <w:autoSpaceDN w:val="0"/>
        <w:bidi w:val="0"/>
        <w:snapToGrid/>
        <w:spacing w:before="120" w:after="120" w:line="340" w:lineRule="exact"/>
        <w:jc w:val="left"/>
        <w:textAlignment w:val="auto"/>
        <w:rPr>
          <w:rFonts w:hint="eastAsia" w:ascii="宋体" w:hAnsi="宋体" w:eastAsia="宋体" w:cs="宋体"/>
          <w:b w:val="0"/>
          <w:color w:val="auto"/>
          <w:sz w:val="24"/>
          <w:szCs w:val="24"/>
          <w:highlight w:val="none"/>
        </w:rPr>
      </w:pPr>
      <w:bookmarkStart w:id="516" w:name="_Toc351203651"/>
      <w:r>
        <w:rPr>
          <w:rFonts w:hint="eastAsia" w:ascii="宋体" w:hAnsi="宋体" w:eastAsia="宋体" w:cs="宋体"/>
          <w:b w:val="0"/>
          <w:color w:val="auto"/>
          <w:sz w:val="24"/>
          <w:szCs w:val="24"/>
          <w:highlight w:val="none"/>
        </w:rPr>
        <w:t>20. 争议解决</w:t>
      </w:r>
      <w:bookmarkEnd w:id="516"/>
    </w:p>
    <w:bookmarkEnd w:id="501"/>
    <w:bookmarkEnd w:id="502"/>
    <w:p w14:paraId="0317A5AF">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争</w:t>
      </w:r>
      <w:bookmarkEnd w:id="503"/>
      <w:r>
        <w:rPr>
          <w:rFonts w:hint="eastAsia" w:ascii="宋体" w:hAnsi="宋体" w:eastAsia="宋体" w:cs="宋体"/>
          <w:color w:val="auto"/>
          <w:sz w:val="24"/>
          <w:szCs w:val="24"/>
          <w:highlight w:val="none"/>
        </w:rPr>
        <w:t>议评审</w:t>
      </w:r>
    </w:p>
    <w:p w14:paraId="6367D055">
      <w:pPr>
        <w:keepNext w:val="0"/>
        <w:keepLines w:val="0"/>
        <w:pageBreakBefore w:val="0"/>
        <w:widowControl w:val="0"/>
        <w:kinsoku/>
        <w:wordWrap/>
        <w:overflowPunct/>
        <w:topLinePunct w:val="0"/>
        <w:autoSpaceDE w:val="0"/>
        <w:autoSpaceDN w:val="0"/>
        <w:bidi w:val="0"/>
        <w:snapToGrid/>
        <w:spacing w:line="340" w:lineRule="exact"/>
        <w:ind w:left="156" w:leftChars="71"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合同当事人是否同意将工程争议提交争议评审小组决定：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BDBD6CE">
      <w:pPr>
        <w:keepNext w:val="0"/>
        <w:keepLines w:val="0"/>
        <w:pageBreakBefore w:val="0"/>
        <w:widowControl w:val="0"/>
        <w:kinsoku/>
        <w:wordWrap/>
        <w:overflowPunct/>
        <w:topLinePunct w:val="0"/>
        <w:autoSpaceDE w:val="0"/>
        <w:autoSpaceDN w:val="0"/>
        <w:bidi w:val="0"/>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20.3.1 争议评审小组的确定</w:t>
      </w:r>
    </w:p>
    <w:p w14:paraId="2DD550F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争议评审小组成员的确定：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290D51B">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选定争议评审员的期限：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4D6581A">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争议评审小组成员的报酬承担方式：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C9BC345">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其他事项的约定：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2313E25">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20.3.2 争议评审小组的决定</w:t>
      </w:r>
    </w:p>
    <w:p w14:paraId="6915ABF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合同当事人关于本项的约定：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3319211">
      <w:pPr>
        <w:keepNext w:val="0"/>
        <w:keepLines w:val="0"/>
        <w:pageBreakBefore w:val="0"/>
        <w:widowControl w:val="0"/>
        <w:kinsoku/>
        <w:wordWrap/>
        <w:overflowPunct/>
        <w:topLinePunct w:val="0"/>
        <w:autoSpaceDE w:val="0"/>
        <w:autoSpaceDN w:val="0"/>
        <w:bidi w:val="0"/>
        <w:snapToGrid/>
        <w:spacing w:after="120"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20.4仲裁或诉讼</w:t>
      </w:r>
      <w:bookmarkEnd w:id="504"/>
    </w:p>
    <w:p w14:paraId="020E1F70">
      <w:pPr>
        <w:keepNext w:val="0"/>
        <w:keepLines w:val="0"/>
        <w:pageBreakBefore w:val="0"/>
        <w:widowControl w:val="0"/>
        <w:kinsoku/>
        <w:wordWrap/>
        <w:overflowPunct/>
        <w:topLinePunct w:val="0"/>
        <w:autoSpaceDE w:val="0"/>
        <w:autoSpaceDN w:val="0"/>
        <w:bidi w:val="0"/>
        <w:snapToGrid/>
        <w:spacing w:after="120"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因合同及合同有关事项发生的争议，按下列第</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种方式解决：</w:t>
      </w:r>
    </w:p>
    <w:p w14:paraId="0DCDC802">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（1）向</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仲裁委员会申请仲裁；</w:t>
      </w:r>
    </w:p>
    <w:p w14:paraId="787AF1D8">
      <w:pPr>
        <w:keepNext w:val="0"/>
        <w:keepLines w:val="0"/>
        <w:pageBreakBefore w:val="0"/>
        <w:widowControl w:val="0"/>
        <w:kinsoku/>
        <w:wordWrap/>
        <w:overflowPunct/>
        <w:topLinePunct w:val="0"/>
        <w:autoSpaceDE w:val="0"/>
        <w:autoSpaceDN w:val="0"/>
        <w:bidi w:val="0"/>
        <w:snapToGrid/>
        <w:spacing w:line="3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（2）向</w:t>
      </w:r>
      <w:r>
        <w:rPr>
          <w:rFonts w:hint="eastAsia" w:ascii="宋体" w:hAnsi="宋体" w:eastAsia="宋体" w:cs="宋体"/>
          <w:color w:val="auto"/>
          <w:sz w:val="24"/>
          <w:szCs w:val="24"/>
          <w:highlight w:val="none"/>
          <w:u w:val="single"/>
        </w:rPr>
        <w:t xml:space="preserve">       工程所在地      </w:t>
      </w:r>
      <w:r>
        <w:rPr>
          <w:rFonts w:hint="eastAsia" w:ascii="宋体" w:hAnsi="宋体" w:eastAsia="宋体" w:cs="宋体"/>
          <w:color w:val="auto"/>
          <w:sz w:val="24"/>
          <w:szCs w:val="24"/>
          <w:highlight w:val="none"/>
        </w:rPr>
        <w:t>人民法院起诉。</w:t>
      </w:r>
      <w:bookmarkEnd w:id="505"/>
      <w:bookmarkEnd w:id="506"/>
      <w:bookmarkEnd w:id="507"/>
      <w:bookmarkEnd w:id="508"/>
      <w:bookmarkEnd w:id="509"/>
      <w:bookmarkEnd w:id="510"/>
    </w:p>
    <w:p w14:paraId="5F04919A">
      <w:pPr>
        <w:pStyle w:val="2"/>
        <w:keepNext w:val="0"/>
        <w:keepLines w:val="0"/>
        <w:pageBreakBefore w:val="0"/>
        <w:widowControl w:val="0"/>
        <w:numPr>
          <w:ilvl w:val="0"/>
          <w:numId w:val="0"/>
        </w:numPr>
        <w:kinsoku/>
        <w:wordWrap/>
        <w:overflowPunct/>
        <w:topLinePunct w:val="0"/>
        <w:autoSpaceDE w:val="0"/>
        <w:autoSpaceDN w:val="0"/>
        <w:bidi w:val="0"/>
        <w:snapToGrid/>
        <w:spacing w:line="340" w:lineRule="exact"/>
        <w:ind w:right="0" w:rightChars="0" w:firstLine="3012" w:firstLineChars="1000"/>
        <w:jc w:val="both"/>
        <w:textAlignment w:val="auto"/>
        <w:rPr>
          <w:rFonts w:hint="eastAsia" w:ascii="宋体" w:hAnsi="宋体" w:eastAsia="宋体" w:cs="宋体"/>
          <w:color w:val="auto"/>
          <w:sz w:val="30"/>
          <w:szCs w:val="30"/>
          <w:highlight w:val="none"/>
          <w:lang w:val="en-US" w:eastAsia="zh-CN"/>
        </w:rPr>
      </w:pPr>
      <w:bookmarkStart w:id="517" w:name="_Toc495501807"/>
      <w:bookmarkStart w:id="518" w:name="_Toc418164812"/>
    </w:p>
    <w:p w14:paraId="210E6ED9">
      <w:pPr>
        <w:pStyle w:val="2"/>
        <w:keepNext w:val="0"/>
        <w:keepLines w:val="0"/>
        <w:pageBreakBefore w:val="0"/>
        <w:widowControl w:val="0"/>
        <w:numPr>
          <w:ilvl w:val="0"/>
          <w:numId w:val="0"/>
        </w:numPr>
        <w:kinsoku/>
        <w:wordWrap/>
        <w:overflowPunct/>
        <w:topLinePunct w:val="0"/>
        <w:autoSpaceDE w:val="0"/>
        <w:autoSpaceDN w:val="0"/>
        <w:bidi w:val="0"/>
        <w:snapToGrid/>
        <w:spacing w:line="340" w:lineRule="exact"/>
        <w:ind w:right="0" w:rightChars="0" w:firstLine="3012" w:firstLineChars="1000"/>
        <w:jc w:val="both"/>
        <w:textAlignment w:val="auto"/>
        <w:rPr>
          <w:rFonts w:hint="eastAsia" w:ascii="宋体" w:hAnsi="宋体" w:eastAsia="宋体" w:cs="宋体"/>
          <w:color w:val="auto"/>
          <w:sz w:val="30"/>
          <w:szCs w:val="30"/>
          <w:highlight w:val="none"/>
          <w:lang w:val="en-US" w:eastAsia="zh-CN"/>
        </w:rPr>
      </w:pPr>
    </w:p>
    <w:p w14:paraId="42FEFD56">
      <w:pPr>
        <w:pStyle w:val="2"/>
        <w:keepNext w:val="0"/>
        <w:keepLines w:val="0"/>
        <w:pageBreakBefore w:val="0"/>
        <w:widowControl w:val="0"/>
        <w:numPr>
          <w:ilvl w:val="0"/>
          <w:numId w:val="0"/>
        </w:numPr>
        <w:kinsoku/>
        <w:wordWrap/>
        <w:overflowPunct/>
        <w:topLinePunct w:val="0"/>
        <w:autoSpaceDE w:val="0"/>
        <w:autoSpaceDN w:val="0"/>
        <w:bidi w:val="0"/>
        <w:snapToGrid/>
        <w:spacing w:line="340" w:lineRule="exact"/>
        <w:ind w:right="0" w:rightChars="0" w:firstLine="3012" w:firstLineChars="1000"/>
        <w:jc w:val="both"/>
        <w:textAlignment w:val="auto"/>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第三节 合同文件格式</w:t>
      </w:r>
      <w:bookmarkEnd w:id="517"/>
      <w:bookmarkEnd w:id="518"/>
    </w:p>
    <w:p w14:paraId="3A5E8DF6">
      <w:pPr>
        <w:keepNext w:val="0"/>
        <w:keepLines w:val="0"/>
        <w:pageBreakBefore w:val="0"/>
        <w:widowControl w:val="0"/>
        <w:kinsoku/>
        <w:wordWrap/>
        <w:overflowPunct/>
        <w:topLinePunct w:val="0"/>
        <w:autoSpaceDE w:val="0"/>
        <w:autoSpaceDN w:val="0"/>
        <w:bidi w:val="0"/>
        <w:snapToGrid/>
        <w:spacing w:line="3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1.合同文件格式</w:t>
      </w:r>
    </w:p>
    <w:p w14:paraId="44D54D42">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 依据设计文件的要求，本工程</w:t>
      </w:r>
      <w:r>
        <w:rPr>
          <w:rFonts w:hint="eastAsia" w:ascii="宋体" w:hAnsi="宋体" w:eastAsia="宋体" w:cs="宋体"/>
          <w:color w:val="auto"/>
          <w:kern w:val="0"/>
          <w:sz w:val="24"/>
          <w:szCs w:val="24"/>
          <w:highlight w:val="none"/>
          <w:lang w:eastAsia="zh-CN"/>
        </w:rPr>
        <w:t>采购项目</w:t>
      </w:r>
      <w:r>
        <w:rPr>
          <w:rFonts w:hint="eastAsia" w:ascii="宋体" w:hAnsi="宋体" w:eastAsia="宋体" w:cs="宋体"/>
          <w:color w:val="auto"/>
          <w:kern w:val="0"/>
          <w:sz w:val="24"/>
          <w:szCs w:val="24"/>
          <w:highlight w:val="none"/>
        </w:rPr>
        <w:t>的材料、设备、施工必须达到现行中华人民共和国以及自治区和行业的工程建设标准、规范的要求。</w:t>
      </w:r>
    </w:p>
    <w:p w14:paraId="588EF49B">
      <w:pPr>
        <w:keepNext w:val="0"/>
        <w:keepLines w:val="0"/>
        <w:pageBreakBefore w:val="0"/>
        <w:widowControl w:val="0"/>
        <w:kinsoku/>
        <w:wordWrap/>
        <w:overflowPunct/>
        <w:topLinePunct w:val="0"/>
        <w:autoSpaceDE w:val="0"/>
        <w:autoSpaceDN w:val="0"/>
        <w:bidi w:val="0"/>
        <w:adjustRightInd w:val="0"/>
        <w:snapToGrid/>
        <w:spacing w:line="340" w:lineRule="exact"/>
        <w:ind w:left="2" w:firstLine="482" w:firstLineChars="201"/>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 建设工程施工合同的“合同条件”采用国家工商行政管理局和建设部颁发的《建设工程施工合同》（</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u w:val="single"/>
        </w:rPr>
        <w:t>GF-201</w:t>
      </w:r>
      <w:r>
        <w:rPr>
          <w:rFonts w:hint="eastAsia" w:cs="宋体"/>
          <w:b/>
          <w:color w:val="auto"/>
          <w:kern w:val="0"/>
          <w:sz w:val="24"/>
          <w:szCs w:val="24"/>
          <w:highlight w:val="none"/>
          <w:u w:val="single"/>
          <w:lang w:val="en-US" w:eastAsia="zh-CN"/>
        </w:rPr>
        <w:t>7</w:t>
      </w:r>
      <w:r>
        <w:rPr>
          <w:rFonts w:hint="eastAsia" w:ascii="宋体" w:hAnsi="宋体" w:eastAsia="宋体" w:cs="宋体"/>
          <w:b/>
          <w:color w:val="auto"/>
          <w:kern w:val="0"/>
          <w:sz w:val="24"/>
          <w:szCs w:val="24"/>
          <w:highlight w:val="none"/>
          <w:u w:val="single"/>
        </w:rPr>
        <w:t>-0201</w:t>
      </w:r>
      <w:r>
        <w:rPr>
          <w:rFonts w:hint="eastAsia" w:ascii="宋体" w:hAnsi="宋体" w:eastAsia="宋体" w:cs="宋体"/>
          <w:color w:val="auto"/>
          <w:kern w:val="0"/>
          <w:sz w:val="24"/>
          <w:szCs w:val="24"/>
          <w:highlight w:val="none"/>
        </w:rPr>
        <w:t xml:space="preserve"> ）的合同条件。</w:t>
      </w:r>
    </w:p>
    <w:p w14:paraId="6047A459">
      <w:pPr>
        <w:keepNext w:val="0"/>
        <w:keepLines w:val="0"/>
        <w:pageBreakBefore w:val="0"/>
        <w:widowControl w:val="0"/>
        <w:kinsoku/>
        <w:wordWrap/>
        <w:overflowPunct/>
        <w:topLinePunct w:val="0"/>
        <w:autoSpaceDE w:val="0"/>
        <w:autoSpaceDN w:val="0"/>
        <w:bidi w:val="0"/>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1.3 合同协议条款将由建设单位（发包人）与中标单位（承包人）结合本工程具体情况协商后签订。</w:t>
      </w:r>
      <w:bookmarkEnd w:id="55"/>
      <w:bookmarkEnd w:id="56"/>
      <w:bookmarkEnd w:id="57"/>
      <w:bookmarkEnd w:id="58"/>
    </w:p>
    <w:p w14:paraId="485F168F">
      <w:pPr>
        <w:pStyle w:val="15"/>
        <w:rPr>
          <w:rFonts w:hint="eastAsia" w:ascii="宋体" w:hAnsi="宋体" w:eastAsia="宋体" w:cs="宋体"/>
          <w:color w:val="auto"/>
          <w:sz w:val="24"/>
          <w:szCs w:val="24"/>
          <w:highlight w:val="none"/>
        </w:rPr>
      </w:pPr>
    </w:p>
    <w:p w14:paraId="48966618">
      <w:pPr>
        <w:pStyle w:val="15"/>
        <w:rPr>
          <w:rFonts w:hint="eastAsia" w:ascii="宋体" w:hAnsi="宋体" w:eastAsia="宋体" w:cs="宋体"/>
          <w:color w:val="auto"/>
          <w:sz w:val="24"/>
          <w:szCs w:val="24"/>
          <w:highlight w:val="none"/>
        </w:rPr>
      </w:pPr>
    </w:p>
    <w:p w14:paraId="21D110CE">
      <w:pPr>
        <w:pStyle w:val="15"/>
        <w:rPr>
          <w:rFonts w:hint="eastAsia" w:ascii="宋体" w:hAnsi="宋体" w:eastAsia="宋体" w:cs="宋体"/>
          <w:color w:val="auto"/>
          <w:sz w:val="24"/>
          <w:szCs w:val="24"/>
          <w:highlight w:val="none"/>
        </w:rPr>
      </w:pPr>
    </w:p>
    <w:p w14:paraId="3E4B0DF1">
      <w:pPr>
        <w:pStyle w:val="15"/>
        <w:rPr>
          <w:rFonts w:hint="eastAsia" w:ascii="宋体" w:hAnsi="宋体" w:eastAsia="宋体" w:cs="宋体"/>
          <w:color w:val="auto"/>
          <w:sz w:val="24"/>
          <w:szCs w:val="24"/>
          <w:highlight w:val="none"/>
        </w:rPr>
        <w:sectPr>
          <w:headerReference r:id="rId16" w:type="default"/>
          <w:pgSz w:w="11910" w:h="16840"/>
          <w:pgMar w:top="1984" w:right="1531" w:bottom="2098" w:left="1531" w:header="670" w:footer="1041" w:gutter="0"/>
          <w:pgNumType w:fmt="decimal"/>
          <w:cols w:space="720" w:num="1"/>
          <w:rtlGutter w:val="0"/>
          <w:docGrid w:linePitch="1" w:charSpace="0"/>
        </w:sectPr>
      </w:pPr>
    </w:p>
    <w:p w14:paraId="6E97E671">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2561" w:firstLineChars="800"/>
        <w:jc w:val="both"/>
        <w:textAlignment w:val="auto"/>
        <w:rPr>
          <w:rFonts w:hint="eastAsia" w:ascii="微软雅黑" w:hAnsi="微软雅黑" w:eastAsia="微软雅黑" w:cs="微软雅黑"/>
          <w:b/>
          <w:bCs/>
          <w:color w:val="auto"/>
          <w:sz w:val="32"/>
          <w:szCs w:val="32"/>
          <w:highlight w:val="none"/>
        </w:rPr>
      </w:pPr>
      <w:bookmarkStart w:id="519" w:name="_bookmark4"/>
      <w:bookmarkEnd w:id="519"/>
      <w:bookmarkStart w:id="520" w:name="_Toc10386_WPSOffice_Level1"/>
      <w:r>
        <w:rPr>
          <w:rFonts w:hint="eastAsia" w:ascii="微软雅黑" w:hAnsi="微软雅黑" w:eastAsia="微软雅黑" w:cs="微软雅黑"/>
          <w:b/>
          <w:bCs/>
          <w:color w:val="auto"/>
          <w:sz w:val="32"/>
          <w:szCs w:val="32"/>
          <w:highlight w:val="none"/>
        </w:rPr>
        <w:t>第五部分</w:t>
      </w:r>
      <w:r>
        <w:rPr>
          <w:rFonts w:hint="eastAsia" w:ascii="微软雅黑" w:hAnsi="微软雅黑" w:eastAsia="微软雅黑" w:cs="微软雅黑"/>
          <w:b/>
          <w:bCs/>
          <w:color w:val="auto"/>
          <w:sz w:val="32"/>
          <w:szCs w:val="32"/>
          <w:highlight w:val="none"/>
        </w:rPr>
        <w:tab/>
      </w:r>
      <w:r>
        <w:rPr>
          <w:rFonts w:hint="eastAsia" w:ascii="微软雅黑" w:hAnsi="微软雅黑" w:eastAsia="微软雅黑" w:cs="微软雅黑"/>
          <w:b/>
          <w:bCs/>
          <w:color w:val="auto"/>
          <w:sz w:val="32"/>
          <w:szCs w:val="32"/>
          <w:highlight w:val="none"/>
        </w:rPr>
        <w:t>响应文件格式</w:t>
      </w:r>
      <w:bookmarkEnd w:id="520"/>
    </w:p>
    <w:p w14:paraId="27A00190">
      <w:pPr>
        <w:keepNext w:val="0"/>
        <w:keepLines w:val="0"/>
        <w:pageBreakBefore w:val="0"/>
        <w:widowControl w:val="0"/>
        <w:kinsoku/>
        <w:wordWrap/>
        <w:overflowPunct/>
        <w:topLinePunct w:val="0"/>
        <w:autoSpaceDE w:val="0"/>
        <w:autoSpaceDN w:val="0"/>
        <w:bidi w:val="0"/>
        <w:adjustRightInd/>
        <w:snapToGrid/>
        <w:spacing w:line="440" w:lineRule="exact"/>
        <w:ind w:firstLine="3092" w:firstLineChars="1100"/>
        <w:jc w:val="both"/>
        <w:textAlignment w:val="auto"/>
        <w:rPr>
          <w:rFonts w:hint="eastAsia" w:ascii="宋体" w:hAnsi="宋体" w:eastAsia="宋体" w:cs="宋体"/>
          <w:b/>
          <w:bCs/>
          <w:color w:val="auto"/>
          <w:sz w:val="28"/>
          <w:szCs w:val="28"/>
          <w:highlight w:val="none"/>
          <w:lang w:eastAsia="zh-CN"/>
        </w:rPr>
      </w:pPr>
      <w:bookmarkStart w:id="521" w:name="_Toc8063_WPSOffice_Level1"/>
      <w:r>
        <w:rPr>
          <w:rFonts w:hint="eastAsia" w:ascii="宋体" w:hAnsi="宋体" w:eastAsia="宋体" w:cs="宋体"/>
          <w:b/>
          <w:bCs/>
          <w:color w:val="auto"/>
          <w:sz w:val="28"/>
          <w:szCs w:val="28"/>
          <w:highlight w:val="none"/>
          <w:lang w:val="en-US" w:eastAsia="zh-CN"/>
        </w:rPr>
        <w:t>磋商</w:t>
      </w:r>
      <w:r>
        <w:rPr>
          <w:rFonts w:hint="eastAsia" w:ascii="宋体" w:hAnsi="宋体" w:eastAsia="宋体" w:cs="宋体"/>
          <w:b/>
          <w:bCs/>
          <w:color w:val="auto"/>
          <w:sz w:val="28"/>
          <w:szCs w:val="28"/>
          <w:highlight w:val="none"/>
        </w:rPr>
        <w:t>响应文件封面</w:t>
      </w:r>
      <w:r>
        <w:rPr>
          <w:rFonts w:hint="eastAsia" w:ascii="宋体" w:hAnsi="宋体" w:eastAsia="宋体" w:cs="宋体"/>
          <w:b/>
          <w:bCs/>
          <w:color w:val="auto"/>
          <w:sz w:val="28"/>
          <w:szCs w:val="28"/>
          <w:highlight w:val="none"/>
          <w:lang w:val="en-US" w:eastAsia="zh-CN"/>
        </w:rPr>
        <w:t>格式</w:t>
      </w:r>
      <w:bookmarkEnd w:id="521"/>
    </w:p>
    <w:p w14:paraId="7D7B00F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g">
            <w:drawing>
              <wp:anchor distT="0" distB="0" distL="114300" distR="114300" simplePos="0" relativeHeight="251659264" behindDoc="1" locked="0" layoutInCell="1" allowOverlap="1">
                <wp:simplePos x="0" y="0"/>
                <wp:positionH relativeFrom="page">
                  <wp:posOffset>781050</wp:posOffset>
                </wp:positionH>
                <wp:positionV relativeFrom="page">
                  <wp:posOffset>1869440</wp:posOffset>
                </wp:positionV>
                <wp:extent cx="6102985" cy="5979160"/>
                <wp:effectExtent l="1905" t="2540" r="10160" b="19050"/>
                <wp:wrapNone/>
                <wp:docPr id="7" name="组合 7"/>
                <wp:cNvGraphicFramePr/>
                <a:graphic xmlns:a="http://schemas.openxmlformats.org/drawingml/2006/main">
                  <a:graphicData uri="http://schemas.microsoft.com/office/word/2010/wordprocessingGroup">
                    <wpg:wgp>
                      <wpg:cNvGrpSpPr/>
                      <wpg:grpSpPr>
                        <a:xfrm>
                          <a:off x="0" y="0"/>
                          <a:ext cx="6102985" cy="5979160"/>
                          <a:chOff x="1020" y="2302"/>
                          <a:chExt cx="9866" cy="12278"/>
                        </a:xfrm>
                      </wpg:grpSpPr>
                      <wps:wsp>
                        <wps:cNvPr id="1" name="矩形 1"/>
                        <wps:cNvSpPr/>
                        <wps:spPr>
                          <a:xfrm>
                            <a:off x="1020" y="2302"/>
                            <a:ext cx="10" cy="10"/>
                          </a:xfrm>
                          <a:prstGeom prst="rect">
                            <a:avLst/>
                          </a:prstGeom>
                          <a:solidFill>
                            <a:srgbClr val="000000"/>
                          </a:solidFill>
                          <a:ln>
                            <a:noFill/>
                          </a:ln>
                        </wps:spPr>
                        <wps:bodyPr upright="1"/>
                      </wps:wsp>
                      <wps:wsp>
                        <wps:cNvPr id="2" name="直接连接符 2"/>
                        <wps:cNvCnPr/>
                        <wps:spPr>
                          <a:xfrm>
                            <a:off x="1030" y="2307"/>
                            <a:ext cx="9846" cy="0"/>
                          </a:xfrm>
                          <a:prstGeom prst="line">
                            <a:avLst/>
                          </a:prstGeom>
                          <a:ln w="6096" cap="flat" cmpd="sng">
                            <a:solidFill>
                              <a:srgbClr val="000000"/>
                            </a:solidFill>
                            <a:prstDash val="solid"/>
                            <a:headEnd type="none" w="med" len="med"/>
                            <a:tailEnd type="none" w="med" len="med"/>
                          </a:ln>
                        </wps:spPr>
                        <wps:bodyPr upright="1"/>
                      </wps:wsp>
                      <wps:wsp>
                        <wps:cNvPr id="3" name="矩形 3"/>
                        <wps:cNvSpPr/>
                        <wps:spPr>
                          <a:xfrm>
                            <a:off x="10876" y="2302"/>
                            <a:ext cx="10" cy="10"/>
                          </a:xfrm>
                          <a:prstGeom prst="rect">
                            <a:avLst/>
                          </a:prstGeom>
                          <a:solidFill>
                            <a:srgbClr val="000000"/>
                          </a:solidFill>
                          <a:ln>
                            <a:noFill/>
                          </a:ln>
                        </wps:spPr>
                        <wps:bodyPr upright="1"/>
                      </wps:wsp>
                      <wps:wsp>
                        <wps:cNvPr id="4" name="直接连接符 4"/>
                        <wps:cNvCnPr/>
                        <wps:spPr>
                          <a:xfrm>
                            <a:off x="1025" y="2312"/>
                            <a:ext cx="0" cy="12268"/>
                          </a:xfrm>
                          <a:prstGeom prst="line">
                            <a:avLst/>
                          </a:prstGeom>
                          <a:ln w="6096" cap="flat" cmpd="sng">
                            <a:solidFill>
                              <a:srgbClr val="000000"/>
                            </a:solidFill>
                            <a:prstDash val="solid"/>
                            <a:headEnd type="none" w="med" len="med"/>
                            <a:tailEnd type="none" w="med" len="med"/>
                          </a:ln>
                        </wps:spPr>
                        <wps:bodyPr upright="1"/>
                      </wps:wsp>
                      <wps:wsp>
                        <wps:cNvPr id="5" name="直接连接符 5"/>
                        <wps:cNvCnPr/>
                        <wps:spPr>
                          <a:xfrm>
                            <a:off x="1030" y="14575"/>
                            <a:ext cx="9846" cy="0"/>
                          </a:xfrm>
                          <a:prstGeom prst="line">
                            <a:avLst/>
                          </a:prstGeom>
                          <a:ln w="6096" cap="flat" cmpd="sng">
                            <a:solidFill>
                              <a:srgbClr val="000000"/>
                            </a:solidFill>
                            <a:prstDash val="solid"/>
                            <a:headEnd type="none" w="med" len="med"/>
                            <a:tailEnd type="none" w="med" len="med"/>
                          </a:ln>
                        </wps:spPr>
                        <wps:bodyPr upright="1"/>
                      </wps:wsp>
                      <wps:wsp>
                        <wps:cNvPr id="6" name="直接连接符 6"/>
                        <wps:cNvCnPr/>
                        <wps:spPr>
                          <a:xfrm>
                            <a:off x="10881" y="2312"/>
                            <a:ext cx="0" cy="12268"/>
                          </a:xfrm>
                          <a:prstGeom prst="line">
                            <a:avLst/>
                          </a:prstGeom>
                          <a:ln w="6096"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61.5pt;margin-top:147.2pt;height:470.8pt;width:480.55pt;mso-position-horizontal-relative:page;mso-position-vertical-relative:page;z-index:-251657216;mso-width-relative:page;mso-height-relative:page;" coordorigin="1020,2302" coordsize="9866,12278" o:gfxdata="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">
                <o:lock v:ext="edit" aspectratio="f"/>
                <v:rect id="_x0000_s1026" o:spid="_x0000_s1026" o:spt="1" style="position:absolute;left:1020;top:2302;height:10;width:10;" fillcolor="#000000" filled="t" stroked="f" coordsize="21600,21600" o:gfxdata="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y8Uk7sAAADa&#10;AAAADwAAAAAAAAABACAAAAAiAAAAZHJzL2Rvd25yZXYueG1sUEsBAhQAFAAAAAgAh07iQDMvBZ47&#10;AAAAOQAAABAAAAAAAAAAAQAgAAAACgEAAGRycy9zaGFwZXhtbC54bWxQSwUGAAAAAAYABgBbAQAA&#10;tAMAAAAA&#10;">
                  <v:fill on="t" focussize="0,0"/>
                  <v:stroke on="f"/>
                  <v:imagedata o:title=""/>
                  <o:lock v:ext="edit" aspectratio="f"/>
                </v:rect>
                <v:line id="_x0000_s1026" o:spid="_x0000_s1026" o:spt="20" style="position:absolute;left:1030;top:2307;height:0;width:9846;" filled="f" stroked="t" coordsize="21600,21600" o:gfxdata="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i89H6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rect id="_x0000_s1026" o:spid="_x0000_s1026" o:spt="1" style="position:absolute;left:10876;top:2302;height:10;width:10;" fillcolor="#000000" filled="t" stroked="f" coordsize="21600,21600" o:gfxdata="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LEvf74A&#10;AADaAAAADwAAAAAAAAABACAAAAAiAAAAZHJzL2Rvd25yZXYueG1sUEsBAhQAFAAAAAgAh07iQDMv&#10;BZ47AAAAOQAAABAAAAAAAAAAAQAgAAAADQEAAGRycy9zaGFwZXhtbC54bWxQSwUGAAAAAAYABgBb&#10;AQAAtwMAAAAA&#10;">
                  <v:fill on="t" focussize="0,0"/>
                  <v:stroke on="f"/>
                  <v:imagedata o:title=""/>
                  <o:lock v:ext="edit" aspectratio="f"/>
                </v:rect>
                <v:line id="_x0000_s1026" o:spid="_x0000_s1026" o:spt="20" style="position:absolute;left:1025;top:2312;height:12268;width:0;" filled="f" stroked="t" coordsize="21600,21600" o:gfxdata="UEsDBAoAAAAAAIdO4kAAAAAAAAAAAAAAAAAEAAAAZHJzL1BLAwQUAAAACACHTuJA2BnJkbwAAADa&#10;AAAADwAAAGRycy9kb3ducmV2LnhtbEWPQYvCMBSE74L/ITzBm6aKuL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ZyZG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_x0000_s1026" o:spid="_x0000_s1026" o:spt="20" style="position:absolute;left:1030;top:14575;height:0;width:9846;" filled="f" stroked="t" coordsize="21600,21600" o:gfxdata="UEsDBAoAAAAAAIdO4kAAAAAAAAAAAAAAAAAEAAAAZHJzL1BLAwQUAAAACACHTuJAt1VsCrwAAADa&#10;AAAADwAAAGRycy9kb3ducmV2LnhtbEWPQYvCMBSE74L/ITzBm6YKur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VbAq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_x0000_s1026" o:spid="_x0000_s1026" o:spt="20" style="position:absolute;left:10881;top:2312;height:12268;width:0;" filled="f" stroked="t" coordsize="21600,21600" o:gfxdata="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h/J9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group>
            </w:pict>
          </mc:Fallback>
        </mc:AlternateContent>
      </w:r>
    </w:p>
    <w:p w14:paraId="168E56E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44"/>
          <w:szCs w:val="44"/>
          <w:highlight w:val="none"/>
        </w:rPr>
      </w:pPr>
    </w:p>
    <w:p w14:paraId="73C66EE8">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36"/>
          <w:szCs w:val="36"/>
          <w:highlight w:val="none"/>
        </w:rPr>
      </w:pPr>
      <w:bookmarkStart w:id="522" w:name="_Toc28255_WPSOffice_Level1"/>
      <w:r>
        <w:rPr>
          <w:rFonts w:hint="eastAsia" w:ascii="宋体" w:hAnsi="宋体" w:eastAsia="宋体" w:cs="宋体"/>
          <w:b/>
          <w:bCs/>
          <w:color w:val="auto"/>
          <w:sz w:val="36"/>
          <w:szCs w:val="36"/>
          <w:highlight w:val="none"/>
        </w:rPr>
        <w:t>项目名称：</w:t>
      </w:r>
      <w:bookmarkEnd w:id="522"/>
    </w:p>
    <w:p w14:paraId="2F2CA388">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36"/>
          <w:szCs w:val="36"/>
          <w:highlight w:val="none"/>
        </w:rPr>
      </w:pPr>
      <w:bookmarkStart w:id="523" w:name="_Toc11066_WPSOffice_Level1"/>
      <w:r>
        <w:rPr>
          <w:rFonts w:hint="eastAsia" w:ascii="宋体" w:hAnsi="宋体" w:eastAsia="宋体" w:cs="宋体"/>
          <w:b/>
          <w:bCs/>
          <w:color w:val="auto"/>
          <w:sz w:val="36"/>
          <w:szCs w:val="36"/>
          <w:highlight w:val="none"/>
        </w:rPr>
        <w:t>项目编号：</w:t>
      </w:r>
      <w:bookmarkEnd w:id="523"/>
    </w:p>
    <w:p w14:paraId="41CAD66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1B503475">
      <w:pPr>
        <w:keepNext w:val="0"/>
        <w:keepLines w:val="0"/>
        <w:pageBreakBefore w:val="0"/>
        <w:widowControl w:val="0"/>
        <w:kinsoku/>
        <w:wordWrap/>
        <w:overflowPunct/>
        <w:topLinePunct w:val="0"/>
        <w:autoSpaceDE w:val="0"/>
        <w:autoSpaceDN w:val="0"/>
        <w:bidi w:val="0"/>
        <w:adjustRightInd/>
        <w:snapToGrid/>
        <w:spacing w:line="800" w:lineRule="exact"/>
        <w:ind w:firstLine="2891" w:firstLineChars="600"/>
        <w:textAlignment w:val="auto"/>
        <w:rPr>
          <w:rFonts w:hint="eastAsia" w:ascii="宋体" w:hAnsi="宋体" w:eastAsia="宋体" w:cs="宋体"/>
          <w:b/>
          <w:bCs/>
          <w:color w:val="auto"/>
          <w:sz w:val="48"/>
          <w:szCs w:val="48"/>
          <w:highlight w:val="none"/>
          <w:lang w:val="en-US" w:eastAsia="zh-CN"/>
        </w:rPr>
      </w:pPr>
    </w:p>
    <w:p w14:paraId="7D24BA88">
      <w:pPr>
        <w:keepNext w:val="0"/>
        <w:keepLines w:val="0"/>
        <w:pageBreakBefore w:val="0"/>
        <w:widowControl w:val="0"/>
        <w:kinsoku/>
        <w:wordWrap/>
        <w:overflowPunct/>
        <w:topLinePunct w:val="0"/>
        <w:autoSpaceDE w:val="0"/>
        <w:autoSpaceDN w:val="0"/>
        <w:bidi w:val="0"/>
        <w:adjustRightInd/>
        <w:snapToGrid/>
        <w:spacing w:line="800" w:lineRule="exact"/>
        <w:ind w:firstLine="2891" w:firstLineChars="600"/>
        <w:textAlignment w:val="auto"/>
        <w:rPr>
          <w:rFonts w:hint="eastAsia" w:ascii="宋体" w:hAnsi="宋体" w:eastAsia="宋体" w:cs="宋体"/>
          <w:b/>
          <w:bCs/>
          <w:color w:val="auto"/>
          <w:sz w:val="48"/>
          <w:szCs w:val="48"/>
          <w:highlight w:val="none"/>
          <w:lang w:val="en-US" w:eastAsia="zh-CN"/>
        </w:rPr>
      </w:pPr>
    </w:p>
    <w:p w14:paraId="131E7FE7">
      <w:pPr>
        <w:keepNext w:val="0"/>
        <w:keepLines w:val="0"/>
        <w:pageBreakBefore w:val="0"/>
        <w:widowControl w:val="0"/>
        <w:kinsoku/>
        <w:wordWrap/>
        <w:overflowPunct/>
        <w:topLinePunct w:val="0"/>
        <w:autoSpaceDE w:val="0"/>
        <w:autoSpaceDN w:val="0"/>
        <w:bidi w:val="0"/>
        <w:adjustRightInd/>
        <w:snapToGrid/>
        <w:spacing w:line="800" w:lineRule="exact"/>
        <w:ind w:firstLine="2891" w:firstLineChars="600"/>
        <w:textAlignment w:val="auto"/>
        <w:rPr>
          <w:rFonts w:hint="eastAsia" w:ascii="宋体" w:hAnsi="宋体" w:eastAsia="宋体" w:cs="宋体"/>
          <w:b/>
          <w:bCs/>
          <w:color w:val="auto"/>
          <w:sz w:val="72"/>
          <w:szCs w:val="72"/>
          <w:highlight w:val="none"/>
        </w:rPr>
      </w:pPr>
      <w:bookmarkStart w:id="524" w:name="_Toc27361_WPSOffice_Level1"/>
      <w:r>
        <w:rPr>
          <w:rFonts w:hint="eastAsia" w:ascii="宋体" w:hAnsi="宋体" w:eastAsia="宋体" w:cs="宋体"/>
          <w:b/>
          <w:bCs/>
          <w:color w:val="auto"/>
          <w:sz w:val="48"/>
          <w:szCs w:val="48"/>
          <w:highlight w:val="none"/>
          <w:lang w:val="en-US" w:eastAsia="zh-CN"/>
        </w:rPr>
        <w:t>磋商</w:t>
      </w:r>
      <w:r>
        <w:rPr>
          <w:rFonts w:hint="eastAsia" w:ascii="宋体" w:hAnsi="宋体" w:eastAsia="宋体" w:cs="宋体"/>
          <w:b/>
          <w:bCs/>
          <w:color w:val="auto"/>
          <w:sz w:val="48"/>
          <w:szCs w:val="48"/>
          <w:highlight w:val="none"/>
        </w:rPr>
        <w:t>响应文件</w:t>
      </w:r>
      <w:bookmarkEnd w:id="524"/>
      <w:r>
        <w:rPr>
          <w:rFonts w:hint="eastAsia" w:ascii="宋体" w:hAnsi="宋体" w:eastAsia="宋体" w:cs="宋体"/>
          <w:b/>
          <w:bCs/>
          <w:color w:val="auto"/>
          <w:sz w:val="72"/>
          <w:szCs w:val="72"/>
          <w:highlight w:val="none"/>
        </w:rPr>
        <w:t xml:space="preserve"> </w:t>
      </w:r>
    </w:p>
    <w:p w14:paraId="2CD44237">
      <w:pPr>
        <w:keepNext w:val="0"/>
        <w:keepLines w:val="0"/>
        <w:pageBreakBefore w:val="0"/>
        <w:widowControl w:val="0"/>
        <w:kinsoku/>
        <w:wordWrap/>
        <w:overflowPunct/>
        <w:topLinePunct w:val="0"/>
        <w:autoSpaceDE w:val="0"/>
        <w:autoSpaceDN w:val="0"/>
        <w:bidi w:val="0"/>
        <w:adjustRightInd/>
        <w:snapToGrid/>
        <w:spacing w:line="440" w:lineRule="exact"/>
        <w:ind w:firstLine="3534" w:firstLineChars="800"/>
        <w:jc w:val="both"/>
        <w:textAlignment w:val="auto"/>
        <w:rPr>
          <w:rFonts w:hint="eastAsia" w:ascii="宋体" w:hAnsi="宋体" w:eastAsia="宋体" w:cs="宋体"/>
          <w:b/>
          <w:bCs/>
          <w:color w:val="auto"/>
          <w:sz w:val="44"/>
          <w:szCs w:val="44"/>
          <w:highlight w:val="none"/>
        </w:rPr>
      </w:pPr>
    </w:p>
    <w:p w14:paraId="39B62DFF">
      <w:pPr>
        <w:keepNext w:val="0"/>
        <w:keepLines w:val="0"/>
        <w:pageBreakBefore w:val="0"/>
        <w:widowControl w:val="0"/>
        <w:kinsoku/>
        <w:wordWrap/>
        <w:overflowPunct/>
        <w:topLinePunct w:val="0"/>
        <w:autoSpaceDE w:val="0"/>
        <w:autoSpaceDN w:val="0"/>
        <w:bidi w:val="0"/>
        <w:adjustRightInd/>
        <w:snapToGrid/>
        <w:spacing w:line="440" w:lineRule="exact"/>
        <w:ind w:firstLine="3534" w:firstLineChars="800"/>
        <w:jc w:val="both"/>
        <w:textAlignment w:val="auto"/>
        <w:rPr>
          <w:rFonts w:hint="eastAsia" w:ascii="宋体" w:hAnsi="宋体" w:eastAsia="宋体" w:cs="宋体"/>
          <w:b/>
          <w:bCs/>
          <w:color w:val="auto"/>
          <w:sz w:val="44"/>
          <w:szCs w:val="44"/>
          <w:highlight w:val="none"/>
        </w:rPr>
      </w:pPr>
      <w:bookmarkStart w:id="525" w:name="_Toc12593_WPSOffice_Level1"/>
      <w:r>
        <w:rPr>
          <w:rFonts w:hint="eastAsia" w:ascii="宋体" w:hAnsi="宋体" w:eastAsia="宋体" w:cs="宋体"/>
          <w:b/>
          <w:bCs/>
          <w:color w:val="auto"/>
          <w:sz w:val="44"/>
          <w:szCs w:val="44"/>
          <w:highlight w:val="none"/>
        </w:rPr>
        <w:t>正 本</w:t>
      </w:r>
      <w:bookmarkEnd w:id="525"/>
    </w:p>
    <w:p w14:paraId="4D7C4D00">
      <w:pPr>
        <w:keepNext w:val="0"/>
        <w:keepLines w:val="0"/>
        <w:pageBreakBefore w:val="0"/>
        <w:widowControl w:val="0"/>
        <w:kinsoku/>
        <w:wordWrap/>
        <w:overflowPunct/>
        <w:topLinePunct w:val="0"/>
        <w:autoSpaceDE w:val="0"/>
        <w:autoSpaceDN w:val="0"/>
        <w:bidi w:val="0"/>
        <w:adjustRightInd/>
        <w:snapToGrid/>
        <w:spacing w:line="440" w:lineRule="exact"/>
        <w:ind w:firstLine="3534" w:firstLineChars="800"/>
        <w:jc w:val="both"/>
        <w:textAlignment w:val="auto"/>
        <w:rPr>
          <w:rFonts w:hint="eastAsia" w:ascii="宋体" w:hAnsi="宋体" w:eastAsia="宋体" w:cs="宋体"/>
          <w:b/>
          <w:bCs/>
          <w:color w:val="auto"/>
          <w:sz w:val="24"/>
          <w:szCs w:val="24"/>
          <w:highlight w:val="none"/>
        </w:rPr>
      </w:pPr>
      <w:bookmarkStart w:id="526" w:name="_Toc22182_WPSOffice_Level1"/>
      <w:r>
        <w:rPr>
          <w:rFonts w:hint="eastAsia" w:ascii="宋体" w:hAnsi="宋体" w:eastAsia="宋体" w:cs="宋体"/>
          <w:b/>
          <w:bCs/>
          <w:color w:val="auto"/>
          <w:sz w:val="44"/>
          <w:szCs w:val="44"/>
          <w:highlight w:val="none"/>
        </w:rPr>
        <w:t>副 本</w:t>
      </w:r>
      <w:bookmarkEnd w:id="526"/>
    </w:p>
    <w:p w14:paraId="7B4D7CA7">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p>
    <w:p w14:paraId="73DAF687">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45E97095">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p>
    <w:p w14:paraId="0BEF4CA6">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07E4B3F2">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rPr>
        <w:t>供应商名称（加盖公章）：</w:t>
      </w:r>
      <w:r>
        <w:rPr>
          <w:rFonts w:hint="eastAsia" w:ascii="宋体" w:hAnsi="宋体" w:eastAsia="宋体" w:cs="宋体"/>
          <w:b/>
          <w:bCs/>
          <w:color w:val="auto"/>
          <w:sz w:val="24"/>
          <w:szCs w:val="24"/>
          <w:highlight w:val="none"/>
          <w:u w:val="single"/>
          <w:lang w:val="en-US" w:eastAsia="zh-CN"/>
        </w:rPr>
        <w:t xml:space="preserve">                                </w:t>
      </w:r>
    </w:p>
    <w:p w14:paraId="47A0B9EC">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p>
    <w:p w14:paraId="2EE5F6DF">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cs="宋体"/>
          <w:b/>
          <w:bCs/>
          <w:color w:val="auto"/>
          <w:sz w:val="24"/>
          <w:szCs w:val="24"/>
          <w:highlight w:val="none"/>
          <w:lang w:val="en-US" w:eastAsia="zh-CN"/>
        </w:rPr>
        <w:t>在</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 xml:space="preserve"> 月</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 xml:space="preserve"> 日</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 xml:space="preserve"> 时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 xml:space="preserve">分  之 前 不 得 启 封 </w:t>
      </w:r>
    </w:p>
    <w:p w14:paraId="5585ADCB">
      <w:pPr>
        <w:rPr>
          <w:rFonts w:hint="eastAsia"/>
          <w:color w:val="auto"/>
          <w:highlight w:val="none"/>
        </w:rPr>
      </w:pPr>
    </w:p>
    <w:p w14:paraId="1D60C982">
      <w:pPr>
        <w:bidi w:val="0"/>
        <w:rPr>
          <w:rFonts w:hint="eastAsia" w:ascii="宋体" w:hAnsi="宋体" w:eastAsia="宋体" w:cs="宋体"/>
          <w:color w:val="auto"/>
          <w:sz w:val="22"/>
          <w:szCs w:val="22"/>
          <w:highlight w:val="none"/>
          <w:lang w:val="zh-CN" w:eastAsia="zh-CN" w:bidi="zh-CN"/>
        </w:rPr>
      </w:pPr>
    </w:p>
    <w:p w14:paraId="56A3444E">
      <w:pPr>
        <w:bidi w:val="0"/>
        <w:rPr>
          <w:rFonts w:hint="eastAsia"/>
          <w:color w:val="auto"/>
          <w:highlight w:val="none"/>
          <w:lang w:val="zh-CN" w:eastAsia="zh-CN"/>
        </w:rPr>
      </w:pPr>
    </w:p>
    <w:p w14:paraId="638E6D30">
      <w:pPr>
        <w:spacing w:line="440" w:lineRule="exact"/>
        <w:ind w:firstLine="3213" w:firstLineChars="1000"/>
        <w:jc w:val="both"/>
        <w:rPr>
          <w:rFonts w:hint="eastAsia" w:ascii="宋体" w:hAnsi="宋体"/>
          <w:b/>
          <w:bCs/>
          <w:color w:val="auto"/>
          <w:sz w:val="32"/>
          <w:szCs w:val="32"/>
          <w:highlight w:val="none"/>
        </w:rPr>
      </w:pPr>
      <w:bookmarkStart w:id="527" w:name="_Toc9356_WPSOffice_Level1"/>
    </w:p>
    <w:p w14:paraId="0BD8C0B0">
      <w:pPr>
        <w:spacing w:line="440" w:lineRule="exact"/>
        <w:ind w:firstLine="3213" w:firstLineChars="1000"/>
        <w:jc w:val="both"/>
        <w:rPr>
          <w:rFonts w:hint="eastAsia" w:ascii="宋体" w:hAnsi="宋体"/>
          <w:b/>
          <w:bCs/>
          <w:color w:val="auto"/>
          <w:sz w:val="32"/>
          <w:szCs w:val="32"/>
          <w:highlight w:val="none"/>
        </w:rPr>
      </w:pPr>
    </w:p>
    <w:p w14:paraId="528EA309">
      <w:pPr>
        <w:spacing w:line="440" w:lineRule="exact"/>
        <w:ind w:firstLine="3213" w:firstLineChars="1000"/>
        <w:jc w:val="both"/>
        <w:rPr>
          <w:rFonts w:hint="eastAsia" w:ascii="宋体" w:hAnsi="宋体"/>
          <w:b/>
          <w:bCs/>
          <w:color w:val="auto"/>
          <w:sz w:val="32"/>
          <w:szCs w:val="32"/>
          <w:highlight w:val="none"/>
        </w:rPr>
      </w:pPr>
    </w:p>
    <w:p w14:paraId="4D2677C9">
      <w:pPr>
        <w:spacing w:line="440" w:lineRule="exact"/>
        <w:ind w:firstLine="3213" w:firstLineChars="1000"/>
        <w:jc w:val="both"/>
        <w:rPr>
          <w:rFonts w:hint="eastAsia" w:ascii="宋体" w:hAnsi="宋体"/>
          <w:b/>
          <w:bCs/>
          <w:color w:val="auto"/>
          <w:sz w:val="32"/>
          <w:szCs w:val="32"/>
          <w:highlight w:val="none"/>
        </w:rPr>
      </w:pPr>
    </w:p>
    <w:p w14:paraId="6C685953">
      <w:pPr>
        <w:spacing w:line="440" w:lineRule="exact"/>
        <w:ind w:firstLine="3213" w:firstLineChars="1000"/>
        <w:jc w:val="both"/>
        <w:rPr>
          <w:rFonts w:hint="eastAsia" w:ascii="宋体" w:hAnsi="宋体"/>
          <w:b/>
          <w:bCs/>
          <w:color w:val="auto"/>
          <w:sz w:val="32"/>
          <w:szCs w:val="32"/>
          <w:highlight w:val="none"/>
        </w:rPr>
      </w:pPr>
      <w:r>
        <w:rPr>
          <w:rFonts w:hint="eastAsia" w:ascii="宋体" w:hAnsi="宋体"/>
          <w:b/>
          <w:bCs/>
          <w:color w:val="auto"/>
          <w:sz w:val="32"/>
          <w:szCs w:val="32"/>
          <w:highlight w:val="none"/>
        </w:rPr>
        <w:t>响应文件主要目录</w:t>
      </w:r>
      <w:bookmarkEnd w:id="527"/>
    </w:p>
    <w:p w14:paraId="2BB63079">
      <w:pPr>
        <w:spacing w:line="440" w:lineRule="exact"/>
        <w:ind w:firstLine="643"/>
        <w:jc w:val="center"/>
        <w:rPr>
          <w:rFonts w:hint="eastAsia" w:ascii="宋体" w:hAnsi="宋体"/>
          <w:b/>
          <w:bCs/>
          <w:color w:val="auto"/>
          <w:sz w:val="32"/>
          <w:szCs w:val="32"/>
          <w:highlight w:val="none"/>
        </w:rPr>
      </w:pPr>
    </w:p>
    <w:p w14:paraId="556540A1">
      <w:pPr>
        <w:rPr>
          <w:b/>
          <w:bCs/>
          <w:color w:val="auto"/>
          <w:sz w:val="24"/>
          <w:szCs w:val="24"/>
          <w:highlight w:val="none"/>
        </w:rPr>
      </w:pPr>
      <w:r>
        <w:rPr>
          <w:rFonts w:hint="eastAsia"/>
          <w:b/>
          <w:bCs/>
          <w:color w:val="auto"/>
          <w:sz w:val="24"/>
          <w:szCs w:val="24"/>
          <w:highlight w:val="none"/>
          <w:lang w:val="en-US" w:eastAsia="zh-CN"/>
        </w:rPr>
        <w:t xml:space="preserve">一、自查表 </w:t>
      </w:r>
    </w:p>
    <w:p w14:paraId="73F121A8">
      <w:pPr>
        <w:rPr>
          <w:rFonts w:hint="eastAsia"/>
          <w:color w:val="auto"/>
          <w:sz w:val="24"/>
          <w:szCs w:val="24"/>
          <w:highlight w:val="none"/>
          <w:lang w:val="en-US" w:eastAsia="zh-CN"/>
        </w:rPr>
      </w:pPr>
      <w:r>
        <w:rPr>
          <w:rFonts w:hint="eastAsia"/>
          <w:color w:val="auto"/>
          <w:sz w:val="24"/>
          <w:szCs w:val="24"/>
          <w:highlight w:val="none"/>
          <w:lang w:val="en-US" w:eastAsia="zh-CN"/>
        </w:rPr>
        <w:t xml:space="preserve">1.1 资格审查自查表 </w:t>
      </w:r>
    </w:p>
    <w:p w14:paraId="2EC90884">
      <w:pPr>
        <w:pStyle w:val="7"/>
        <w:ind w:left="0" w:leftChars="0" w:firstLine="0" w:firstLineChars="0"/>
        <w:rPr>
          <w:color w:val="auto"/>
          <w:highlight w:val="none"/>
        </w:rPr>
      </w:pPr>
      <w:r>
        <w:rPr>
          <w:rFonts w:hint="eastAsia"/>
          <w:color w:val="auto"/>
          <w:sz w:val="24"/>
          <w:szCs w:val="24"/>
          <w:highlight w:val="none"/>
          <w:lang w:val="en-US" w:eastAsia="zh-CN"/>
        </w:rPr>
        <w:t>1.2 符合性审查自查表</w:t>
      </w:r>
    </w:p>
    <w:p w14:paraId="1AC2AB94">
      <w:pPr>
        <w:rPr>
          <w:color w:val="auto"/>
          <w:sz w:val="24"/>
          <w:szCs w:val="24"/>
          <w:highlight w:val="none"/>
        </w:rPr>
      </w:pPr>
      <w:r>
        <w:rPr>
          <w:rFonts w:hint="eastAsia"/>
          <w:color w:val="auto"/>
          <w:sz w:val="24"/>
          <w:szCs w:val="24"/>
          <w:highlight w:val="none"/>
          <w:lang w:val="en-US" w:eastAsia="zh-CN"/>
        </w:rPr>
        <w:t xml:space="preserve">1.3 评分索引表 </w:t>
      </w:r>
    </w:p>
    <w:p w14:paraId="149115E7">
      <w:pPr>
        <w:rPr>
          <w:rFonts w:hint="eastAsia"/>
          <w:b/>
          <w:bCs/>
          <w:color w:val="auto"/>
          <w:sz w:val="24"/>
          <w:szCs w:val="24"/>
          <w:highlight w:val="none"/>
          <w:lang w:val="en-US" w:eastAsia="zh-CN"/>
        </w:rPr>
      </w:pPr>
      <w:r>
        <w:rPr>
          <w:rFonts w:hint="eastAsia"/>
          <w:b/>
          <w:bCs/>
          <w:color w:val="auto"/>
          <w:sz w:val="24"/>
          <w:szCs w:val="24"/>
          <w:highlight w:val="none"/>
          <w:lang w:val="en-US" w:eastAsia="zh-CN"/>
        </w:rPr>
        <w:t>二、商务文件</w:t>
      </w:r>
    </w:p>
    <w:p w14:paraId="5258C514">
      <w:pPr>
        <w:rPr>
          <w:color w:val="auto"/>
          <w:sz w:val="24"/>
          <w:szCs w:val="24"/>
          <w:highlight w:val="none"/>
        </w:rPr>
      </w:pPr>
      <w:r>
        <w:rPr>
          <w:rFonts w:hint="eastAsia"/>
          <w:color w:val="auto"/>
          <w:sz w:val="24"/>
          <w:szCs w:val="24"/>
          <w:highlight w:val="none"/>
          <w:lang w:val="en-US" w:eastAsia="zh-CN"/>
        </w:rPr>
        <w:t xml:space="preserve">2.1 磋商响应函 </w:t>
      </w:r>
    </w:p>
    <w:p w14:paraId="4F019C66">
      <w:pPr>
        <w:rPr>
          <w:color w:val="auto"/>
          <w:sz w:val="24"/>
          <w:szCs w:val="24"/>
          <w:highlight w:val="none"/>
        </w:rPr>
      </w:pPr>
      <w:r>
        <w:rPr>
          <w:rFonts w:hint="eastAsia"/>
          <w:color w:val="auto"/>
          <w:sz w:val="24"/>
          <w:szCs w:val="24"/>
          <w:highlight w:val="none"/>
          <w:lang w:val="en-US" w:eastAsia="zh-CN"/>
        </w:rPr>
        <w:t xml:space="preserve">2.2 商务需求条款响应表 </w:t>
      </w:r>
    </w:p>
    <w:p w14:paraId="0C30342B">
      <w:pPr>
        <w:pStyle w:val="34"/>
        <w:bidi w:val="0"/>
        <w:rPr>
          <w:color w:val="auto"/>
          <w:highlight w:val="none"/>
        </w:rPr>
      </w:pPr>
      <w:r>
        <w:rPr>
          <w:rFonts w:hint="eastAsia" w:ascii="宋体" w:hAnsi="宋体" w:eastAsia="宋体" w:cs="宋体"/>
          <w:color w:val="auto"/>
          <w:kern w:val="0"/>
          <w:sz w:val="24"/>
          <w:szCs w:val="24"/>
          <w:highlight w:val="none"/>
          <w:lang w:val="en-US" w:eastAsia="zh-CN" w:bidi="zh-CN"/>
        </w:rPr>
        <w:t>2.3 拟派项目负责人及管理技术人员一览表</w:t>
      </w:r>
      <w:r>
        <w:rPr>
          <w:rFonts w:hint="eastAsia"/>
          <w:color w:val="auto"/>
          <w:highlight w:val="none"/>
          <w:lang w:val="en-US" w:eastAsia="zh-CN"/>
        </w:rPr>
        <w:t xml:space="preserve"> </w:t>
      </w:r>
    </w:p>
    <w:p w14:paraId="786E1E1F">
      <w:pPr>
        <w:rPr>
          <w:color w:val="auto"/>
          <w:sz w:val="24"/>
          <w:szCs w:val="24"/>
          <w:highlight w:val="none"/>
        </w:rPr>
      </w:pPr>
      <w:r>
        <w:rPr>
          <w:rFonts w:hint="eastAsia"/>
          <w:color w:val="auto"/>
          <w:sz w:val="24"/>
          <w:szCs w:val="24"/>
          <w:highlight w:val="none"/>
          <w:lang w:val="en-US" w:eastAsia="zh-CN"/>
        </w:rPr>
        <w:t xml:space="preserve">2.4 企业管理体系认证 </w:t>
      </w:r>
    </w:p>
    <w:p w14:paraId="1F34BA3C">
      <w:pPr>
        <w:rPr>
          <w:color w:val="auto"/>
          <w:sz w:val="24"/>
          <w:szCs w:val="24"/>
          <w:highlight w:val="none"/>
        </w:rPr>
      </w:pPr>
      <w:r>
        <w:rPr>
          <w:rFonts w:hint="eastAsia"/>
          <w:color w:val="auto"/>
          <w:sz w:val="24"/>
          <w:szCs w:val="24"/>
          <w:highlight w:val="none"/>
          <w:lang w:val="en-US" w:eastAsia="zh-CN"/>
        </w:rPr>
        <w:t xml:space="preserve">2.5 同类项目业绩情况一览表 </w:t>
      </w:r>
    </w:p>
    <w:p w14:paraId="75E8855F">
      <w:pPr>
        <w:rPr>
          <w:rFonts w:hint="eastAsia"/>
          <w:color w:val="auto"/>
          <w:sz w:val="24"/>
          <w:szCs w:val="24"/>
          <w:highlight w:val="none"/>
          <w:lang w:val="en-US" w:eastAsia="zh-CN"/>
        </w:rPr>
      </w:pPr>
      <w:r>
        <w:rPr>
          <w:rFonts w:hint="eastAsia"/>
          <w:color w:val="auto"/>
          <w:sz w:val="24"/>
          <w:szCs w:val="24"/>
          <w:highlight w:val="none"/>
          <w:lang w:val="en-US" w:eastAsia="zh-CN"/>
        </w:rPr>
        <w:t>2.6 项目团队</w:t>
      </w:r>
    </w:p>
    <w:p w14:paraId="1AE9AC51">
      <w:pPr>
        <w:rPr>
          <w:rFonts w:hint="eastAsia"/>
          <w:color w:val="auto"/>
          <w:sz w:val="24"/>
          <w:szCs w:val="24"/>
          <w:highlight w:val="none"/>
          <w:lang w:val="en-US" w:eastAsia="zh-CN"/>
        </w:rPr>
      </w:pPr>
      <w:r>
        <w:rPr>
          <w:rFonts w:hint="eastAsia"/>
          <w:color w:val="auto"/>
          <w:sz w:val="24"/>
          <w:szCs w:val="24"/>
          <w:highlight w:val="none"/>
          <w:lang w:val="en-US" w:eastAsia="zh-CN"/>
        </w:rPr>
        <w:t xml:space="preserve">2.7 中小企业声明函 </w:t>
      </w:r>
    </w:p>
    <w:p w14:paraId="6A1DA92D">
      <w:pPr>
        <w:pStyle w:val="7"/>
        <w:ind w:left="0" w:leftChars="0" w:firstLine="0" w:firstLineChars="0"/>
        <w:rPr>
          <w:rFonts w:hint="eastAsia" w:ascii="宋体" w:hAnsi="宋体" w:eastAsia="宋体" w:cs="宋体"/>
          <w:color w:val="auto"/>
          <w:sz w:val="24"/>
          <w:szCs w:val="24"/>
          <w:highlight w:val="none"/>
          <w:lang w:val="en-US" w:eastAsia="zh-CN" w:bidi="zh-CN"/>
        </w:rPr>
      </w:pPr>
      <w:r>
        <w:rPr>
          <w:rFonts w:hint="eastAsia" w:cs="宋体"/>
          <w:color w:val="auto"/>
          <w:sz w:val="24"/>
          <w:szCs w:val="24"/>
          <w:highlight w:val="none"/>
          <w:lang w:val="en-US" w:eastAsia="zh-CN" w:bidi="zh-CN"/>
        </w:rPr>
        <w:t>2</w:t>
      </w:r>
      <w:r>
        <w:rPr>
          <w:rFonts w:hint="eastAsia" w:ascii="宋体" w:hAnsi="宋体" w:eastAsia="宋体" w:cs="宋体"/>
          <w:color w:val="auto"/>
          <w:sz w:val="24"/>
          <w:szCs w:val="24"/>
          <w:highlight w:val="none"/>
          <w:lang w:val="en-US" w:eastAsia="zh-CN" w:bidi="zh-CN"/>
        </w:rPr>
        <w:t>.</w:t>
      </w:r>
      <w:r>
        <w:rPr>
          <w:rFonts w:hint="eastAsia" w:cs="宋体"/>
          <w:color w:val="auto"/>
          <w:sz w:val="24"/>
          <w:szCs w:val="24"/>
          <w:highlight w:val="none"/>
          <w:lang w:val="en-US" w:eastAsia="zh-CN" w:bidi="zh-CN"/>
        </w:rPr>
        <w:t xml:space="preserve">8 </w:t>
      </w:r>
      <w:r>
        <w:rPr>
          <w:rFonts w:hint="eastAsia" w:ascii="宋体" w:hAnsi="宋体" w:eastAsia="宋体" w:cs="宋体"/>
          <w:color w:val="auto"/>
          <w:sz w:val="24"/>
          <w:szCs w:val="24"/>
          <w:highlight w:val="none"/>
          <w:lang w:val="en-US" w:eastAsia="zh-CN" w:bidi="zh-CN"/>
        </w:rPr>
        <w:t>残疾人福利性单位声明函</w:t>
      </w:r>
      <w:r>
        <w:rPr>
          <w:rFonts w:hint="eastAsia"/>
          <w:color w:val="auto"/>
          <w:highlight w:val="none"/>
          <w:lang w:val="en-US" w:eastAsia="zh-CN"/>
        </w:rPr>
        <w:t>（可选）</w:t>
      </w:r>
    </w:p>
    <w:p w14:paraId="4FFDD648">
      <w:pPr>
        <w:rPr>
          <w:color w:val="auto"/>
          <w:sz w:val="24"/>
          <w:szCs w:val="24"/>
          <w:highlight w:val="none"/>
        </w:rPr>
      </w:pPr>
      <w:r>
        <w:rPr>
          <w:rFonts w:hint="eastAsia" w:cs="宋体"/>
          <w:color w:val="auto"/>
          <w:sz w:val="24"/>
          <w:szCs w:val="24"/>
          <w:highlight w:val="none"/>
          <w:lang w:val="en-US" w:eastAsia="zh-CN" w:bidi="zh-CN"/>
        </w:rPr>
        <w:t>2.9 监狱企业证明</w:t>
      </w:r>
      <w:r>
        <w:rPr>
          <w:rFonts w:hint="eastAsia"/>
          <w:color w:val="auto"/>
          <w:highlight w:val="none"/>
          <w:lang w:val="en-US" w:eastAsia="zh-CN"/>
        </w:rPr>
        <w:t>（可选）</w:t>
      </w:r>
    </w:p>
    <w:p w14:paraId="65567058">
      <w:pPr>
        <w:rPr>
          <w:color w:val="auto"/>
          <w:sz w:val="24"/>
          <w:szCs w:val="24"/>
          <w:highlight w:val="none"/>
        </w:rPr>
      </w:pPr>
      <w:r>
        <w:rPr>
          <w:rFonts w:hint="eastAsia"/>
          <w:b/>
          <w:bCs/>
          <w:color w:val="auto"/>
          <w:sz w:val="24"/>
          <w:szCs w:val="24"/>
          <w:highlight w:val="none"/>
          <w:lang w:val="en-US" w:eastAsia="zh-CN"/>
        </w:rPr>
        <w:t>三、技术文件</w:t>
      </w:r>
      <w:r>
        <w:rPr>
          <w:rFonts w:hint="eastAsia"/>
          <w:color w:val="auto"/>
          <w:sz w:val="24"/>
          <w:szCs w:val="24"/>
          <w:highlight w:val="none"/>
          <w:lang w:val="en-US" w:eastAsia="zh-CN"/>
        </w:rPr>
        <w:t xml:space="preserve"> </w:t>
      </w:r>
    </w:p>
    <w:p w14:paraId="722FBF16">
      <w:pPr>
        <w:rPr>
          <w:color w:val="auto"/>
          <w:sz w:val="24"/>
          <w:szCs w:val="24"/>
          <w:highlight w:val="none"/>
        </w:rPr>
      </w:pPr>
      <w:r>
        <w:rPr>
          <w:rFonts w:hint="eastAsia"/>
          <w:color w:val="auto"/>
          <w:sz w:val="24"/>
          <w:szCs w:val="24"/>
          <w:highlight w:val="none"/>
          <w:lang w:val="en-US" w:eastAsia="zh-CN"/>
        </w:rPr>
        <w:t xml:space="preserve">3.1 技术服务内容 </w:t>
      </w:r>
    </w:p>
    <w:p w14:paraId="06252454">
      <w:pPr>
        <w:rPr>
          <w:color w:val="auto"/>
          <w:sz w:val="24"/>
          <w:szCs w:val="24"/>
          <w:highlight w:val="none"/>
        </w:rPr>
      </w:pPr>
      <w:r>
        <w:rPr>
          <w:rFonts w:hint="eastAsia"/>
          <w:b/>
          <w:bCs/>
          <w:color w:val="auto"/>
          <w:sz w:val="24"/>
          <w:szCs w:val="24"/>
          <w:highlight w:val="none"/>
          <w:lang w:val="en-US" w:eastAsia="zh-CN"/>
        </w:rPr>
        <w:t>四、价格文件</w:t>
      </w:r>
      <w:r>
        <w:rPr>
          <w:rFonts w:hint="eastAsia"/>
          <w:color w:val="auto"/>
          <w:sz w:val="24"/>
          <w:szCs w:val="24"/>
          <w:highlight w:val="none"/>
          <w:lang w:val="en-US" w:eastAsia="zh-CN"/>
        </w:rPr>
        <w:t xml:space="preserve"> </w:t>
      </w:r>
    </w:p>
    <w:p w14:paraId="33A5F308">
      <w:pPr>
        <w:rPr>
          <w:rFonts w:hint="eastAsia"/>
          <w:color w:val="auto"/>
          <w:sz w:val="24"/>
          <w:szCs w:val="24"/>
          <w:highlight w:val="none"/>
          <w:lang w:val="en-US" w:eastAsia="zh-CN"/>
        </w:rPr>
      </w:pPr>
      <w:r>
        <w:rPr>
          <w:rFonts w:hint="eastAsia"/>
          <w:color w:val="auto"/>
          <w:sz w:val="24"/>
          <w:szCs w:val="24"/>
          <w:highlight w:val="none"/>
          <w:lang w:val="en-US" w:eastAsia="zh-CN"/>
        </w:rPr>
        <w:t xml:space="preserve">4.1 报价一览表 </w:t>
      </w:r>
    </w:p>
    <w:p w14:paraId="5D9F8C7F">
      <w:pPr>
        <w:rPr>
          <w:color w:val="auto"/>
          <w:sz w:val="24"/>
          <w:szCs w:val="24"/>
          <w:highlight w:val="none"/>
        </w:rPr>
      </w:pPr>
      <w:r>
        <w:rPr>
          <w:rFonts w:hint="eastAsia"/>
          <w:color w:val="auto"/>
          <w:sz w:val="24"/>
          <w:szCs w:val="24"/>
          <w:highlight w:val="none"/>
          <w:lang w:val="en-US" w:eastAsia="zh-CN"/>
        </w:rPr>
        <w:t xml:space="preserve">4.2 标价的工程量清单。 </w:t>
      </w:r>
    </w:p>
    <w:p w14:paraId="224BB8C4">
      <w:pPr>
        <w:rPr>
          <w:rFonts w:hint="default"/>
          <w:b/>
          <w:bCs/>
          <w:color w:val="auto"/>
          <w:sz w:val="24"/>
          <w:szCs w:val="24"/>
          <w:highlight w:val="none"/>
          <w:lang w:val="en-US" w:eastAsia="zh-CN"/>
        </w:rPr>
      </w:pPr>
      <w:r>
        <w:rPr>
          <w:rFonts w:hint="eastAsia"/>
          <w:b/>
          <w:bCs/>
          <w:color w:val="auto"/>
          <w:sz w:val="24"/>
          <w:szCs w:val="24"/>
          <w:highlight w:val="none"/>
          <w:lang w:val="en-US" w:eastAsia="zh-CN"/>
        </w:rPr>
        <w:t>五、供应商认为需要提供的其他资料</w:t>
      </w:r>
    </w:p>
    <w:p w14:paraId="57053632">
      <w:pPr>
        <w:rPr>
          <w:rFonts w:hint="eastAsia"/>
          <w:color w:val="auto"/>
          <w:sz w:val="24"/>
          <w:szCs w:val="24"/>
          <w:highlight w:val="none"/>
          <w:lang w:val="en-US" w:eastAsia="zh-CN"/>
        </w:rPr>
      </w:pPr>
      <w:r>
        <w:rPr>
          <w:rFonts w:hint="eastAsia"/>
          <w:b/>
          <w:bCs/>
          <w:color w:val="auto"/>
          <w:sz w:val="24"/>
          <w:szCs w:val="24"/>
          <w:highlight w:val="none"/>
          <w:lang w:val="en-US" w:eastAsia="zh-CN"/>
        </w:rPr>
        <w:t>六、其他文件格式</w:t>
      </w:r>
      <w:r>
        <w:rPr>
          <w:rFonts w:hint="eastAsia"/>
          <w:color w:val="auto"/>
          <w:sz w:val="24"/>
          <w:szCs w:val="24"/>
          <w:highlight w:val="none"/>
          <w:lang w:val="en-US" w:eastAsia="zh-CN"/>
        </w:rPr>
        <w:t xml:space="preserve"> </w:t>
      </w:r>
    </w:p>
    <w:p w14:paraId="77863B7C">
      <w:pPr>
        <w:rPr>
          <w:rFonts w:hint="eastAsia"/>
          <w:color w:val="auto"/>
          <w:sz w:val="24"/>
          <w:szCs w:val="24"/>
          <w:highlight w:val="none"/>
          <w:lang w:val="en-US" w:eastAsia="zh-CN"/>
        </w:rPr>
      </w:pPr>
      <w:r>
        <w:rPr>
          <w:rFonts w:hint="eastAsia"/>
          <w:color w:val="auto"/>
          <w:sz w:val="24"/>
          <w:szCs w:val="24"/>
          <w:highlight w:val="none"/>
          <w:lang w:val="en-US" w:eastAsia="zh-CN"/>
        </w:rPr>
        <w:t xml:space="preserve">6.1 法定代表人授权委托书  </w:t>
      </w:r>
    </w:p>
    <w:p w14:paraId="50A0E6A8">
      <w:pPr>
        <w:rPr>
          <w:rFonts w:hint="eastAsia"/>
          <w:color w:val="auto"/>
          <w:sz w:val="24"/>
          <w:szCs w:val="24"/>
          <w:highlight w:val="none"/>
          <w:lang w:val="en-US" w:eastAsia="zh-CN"/>
        </w:rPr>
      </w:pPr>
      <w:r>
        <w:rPr>
          <w:rFonts w:hint="eastAsia"/>
          <w:color w:val="auto"/>
          <w:sz w:val="24"/>
          <w:szCs w:val="24"/>
          <w:highlight w:val="none"/>
          <w:lang w:val="en-US" w:eastAsia="zh-CN"/>
        </w:rPr>
        <w:t xml:space="preserve">6.2 供应商资格声明函 </w:t>
      </w:r>
    </w:p>
    <w:p w14:paraId="309F3EA3">
      <w:pPr>
        <w:rPr>
          <w:rFonts w:hint="eastAsia"/>
          <w:color w:val="auto"/>
          <w:sz w:val="24"/>
          <w:szCs w:val="24"/>
          <w:highlight w:val="none"/>
          <w:lang w:val="en-US" w:eastAsia="zh-CN"/>
        </w:rPr>
      </w:pPr>
      <w:r>
        <w:rPr>
          <w:rFonts w:hint="eastAsia"/>
          <w:color w:val="auto"/>
          <w:sz w:val="24"/>
          <w:szCs w:val="24"/>
          <w:highlight w:val="none"/>
          <w:lang w:val="en-US" w:eastAsia="zh-CN"/>
        </w:rPr>
        <w:t>6.3 具备履行合同所必需的设备和专业技术能力的书面声明</w:t>
      </w:r>
    </w:p>
    <w:p w14:paraId="764D4325">
      <w:pPr>
        <w:rPr>
          <w:rFonts w:hint="eastAsia"/>
          <w:color w:val="auto"/>
          <w:sz w:val="24"/>
          <w:szCs w:val="24"/>
          <w:highlight w:val="none"/>
          <w:lang w:val="en-US" w:eastAsia="zh-CN"/>
        </w:rPr>
      </w:pPr>
      <w:r>
        <w:rPr>
          <w:rFonts w:hint="eastAsia"/>
          <w:color w:val="auto"/>
          <w:sz w:val="24"/>
          <w:szCs w:val="24"/>
          <w:highlight w:val="none"/>
          <w:lang w:val="en-US" w:eastAsia="zh-CN"/>
        </w:rPr>
        <w:t>6.4 参加政府采购活动前 3 年内在经营活动中没有重大违法记录的书面声明</w:t>
      </w:r>
    </w:p>
    <w:p w14:paraId="35773F4E">
      <w:pPr>
        <w:rPr>
          <w:rFonts w:hint="eastAsia"/>
          <w:color w:val="auto"/>
          <w:sz w:val="24"/>
          <w:szCs w:val="24"/>
          <w:highlight w:val="none"/>
          <w:lang w:val="en-US" w:eastAsia="zh-CN"/>
        </w:rPr>
      </w:pPr>
      <w:r>
        <w:rPr>
          <w:rFonts w:hint="eastAsia"/>
          <w:color w:val="auto"/>
          <w:sz w:val="24"/>
          <w:szCs w:val="24"/>
          <w:highlight w:val="none"/>
          <w:lang w:val="en-US" w:eastAsia="zh-CN"/>
        </w:rPr>
        <w:t>6.5 政府采购供应商质疑函范本</w:t>
      </w:r>
    </w:p>
    <w:p w14:paraId="2D36D5A5">
      <w:pPr>
        <w:rPr>
          <w:rFonts w:hint="eastAsia"/>
          <w:color w:val="auto"/>
          <w:sz w:val="24"/>
          <w:szCs w:val="24"/>
          <w:highlight w:val="none"/>
          <w:lang w:val="en-US" w:eastAsia="zh-CN"/>
        </w:rPr>
      </w:pPr>
      <w:r>
        <w:rPr>
          <w:rFonts w:hint="eastAsia"/>
          <w:color w:val="auto"/>
          <w:sz w:val="24"/>
          <w:szCs w:val="24"/>
          <w:highlight w:val="none"/>
          <w:lang w:val="en-US" w:eastAsia="zh-CN"/>
        </w:rPr>
        <w:t>6.6 联合体共同投标合同书（可选）</w:t>
      </w:r>
    </w:p>
    <w:p w14:paraId="2E9F7A1E">
      <w:pPr>
        <w:rPr>
          <w:color w:val="auto"/>
          <w:sz w:val="24"/>
          <w:szCs w:val="24"/>
          <w:highlight w:val="none"/>
        </w:rPr>
      </w:pPr>
      <w:r>
        <w:rPr>
          <w:rFonts w:hint="eastAsia"/>
          <w:color w:val="auto"/>
          <w:sz w:val="24"/>
          <w:szCs w:val="24"/>
          <w:highlight w:val="none"/>
          <w:lang w:val="en-US" w:eastAsia="zh-CN"/>
        </w:rPr>
        <w:t xml:space="preserve">注：请供应商按照以下文件的要求格式、内容，顺序制作磋商响应文件，并请 </w:t>
      </w:r>
    </w:p>
    <w:p w14:paraId="5CB9FFF2">
      <w:pPr>
        <w:rPr>
          <w:rFonts w:hint="default"/>
          <w:color w:val="auto"/>
          <w:sz w:val="24"/>
          <w:szCs w:val="24"/>
          <w:highlight w:val="none"/>
          <w:lang w:val="en-US"/>
        </w:rPr>
      </w:pPr>
      <w:r>
        <w:rPr>
          <w:rFonts w:hint="eastAsia"/>
          <w:color w:val="auto"/>
          <w:sz w:val="24"/>
          <w:szCs w:val="24"/>
          <w:highlight w:val="none"/>
          <w:lang w:val="en-US" w:eastAsia="zh-CN"/>
        </w:rPr>
        <w:t>编制目录及页码，否则可能将影响对磋商响应文件的评价。</w:t>
      </w:r>
    </w:p>
    <w:p w14:paraId="761203BA">
      <w:pPr>
        <w:keepNext w:val="0"/>
        <w:keepLines w:val="0"/>
        <w:pageBreakBefore w:val="0"/>
        <w:widowControl w:val="0"/>
        <w:kinsoku/>
        <w:wordWrap/>
        <w:overflowPunct/>
        <w:topLinePunct w:val="0"/>
        <w:autoSpaceDE w:val="0"/>
        <w:autoSpaceDN w:val="0"/>
        <w:bidi w:val="0"/>
        <w:adjustRightInd/>
        <w:snapToGrid/>
        <w:spacing w:line="440" w:lineRule="exact"/>
        <w:ind w:firstLine="3373" w:firstLineChars="1200"/>
        <w:textAlignment w:val="auto"/>
        <w:rPr>
          <w:rFonts w:hint="eastAsia" w:ascii="宋体" w:hAnsi="宋体" w:eastAsia="宋体" w:cs="宋体"/>
          <w:b/>
          <w:bCs/>
          <w:color w:val="auto"/>
          <w:sz w:val="28"/>
          <w:szCs w:val="28"/>
          <w:highlight w:val="none"/>
        </w:rPr>
      </w:pPr>
    </w:p>
    <w:p w14:paraId="77C12895">
      <w:pPr>
        <w:pStyle w:val="7"/>
        <w:rPr>
          <w:rFonts w:hint="eastAsia" w:ascii="宋体" w:hAnsi="宋体" w:eastAsia="宋体" w:cs="宋体"/>
          <w:b/>
          <w:bCs/>
          <w:color w:val="auto"/>
          <w:sz w:val="28"/>
          <w:szCs w:val="28"/>
          <w:highlight w:val="none"/>
        </w:rPr>
      </w:pPr>
    </w:p>
    <w:p w14:paraId="69B6B1AE">
      <w:pPr>
        <w:rPr>
          <w:rFonts w:hint="eastAsia"/>
          <w:color w:val="auto"/>
          <w:highlight w:val="none"/>
        </w:rPr>
      </w:pPr>
    </w:p>
    <w:p w14:paraId="4A48448E">
      <w:pPr>
        <w:rPr>
          <w:rFonts w:hint="eastAsia"/>
          <w:color w:val="auto"/>
          <w:highlight w:val="none"/>
        </w:rPr>
      </w:pPr>
    </w:p>
    <w:p w14:paraId="5D2A9F85">
      <w:pPr>
        <w:pStyle w:val="7"/>
        <w:rPr>
          <w:rFonts w:hint="eastAsia"/>
          <w:color w:val="auto"/>
          <w:highlight w:val="none"/>
        </w:rPr>
      </w:pPr>
    </w:p>
    <w:p w14:paraId="312379B9">
      <w:pPr>
        <w:rPr>
          <w:rFonts w:hint="eastAsia"/>
        </w:rPr>
      </w:pPr>
    </w:p>
    <w:p w14:paraId="19783639">
      <w:pPr>
        <w:pStyle w:val="7"/>
        <w:rPr>
          <w:rFonts w:hint="eastAsia"/>
          <w:color w:val="auto"/>
          <w:highlight w:val="none"/>
        </w:rPr>
      </w:pPr>
    </w:p>
    <w:p w14:paraId="3EB640DA">
      <w:pPr>
        <w:rPr>
          <w:rFonts w:hint="eastAsia"/>
          <w:color w:val="auto"/>
          <w:highlight w:val="none"/>
        </w:rPr>
      </w:pPr>
    </w:p>
    <w:p w14:paraId="3166B5AD">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b/>
          <w:bCs/>
          <w:color w:val="auto"/>
          <w:sz w:val="36"/>
          <w:szCs w:val="36"/>
          <w:highlight w:val="none"/>
          <w:lang w:val="en-US" w:eastAsia="zh-CN"/>
        </w:rPr>
      </w:pPr>
      <w:bookmarkStart w:id="528" w:name="_Toc18871_WPSOffice_Level1"/>
      <w:r>
        <w:rPr>
          <w:rFonts w:hint="eastAsia"/>
          <w:b/>
          <w:bCs/>
          <w:color w:val="auto"/>
          <w:sz w:val="36"/>
          <w:szCs w:val="36"/>
          <w:highlight w:val="none"/>
          <w:lang w:val="en-US" w:eastAsia="zh-CN"/>
        </w:rPr>
        <w:t>一、自查表</w:t>
      </w:r>
      <w:bookmarkEnd w:id="528"/>
    </w:p>
    <w:p w14:paraId="4A4E6569">
      <w:pPr>
        <w:pStyle w:val="7"/>
        <w:ind w:left="0" w:leftChars="0" w:firstLine="0" w:firstLineChars="0"/>
        <w:rPr>
          <w:rFonts w:hint="eastAsia" w:ascii="宋体" w:hAnsi="宋体" w:eastAsia="宋体" w:cs="宋体"/>
          <w:b/>
          <w:bCs/>
          <w:color w:val="auto"/>
          <w:sz w:val="24"/>
          <w:szCs w:val="24"/>
          <w:highlight w:val="none"/>
        </w:rPr>
      </w:pPr>
    </w:p>
    <w:p w14:paraId="541477EE">
      <w:pPr>
        <w:keepNext w:val="0"/>
        <w:keepLines w:val="0"/>
        <w:pageBreakBefore w:val="0"/>
        <w:widowControl w:val="0"/>
        <w:kinsoku/>
        <w:wordWrap/>
        <w:overflowPunct/>
        <w:topLinePunct w:val="0"/>
        <w:autoSpaceDE w:val="0"/>
        <w:autoSpaceDN w:val="0"/>
        <w:bidi w:val="0"/>
        <w:adjustRightInd/>
        <w:snapToGrid/>
        <w:spacing w:line="440" w:lineRule="exact"/>
        <w:ind w:firstLine="3373" w:firstLineChars="1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 xml:space="preserve">1.1 </w:t>
      </w:r>
      <w:r>
        <w:rPr>
          <w:rFonts w:hint="eastAsia" w:ascii="宋体" w:hAnsi="宋体" w:eastAsia="宋体" w:cs="宋体"/>
          <w:b/>
          <w:bCs/>
          <w:color w:val="auto"/>
          <w:sz w:val="28"/>
          <w:szCs w:val="28"/>
          <w:highlight w:val="none"/>
        </w:rPr>
        <w:t xml:space="preserve">资格审查自查表 </w:t>
      </w:r>
    </w:p>
    <w:p w14:paraId="0327810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tbl>
      <w:tblPr>
        <w:tblStyle w:val="20"/>
        <w:tblW w:w="86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2"/>
        <w:gridCol w:w="6002"/>
        <w:gridCol w:w="2057"/>
      </w:tblGrid>
      <w:tr w14:paraId="70620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572" w:type="dxa"/>
            <w:noWrap w:val="0"/>
            <w:vAlign w:val="top"/>
          </w:tcPr>
          <w:p w14:paraId="16889100">
            <w:pPr>
              <w:keepNext w:val="0"/>
              <w:keepLines w:val="0"/>
              <w:pageBreakBefore w:val="0"/>
              <w:widowControl w:val="0"/>
              <w:kinsoku/>
              <w:wordWrap/>
              <w:overflowPunct/>
              <w:topLinePunct w:val="0"/>
              <w:autoSpaceDE w:val="0"/>
              <w:autoSpaceDN w:val="0"/>
              <w:bidi w:val="0"/>
              <w:adjustRightInd/>
              <w:snapToGrid/>
              <w:spacing w:line="440" w:lineRule="exact"/>
              <w:ind w:firstLine="241" w:firstLineChars="1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w:t>
            </w:r>
          </w:p>
          <w:p w14:paraId="3827A913">
            <w:pPr>
              <w:keepNext w:val="0"/>
              <w:keepLines w:val="0"/>
              <w:pageBreakBefore w:val="0"/>
              <w:widowControl w:val="0"/>
              <w:kinsoku/>
              <w:wordWrap/>
              <w:overflowPunct/>
              <w:topLinePunct w:val="0"/>
              <w:autoSpaceDE w:val="0"/>
              <w:autoSpaceDN w:val="0"/>
              <w:bidi w:val="0"/>
              <w:adjustRightInd/>
              <w:snapToGrid/>
              <w:spacing w:line="440" w:lineRule="exact"/>
              <w:ind w:firstLine="241" w:firstLineChars="1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号</w:t>
            </w:r>
          </w:p>
        </w:tc>
        <w:tc>
          <w:tcPr>
            <w:tcW w:w="6002" w:type="dxa"/>
            <w:noWrap w:val="0"/>
            <w:vAlign w:val="top"/>
          </w:tcPr>
          <w:p w14:paraId="79DD8BDA">
            <w:pPr>
              <w:keepNext w:val="0"/>
              <w:keepLines w:val="0"/>
              <w:pageBreakBefore w:val="0"/>
              <w:widowControl w:val="0"/>
              <w:kinsoku/>
              <w:wordWrap/>
              <w:overflowPunct/>
              <w:topLinePunct w:val="0"/>
              <w:autoSpaceDE w:val="0"/>
              <w:autoSpaceDN w:val="0"/>
              <w:bidi w:val="0"/>
              <w:adjustRightInd/>
              <w:snapToGrid/>
              <w:spacing w:line="440" w:lineRule="exact"/>
              <w:ind w:firstLine="1928" w:firstLineChars="8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磋商文件要求 </w:t>
            </w:r>
          </w:p>
          <w:p w14:paraId="6D2ABA93">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审查内容</w:t>
            </w:r>
            <w:r>
              <w:rPr>
                <w:rFonts w:hint="eastAsia" w:ascii="宋体" w:hAnsi="宋体" w:eastAsia="宋体" w:cs="宋体"/>
                <w:b/>
                <w:bCs/>
                <w:color w:val="auto"/>
                <w:sz w:val="24"/>
                <w:szCs w:val="24"/>
                <w:highlight w:val="none"/>
              </w:rPr>
              <w:t>详见</w:t>
            </w:r>
            <w:r>
              <w:rPr>
                <w:rFonts w:hint="eastAsia" w:ascii="宋体" w:hAnsi="宋体" w:eastAsia="宋体" w:cs="宋体"/>
                <w:b/>
                <w:bCs/>
                <w:color w:val="auto"/>
                <w:sz w:val="24"/>
                <w:szCs w:val="24"/>
                <w:highlight w:val="none"/>
                <w:lang w:val="en-US" w:eastAsia="zh-CN"/>
              </w:rPr>
              <w:t>磋商须知第七</w:t>
            </w:r>
            <w:r>
              <w:rPr>
                <w:rFonts w:hint="eastAsia" w:cs="宋体"/>
                <w:b/>
                <w:bCs/>
                <w:color w:val="auto"/>
                <w:sz w:val="24"/>
                <w:szCs w:val="24"/>
                <w:highlight w:val="none"/>
                <w:lang w:val="en-US" w:eastAsia="zh-CN"/>
              </w:rPr>
              <w:t>部分</w:t>
            </w:r>
            <w:r>
              <w:rPr>
                <w:rFonts w:hint="eastAsia" w:ascii="宋体" w:hAnsi="宋体" w:eastAsia="宋体" w:cs="宋体"/>
                <w:b/>
                <w:bCs/>
                <w:color w:val="auto"/>
                <w:sz w:val="24"/>
                <w:szCs w:val="24"/>
                <w:highlight w:val="none"/>
                <w:lang w:val="en-US" w:eastAsia="zh-CN"/>
              </w:rPr>
              <w:t>：</w:t>
            </w:r>
            <w:r>
              <w:rPr>
                <w:rFonts w:hint="eastAsia" w:cs="宋体"/>
                <w:b/>
                <w:bCs/>
                <w:color w:val="auto"/>
                <w:sz w:val="24"/>
                <w:szCs w:val="24"/>
                <w:highlight w:val="none"/>
                <w:lang w:val="en-US" w:eastAsia="zh-CN"/>
              </w:rPr>
              <w:t>《资格审查表》</w:t>
            </w:r>
          </w:p>
        </w:tc>
        <w:tc>
          <w:tcPr>
            <w:tcW w:w="2057" w:type="dxa"/>
            <w:noWrap w:val="0"/>
            <w:vAlign w:val="top"/>
          </w:tcPr>
          <w:p w14:paraId="48C9A2CD">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p>
          <w:p w14:paraId="2ED6C6D3">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自查结论 </w:t>
            </w:r>
          </w:p>
        </w:tc>
      </w:tr>
      <w:tr w14:paraId="520DB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jc w:val="center"/>
        </w:trPr>
        <w:tc>
          <w:tcPr>
            <w:tcW w:w="572" w:type="dxa"/>
            <w:noWrap w:val="0"/>
            <w:vAlign w:val="top"/>
          </w:tcPr>
          <w:p w14:paraId="0E113125">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002" w:type="dxa"/>
            <w:noWrap w:val="0"/>
            <w:vAlign w:val="top"/>
          </w:tcPr>
          <w:p w14:paraId="457B13D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14:paraId="6FA17CC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通过 □不通过 </w:t>
            </w:r>
          </w:p>
        </w:tc>
      </w:tr>
      <w:tr w14:paraId="7F9B1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572" w:type="dxa"/>
            <w:noWrap w:val="0"/>
            <w:vAlign w:val="top"/>
          </w:tcPr>
          <w:p w14:paraId="183B051F">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002" w:type="dxa"/>
            <w:noWrap w:val="0"/>
            <w:vAlign w:val="top"/>
          </w:tcPr>
          <w:p w14:paraId="0DB519D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14:paraId="57FFD29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r>
      <w:tr w14:paraId="0A450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5" w:hRule="atLeast"/>
          <w:jc w:val="center"/>
        </w:trPr>
        <w:tc>
          <w:tcPr>
            <w:tcW w:w="572" w:type="dxa"/>
            <w:noWrap w:val="0"/>
            <w:vAlign w:val="top"/>
          </w:tcPr>
          <w:p w14:paraId="0D95781E">
            <w:pPr>
              <w:jc w:val="both"/>
              <w:rPr>
                <w:rFonts w:hint="eastAsia"/>
                <w:color w:val="auto"/>
                <w:highlight w:val="none"/>
                <w:lang w:val="en-US" w:eastAsia="zh-CN"/>
              </w:rPr>
            </w:pPr>
          </w:p>
          <w:p w14:paraId="2DE3AE08">
            <w:pPr>
              <w:ind w:firstLine="220" w:firstLineChars="100"/>
              <w:jc w:val="both"/>
              <w:rPr>
                <w:rFonts w:hint="eastAsia"/>
                <w:color w:val="auto"/>
                <w:highlight w:val="none"/>
              </w:rPr>
            </w:pPr>
            <w:r>
              <w:rPr>
                <w:rFonts w:hint="eastAsia"/>
                <w:color w:val="auto"/>
                <w:highlight w:val="none"/>
                <w:lang w:val="en-US" w:eastAsia="zh-CN"/>
              </w:rPr>
              <w:t>3</w:t>
            </w:r>
          </w:p>
          <w:p w14:paraId="004DC74E">
            <w:pPr>
              <w:pStyle w:val="7"/>
              <w:rPr>
                <w:rFonts w:hint="eastAsia"/>
                <w:color w:val="auto"/>
                <w:highlight w:val="none"/>
              </w:rPr>
            </w:pPr>
          </w:p>
        </w:tc>
        <w:tc>
          <w:tcPr>
            <w:tcW w:w="6002" w:type="dxa"/>
            <w:noWrap w:val="0"/>
            <w:vAlign w:val="top"/>
          </w:tcPr>
          <w:p w14:paraId="2F7E6EA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14:paraId="3DEC01B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r>
      <w:tr w14:paraId="60848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jc w:val="center"/>
        </w:trPr>
        <w:tc>
          <w:tcPr>
            <w:tcW w:w="572" w:type="dxa"/>
            <w:noWrap w:val="0"/>
            <w:vAlign w:val="top"/>
          </w:tcPr>
          <w:p w14:paraId="00389156">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6002" w:type="dxa"/>
            <w:noWrap w:val="0"/>
            <w:vAlign w:val="top"/>
          </w:tcPr>
          <w:p w14:paraId="79F7AA9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14:paraId="44412E4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r>
      <w:tr w14:paraId="3720A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jc w:val="center"/>
        </w:trPr>
        <w:tc>
          <w:tcPr>
            <w:tcW w:w="572" w:type="dxa"/>
            <w:noWrap w:val="0"/>
            <w:vAlign w:val="top"/>
          </w:tcPr>
          <w:p w14:paraId="0FE512B5">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6002" w:type="dxa"/>
            <w:noWrap w:val="0"/>
            <w:vAlign w:val="top"/>
          </w:tcPr>
          <w:p w14:paraId="4D5627E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14:paraId="7E04DA3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r>
      <w:tr w14:paraId="179B5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jc w:val="center"/>
        </w:trPr>
        <w:tc>
          <w:tcPr>
            <w:tcW w:w="572" w:type="dxa"/>
            <w:noWrap w:val="0"/>
            <w:vAlign w:val="top"/>
          </w:tcPr>
          <w:p w14:paraId="55DE1AF1">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6002" w:type="dxa"/>
            <w:noWrap w:val="0"/>
            <w:vAlign w:val="top"/>
          </w:tcPr>
          <w:p w14:paraId="2AFA1D3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14:paraId="17522FB8">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r>
      <w:tr w14:paraId="3F190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572" w:type="dxa"/>
            <w:noWrap w:val="0"/>
            <w:vAlign w:val="top"/>
          </w:tcPr>
          <w:p w14:paraId="34FEF1AC">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6002" w:type="dxa"/>
            <w:noWrap w:val="0"/>
            <w:vAlign w:val="top"/>
          </w:tcPr>
          <w:p w14:paraId="0EAAE2F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14:paraId="3DB4BB52">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r>
      <w:tr w14:paraId="03ECE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jc w:val="center"/>
        </w:trPr>
        <w:tc>
          <w:tcPr>
            <w:tcW w:w="572" w:type="dxa"/>
            <w:noWrap w:val="0"/>
            <w:vAlign w:val="top"/>
          </w:tcPr>
          <w:p w14:paraId="5009D770">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6002" w:type="dxa"/>
            <w:noWrap w:val="0"/>
            <w:vAlign w:val="top"/>
          </w:tcPr>
          <w:p w14:paraId="7CC89D5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14:paraId="45BAF21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r>
      <w:tr w14:paraId="3219B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jc w:val="center"/>
        </w:trPr>
        <w:tc>
          <w:tcPr>
            <w:tcW w:w="572" w:type="dxa"/>
            <w:noWrap w:val="0"/>
            <w:vAlign w:val="top"/>
          </w:tcPr>
          <w:p w14:paraId="67C74824">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6002" w:type="dxa"/>
            <w:noWrap w:val="0"/>
            <w:vAlign w:val="top"/>
          </w:tcPr>
          <w:p w14:paraId="3A52EA0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14:paraId="0589A62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14:paraId="5A1D9964">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注：供应商应按照磋商文件《资格性审查表》 中的内容逐条在上表中填写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在对应的□打“√”。 </w:t>
      </w:r>
    </w:p>
    <w:p w14:paraId="69695421">
      <w:pPr>
        <w:pStyle w:val="7"/>
        <w:rPr>
          <w:rFonts w:hint="eastAsia" w:ascii="宋体" w:hAnsi="宋体" w:eastAsia="宋体" w:cs="宋体"/>
          <w:color w:val="auto"/>
          <w:sz w:val="24"/>
          <w:szCs w:val="24"/>
          <w:highlight w:val="none"/>
        </w:rPr>
      </w:pPr>
    </w:p>
    <w:p w14:paraId="371B3BF8">
      <w:pPr>
        <w:rPr>
          <w:rFonts w:hint="eastAsia" w:ascii="宋体" w:hAnsi="宋体" w:eastAsia="宋体" w:cs="宋体"/>
          <w:color w:val="auto"/>
          <w:sz w:val="24"/>
          <w:szCs w:val="24"/>
          <w:highlight w:val="none"/>
        </w:rPr>
      </w:pPr>
    </w:p>
    <w:p w14:paraId="01CCED0B">
      <w:pPr>
        <w:pStyle w:val="7"/>
        <w:rPr>
          <w:rFonts w:hint="eastAsia" w:ascii="宋体" w:hAnsi="宋体" w:eastAsia="宋体" w:cs="宋体"/>
          <w:color w:val="auto"/>
          <w:sz w:val="24"/>
          <w:szCs w:val="24"/>
          <w:highlight w:val="none"/>
        </w:rPr>
      </w:pPr>
    </w:p>
    <w:p w14:paraId="5315B0BE">
      <w:pPr>
        <w:rPr>
          <w:rFonts w:hint="eastAsia" w:ascii="宋体" w:hAnsi="宋体" w:eastAsia="宋体" w:cs="宋体"/>
          <w:color w:val="auto"/>
          <w:sz w:val="24"/>
          <w:szCs w:val="24"/>
          <w:highlight w:val="none"/>
        </w:rPr>
      </w:pPr>
    </w:p>
    <w:p w14:paraId="763F6ACF">
      <w:pPr>
        <w:pStyle w:val="7"/>
        <w:rPr>
          <w:rFonts w:hint="eastAsia"/>
          <w:color w:val="auto"/>
          <w:highlight w:val="none"/>
        </w:rPr>
      </w:pPr>
    </w:p>
    <w:p w14:paraId="6DB2909B">
      <w:pPr>
        <w:pStyle w:val="7"/>
        <w:rPr>
          <w:rFonts w:hint="eastAsia" w:ascii="宋体" w:hAnsi="宋体" w:eastAsia="宋体" w:cs="宋体"/>
          <w:color w:val="auto"/>
          <w:sz w:val="24"/>
          <w:szCs w:val="24"/>
          <w:highlight w:val="none"/>
        </w:rPr>
      </w:pPr>
    </w:p>
    <w:p w14:paraId="1FEFE7B8">
      <w:pPr>
        <w:rPr>
          <w:rFonts w:hint="eastAsia" w:ascii="宋体" w:hAnsi="宋体" w:eastAsia="宋体" w:cs="宋体"/>
          <w:color w:val="auto"/>
          <w:sz w:val="24"/>
          <w:szCs w:val="24"/>
          <w:highlight w:val="none"/>
        </w:rPr>
      </w:pPr>
    </w:p>
    <w:p w14:paraId="2D4D87BA">
      <w:pPr>
        <w:keepNext w:val="0"/>
        <w:keepLines w:val="0"/>
        <w:pageBreakBefore w:val="0"/>
        <w:widowControl w:val="0"/>
        <w:kinsoku/>
        <w:wordWrap/>
        <w:overflowPunct/>
        <w:topLinePunct w:val="0"/>
        <w:autoSpaceDE w:val="0"/>
        <w:autoSpaceDN w:val="0"/>
        <w:bidi w:val="0"/>
        <w:adjustRightInd/>
        <w:snapToGrid/>
        <w:spacing w:line="440" w:lineRule="exact"/>
        <w:ind w:firstLine="3373" w:firstLineChars="1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1.</w:t>
      </w:r>
      <w:r>
        <w:rPr>
          <w:rFonts w:hint="eastAsia" w:cs="宋体"/>
          <w:b/>
          <w:bCs/>
          <w:color w:val="auto"/>
          <w:sz w:val="28"/>
          <w:szCs w:val="28"/>
          <w:highlight w:val="none"/>
          <w:lang w:val="en-US" w:eastAsia="zh-CN"/>
        </w:rPr>
        <w:t>2</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 xml:space="preserve">符合性审查自查表 </w:t>
      </w:r>
    </w:p>
    <w:p w14:paraId="34B4DB5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tbl>
      <w:tblPr>
        <w:tblStyle w:val="20"/>
        <w:tblW w:w="88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2"/>
        <w:gridCol w:w="4650"/>
        <w:gridCol w:w="2085"/>
        <w:gridCol w:w="1567"/>
      </w:tblGrid>
      <w:tr w14:paraId="439EC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572" w:type="dxa"/>
            <w:noWrap w:val="0"/>
            <w:vAlign w:val="top"/>
          </w:tcPr>
          <w:p w14:paraId="153708DF">
            <w:pPr>
              <w:keepNext w:val="0"/>
              <w:keepLines w:val="0"/>
              <w:pageBreakBefore w:val="0"/>
              <w:widowControl w:val="0"/>
              <w:kinsoku/>
              <w:wordWrap/>
              <w:overflowPunct/>
              <w:topLinePunct w:val="0"/>
              <w:autoSpaceDE w:val="0"/>
              <w:autoSpaceDN w:val="0"/>
              <w:bidi w:val="0"/>
              <w:adjustRightInd/>
              <w:snapToGrid/>
              <w:spacing w:line="440" w:lineRule="exact"/>
              <w:ind w:firstLine="241" w:firstLineChars="1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w:t>
            </w:r>
          </w:p>
          <w:p w14:paraId="75E1CE1A">
            <w:pPr>
              <w:keepNext w:val="0"/>
              <w:keepLines w:val="0"/>
              <w:pageBreakBefore w:val="0"/>
              <w:widowControl w:val="0"/>
              <w:kinsoku/>
              <w:wordWrap/>
              <w:overflowPunct/>
              <w:topLinePunct w:val="0"/>
              <w:autoSpaceDE w:val="0"/>
              <w:autoSpaceDN w:val="0"/>
              <w:bidi w:val="0"/>
              <w:adjustRightInd/>
              <w:snapToGrid/>
              <w:spacing w:line="440" w:lineRule="exact"/>
              <w:ind w:firstLine="241" w:firstLineChars="1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号</w:t>
            </w:r>
          </w:p>
        </w:tc>
        <w:tc>
          <w:tcPr>
            <w:tcW w:w="4650" w:type="dxa"/>
            <w:noWrap w:val="0"/>
            <w:vAlign w:val="top"/>
          </w:tcPr>
          <w:p w14:paraId="2567919E">
            <w:pPr>
              <w:keepNext w:val="0"/>
              <w:keepLines w:val="0"/>
              <w:pageBreakBefore w:val="0"/>
              <w:widowControl w:val="0"/>
              <w:kinsoku/>
              <w:wordWrap/>
              <w:overflowPunct/>
              <w:topLinePunct w:val="0"/>
              <w:autoSpaceDE w:val="0"/>
              <w:autoSpaceDN w:val="0"/>
              <w:bidi w:val="0"/>
              <w:adjustRightInd/>
              <w:snapToGrid/>
              <w:spacing w:line="440" w:lineRule="exact"/>
              <w:ind w:firstLine="1928" w:firstLineChars="8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磋商文件要求 </w:t>
            </w:r>
          </w:p>
          <w:p w14:paraId="24AC9A0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审查内容</w:t>
            </w:r>
            <w:r>
              <w:rPr>
                <w:rFonts w:hint="eastAsia" w:ascii="宋体" w:hAnsi="宋体" w:eastAsia="宋体" w:cs="宋体"/>
                <w:b/>
                <w:bCs/>
                <w:color w:val="auto"/>
                <w:sz w:val="24"/>
                <w:szCs w:val="24"/>
                <w:highlight w:val="none"/>
              </w:rPr>
              <w:t>详见</w:t>
            </w:r>
            <w:r>
              <w:rPr>
                <w:rFonts w:hint="eastAsia" w:ascii="宋体" w:hAnsi="宋体" w:eastAsia="宋体" w:cs="宋体"/>
                <w:b/>
                <w:bCs/>
                <w:color w:val="auto"/>
                <w:sz w:val="24"/>
                <w:szCs w:val="24"/>
                <w:highlight w:val="none"/>
                <w:lang w:val="en-US" w:eastAsia="zh-CN"/>
              </w:rPr>
              <w:t>磋商须知第七</w:t>
            </w:r>
            <w:r>
              <w:rPr>
                <w:rFonts w:hint="eastAsia" w:cs="宋体"/>
                <w:b/>
                <w:bCs/>
                <w:color w:val="auto"/>
                <w:sz w:val="24"/>
                <w:szCs w:val="24"/>
                <w:highlight w:val="none"/>
                <w:lang w:val="en-US" w:eastAsia="zh-CN"/>
              </w:rPr>
              <w:t>部分：</w:t>
            </w:r>
            <w:r>
              <w:rPr>
                <w:rFonts w:hint="eastAsia" w:ascii="宋体" w:hAnsi="宋体" w:eastAsia="宋体" w:cs="宋体"/>
                <w:b/>
                <w:bCs/>
                <w:color w:val="auto"/>
                <w:sz w:val="24"/>
                <w:szCs w:val="24"/>
                <w:highlight w:val="none"/>
              </w:rPr>
              <w:t>《符合性审查表》</w:t>
            </w:r>
          </w:p>
        </w:tc>
        <w:tc>
          <w:tcPr>
            <w:tcW w:w="2085" w:type="dxa"/>
            <w:noWrap w:val="0"/>
            <w:vAlign w:val="top"/>
          </w:tcPr>
          <w:p w14:paraId="1778E6CE">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p>
          <w:p w14:paraId="1755239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自查结论 </w:t>
            </w:r>
          </w:p>
        </w:tc>
        <w:tc>
          <w:tcPr>
            <w:tcW w:w="1567" w:type="dxa"/>
            <w:noWrap w:val="0"/>
            <w:vAlign w:val="top"/>
          </w:tcPr>
          <w:p w14:paraId="212B153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69108DAC">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证明资料 </w:t>
            </w:r>
          </w:p>
        </w:tc>
      </w:tr>
      <w:tr w14:paraId="53978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572" w:type="dxa"/>
            <w:noWrap w:val="0"/>
            <w:vAlign w:val="top"/>
          </w:tcPr>
          <w:p w14:paraId="630CC3D1">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650" w:type="dxa"/>
            <w:noWrap w:val="0"/>
            <w:vAlign w:val="top"/>
          </w:tcPr>
          <w:p w14:paraId="6BC64FA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14:paraId="5B4F8567">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c>
          <w:tcPr>
            <w:tcW w:w="1567" w:type="dxa"/>
            <w:noWrap w:val="0"/>
            <w:vAlign w:val="top"/>
          </w:tcPr>
          <w:p w14:paraId="504C827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见响应文件</w:t>
            </w:r>
          </w:p>
          <w:p w14:paraId="6AA247A1">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第（）页 </w:t>
            </w:r>
          </w:p>
        </w:tc>
      </w:tr>
      <w:tr w14:paraId="28522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572" w:type="dxa"/>
            <w:noWrap w:val="0"/>
            <w:vAlign w:val="top"/>
          </w:tcPr>
          <w:p w14:paraId="304E66A4">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650" w:type="dxa"/>
            <w:noWrap w:val="0"/>
            <w:vAlign w:val="top"/>
          </w:tcPr>
          <w:p w14:paraId="4C3F4D5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14:paraId="4FA7332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c>
          <w:tcPr>
            <w:tcW w:w="1567" w:type="dxa"/>
            <w:noWrap w:val="0"/>
            <w:vAlign w:val="top"/>
          </w:tcPr>
          <w:p w14:paraId="4E3CA7E4">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见响应文件第（）页 </w:t>
            </w:r>
          </w:p>
        </w:tc>
      </w:tr>
      <w:tr w14:paraId="348F4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jc w:val="center"/>
        </w:trPr>
        <w:tc>
          <w:tcPr>
            <w:tcW w:w="572" w:type="dxa"/>
            <w:noWrap w:val="0"/>
            <w:vAlign w:val="top"/>
          </w:tcPr>
          <w:p w14:paraId="272DF581">
            <w:pPr>
              <w:jc w:val="both"/>
              <w:rPr>
                <w:rFonts w:hint="eastAsia"/>
                <w:color w:val="auto"/>
                <w:highlight w:val="none"/>
                <w:lang w:val="en-US" w:eastAsia="zh-CN"/>
              </w:rPr>
            </w:pPr>
          </w:p>
          <w:p w14:paraId="0701978A">
            <w:pPr>
              <w:ind w:firstLine="220" w:firstLineChars="100"/>
              <w:jc w:val="both"/>
              <w:rPr>
                <w:rFonts w:hint="eastAsia"/>
                <w:color w:val="auto"/>
                <w:highlight w:val="none"/>
              </w:rPr>
            </w:pPr>
            <w:r>
              <w:rPr>
                <w:rFonts w:hint="eastAsia"/>
                <w:color w:val="auto"/>
                <w:highlight w:val="none"/>
                <w:lang w:val="en-US" w:eastAsia="zh-CN"/>
              </w:rPr>
              <w:t>3</w:t>
            </w:r>
          </w:p>
          <w:p w14:paraId="48C93A9A">
            <w:pPr>
              <w:pStyle w:val="7"/>
              <w:rPr>
                <w:rFonts w:hint="eastAsia"/>
                <w:color w:val="auto"/>
                <w:highlight w:val="none"/>
              </w:rPr>
            </w:pPr>
          </w:p>
        </w:tc>
        <w:tc>
          <w:tcPr>
            <w:tcW w:w="4650" w:type="dxa"/>
            <w:noWrap w:val="0"/>
            <w:vAlign w:val="top"/>
          </w:tcPr>
          <w:p w14:paraId="02CA03C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14:paraId="6D06CA2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c>
          <w:tcPr>
            <w:tcW w:w="1567" w:type="dxa"/>
            <w:noWrap w:val="0"/>
            <w:vAlign w:val="top"/>
          </w:tcPr>
          <w:p w14:paraId="5D9FB92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见响应文件第（）页 </w:t>
            </w:r>
          </w:p>
        </w:tc>
      </w:tr>
      <w:tr w14:paraId="48918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center"/>
        </w:trPr>
        <w:tc>
          <w:tcPr>
            <w:tcW w:w="572" w:type="dxa"/>
            <w:noWrap w:val="0"/>
            <w:vAlign w:val="top"/>
          </w:tcPr>
          <w:p w14:paraId="727425C0">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650" w:type="dxa"/>
            <w:noWrap w:val="0"/>
            <w:vAlign w:val="top"/>
          </w:tcPr>
          <w:p w14:paraId="0B99DBE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14:paraId="5D35963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c>
          <w:tcPr>
            <w:tcW w:w="1567" w:type="dxa"/>
            <w:noWrap w:val="0"/>
            <w:vAlign w:val="top"/>
          </w:tcPr>
          <w:p w14:paraId="247C8824">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见响应文件第（）页 </w:t>
            </w:r>
          </w:p>
        </w:tc>
      </w:tr>
      <w:tr w14:paraId="7A481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center"/>
        </w:trPr>
        <w:tc>
          <w:tcPr>
            <w:tcW w:w="572" w:type="dxa"/>
            <w:noWrap w:val="0"/>
            <w:vAlign w:val="top"/>
          </w:tcPr>
          <w:p w14:paraId="15025F4C">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650" w:type="dxa"/>
            <w:noWrap w:val="0"/>
            <w:vAlign w:val="top"/>
          </w:tcPr>
          <w:p w14:paraId="62528FF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14:paraId="24E6B25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c>
          <w:tcPr>
            <w:tcW w:w="1567" w:type="dxa"/>
            <w:noWrap w:val="0"/>
            <w:vAlign w:val="top"/>
          </w:tcPr>
          <w:p w14:paraId="2A4919A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见响应文件第（）页 </w:t>
            </w:r>
          </w:p>
        </w:tc>
      </w:tr>
      <w:tr w14:paraId="325EB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center"/>
        </w:trPr>
        <w:tc>
          <w:tcPr>
            <w:tcW w:w="572" w:type="dxa"/>
            <w:noWrap w:val="0"/>
            <w:vAlign w:val="top"/>
          </w:tcPr>
          <w:p w14:paraId="6E6478AD">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4650" w:type="dxa"/>
            <w:noWrap w:val="0"/>
            <w:vAlign w:val="top"/>
          </w:tcPr>
          <w:p w14:paraId="407DF93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14:paraId="464C3848">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c>
          <w:tcPr>
            <w:tcW w:w="1567" w:type="dxa"/>
            <w:noWrap w:val="0"/>
            <w:vAlign w:val="top"/>
          </w:tcPr>
          <w:p w14:paraId="45C112E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见响应文件</w:t>
            </w:r>
          </w:p>
          <w:p w14:paraId="592E06C7">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第（）页 </w:t>
            </w:r>
          </w:p>
        </w:tc>
      </w:tr>
      <w:tr w14:paraId="563E7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572" w:type="dxa"/>
            <w:noWrap w:val="0"/>
            <w:vAlign w:val="top"/>
          </w:tcPr>
          <w:p w14:paraId="446AAC40">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4650" w:type="dxa"/>
            <w:noWrap w:val="0"/>
            <w:vAlign w:val="top"/>
          </w:tcPr>
          <w:p w14:paraId="3493E6A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14:paraId="0CDE41F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c>
          <w:tcPr>
            <w:tcW w:w="1567" w:type="dxa"/>
            <w:noWrap w:val="0"/>
            <w:vAlign w:val="top"/>
          </w:tcPr>
          <w:p w14:paraId="2FC85DB3">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见响应文件</w:t>
            </w:r>
          </w:p>
          <w:p w14:paraId="3307F8C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第（）页 </w:t>
            </w:r>
          </w:p>
        </w:tc>
      </w:tr>
      <w:tr w14:paraId="65F8D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572" w:type="dxa"/>
            <w:noWrap w:val="0"/>
            <w:vAlign w:val="top"/>
          </w:tcPr>
          <w:p w14:paraId="3F9D43CE">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4650" w:type="dxa"/>
            <w:noWrap w:val="0"/>
            <w:vAlign w:val="top"/>
          </w:tcPr>
          <w:p w14:paraId="448B6E4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14:paraId="0909876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c>
          <w:tcPr>
            <w:tcW w:w="1567" w:type="dxa"/>
            <w:noWrap w:val="0"/>
            <w:vAlign w:val="top"/>
          </w:tcPr>
          <w:p w14:paraId="3AF1C588">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见响应文件第（）页 </w:t>
            </w:r>
          </w:p>
        </w:tc>
      </w:tr>
      <w:tr w14:paraId="13ED8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572" w:type="dxa"/>
            <w:noWrap w:val="0"/>
            <w:vAlign w:val="top"/>
          </w:tcPr>
          <w:p w14:paraId="6B7E3F02">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4650" w:type="dxa"/>
            <w:noWrap w:val="0"/>
            <w:vAlign w:val="top"/>
          </w:tcPr>
          <w:p w14:paraId="39496B9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14:paraId="01BCB16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567" w:type="dxa"/>
            <w:noWrap w:val="0"/>
            <w:vAlign w:val="top"/>
          </w:tcPr>
          <w:p w14:paraId="6684498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14:paraId="09911E41">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注：供应商应按照磋商文件《符合性审查表》中的内容逐条在上表中填写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在对应的□打“√”，并注明证明资料所在响应文件的页码。 </w:t>
      </w:r>
    </w:p>
    <w:p w14:paraId="50D0399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eastAsia="zh-CN"/>
        </w:rPr>
      </w:pPr>
    </w:p>
    <w:p w14:paraId="6CDB6B16">
      <w:pPr>
        <w:pStyle w:val="7"/>
        <w:rPr>
          <w:rFonts w:hint="eastAsia" w:ascii="宋体" w:hAnsi="宋体" w:eastAsia="宋体" w:cs="宋体"/>
          <w:color w:val="auto"/>
          <w:sz w:val="24"/>
          <w:szCs w:val="24"/>
          <w:highlight w:val="none"/>
          <w:lang w:val="zh-CN" w:eastAsia="zh-CN"/>
        </w:rPr>
      </w:pPr>
    </w:p>
    <w:p w14:paraId="2AC3FE87">
      <w:pPr>
        <w:rPr>
          <w:rFonts w:hint="eastAsia" w:ascii="宋体" w:hAnsi="宋体" w:eastAsia="宋体" w:cs="宋体"/>
          <w:color w:val="auto"/>
          <w:sz w:val="24"/>
          <w:szCs w:val="24"/>
          <w:highlight w:val="none"/>
          <w:lang w:val="zh-CN" w:eastAsia="zh-CN"/>
        </w:rPr>
      </w:pPr>
    </w:p>
    <w:p w14:paraId="6CC5FED6">
      <w:pPr>
        <w:pStyle w:val="7"/>
        <w:rPr>
          <w:rFonts w:hint="eastAsia" w:ascii="宋体" w:hAnsi="宋体" w:eastAsia="宋体" w:cs="宋体"/>
          <w:color w:val="auto"/>
          <w:sz w:val="24"/>
          <w:szCs w:val="24"/>
          <w:highlight w:val="none"/>
          <w:lang w:val="zh-CN" w:eastAsia="zh-CN"/>
        </w:rPr>
      </w:pPr>
    </w:p>
    <w:p w14:paraId="4AFA2B12">
      <w:pPr>
        <w:rPr>
          <w:rFonts w:hint="eastAsia"/>
          <w:color w:val="auto"/>
          <w:highlight w:val="none"/>
          <w:lang w:val="zh-CN" w:eastAsia="zh-CN"/>
        </w:rPr>
      </w:pPr>
    </w:p>
    <w:p w14:paraId="347F0573">
      <w:pPr>
        <w:pStyle w:val="7"/>
        <w:rPr>
          <w:rFonts w:hint="eastAsia"/>
          <w:color w:val="auto"/>
          <w:highlight w:val="none"/>
          <w:lang w:val="zh-CN" w:eastAsia="zh-CN"/>
        </w:rPr>
      </w:pPr>
    </w:p>
    <w:p w14:paraId="03109233">
      <w:pPr>
        <w:jc w:val="center"/>
        <w:rPr>
          <w:rFonts w:ascii="宋体" w:hAnsi="宋体"/>
          <w:b/>
          <w:color w:val="auto"/>
          <w:sz w:val="30"/>
          <w:szCs w:val="30"/>
          <w:highlight w:val="none"/>
        </w:rPr>
      </w:pPr>
      <w:r>
        <w:rPr>
          <w:rFonts w:hint="eastAsia"/>
          <w:b/>
          <w:color w:val="auto"/>
          <w:sz w:val="30"/>
          <w:szCs w:val="30"/>
          <w:highlight w:val="none"/>
          <w:lang w:val="en-US" w:eastAsia="zh-CN"/>
        </w:rPr>
        <w:t xml:space="preserve">1.3 </w:t>
      </w:r>
      <w:r>
        <w:rPr>
          <w:rFonts w:hint="eastAsia" w:ascii="宋体" w:hAnsi="宋体"/>
          <w:b/>
          <w:color w:val="auto"/>
          <w:sz w:val="30"/>
          <w:szCs w:val="30"/>
          <w:highlight w:val="none"/>
        </w:rPr>
        <w:t>评分索引表</w:t>
      </w:r>
    </w:p>
    <w:p w14:paraId="5956F0D7">
      <w:pPr>
        <w:rPr>
          <w:rFonts w:ascii="宋体" w:hAnsi="宋体"/>
          <w:color w:val="auto"/>
          <w:highlight w:val="none"/>
        </w:rPr>
      </w:pPr>
    </w:p>
    <w:tbl>
      <w:tblPr>
        <w:tblStyle w:val="20"/>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9"/>
        <w:gridCol w:w="3711"/>
      </w:tblGrid>
      <w:tr w14:paraId="05823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noWrap w:val="0"/>
            <w:vAlign w:val="center"/>
          </w:tcPr>
          <w:p w14:paraId="008FC0B1">
            <w:pPr>
              <w:pStyle w:val="35"/>
              <w:shd w:val="clear" w:color="auto" w:fill="FFFFFF"/>
              <w:spacing w:line="480" w:lineRule="auto"/>
              <w:ind w:left="420"/>
              <w:jc w:val="center"/>
              <w:rPr>
                <w:rFonts w:ascii="宋体" w:hAnsi="宋体" w:eastAsia="Times New Roman"/>
                <w:b/>
                <w:bCs/>
                <w:color w:val="auto"/>
                <w:highlight w:val="none"/>
                <w:lang w:val="en-US" w:eastAsia="zh-CN"/>
              </w:rPr>
            </w:pPr>
            <w:r>
              <w:rPr>
                <w:rFonts w:hint="eastAsia" w:ascii="宋体" w:hAnsi="宋体" w:eastAsia="Times New Roman"/>
                <w:b/>
                <w:color w:val="auto"/>
                <w:highlight w:val="none"/>
                <w:lang w:val="en-US"/>
              </w:rPr>
              <w:t>评分项目</w:t>
            </w:r>
          </w:p>
        </w:tc>
        <w:tc>
          <w:tcPr>
            <w:tcW w:w="3711" w:type="dxa"/>
            <w:noWrap w:val="0"/>
            <w:vAlign w:val="top"/>
          </w:tcPr>
          <w:p w14:paraId="32909978">
            <w:pPr>
              <w:spacing w:line="480" w:lineRule="auto"/>
              <w:jc w:val="center"/>
              <w:rPr>
                <w:rFonts w:ascii="宋体" w:hAnsi="宋体"/>
                <w:b/>
                <w:color w:val="auto"/>
                <w:highlight w:val="none"/>
              </w:rPr>
            </w:pPr>
            <w:r>
              <w:rPr>
                <w:rFonts w:hint="eastAsia" w:ascii="宋体" w:hAnsi="宋体"/>
                <w:b/>
                <w:color w:val="auto"/>
                <w:kern w:val="0"/>
                <w:sz w:val="24"/>
                <w:highlight w:val="none"/>
                <w:lang w:bidi="en-US"/>
              </w:rPr>
              <w:t>在</w:t>
            </w:r>
            <w:r>
              <w:rPr>
                <w:rFonts w:hint="eastAsia" w:ascii="宋体" w:hAnsi="宋体"/>
                <w:b/>
                <w:color w:val="auto"/>
                <w:kern w:val="0"/>
                <w:sz w:val="24"/>
                <w:highlight w:val="none"/>
                <w:lang w:val="en-US" w:eastAsia="zh-CN" w:bidi="en-US"/>
              </w:rPr>
              <w:t>响应</w:t>
            </w:r>
            <w:r>
              <w:rPr>
                <w:rFonts w:hint="eastAsia" w:ascii="宋体" w:hAnsi="宋体"/>
                <w:b/>
                <w:color w:val="auto"/>
                <w:kern w:val="0"/>
                <w:sz w:val="24"/>
                <w:highlight w:val="none"/>
                <w:lang w:bidi="en-US"/>
              </w:rPr>
              <w:t>文件中的页码位置（注明在**节点下第**页）</w:t>
            </w:r>
          </w:p>
        </w:tc>
      </w:tr>
      <w:tr w14:paraId="25DF1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5529" w:type="dxa"/>
            <w:noWrap w:val="0"/>
            <w:vAlign w:val="top"/>
          </w:tcPr>
          <w:p w14:paraId="46655668">
            <w:pPr>
              <w:pStyle w:val="35"/>
              <w:shd w:val="clear" w:color="auto" w:fill="FFFFFF"/>
              <w:spacing w:line="480" w:lineRule="auto"/>
              <w:ind w:left="420"/>
              <w:jc w:val="both"/>
              <w:rPr>
                <w:rFonts w:ascii="宋体" w:hAnsi="宋体" w:eastAsia="Times New Roman"/>
                <w:b/>
                <w:color w:val="auto"/>
                <w:highlight w:val="none"/>
                <w:lang w:val="en-US" w:eastAsia="zh-CN"/>
              </w:rPr>
            </w:pPr>
          </w:p>
        </w:tc>
        <w:tc>
          <w:tcPr>
            <w:tcW w:w="3711" w:type="dxa"/>
            <w:noWrap w:val="0"/>
            <w:vAlign w:val="top"/>
          </w:tcPr>
          <w:p w14:paraId="1BE469C8">
            <w:pPr>
              <w:spacing w:line="480" w:lineRule="auto"/>
              <w:rPr>
                <w:rFonts w:ascii="宋体" w:hAnsi="宋体"/>
                <w:b/>
                <w:color w:val="auto"/>
                <w:kern w:val="0"/>
                <w:sz w:val="24"/>
                <w:highlight w:val="none"/>
                <w:lang w:bidi="en-US"/>
              </w:rPr>
            </w:pPr>
          </w:p>
        </w:tc>
      </w:tr>
      <w:tr w14:paraId="5D46C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240" w:type="dxa"/>
            <w:gridSpan w:val="2"/>
            <w:noWrap w:val="0"/>
            <w:vAlign w:val="top"/>
          </w:tcPr>
          <w:p w14:paraId="6B4AB50E">
            <w:pPr>
              <w:pStyle w:val="35"/>
              <w:shd w:val="clear" w:color="auto" w:fill="FFFFFF"/>
              <w:spacing w:line="480" w:lineRule="auto"/>
              <w:ind w:left="420"/>
              <w:jc w:val="both"/>
              <w:rPr>
                <w:rFonts w:ascii="宋体" w:hAnsi="宋体" w:eastAsia="Times New Roman"/>
                <w:color w:val="auto"/>
                <w:highlight w:val="none"/>
                <w:lang w:val="en-US" w:eastAsia="zh-CN"/>
              </w:rPr>
            </w:pPr>
          </w:p>
        </w:tc>
      </w:tr>
      <w:tr w14:paraId="27DEC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5529" w:type="dxa"/>
            <w:noWrap w:val="0"/>
            <w:vAlign w:val="top"/>
          </w:tcPr>
          <w:p w14:paraId="4040703C">
            <w:pPr>
              <w:pStyle w:val="35"/>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14:paraId="4D89046C">
            <w:pPr>
              <w:spacing w:line="480" w:lineRule="auto"/>
              <w:rPr>
                <w:rFonts w:ascii="宋体" w:hAnsi="宋体"/>
                <w:color w:val="auto"/>
                <w:highlight w:val="none"/>
              </w:rPr>
            </w:pPr>
          </w:p>
        </w:tc>
      </w:tr>
      <w:tr w14:paraId="12923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noWrap w:val="0"/>
            <w:vAlign w:val="top"/>
          </w:tcPr>
          <w:p w14:paraId="7D226A11">
            <w:pPr>
              <w:pStyle w:val="35"/>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14:paraId="5D837C29">
            <w:pPr>
              <w:spacing w:line="480" w:lineRule="auto"/>
              <w:rPr>
                <w:rFonts w:ascii="宋体" w:hAnsi="宋体"/>
                <w:color w:val="auto"/>
                <w:highlight w:val="none"/>
              </w:rPr>
            </w:pPr>
          </w:p>
        </w:tc>
      </w:tr>
      <w:tr w14:paraId="702FD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noWrap w:val="0"/>
            <w:vAlign w:val="top"/>
          </w:tcPr>
          <w:p w14:paraId="7D682B38">
            <w:pPr>
              <w:pStyle w:val="35"/>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14:paraId="3441242B">
            <w:pPr>
              <w:spacing w:line="480" w:lineRule="auto"/>
              <w:rPr>
                <w:rFonts w:ascii="宋体" w:hAnsi="宋体"/>
                <w:color w:val="auto"/>
                <w:highlight w:val="none"/>
              </w:rPr>
            </w:pPr>
          </w:p>
        </w:tc>
      </w:tr>
      <w:tr w14:paraId="555F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noWrap w:val="0"/>
            <w:vAlign w:val="top"/>
          </w:tcPr>
          <w:p w14:paraId="6A00B9B0">
            <w:pPr>
              <w:pStyle w:val="35"/>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14:paraId="15C37F2B">
            <w:pPr>
              <w:spacing w:line="480" w:lineRule="auto"/>
              <w:rPr>
                <w:rFonts w:ascii="宋体" w:hAnsi="宋体"/>
                <w:color w:val="auto"/>
                <w:highlight w:val="none"/>
              </w:rPr>
            </w:pPr>
          </w:p>
        </w:tc>
      </w:tr>
      <w:tr w14:paraId="64C28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noWrap w:val="0"/>
            <w:vAlign w:val="top"/>
          </w:tcPr>
          <w:p w14:paraId="4E1A7E5E">
            <w:pPr>
              <w:pStyle w:val="35"/>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14:paraId="7732D9CE">
            <w:pPr>
              <w:spacing w:line="480" w:lineRule="auto"/>
              <w:rPr>
                <w:rFonts w:ascii="宋体" w:hAnsi="宋体"/>
                <w:color w:val="auto"/>
                <w:highlight w:val="none"/>
              </w:rPr>
            </w:pPr>
          </w:p>
        </w:tc>
      </w:tr>
      <w:tr w14:paraId="6A08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val="0"/>
            <w:vAlign w:val="top"/>
          </w:tcPr>
          <w:p w14:paraId="615B6E8D">
            <w:pPr>
              <w:pStyle w:val="35"/>
              <w:shd w:val="clear" w:color="auto" w:fill="FFFFFF"/>
              <w:spacing w:line="480" w:lineRule="auto"/>
              <w:ind w:left="420"/>
              <w:jc w:val="both"/>
              <w:rPr>
                <w:rFonts w:ascii="宋体" w:hAnsi="宋体" w:eastAsia="Times New Roman"/>
                <w:color w:val="auto"/>
                <w:highlight w:val="none"/>
                <w:lang w:val="en-US" w:eastAsia="zh-CN"/>
              </w:rPr>
            </w:pPr>
          </w:p>
        </w:tc>
      </w:tr>
      <w:tr w14:paraId="00C9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5529" w:type="dxa"/>
            <w:noWrap w:val="0"/>
            <w:vAlign w:val="top"/>
          </w:tcPr>
          <w:p w14:paraId="709A2273">
            <w:pPr>
              <w:pStyle w:val="35"/>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14:paraId="6A8AEC8F">
            <w:pPr>
              <w:spacing w:line="480" w:lineRule="auto"/>
              <w:rPr>
                <w:rFonts w:ascii="宋体" w:hAnsi="宋体"/>
                <w:color w:val="auto"/>
                <w:highlight w:val="none"/>
              </w:rPr>
            </w:pPr>
          </w:p>
        </w:tc>
      </w:tr>
      <w:tr w14:paraId="4E9B0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529" w:type="dxa"/>
            <w:noWrap w:val="0"/>
            <w:vAlign w:val="top"/>
          </w:tcPr>
          <w:p w14:paraId="639D3598">
            <w:pPr>
              <w:pStyle w:val="35"/>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14:paraId="0900D283">
            <w:pPr>
              <w:spacing w:line="480" w:lineRule="auto"/>
              <w:rPr>
                <w:rFonts w:ascii="宋体" w:hAnsi="宋体"/>
                <w:color w:val="auto"/>
                <w:highlight w:val="none"/>
              </w:rPr>
            </w:pPr>
          </w:p>
        </w:tc>
      </w:tr>
      <w:tr w14:paraId="56567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529" w:type="dxa"/>
            <w:noWrap w:val="0"/>
            <w:vAlign w:val="top"/>
          </w:tcPr>
          <w:p w14:paraId="40B7057F">
            <w:pPr>
              <w:pStyle w:val="35"/>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14:paraId="70EF6429">
            <w:pPr>
              <w:spacing w:line="480" w:lineRule="auto"/>
              <w:rPr>
                <w:rFonts w:ascii="宋体" w:hAnsi="宋体"/>
                <w:color w:val="auto"/>
                <w:highlight w:val="none"/>
              </w:rPr>
            </w:pPr>
          </w:p>
        </w:tc>
      </w:tr>
      <w:tr w14:paraId="41F5E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529" w:type="dxa"/>
            <w:noWrap w:val="0"/>
            <w:vAlign w:val="top"/>
          </w:tcPr>
          <w:p w14:paraId="7E9BFFD0">
            <w:pPr>
              <w:pStyle w:val="35"/>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14:paraId="51786145">
            <w:pPr>
              <w:spacing w:line="480" w:lineRule="auto"/>
              <w:rPr>
                <w:rFonts w:ascii="宋体" w:hAnsi="宋体"/>
                <w:color w:val="auto"/>
                <w:highlight w:val="none"/>
              </w:rPr>
            </w:pPr>
          </w:p>
        </w:tc>
      </w:tr>
      <w:tr w14:paraId="28A71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val="0"/>
            <w:vAlign w:val="top"/>
          </w:tcPr>
          <w:p w14:paraId="461CF709">
            <w:pPr>
              <w:pStyle w:val="35"/>
              <w:shd w:val="clear" w:color="auto" w:fill="FFFFFF"/>
              <w:spacing w:line="480" w:lineRule="auto"/>
              <w:ind w:left="420"/>
              <w:jc w:val="both"/>
              <w:rPr>
                <w:rFonts w:ascii="宋体" w:hAnsi="宋体" w:eastAsia="Times New Roman"/>
                <w:b/>
                <w:color w:val="auto"/>
                <w:highlight w:val="none"/>
                <w:lang w:val="en-US" w:eastAsia="zh-CN"/>
              </w:rPr>
            </w:pPr>
          </w:p>
        </w:tc>
      </w:tr>
      <w:tr w14:paraId="42FCB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29" w:type="dxa"/>
            <w:noWrap w:val="0"/>
            <w:vAlign w:val="top"/>
          </w:tcPr>
          <w:p w14:paraId="729C2DA1">
            <w:pPr>
              <w:pStyle w:val="35"/>
              <w:shd w:val="clear" w:color="auto" w:fill="FFFFFF"/>
              <w:spacing w:line="480" w:lineRule="auto"/>
              <w:ind w:left="420"/>
              <w:rPr>
                <w:rFonts w:ascii="宋体" w:hAnsi="宋体" w:eastAsia="Times New Roman"/>
                <w:b/>
                <w:bCs/>
                <w:color w:val="auto"/>
                <w:highlight w:val="none"/>
                <w:lang w:val="en-US" w:eastAsia="zh-CN"/>
              </w:rPr>
            </w:pPr>
          </w:p>
        </w:tc>
        <w:tc>
          <w:tcPr>
            <w:tcW w:w="3711" w:type="dxa"/>
            <w:noWrap w:val="0"/>
            <w:vAlign w:val="top"/>
          </w:tcPr>
          <w:p w14:paraId="5D33DFFB">
            <w:pPr>
              <w:spacing w:line="480" w:lineRule="auto"/>
              <w:rPr>
                <w:rFonts w:ascii="宋体" w:hAnsi="宋体"/>
                <w:color w:val="auto"/>
                <w:highlight w:val="none"/>
              </w:rPr>
            </w:pPr>
          </w:p>
        </w:tc>
      </w:tr>
      <w:tr w14:paraId="2DC1A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noWrap w:val="0"/>
            <w:vAlign w:val="top"/>
          </w:tcPr>
          <w:p w14:paraId="43804925">
            <w:pPr>
              <w:pStyle w:val="35"/>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14:paraId="2E24B327">
            <w:pPr>
              <w:spacing w:line="480" w:lineRule="auto"/>
              <w:rPr>
                <w:rFonts w:ascii="宋体" w:hAnsi="宋体"/>
                <w:color w:val="auto"/>
                <w:highlight w:val="none"/>
              </w:rPr>
            </w:pPr>
          </w:p>
        </w:tc>
      </w:tr>
    </w:tbl>
    <w:p w14:paraId="34A2E74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注：供应商应按照磋商文件《评分标准》中技术、商务评分表的内容，列明各评审 </w:t>
      </w:r>
    </w:p>
    <w:p w14:paraId="48360E7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分项在磋商响应文件中所在位置，以便查对。</w:t>
      </w:r>
    </w:p>
    <w:p w14:paraId="58BC9741">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eastAsia="zh-CN"/>
        </w:rPr>
        <w:sectPr>
          <w:headerReference r:id="rId17" w:type="default"/>
          <w:pgSz w:w="11910" w:h="16840"/>
          <w:pgMar w:top="1984" w:right="1531" w:bottom="2098" w:left="1531" w:header="670" w:footer="1041" w:gutter="0"/>
          <w:pgNumType w:fmt="decimal"/>
          <w:cols w:space="720" w:num="1"/>
          <w:rtlGutter w:val="0"/>
          <w:docGrid w:linePitch="1" w:charSpace="0"/>
        </w:sectPr>
      </w:pPr>
    </w:p>
    <w:p w14:paraId="7A1A4868">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b/>
          <w:bCs/>
          <w:color w:val="auto"/>
          <w:sz w:val="36"/>
          <w:szCs w:val="36"/>
          <w:highlight w:val="none"/>
          <w:lang w:val="en-US" w:eastAsia="zh-CN"/>
        </w:rPr>
      </w:pPr>
      <w:bookmarkStart w:id="529" w:name="_Toc4242_WPSOffice_Level1"/>
      <w:r>
        <w:rPr>
          <w:rFonts w:hint="eastAsia"/>
          <w:b/>
          <w:bCs/>
          <w:color w:val="auto"/>
          <w:sz w:val="36"/>
          <w:szCs w:val="36"/>
          <w:highlight w:val="none"/>
          <w:lang w:val="en-US" w:eastAsia="zh-CN"/>
        </w:rPr>
        <w:t>二、商务文件</w:t>
      </w:r>
      <w:bookmarkEnd w:id="529"/>
    </w:p>
    <w:p w14:paraId="620BCE0B">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b/>
          <w:bCs/>
          <w:color w:val="auto"/>
          <w:sz w:val="36"/>
          <w:szCs w:val="36"/>
          <w:highlight w:val="none"/>
          <w:lang w:val="en-US" w:eastAsia="zh-CN"/>
        </w:rPr>
      </w:pPr>
    </w:p>
    <w:p w14:paraId="0C069D41">
      <w:pPr>
        <w:pStyle w:val="3"/>
        <w:bidi w:val="0"/>
        <w:jc w:val="center"/>
        <w:rPr>
          <w:rFonts w:hint="eastAsia" w:ascii="宋体" w:hAnsi="宋体" w:eastAsia="宋体" w:cs="宋体"/>
          <w:b/>
          <w:color w:val="auto"/>
          <w:kern w:val="0"/>
          <w:sz w:val="30"/>
          <w:szCs w:val="30"/>
          <w:highlight w:val="none"/>
          <w:lang w:val="zh-CN" w:eastAsia="zh-CN" w:bidi="zh-CN"/>
        </w:rPr>
      </w:pPr>
      <w:r>
        <w:rPr>
          <w:rFonts w:hint="eastAsia" w:cs="宋体"/>
          <w:b/>
          <w:color w:val="auto"/>
          <w:kern w:val="0"/>
          <w:sz w:val="30"/>
          <w:szCs w:val="30"/>
          <w:highlight w:val="none"/>
          <w:lang w:val="en-US" w:eastAsia="zh-CN" w:bidi="zh-CN"/>
        </w:rPr>
        <w:t>2</w:t>
      </w:r>
      <w:r>
        <w:rPr>
          <w:rFonts w:hint="eastAsia" w:ascii="宋体" w:hAnsi="宋体" w:eastAsia="宋体" w:cs="宋体"/>
          <w:b/>
          <w:color w:val="auto"/>
          <w:kern w:val="0"/>
          <w:sz w:val="30"/>
          <w:szCs w:val="30"/>
          <w:highlight w:val="none"/>
          <w:lang w:val="en-US" w:eastAsia="zh-CN" w:bidi="zh-CN"/>
        </w:rPr>
        <w:t>.</w:t>
      </w:r>
      <w:r>
        <w:rPr>
          <w:rFonts w:hint="eastAsia" w:cs="宋体"/>
          <w:b/>
          <w:color w:val="auto"/>
          <w:kern w:val="0"/>
          <w:sz w:val="30"/>
          <w:szCs w:val="30"/>
          <w:highlight w:val="none"/>
          <w:lang w:val="en-US" w:eastAsia="zh-CN" w:bidi="zh-CN"/>
        </w:rPr>
        <w:t xml:space="preserve">1 </w:t>
      </w:r>
      <w:r>
        <w:rPr>
          <w:rFonts w:hint="eastAsia" w:ascii="宋体" w:hAnsi="宋体" w:eastAsia="宋体" w:cs="宋体"/>
          <w:b/>
          <w:color w:val="auto"/>
          <w:kern w:val="0"/>
          <w:sz w:val="30"/>
          <w:szCs w:val="30"/>
          <w:highlight w:val="none"/>
          <w:lang w:val="en-US" w:eastAsia="zh-CN" w:bidi="zh-CN"/>
        </w:rPr>
        <w:t>磋商响应函</w:t>
      </w:r>
    </w:p>
    <w:p w14:paraId="69B4F59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F41996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cs="宋体"/>
          <w:b/>
          <w:bCs/>
          <w:color w:val="auto"/>
          <w:sz w:val="24"/>
          <w:szCs w:val="24"/>
          <w:highlight w:val="none"/>
          <w:lang w:val="en-US" w:eastAsia="zh-CN"/>
        </w:rPr>
      </w:pPr>
      <w:r>
        <w:rPr>
          <w:rFonts w:hint="eastAsia" w:ascii="宋体" w:hAnsi="宋体" w:eastAsia="宋体" w:cs="宋体"/>
          <w:b/>
          <w:bCs/>
          <w:color w:val="auto"/>
          <w:sz w:val="24"/>
          <w:szCs w:val="24"/>
          <w:highlight w:val="none"/>
        </w:rPr>
        <w:t>致：</w:t>
      </w:r>
      <w:r>
        <w:rPr>
          <w:rFonts w:hint="eastAsia" w:cs="宋体"/>
          <w:b/>
          <w:bCs/>
          <w:color w:val="auto"/>
          <w:sz w:val="24"/>
          <w:szCs w:val="24"/>
          <w:highlight w:val="none"/>
          <w:lang w:val="en-US" w:eastAsia="zh-CN"/>
        </w:rPr>
        <w:t>鄯善县吐峪沟乡人民政府</w:t>
      </w:r>
    </w:p>
    <w:p w14:paraId="7A92B992">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default" w:ascii="宋体" w:hAnsi="宋体" w:eastAsia="宋体" w:cs="宋体"/>
          <w:color w:val="auto"/>
          <w:sz w:val="24"/>
          <w:szCs w:val="24"/>
          <w:highlight w:val="none"/>
          <w:lang w:val="en-US"/>
        </w:rPr>
      </w:pPr>
      <w:r>
        <w:rPr>
          <w:rFonts w:hint="eastAsia" w:cs="宋体"/>
          <w:b/>
          <w:bCs/>
          <w:color w:val="auto"/>
          <w:sz w:val="24"/>
          <w:szCs w:val="24"/>
          <w:highlight w:val="none"/>
          <w:lang w:val="en-US" w:eastAsia="zh-CN"/>
        </w:rPr>
        <w:t>新疆华域天恒工程管理有限公司</w:t>
      </w:r>
    </w:p>
    <w:p w14:paraId="41DD062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我方确认收到贵方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采购相关</w:t>
      </w:r>
      <w:r>
        <w:rPr>
          <w:rFonts w:hint="eastAsia" w:cs="宋体"/>
          <w:color w:val="auto"/>
          <w:sz w:val="24"/>
          <w:szCs w:val="24"/>
          <w:highlight w:val="none"/>
          <w:lang w:val="en-US" w:eastAsia="zh-CN"/>
        </w:rPr>
        <w:t>工程</w:t>
      </w:r>
      <w:r>
        <w:rPr>
          <w:rFonts w:hint="eastAsia" w:ascii="宋体" w:hAnsi="宋体" w:eastAsia="宋体" w:cs="宋体"/>
          <w:color w:val="auto"/>
          <w:sz w:val="24"/>
          <w:szCs w:val="24"/>
          <w:highlight w:val="none"/>
        </w:rPr>
        <w:t>的磋商文件（</w:t>
      </w:r>
      <w:r>
        <w:rPr>
          <w:rFonts w:hint="eastAsia" w:ascii="宋体" w:hAnsi="宋体" w:eastAsia="宋体" w:cs="宋体"/>
          <w:color w:val="auto"/>
          <w:sz w:val="24"/>
          <w:szCs w:val="24"/>
          <w:highlight w:val="none"/>
          <w:lang w:eastAsia="zh-CN"/>
        </w:rPr>
        <w:t>采购项目编号：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(供应商名称、地址)  </w:t>
      </w:r>
      <w:r>
        <w:rPr>
          <w:rFonts w:hint="eastAsia" w:ascii="宋体" w:hAnsi="宋体" w:eastAsia="宋体" w:cs="宋体"/>
          <w:color w:val="auto"/>
          <w:sz w:val="24"/>
          <w:szCs w:val="24"/>
          <w:highlight w:val="none"/>
        </w:rPr>
        <w:t xml:space="preserve">作为供应商已正式授权 </w:t>
      </w:r>
      <w:r>
        <w:rPr>
          <w:rFonts w:hint="eastAsia" w:ascii="宋体" w:hAnsi="宋体" w:eastAsia="宋体" w:cs="宋体"/>
          <w:color w:val="auto"/>
          <w:sz w:val="24"/>
          <w:szCs w:val="24"/>
          <w:highlight w:val="none"/>
          <w:u w:val="single"/>
        </w:rPr>
        <w:t xml:space="preserve">(被供应商授权代表全名、职务) </w:t>
      </w:r>
      <w:r>
        <w:rPr>
          <w:rFonts w:hint="eastAsia" w:ascii="宋体" w:hAnsi="宋体" w:eastAsia="宋体" w:cs="宋体"/>
          <w:color w:val="auto"/>
          <w:sz w:val="24"/>
          <w:szCs w:val="24"/>
          <w:highlight w:val="none"/>
        </w:rPr>
        <w:t xml:space="preserve">为我方签名代表，签名代表在此声明并同意： </w:t>
      </w:r>
    </w:p>
    <w:p w14:paraId="079FE5E6">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我们愿意遵守</w:t>
      </w:r>
      <w:r>
        <w:rPr>
          <w:rFonts w:hint="eastAsia" w:cs="宋体"/>
          <w:b/>
          <w:bCs/>
          <w:color w:val="auto"/>
          <w:sz w:val="24"/>
          <w:szCs w:val="24"/>
          <w:highlight w:val="none"/>
          <w:lang w:val="en-US" w:eastAsia="zh-CN"/>
        </w:rPr>
        <w:t>招标代理公司</w:t>
      </w:r>
      <w:r>
        <w:rPr>
          <w:rFonts w:hint="eastAsia" w:ascii="宋体" w:hAnsi="宋体" w:eastAsia="宋体" w:cs="宋体"/>
          <w:b/>
          <w:bCs/>
          <w:color w:val="auto"/>
          <w:sz w:val="24"/>
          <w:szCs w:val="24"/>
          <w:highlight w:val="none"/>
        </w:rPr>
        <w:t xml:space="preserve">磋商文件的各项规定，自愿参加磋商，并已清楚磋商文件的要求及有关文件规定，并严格按照磋商文件的规定履行全部责任和义务。 </w:t>
      </w:r>
    </w:p>
    <w:p w14:paraId="24CA07EF">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我们同意本响应文件自</w:t>
      </w: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 xml:space="preserve">截止之日起 </w:t>
      </w:r>
      <w:r>
        <w:rPr>
          <w:rFonts w:hint="eastAsia" w:cs="宋体"/>
          <w:b/>
          <w:bCs/>
          <w:color w:val="auto"/>
          <w:sz w:val="24"/>
          <w:szCs w:val="24"/>
          <w:highlight w:val="none"/>
          <w:lang w:val="en-US" w:eastAsia="zh-CN"/>
        </w:rPr>
        <w:t>9</w:t>
      </w:r>
      <w:r>
        <w:rPr>
          <w:rFonts w:hint="eastAsia" w:ascii="宋体" w:hAnsi="宋体" w:eastAsia="宋体" w:cs="宋体"/>
          <w:b/>
          <w:bCs/>
          <w:color w:val="auto"/>
          <w:sz w:val="24"/>
          <w:szCs w:val="24"/>
          <w:highlight w:val="none"/>
        </w:rPr>
        <w:t xml:space="preserve">0 天内有效。如果我们的响应文件被接受，则直至合同生效时止，本响应文件始终有效并不撤回已递交的响应文件。 </w:t>
      </w:r>
    </w:p>
    <w:p w14:paraId="310108A4">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 xml:space="preserve">我们已经详细地阅读并完全明白了全部磋商文件及附件，包括澄清（如有）及参考文件，我们完全理解本磋商文件的要求，我们同意放弃对磋商文件提出不明或误解的一切权力。 </w:t>
      </w:r>
    </w:p>
    <w:p w14:paraId="3127BB6B">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我们同意提供采购人、</w:t>
      </w:r>
      <w:r>
        <w:rPr>
          <w:rFonts w:hint="eastAsia" w:cs="宋体"/>
          <w:b/>
          <w:bCs/>
          <w:color w:val="auto"/>
          <w:sz w:val="24"/>
          <w:szCs w:val="24"/>
          <w:highlight w:val="none"/>
          <w:lang w:val="en-US" w:eastAsia="zh-CN"/>
        </w:rPr>
        <w:t>招标代理公司</w:t>
      </w:r>
      <w:r>
        <w:rPr>
          <w:rFonts w:hint="eastAsia" w:ascii="宋体" w:hAnsi="宋体" w:eastAsia="宋体" w:cs="宋体"/>
          <w:b/>
          <w:bCs/>
          <w:color w:val="auto"/>
          <w:sz w:val="24"/>
          <w:szCs w:val="24"/>
          <w:highlight w:val="none"/>
        </w:rPr>
        <w:t xml:space="preserve">及磋商小组要求的有关磋商的一切数据或资料。 </w:t>
      </w:r>
    </w:p>
    <w:p w14:paraId="38BA4BFB">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我们理解采购人、</w:t>
      </w:r>
      <w:r>
        <w:rPr>
          <w:rFonts w:hint="eastAsia" w:cs="宋体"/>
          <w:b/>
          <w:bCs/>
          <w:color w:val="auto"/>
          <w:sz w:val="24"/>
          <w:szCs w:val="24"/>
          <w:highlight w:val="none"/>
          <w:lang w:val="en-US" w:eastAsia="zh-CN"/>
        </w:rPr>
        <w:t>招标代理公司</w:t>
      </w:r>
      <w:r>
        <w:rPr>
          <w:rFonts w:hint="eastAsia" w:ascii="宋体" w:hAnsi="宋体" w:eastAsia="宋体" w:cs="宋体"/>
          <w:b/>
          <w:bCs/>
          <w:color w:val="auto"/>
          <w:sz w:val="24"/>
          <w:szCs w:val="24"/>
          <w:highlight w:val="none"/>
        </w:rPr>
        <w:t>及磋商小组与磋商小组并无义务必须接受最低报价的磋商或其它任何投标，完全理解</w:t>
      </w:r>
      <w:r>
        <w:rPr>
          <w:rFonts w:hint="eastAsia" w:cs="宋体"/>
          <w:b/>
          <w:bCs/>
          <w:color w:val="auto"/>
          <w:sz w:val="24"/>
          <w:szCs w:val="24"/>
          <w:highlight w:val="none"/>
          <w:lang w:val="en-US" w:eastAsia="zh-CN"/>
        </w:rPr>
        <w:t>招标代理公司</w:t>
      </w:r>
      <w:r>
        <w:rPr>
          <w:rFonts w:hint="eastAsia" w:ascii="宋体" w:hAnsi="宋体" w:eastAsia="宋体" w:cs="宋体"/>
          <w:b/>
          <w:bCs/>
          <w:color w:val="auto"/>
          <w:sz w:val="24"/>
          <w:szCs w:val="24"/>
          <w:highlight w:val="none"/>
        </w:rPr>
        <w:t xml:space="preserve">拒绝迟到的任何磋商和最低磋商报价不是被授予成交的唯一条件。 </w:t>
      </w:r>
    </w:p>
    <w:p w14:paraId="57C86FC8">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 xml:space="preserve">如果我们未对磋商文件全部要求作出实质性响应，则完全同意并接受按无效响应处理。  </w:t>
      </w:r>
    </w:p>
    <w:p w14:paraId="4960393C">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 xml:space="preserve">我们证明提交的一切文件，无论是原件还是复印件均为准确、真实、有效、完整的，绝无任何虚假、伪造或者夸大。我们在此郑重承诺：在本次采购活动中，如有违法、违规、弄虚作假行为，所造成的损失、不良后果及法律责任，一律由我公司（企业）承担。 </w:t>
      </w:r>
    </w:p>
    <w:p w14:paraId="11E21889">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 xml:space="preserve">如果我们提供的声明或承诺不真实，则完全同意认定为我司提供虚假材料，并同意作相应处理。 </w:t>
      </w:r>
    </w:p>
    <w:p w14:paraId="4FCC0EBB">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我们是依法注册的法人，在法律、财务及运作上完全独立于本项目采购人</w:t>
      </w:r>
    </w:p>
    <w:p w14:paraId="00A1C503">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所有有关本次投标的函电请寄：</w:t>
      </w:r>
      <w:r>
        <w:rPr>
          <w:rFonts w:hint="eastAsia" w:ascii="宋体" w:hAnsi="宋体" w:eastAsia="宋体" w:cs="宋体"/>
          <w:b/>
          <w:bCs/>
          <w:color w:val="auto"/>
          <w:sz w:val="24"/>
          <w:szCs w:val="24"/>
          <w:highlight w:val="none"/>
          <w:u w:val="single"/>
        </w:rPr>
        <w:t xml:space="preserve"> （供应商地址）</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408AFCD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35A05B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备注：本函内容不得擅自删改，否则视为无效投标。  </w:t>
      </w:r>
    </w:p>
    <w:p w14:paraId="2933AE9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57BE7B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供应商名称（单位盖公章）：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00F217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56635C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8CF23A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法定代表人或供应商授权代表（签名或盖章）：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职务：</w:t>
      </w:r>
      <w:r>
        <w:rPr>
          <w:rFonts w:hint="eastAsia" w:ascii="宋体" w:hAnsi="宋体" w:eastAsia="宋体" w:cs="宋体"/>
          <w:color w:val="auto"/>
          <w:sz w:val="24"/>
          <w:szCs w:val="24"/>
          <w:highlight w:val="none"/>
          <w:u w:val="single"/>
        </w:rPr>
        <w:t xml:space="preserve">          </w:t>
      </w:r>
    </w:p>
    <w:p w14:paraId="0ECDD23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F6E4DA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1F8C24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5D9CAA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电 话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日 期 :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4B2CE8B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center"/>
        <w:textAlignment w:val="auto"/>
        <w:rPr>
          <w:rFonts w:hint="eastAsia" w:ascii="宋体" w:hAnsi="宋体" w:eastAsia="宋体" w:cs="宋体"/>
          <w:color w:val="auto"/>
          <w:sz w:val="24"/>
          <w:szCs w:val="24"/>
          <w:highlight w:val="none"/>
        </w:rPr>
      </w:pPr>
    </w:p>
    <w:p w14:paraId="3270A61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center"/>
        <w:textAlignment w:val="auto"/>
        <w:rPr>
          <w:rFonts w:hint="eastAsia" w:ascii="宋体" w:hAnsi="宋体" w:eastAsia="宋体" w:cs="宋体"/>
          <w:color w:val="auto"/>
          <w:sz w:val="24"/>
          <w:szCs w:val="24"/>
          <w:highlight w:val="none"/>
        </w:rPr>
      </w:pPr>
    </w:p>
    <w:p w14:paraId="39802C28">
      <w:pPr>
        <w:pStyle w:val="7"/>
        <w:rPr>
          <w:rFonts w:hint="eastAsia" w:ascii="宋体" w:hAnsi="宋体" w:eastAsia="宋体" w:cs="宋体"/>
          <w:color w:val="auto"/>
          <w:sz w:val="24"/>
          <w:szCs w:val="24"/>
          <w:highlight w:val="none"/>
        </w:rPr>
      </w:pPr>
    </w:p>
    <w:p w14:paraId="71E4D6C7">
      <w:pPr>
        <w:rPr>
          <w:rFonts w:hint="eastAsia" w:ascii="宋体" w:hAnsi="宋体" w:eastAsia="宋体" w:cs="宋体"/>
          <w:color w:val="auto"/>
          <w:sz w:val="24"/>
          <w:szCs w:val="24"/>
          <w:highlight w:val="none"/>
        </w:rPr>
      </w:pPr>
    </w:p>
    <w:p w14:paraId="4295838F">
      <w:pPr>
        <w:pStyle w:val="7"/>
        <w:rPr>
          <w:rFonts w:hint="eastAsia" w:ascii="宋体" w:hAnsi="宋体" w:eastAsia="宋体" w:cs="宋体"/>
          <w:color w:val="auto"/>
          <w:sz w:val="24"/>
          <w:szCs w:val="24"/>
          <w:highlight w:val="none"/>
        </w:rPr>
      </w:pPr>
    </w:p>
    <w:p w14:paraId="6C9EB28F">
      <w:pPr>
        <w:rPr>
          <w:rFonts w:hint="eastAsia" w:ascii="宋体" w:hAnsi="宋体" w:eastAsia="宋体" w:cs="宋体"/>
          <w:color w:val="auto"/>
          <w:sz w:val="24"/>
          <w:szCs w:val="24"/>
          <w:highlight w:val="none"/>
        </w:rPr>
      </w:pPr>
    </w:p>
    <w:p w14:paraId="300187B3">
      <w:pPr>
        <w:pStyle w:val="7"/>
        <w:rPr>
          <w:rFonts w:hint="eastAsia" w:ascii="宋体" w:hAnsi="宋体" w:eastAsia="宋体" w:cs="宋体"/>
          <w:color w:val="auto"/>
          <w:sz w:val="24"/>
          <w:szCs w:val="24"/>
          <w:highlight w:val="none"/>
        </w:rPr>
      </w:pPr>
    </w:p>
    <w:p w14:paraId="356C62EA">
      <w:pPr>
        <w:rPr>
          <w:rFonts w:hint="eastAsia" w:ascii="宋体" w:hAnsi="宋体" w:eastAsia="宋体" w:cs="宋体"/>
          <w:color w:val="auto"/>
          <w:sz w:val="24"/>
          <w:szCs w:val="24"/>
          <w:highlight w:val="none"/>
        </w:rPr>
      </w:pPr>
    </w:p>
    <w:p w14:paraId="1D951BDC">
      <w:pPr>
        <w:pStyle w:val="7"/>
        <w:rPr>
          <w:rFonts w:hint="eastAsia" w:ascii="宋体" w:hAnsi="宋体" w:eastAsia="宋体" w:cs="宋体"/>
          <w:color w:val="auto"/>
          <w:sz w:val="24"/>
          <w:szCs w:val="24"/>
          <w:highlight w:val="none"/>
        </w:rPr>
      </w:pPr>
    </w:p>
    <w:p w14:paraId="48CAC92F">
      <w:pPr>
        <w:rPr>
          <w:rFonts w:hint="eastAsia" w:ascii="宋体" w:hAnsi="宋体" w:eastAsia="宋体" w:cs="宋体"/>
          <w:color w:val="auto"/>
          <w:sz w:val="24"/>
          <w:szCs w:val="24"/>
          <w:highlight w:val="none"/>
        </w:rPr>
      </w:pPr>
    </w:p>
    <w:p w14:paraId="74E82D3B">
      <w:pPr>
        <w:pStyle w:val="7"/>
        <w:rPr>
          <w:rFonts w:hint="eastAsia" w:ascii="宋体" w:hAnsi="宋体" w:eastAsia="宋体" w:cs="宋体"/>
          <w:color w:val="auto"/>
          <w:sz w:val="24"/>
          <w:szCs w:val="24"/>
          <w:highlight w:val="none"/>
        </w:rPr>
      </w:pPr>
    </w:p>
    <w:p w14:paraId="7EB8BBAC">
      <w:pPr>
        <w:rPr>
          <w:rFonts w:hint="eastAsia" w:ascii="宋体" w:hAnsi="宋体" w:eastAsia="宋体" w:cs="宋体"/>
          <w:color w:val="auto"/>
          <w:sz w:val="24"/>
          <w:szCs w:val="24"/>
          <w:highlight w:val="none"/>
        </w:rPr>
      </w:pPr>
    </w:p>
    <w:p w14:paraId="291B455A">
      <w:pPr>
        <w:pStyle w:val="7"/>
        <w:rPr>
          <w:rFonts w:hint="eastAsia" w:ascii="宋体" w:hAnsi="宋体" w:eastAsia="宋体" w:cs="宋体"/>
          <w:color w:val="auto"/>
          <w:sz w:val="24"/>
          <w:szCs w:val="24"/>
          <w:highlight w:val="none"/>
        </w:rPr>
      </w:pPr>
    </w:p>
    <w:p w14:paraId="16A3E590">
      <w:pPr>
        <w:rPr>
          <w:rFonts w:hint="eastAsia" w:ascii="宋体" w:hAnsi="宋体" w:eastAsia="宋体" w:cs="宋体"/>
          <w:color w:val="auto"/>
          <w:sz w:val="24"/>
          <w:szCs w:val="24"/>
          <w:highlight w:val="none"/>
        </w:rPr>
      </w:pPr>
    </w:p>
    <w:p w14:paraId="2FEF01B7">
      <w:pPr>
        <w:pStyle w:val="7"/>
        <w:rPr>
          <w:rFonts w:hint="eastAsia" w:ascii="宋体" w:hAnsi="宋体" w:eastAsia="宋体" w:cs="宋体"/>
          <w:color w:val="auto"/>
          <w:sz w:val="24"/>
          <w:szCs w:val="24"/>
          <w:highlight w:val="none"/>
        </w:rPr>
      </w:pPr>
    </w:p>
    <w:p w14:paraId="14A8453B">
      <w:pPr>
        <w:rPr>
          <w:rFonts w:hint="eastAsia" w:ascii="宋体" w:hAnsi="宋体" w:eastAsia="宋体" w:cs="宋体"/>
          <w:color w:val="auto"/>
          <w:sz w:val="24"/>
          <w:szCs w:val="24"/>
          <w:highlight w:val="none"/>
        </w:rPr>
      </w:pPr>
    </w:p>
    <w:p w14:paraId="7F9A8594">
      <w:pPr>
        <w:pStyle w:val="16"/>
        <w:rPr>
          <w:rFonts w:hint="eastAsia"/>
        </w:rPr>
      </w:pPr>
    </w:p>
    <w:p w14:paraId="72FAE6BA">
      <w:pPr>
        <w:pStyle w:val="11"/>
        <w:rPr>
          <w:rFonts w:hint="eastAsia"/>
        </w:rPr>
      </w:pPr>
    </w:p>
    <w:p w14:paraId="6037D77F">
      <w:pPr>
        <w:pStyle w:val="11"/>
        <w:rPr>
          <w:rFonts w:hint="eastAsia"/>
        </w:rPr>
      </w:pPr>
    </w:p>
    <w:p w14:paraId="0EECF4EC">
      <w:pPr>
        <w:pStyle w:val="7"/>
        <w:rPr>
          <w:rFonts w:hint="eastAsia"/>
          <w:color w:val="auto"/>
          <w:highlight w:val="none"/>
        </w:rPr>
      </w:pPr>
    </w:p>
    <w:p w14:paraId="670C7302">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color w:val="auto"/>
          <w:sz w:val="24"/>
          <w:szCs w:val="24"/>
          <w:highlight w:val="none"/>
        </w:rPr>
      </w:pPr>
      <w:r>
        <w:rPr>
          <w:rFonts w:hint="eastAsia" w:cs="宋体"/>
          <w:b/>
          <w:bCs/>
          <w:color w:val="auto"/>
          <w:sz w:val="30"/>
          <w:szCs w:val="30"/>
          <w:highlight w:val="none"/>
          <w:lang w:val="en-US" w:eastAsia="zh-CN"/>
        </w:rPr>
        <w:t xml:space="preserve">2.2 </w:t>
      </w:r>
      <w:r>
        <w:rPr>
          <w:rFonts w:hint="eastAsia" w:ascii="宋体" w:hAnsi="宋体" w:eastAsia="宋体" w:cs="宋体"/>
          <w:b/>
          <w:bCs/>
          <w:color w:val="auto"/>
          <w:sz w:val="30"/>
          <w:szCs w:val="30"/>
          <w:highlight w:val="none"/>
          <w:lang w:val="en-US" w:eastAsia="zh-CN"/>
        </w:rPr>
        <w:t>商务</w:t>
      </w:r>
      <w:r>
        <w:rPr>
          <w:rFonts w:hint="eastAsia" w:cs="宋体"/>
          <w:b/>
          <w:bCs/>
          <w:color w:val="auto"/>
          <w:sz w:val="30"/>
          <w:szCs w:val="30"/>
          <w:highlight w:val="none"/>
          <w:lang w:val="en-US" w:eastAsia="zh-CN"/>
        </w:rPr>
        <w:t>需求</w:t>
      </w:r>
      <w:r>
        <w:rPr>
          <w:rFonts w:hint="eastAsia" w:ascii="宋体" w:hAnsi="宋体" w:eastAsia="宋体" w:cs="宋体"/>
          <w:b/>
          <w:bCs/>
          <w:color w:val="auto"/>
          <w:sz w:val="30"/>
          <w:szCs w:val="30"/>
          <w:highlight w:val="none"/>
          <w:lang w:val="en-US" w:eastAsia="zh-CN"/>
        </w:rPr>
        <w:t xml:space="preserve">条款响应表 </w:t>
      </w:r>
    </w:p>
    <w:p w14:paraId="31B67C2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采购项目名称：</w:t>
      </w:r>
    </w:p>
    <w:p w14:paraId="52F1A25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 xml:space="preserve">  </w:t>
      </w:r>
    </w:p>
    <w:tbl>
      <w:tblPr>
        <w:tblStyle w:val="21"/>
        <w:tblW w:w="9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5280"/>
        <w:gridCol w:w="1590"/>
        <w:gridCol w:w="1494"/>
      </w:tblGrid>
      <w:tr w14:paraId="24CA7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22B78F7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序号</w:t>
            </w:r>
          </w:p>
        </w:tc>
        <w:tc>
          <w:tcPr>
            <w:tcW w:w="5280" w:type="dxa"/>
            <w:noWrap w:val="0"/>
            <w:vAlign w:val="top"/>
          </w:tcPr>
          <w:p w14:paraId="39BC5ADF">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商务条款要求</w:t>
            </w:r>
          </w:p>
        </w:tc>
        <w:tc>
          <w:tcPr>
            <w:tcW w:w="1590" w:type="dxa"/>
            <w:noWrap w:val="0"/>
            <w:vAlign w:val="top"/>
          </w:tcPr>
          <w:p w14:paraId="694592C4">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是否响应</w:t>
            </w:r>
          </w:p>
        </w:tc>
        <w:tc>
          <w:tcPr>
            <w:tcW w:w="1494" w:type="dxa"/>
            <w:noWrap w:val="0"/>
            <w:vAlign w:val="top"/>
          </w:tcPr>
          <w:p w14:paraId="77864AD0">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偏离说明</w:t>
            </w:r>
          </w:p>
        </w:tc>
      </w:tr>
      <w:tr w14:paraId="74D7B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676B798A">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1</w:t>
            </w:r>
          </w:p>
        </w:tc>
        <w:tc>
          <w:tcPr>
            <w:tcW w:w="5280" w:type="dxa"/>
            <w:noWrap w:val="0"/>
            <w:vAlign w:val="top"/>
          </w:tcPr>
          <w:p w14:paraId="5712E7C1">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完全理解并接受合同条款要求</w:t>
            </w:r>
          </w:p>
        </w:tc>
        <w:tc>
          <w:tcPr>
            <w:tcW w:w="1590" w:type="dxa"/>
            <w:noWrap w:val="0"/>
            <w:vAlign w:val="top"/>
          </w:tcPr>
          <w:p w14:paraId="2ABEBD9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449BA244">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14:paraId="608CB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7EE81065">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2</w:t>
            </w:r>
          </w:p>
        </w:tc>
        <w:tc>
          <w:tcPr>
            <w:tcW w:w="5280" w:type="dxa"/>
            <w:noWrap w:val="0"/>
            <w:vAlign w:val="top"/>
          </w:tcPr>
          <w:p w14:paraId="03230BC7">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完全理解并接受对合格供应商、合格的服务要求</w:t>
            </w:r>
          </w:p>
        </w:tc>
        <w:tc>
          <w:tcPr>
            <w:tcW w:w="1590" w:type="dxa"/>
            <w:noWrap w:val="0"/>
            <w:vAlign w:val="top"/>
          </w:tcPr>
          <w:p w14:paraId="07D9E65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5DCD3E92">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14:paraId="7D05A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0D8885AC">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3</w:t>
            </w:r>
          </w:p>
        </w:tc>
        <w:tc>
          <w:tcPr>
            <w:tcW w:w="5280" w:type="dxa"/>
            <w:noWrap w:val="0"/>
            <w:vAlign w:val="top"/>
          </w:tcPr>
          <w:p w14:paraId="500772AA">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完全理解并接受对供应商的各项须知、规约要求和责任义务，包括带“★”条款的全部内容。</w:t>
            </w:r>
          </w:p>
        </w:tc>
        <w:tc>
          <w:tcPr>
            <w:tcW w:w="1590" w:type="dxa"/>
            <w:noWrap w:val="0"/>
            <w:vAlign w:val="top"/>
          </w:tcPr>
          <w:p w14:paraId="3B653EA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0CD6F67D">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14:paraId="46926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6EB5E0E3">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4</w:t>
            </w:r>
          </w:p>
        </w:tc>
        <w:tc>
          <w:tcPr>
            <w:tcW w:w="5280" w:type="dxa"/>
            <w:noWrap w:val="0"/>
            <w:vAlign w:val="top"/>
          </w:tcPr>
          <w:p w14:paraId="58F26A6F">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拟派项目负责人的要求</w:t>
            </w:r>
          </w:p>
        </w:tc>
        <w:tc>
          <w:tcPr>
            <w:tcW w:w="1590" w:type="dxa"/>
            <w:noWrap w:val="0"/>
            <w:vAlign w:val="top"/>
          </w:tcPr>
          <w:p w14:paraId="055AB9C1">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7EFCE99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14:paraId="36E71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615E3B6F">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5</w:t>
            </w:r>
          </w:p>
        </w:tc>
        <w:tc>
          <w:tcPr>
            <w:tcW w:w="5280" w:type="dxa"/>
            <w:noWrap w:val="0"/>
            <w:vAlign w:val="top"/>
          </w:tcPr>
          <w:p w14:paraId="09732621">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 xml:space="preserve">磋商有效期：磋商有效期为自递交投标文件起至确定 正式成交供应商止不少于 </w:t>
            </w:r>
            <w:r>
              <w:rPr>
                <w:rFonts w:hint="default" w:ascii="Times New Roman" w:hAnsi="Times New Roman" w:eastAsia="宋体" w:cs="Times New Roman"/>
                <w:color w:val="auto"/>
                <w:kern w:val="0"/>
                <w:sz w:val="24"/>
                <w:szCs w:val="24"/>
                <w:highlight w:val="none"/>
                <w:lang w:val="en-US" w:eastAsia="zh-CN" w:bidi="ar"/>
              </w:rPr>
              <w:t xml:space="preserve">90 </w:t>
            </w:r>
            <w:r>
              <w:rPr>
                <w:rFonts w:hint="eastAsia" w:ascii="宋体" w:hAnsi="宋体" w:eastAsia="宋体" w:cs="宋体"/>
                <w:color w:val="auto"/>
                <w:kern w:val="0"/>
                <w:sz w:val="24"/>
                <w:szCs w:val="24"/>
                <w:highlight w:val="none"/>
                <w:lang w:val="en-US" w:eastAsia="zh-CN" w:bidi="ar"/>
              </w:rPr>
              <w:t>天</w:t>
            </w:r>
          </w:p>
        </w:tc>
        <w:tc>
          <w:tcPr>
            <w:tcW w:w="1590" w:type="dxa"/>
            <w:noWrap w:val="0"/>
            <w:vAlign w:val="top"/>
          </w:tcPr>
          <w:p w14:paraId="25401DC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61AB0DF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14:paraId="00949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0A61117D">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6</w:t>
            </w:r>
          </w:p>
        </w:tc>
        <w:tc>
          <w:tcPr>
            <w:tcW w:w="5280" w:type="dxa"/>
            <w:noWrap w:val="0"/>
            <w:vAlign w:val="top"/>
          </w:tcPr>
          <w:p w14:paraId="4C2F7B55">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报价内容均涵盖报价要求之一切费用和伴随服务</w:t>
            </w:r>
          </w:p>
        </w:tc>
        <w:tc>
          <w:tcPr>
            <w:tcW w:w="1590" w:type="dxa"/>
            <w:noWrap w:val="0"/>
            <w:vAlign w:val="top"/>
          </w:tcPr>
          <w:p w14:paraId="721BFF3C">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3E71A25E">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14:paraId="3801A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5D3202B2">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7</w:t>
            </w:r>
          </w:p>
        </w:tc>
        <w:tc>
          <w:tcPr>
            <w:tcW w:w="5280" w:type="dxa"/>
            <w:noWrap w:val="0"/>
            <w:vAlign w:val="top"/>
          </w:tcPr>
          <w:p w14:paraId="089A634C">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同意接受招标文件的各项要求</w:t>
            </w:r>
          </w:p>
        </w:tc>
        <w:tc>
          <w:tcPr>
            <w:tcW w:w="1590" w:type="dxa"/>
            <w:noWrap w:val="0"/>
            <w:vAlign w:val="top"/>
          </w:tcPr>
          <w:p w14:paraId="6565E37D">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5B505A4D">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14:paraId="34E9C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3A3929EF">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8</w:t>
            </w:r>
          </w:p>
        </w:tc>
        <w:tc>
          <w:tcPr>
            <w:tcW w:w="5280" w:type="dxa"/>
            <w:noWrap w:val="0"/>
            <w:vAlign w:val="top"/>
          </w:tcPr>
          <w:p w14:paraId="22C24619">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同意接受合同范本所列的各项条款</w:t>
            </w:r>
          </w:p>
        </w:tc>
        <w:tc>
          <w:tcPr>
            <w:tcW w:w="1590" w:type="dxa"/>
            <w:noWrap w:val="0"/>
            <w:vAlign w:val="top"/>
          </w:tcPr>
          <w:p w14:paraId="06EF57C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1547EC7C">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14:paraId="6E564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66FBEDE3">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9</w:t>
            </w:r>
          </w:p>
        </w:tc>
        <w:tc>
          <w:tcPr>
            <w:tcW w:w="5280" w:type="dxa"/>
            <w:noWrap w:val="0"/>
            <w:vAlign w:val="top"/>
          </w:tcPr>
          <w:p w14:paraId="728F94F1">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同意按本项目要求缴付相关款项</w:t>
            </w:r>
          </w:p>
        </w:tc>
        <w:tc>
          <w:tcPr>
            <w:tcW w:w="1590" w:type="dxa"/>
            <w:noWrap w:val="0"/>
            <w:vAlign w:val="top"/>
          </w:tcPr>
          <w:p w14:paraId="54949E73">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374CFF0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14:paraId="7E38F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2942F915">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10</w:t>
            </w:r>
          </w:p>
        </w:tc>
        <w:tc>
          <w:tcPr>
            <w:tcW w:w="5280" w:type="dxa"/>
            <w:noWrap w:val="0"/>
            <w:vAlign w:val="top"/>
          </w:tcPr>
          <w:p w14:paraId="52805953">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同意采购人以任何形式对我方投标文件内容的真实性 和有效性进行审查、验证</w:t>
            </w:r>
          </w:p>
        </w:tc>
        <w:tc>
          <w:tcPr>
            <w:tcW w:w="1590" w:type="dxa"/>
            <w:noWrap w:val="0"/>
            <w:vAlign w:val="top"/>
          </w:tcPr>
          <w:p w14:paraId="5B841294">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051C1792">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14:paraId="5EA4D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14:paraId="3066B57F">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11</w:t>
            </w:r>
          </w:p>
        </w:tc>
        <w:tc>
          <w:tcPr>
            <w:tcW w:w="5280" w:type="dxa"/>
            <w:noWrap w:val="0"/>
            <w:vAlign w:val="top"/>
          </w:tcPr>
          <w:p w14:paraId="7BFF3243">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其它商务条款偏离说明（若有）：</w:t>
            </w:r>
          </w:p>
        </w:tc>
        <w:tc>
          <w:tcPr>
            <w:tcW w:w="1590" w:type="dxa"/>
            <w:noWrap w:val="0"/>
            <w:vAlign w:val="top"/>
          </w:tcPr>
          <w:p w14:paraId="61811F4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14:paraId="293904F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bl>
    <w:p w14:paraId="0F75437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6641990">
      <w:pPr>
        <w:rPr>
          <w:rFonts w:hint="eastAsia" w:ascii="宋体" w:hAnsi="宋体" w:eastAsia="宋体" w:cs="宋体"/>
          <w:b/>
          <w:bCs/>
          <w:color w:val="auto"/>
          <w:sz w:val="30"/>
          <w:szCs w:val="30"/>
          <w:highlight w:val="none"/>
          <w:lang w:val="en-US" w:eastAsia="zh-CN"/>
        </w:rPr>
      </w:pPr>
    </w:p>
    <w:p w14:paraId="622460CA">
      <w:pPr>
        <w:rPr>
          <w:rFonts w:hint="eastAsia"/>
          <w:color w:val="auto"/>
          <w:highlight w:val="none"/>
          <w:lang w:val="en-US" w:eastAsia="zh-CN"/>
        </w:rPr>
      </w:pPr>
      <w:r>
        <w:rPr>
          <w:rFonts w:hint="eastAsia"/>
          <w:color w:val="auto"/>
          <w:highlight w:val="none"/>
          <w:lang w:val="en-US" w:eastAsia="zh-CN"/>
        </w:rPr>
        <w:t>注：</w:t>
      </w:r>
    </w:p>
    <w:p w14:paraId="204E8F4B">
      <w:pPr>
        <w:rPr>
          <w:color w:val="auto"/>
          <w:highlight w:val="none"/>
        </w:rPr>
      </w:pPr>
      <w:r>
        <w:rPr>
          <w:rFonts w:hint="eastAsia"/>
          <w:color w:val="auto"/>
          <w:highlight w:val="none"/>
          <w:lang w:val="en-US" w:eastAsia="zh-CN"/>
        </w:rPr>
        <w:t xml:space="preserve">1. 对于上述要求，如供应商完全响应，则请在“是否响应”栏内打“√”，对空白或 </w:t>
      </w:r>
    </w:p>
    <w:p w14:paraId="213E3DD2">
      <w:pPr>
        <w:rPr>
          <w:color w:val="auto"/>
          <w:highlight w:val="none"/>
        </w:rPr>
      </w:pPr>
      <w:r>
        <w:rPr>
          <w:rFonts w:hint="eastAsia"/>
          <w:color w:val="auto"/>
          <w:highlight w:val="none"/>
          <w:lang w:val="en-US" w:eastAsia="zh-CN"/>
        </w:rPr>
        <w:t xml:space="preserve">打“×”视为偏离，请在“偏离说明”栏内扼要说明偏离情况。 </w:t>
      </w:r>
    </w:p>
    <w:p w14:paraId="6C7717A2">
      <w:pPr>
        <w:rPr>
          <w:color w:val="auto"/>
          <w:highlight w:val="none"/>
        </w:rPr>
      </w:pPr>
      <w:r>
        <w:rPr>
          <w:rFonts w:hint="eastAsia"/>
          <w:color w:val="auto"/>
          <w:highlight w:val="none"/>
          <w:lang w:val="en-US" w:eastAsia="zh-CN"/>
        </w:rPr>
        <w:t xml:space="preserve">2. 此表内容必须与实施方案中所介绍的内容一致，打“★”项为不可负偏离(劣于)的重要 </w:t>
      </w:r>
    </w:p>
    <w:p w14:paraId="36F7DB69">
      <w:pPr>
        <w:rPr>
          <w:color w:val="auto"/>
          <w:highlight w:val="none"/>
        </w:rPr>
      </w:pPr>
      <w:r>
        <w:rPr>
          <w:rFonts w:hint="eastAsia"/>
          <w:color w:val="auto"/>
          <w:highlight w:val="none"/>
          <w:lang w:val="en-US" w:eastAsia="zh-CN"/>
        </w:rPr>
        <w:t>项。</w:t>
      </w:r>
    </w:p>
    <w:p w14:paraId="5CD971EC">
      <w:pPr>
        <w:rPr>
          <w:rFonts w:hint="eastAsia"/>
          <w:color w:val="auto"/>
          <w:highlight w:val="none"/>
          <w:lang w:val="en-US" w:eastAsia="zh-CN"/>
        </w:rPr>
      </w:pPr>
    </w:p>
    <w:p w14:paraId="521B62C7">
      <w:pPr>
        <w:rPr>
          <w:color w:val="auto"/>
          <w:highlight w:val="none"/>
        </w:rPr>
      </w:pPr>
      <w:r>
        <w:rPr>
          <w:rFonts w:hint="eastAsia"/>
          <w:color w:val="auto"/>
          <w:highlight w:val="none"/>
          <w:lang w:val="en-US" w:eastAsia="zh-CN"/>
        </w:rPr>
        <w:t xml:space="preserve">供应商法定代表人（或法定代表人授权代表）签字或盖章： </w:t>
      </w:r>
    </w:p>
    <w:p w14:paraId="6FD6D13E">
      <w:pPr>
        <w:rPr>
          <w:rFonts w:hint="eastAsia"/>
          <w:color w:val="auto"/>
          <w:highlight w:val="none"/>
          <w:lang w:val="en-US" w:eastAsia="zh-CN"/>
        </w:rPr>
      </w:pPr>
    </w:p>
    <w:p w14:paraId="7CB4A12F">
      <w:pPr>
        <w:rPr>
          <w:color w:val="auto"/>
          <w:highlight w:val="none"/>
        </w:rPr>
      </w:pPr>
      <w:r>
        <w:rPr>
          <w:rFonts w:hint="eastAsia"/>
          <w:color w:val="auto"/>
          <w:highlight w:val="none"/>
          <w:lang w:val="en-US" w:eastAsia="zh-CN"/>
        </w:rPr>
        <w:t xml:space="preserve">供应商名称（盖公章）： </w:t>
      </w:r>
    </w:p>
    <w:p w14:paraId="20FEE95C">
      <w:pPr>
        <w:rPr>
          <w:rFonts w:hint="eastAsia"/>
          <w:color w:val="auto"/>
          <w:highlight w:val="none"/>
          <w:lang w:val="en-US" w:eastAsia="zh-CN"/>
        </w:rPr>
      </w:pPr>
    </w:p>
    <w:p w14:paraId="5F5FE855">
      <w:pPr>
        <w:rPr>
          <w:color w:val="auto"/>
          <w:highlight w:val="none"/>
        </w:rPr>
      </w:pPr>
      <w:r>
        <w:rPr>
          <w:rFonts w:hint="eastAsia"/>
          <w:color w:val="auto"/>
          <w:highlight w:val="none"/>
          <w:lang w:val="en-US" w:eastAsia="zh-CN"/>
        </w:rPr>
        <w:t>日 期： 年 月 日</w:t>
      </w:r>
    </w:p>
    <w:p w14:paraId="05CB6AB9">
      <w:pPr>
        <w:pStyle w:val="7"/>
        <w:rPr>
          <w:rFonts w:hint="eastAsia" w:ascii="宋体" w:hAnsi="宋体" w:eastAsia="宋体" w:cs="宋体"/>
          <w:b/>
          <w:bCs/>
          <w:color w:val="auto"/>
          <w:sz w:val="30"/>
          <w:szCs w:val="30"/>
          <w:highlight w:val="none"/>
          <w:lang w:val="en-US" w:eastAsia="zh-CN"/>
        </w:rPr>
      </w:pPr>
    </w:p>
    <w:p w14:paraId="29FD1B09">
      <w:pPr>
        <w:rPr>
          <w:rFonts w:hint="eastAsia" w:ascii="宋体" w:hAnsi="宋体" w:eastAsia="宋体" w:cs="宋体"/>
          <w:b/>
          <w:bCs/>
          <w:color w:val="auto"/>
          <w:sz w:val="30"/>
          <w:szCs w:val="30"/>
          <w:highlight w:val="none"/>
          <w:lang w:val="en-US" w:eastAsia="zh-CN"/>
        </w:rPr>
      </w:pPr>
    </w:p>
    <w:p w14:paraId="182BC16D">
      <w:pPr>
        <w:pStyle w:val="7"/>
        <w:rPr>
          <w:rFonts w:hint="eastAsia" w:ascii="宋体" w:hAnsi="宋体" w:eastAsia="宋体" w:cs="宋体"/>
          <w:b/>
          <w:bCs/>
          <w:color w:val="auto"/>
          <w:sz w:val="30"/>
          <w:szCs w:val="30"/>
          <w:highlight w:val="none"/>
          <w:lang w:val="en-US" w:eastAsia="zh-CN"/>
        </w:rPr>
      </w:pPr>
    </w:p>
    <w:p w14:paraId="6C9F5FE9">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color w:val="auto"/>
          <w:sz w:val="24"/>
          <w:szCs w:val="24"/>
          <w:highlight w:val="none"/>
        </w:rPr>
      </w:pPr>
      <w:r>
        <w:rPr>
          <w:rFonts w:hint="eastAsia" w:cs="宋体"/>
          <w:b/>
          <w:bCs/>
          <w:color w:val="auto"/>
          <w:sz w:val="30"/>
          <w:szCs w:val="30"/>
          <w:highlight w:val="none"/>
          <w:lang w:val="en-US" w:eastAsia="zh-CN"/>
        </w:rPr>
        <w:t>2.3 拟派</w:t>
      </w:r>
      <w:r>
        <w:rPr>
          <w:rFonts w:hint="eastAsia" w:ascii="宋体" w:hAnsi="宋体" w:eastAsia="宋体" w:cs="宋体"/>
          <w:b/>
          <w:bCs/>
          <w:color w:val="auto"/>
          <w:sz w:val="30"/>
          <w:szCs w:val="30"/>
          <w:highlight w:val="none"/>
          <w:lang w:val="en-US" w:eastAsia="zh-CN"/>
        </w:rPr>
        <w:t>项目负责人及管理技术人员一览表</w:t>
      </w:r>
    </w:p>
    <w:p w14:paraId="72227D0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371FDB1">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6432" behindDoc="0" locked="0" layoutInCell="1" allowOverlap="1">
                <wp:simplePos x="0" y="0"/>
                <wp:positionH relativeFrom="page">
                  <wp:posOffset>642620</wp:posOffset>
                </wp:positionH>
                <wp:positionV relativeFrom="paragraph">
                  <wp:posOffset>576580</wp:posOffset>
                </wp:positionV>
                <wp:extent cx="6283325" cy="411099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6283325" cy="4110990"/>
                        </a:xfrm>
                        <a:prstGeom prst="rect">
                          <a:avLst/>
                        </a:prstGeom>
                        <a:noFill/>
                        <a:ln>
                          <a:noFill/>
                        </a:ln>
                      </wps:spPr>
                      <wps:txbx>
                        <w:txbxContent>
                          <w:tbl>
                            <w:tblPr>
                              <w:tblStyle w:val="20"/>
                              <w:tblW w:w="9849"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81"/>
                              <w:gridCol w:w="1591"/>
                              <w:gridCol w:w="1265"/>
                              <w:gridCol w:w="1617"/>
                              <w:gridCol w:w="1910"/>
                              <w:gridCol w:w="2585"/>
                            </w:tblGrid>
                            <w:tr w14:paraId="2906292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4" w:hRule="atLeast"/>
                              </w:trPr>
                              <w:tc>
                                <w:tcPr>
                                  <w:tcW w:w="881" w:type="dxa"/>
                                  <w:tcBorders>
                                    <w:bottom w:val="double" w:color="000000" w:sz="0" w:space="0"/>
                                    <w:right w:val="single" w:color="000000" w:sz="4" w:space="0"/>
                                  </w:tcBorders>
                                  <w:shd w:val="clear" w:color="auto" w:fill="EDEBE0"/>
                                  <w:noWrap w:val="0"/>
                                  <w:vAlign w:val="top"/>
                                </w:tcPr>
                                <w:p w14:paraId="01951466">
                                  <w:pPr>
                                    <w:pStyle w:val="32"/>
                                    <w:spacing w:before="163"/>
                                    <w:ind w:left="258" w:right="143"/>
                                    <w:jc w:val="center"/>
                                    <w:rPr>
                                      <w:sz w:val="21"/>
                                    </w:rPr>
                                  </w:pPr>
                                  <w:r>
                                    <w:rPr>
                                      <w:sz w:val="21"/>
                                    </w:rPr>
                                    <w:t xml:space="preserve">序号 </w:t>
                                  </w:r>
                                </w:p>
                              </w:tc>
                              <w:tc>
                                <w:tcPr>
                                  <w:tcW w:w="1591" w:type="dxa"/>
                                  <w:tcBorders>
                                    <w:left w:val="single" w:color="000000" w:sz="4" w:space="0"/>
                                    <w:bottom w:val="double" w:color="000000" w:sz="0" w:space="0"/>
                                    <w:right w:val="single" w:color="000000" w:sz="4" w:space="0"/>
                                  </w:tcBorders>
                                  <w:shd w:val="clear" w:color="auto" w:fill="EDEBE0"/>
                                  <w:noWrap w:val="0"/>
                                  <w:vAlign w:val="top"/>
                                </w:tcPr>
                                <w:p w14:paraId="5B1F7127">
                                  <w:pPr>
                                    <w:pStyle w:val="32"/>
                                    <w:spacing w:before="163"/>
                                    <w:ind w:left="628" w:right="493"/>
                                    <w:jc w:val="center"/>
                                    <w:rPr>
                                      <w:sz w:val="21"/>
                                    </w:rPr>
                                  </w:pPr>
                                  <w:r>
                                    <w:rPr>
                                      <w:sz w:val="21"/>
                                    </w:rPr>
                                    <w:t xml:space="preserve">姓名 </w:t>
                                  </w:r>
                                </w:p>
                              </w:tc>
                              <w:tc>
                                <w:tcPr>
                                  <w:tcW w:w="1265" w:type="dxa"/>
                                  <w:tcBorders>
                                    <w:left w:val="single" w:color="000000" w:sz="4" w:space="0"/>
                                    <w:bottom w:val="double" w:color="000000" w:sz="0" w:space="0"/>
                                    <w:right w:val="single" w:color="000000" w:sz="4" w:space="0"/>
                                  </w:tcBorders>
                                  <w:shd w:val="clear" w:color="auto" w:fill="EDEBE0"/>
                                  <w:noWrap w:val="0"/>
                                  <w:vAlign w:val="top"/>
                                </w:tcPr>
                                <w:p w14:paraId="168572E4">
                                  <w:pPr>
                                    <w:pStyle w:val="32"/>
                                    <w:spacing w:before="163"/>
                                    <w:ind w:left="465" w:right="330"/>
                                    <w:jc w:val="center"/>
                                    <w:rPr>
                                      <w:sz w:val="21"/>
                                    </w:rPr>
                                  </w:pPr>
                                  <w:r>
                                    <w:rPr>
                                      <w:sz w:val="21"/>
                                    </w:rPr>
                                    <w:t xml:space="preserve">学历 </w:t>
                                  </w:r>
                                </w:p>
                              </w:tc>
                              <w:tc>
                                <w:tcPr>
                                  <w:tcW w:w="1617" w:type="dxa"/>
                                  <w:tcBorders>
                                    <w:left w:val="single" w:color="000000" w:sz="4" w:space="0"/>
                                    <w:bottom w:val="double" w:color="000000" w:sz="0" w:space="0"/>
                                    <w:right w:val="single" w:color="000000" w:sz="4" w:space="0"/>
                                  </w:tcBorders>
                                  <w:shd w:val="clear" w:color="auto" w:fill="EDEBE0"/>
                                  <w:noWrap w:val="0"/>
                                  <w:vAlign w:val="top"/>
                                </w:tcPr>
                                <w:p w14:paraId="3EF775DD">
                                  <w:pPr>
                                    <w:pStyle w:val="32"/>
                                    <w:spacing w:before="163"/>
                                    <w:ind w:left="640" w:right="506"/>
                                    <w:jc w:val="center"/>
                                    <w:rPr>
                                      <w:sz w:val="21"/>
                                    </w:rPr>
                                  </w:pPr>
                                  <w:r>
                                    <w:rPr>
                                      <w:sz w:val="21"/>
                                    </w:rPr>
                                    <w:t xml:space="preserve">职称 </w:t>
                                  </w:r>
                                </w:p>
                              </w:tc>
                              <w:tc>
                                <w:tcPr>
                                  <w:tcW w:w="1910" w:type="dxa"/>
                                  <w:tcBorders>
                                    <w:left w:val="single" w:color="000000" w:sz="4" w:space="0"/>
                                    <w:bottom w:val="double" w:color="000000" w:sz="0" w:space="0"/>
                                    <w:right w:val="single" w:color="000000" w:sz="4" w:space="0"/>
                                  </w:tcBorders>
                                  <w:shd w:val="clear" w:color="auto" w:fill="EDEBE0"/>
                                  <w:noWrap w:val="0"/>
                                  <w:vAlign w:val="top"/>
                                </w:tcPr>
                                <w:p w14:paraId="4557C6D0">
                                  <w:pPr>
                                    <w:pStyle w:val="32"/>
                                    <w:spacing w:before="163"/>
                                    <w:ind w:left="581" w:right="438"/>
                                    <w:jc w:val="center"/>
                                    <w:rPr>
                                      <w:sz w:val="21"/>
                                    </w:rPr>
                                  </w:pPr>
                                  <w:r>
                                    <w:rPr>
                                      <w:sz w:val="21"/>
                                    </w:rPr>
                                    <w:t xml:space="preserve">经验年限 </w:t>
                                  </w:r>
                                </w:p>
                              </w:tc>
                              <w:tc>
                                <w:tcPr>
                                  <w:tcW w:w="2585" w:type="dxa"/>
                                  <w:tcBorders>
                                    <w:left w:val="single" w:color="000000" w:sz="4" w:space="0"/>
                                    <w:bottom w:val="double" w:color="000000" w:sz="0" w:space="0"/>
                                  </w:tcBorders>
                                  <w:shd w:val="clear" w:color="auto" w:fill="EDEBE0"/>
                                  <w:noWrap w:val="0"/>
                                  <w:vAlign w:val="top"/>
                                </w:tcPr>
                                <w:p w14:paraId="04196705">
                                  <w:pPr>
                                    <w:pStyle w:val="32"/>
                                    <w:spacing w:before="26" w:line="270" w:lineRule="atLeast"/>
                                    <w:ind w:left="1200" w:right="98" w:hanging="1050"/>
                                    <w:rPr>
                                      <w:sz w:val="21"/>
                                    </w:rPr>
                                  </w:pPr>
                                  <w:r>
                                    <w:rPr>
                                      <w:sz w:val="21"/>
                                    </w:rPr>
                                    <w:t xml:space="preserve">拟担任职务或承担工作内容 </w:t>
                                  </w:r>
                                </w:p>
                              </w:tc>
                            </w:tr>
                            <w:tr w14:paraId="58E808B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26" w:hRule="atLeast"/>
                              </w:trPr>
                              <w:tc>
                                <w:tcPr>
                                  <w:tcW w:w="881" w:type="dxa"/>
                                  <w:tcBorders>
                                    <w:top w:val="double" w:color="000000" w:sz="0" w:space="0"/>
                                    <w:bottom w:val="single" w:color="000000" w:sz="4" w:space="0"/>
                                    <w:right w:val="single" w:color="000000" w:sz="4" w:space="0"/>
                                  </w:tcBorders>
                                  <w:noWrap w:val="0"/>
                                  <w:vAlign w:val="top"/>
                                </w:tcPr>
                                <w:p w14:paraId="4F7422DB">
                                  <w:pPr>
                                    <w:pStyle w:val="32"/>
                                    <w:spacing w:before="9"/>
                                    <w:rPr>
                                      <w:sz w:val="21"/>
                                    </w:rPr>
                                  </w:pPr>
                                </w:p>
                                <w:p w14:paraId="46B0E650">
                                  <w:pPr>
                                    <w:pStyle w:val="32"/>
                                    <w:spacing w:before="1"/>
                                    <w:ind w:left="127"/>
                                    <w:jc w:val="center"/>
                                    <w:rPr>
                                      <w:sz w:val="21"/>
                                    </w:rPr>
                                  </w:pPr>
                                  <w:r>
                                    <w:rPr>
                                      <w:w w:val="100"/>
                                      <w:sz w:val="21"/>
                                    </w:rPr>
                                    <w:t xml:space="preserve"> </w:t>
                                  </w:r>
                                </w:p>
                              </w:tc>
                              <w:tc>
                                <w:tcPr>
                                  <w:tcW w:w="1591" w:type="dxa"/>
                                  <w:tcBorders>
                                    <w:top w:val="double" w:color="000000" w:sz="0" w:space="0"/>
                                    <w:left w:val="single" w:color="000000" w:sz="4" w:space="0"/>
                                    <w:bottom w:val="single" w:color="000000" w:sz="4" w:space="0"/>
                                    <w:right w:val="single" w:color="000000" w:sz="4" w:space="0"/>
                                  </w:tcBorders>
                                  <w:noWrap w:val="0"/>
                                  <w:vAlign w:val="top"/>
                                </w:tcPr>
                                <w:p w14:paraId="27B05421">
                                  <w:pPr>
                                    <w:pStyle w:val="32"/>
                                    <w:spacing w:before="9"/>
                                    <w:rPr>
                                      <w:sz w:val="21"/>
                                    </w:rPr>
                                  </w:pPr>
                                </w:p>
                                <w:p w14:paraId="78EEEFD7">
                                  <w:pPr>
                                    <w:pStyle w:val="32"/>
                                    <w:spacing w:before="1"/>
                                    <w:ind w:left="137"/>
                                    <w:jc w:val="center"/>
                                    <w:rPr>
                                      <w:sz w:val="21"/>
                                    </w:rPr>
                                  </w:pPr>
                                  <w:r>
                                    <w:rPr>
                                      <w:w w:val="100"/>
                                      <w:sz w:val="21"/>
                                    </w:rPr>
                                    <w:t xml:space="preserve"> </w:t>
                                  </w:r>
                                </w:p>
                              </w:tc>
                              <w:tc>
                                <w:tcPr>
                                  <w:tcW w:w="1265" w:type="dxa"/>
                                  <w:tcBorders>
                                    <w:top w:val="double" w:color="000000" w:sz="0" w:space="0"/>
                                    <w:left w:val="single" w:color="000000" w:sz="4" w:space="0"/>
                                    <w:bottom w:val="single" w:color="000000" w:sz="4" w:space="0"/>
                                    <w:right w:val="single" w:color="000000" w:sz="4" w:space="0"/>
                                  </w:tcBorders>
                                  <w:noWrap w:val="0"/>
                                  <w:vAlign w:val="top"/>
                                </w:tcPr>
                                <w:p w14:paraId="22E998CF">
                                  <w:pPr>
                                    <w:pStyle w:val="32"/>
                                    <w:spacing w:before="9"/>
                                    <w:rPr>
                                      <w:sz w:val="21"/>
                                    </w:rPr>
                                  </w:pPr>
                                </w:p>
                                <w:p w14:paraId="19E49111">
                                  <w:pPr>
                                    <w:pStyle w:val="32"/>
                                    <w:spacing w:before="1"/>
                                    <w:ind w:left="133"/>
                                    <w:jc w:val="center"/>
                                    <w:rPr>
                                      <w:sz w:val="21"/>
                                    </w:rPr>
                                  </w:pPr>
                                  <w:r>
                                    <w:rPr>
                                      <w:w w:val="100"/>
                                      <w:sz w:val="21"/>
                                    </w:rPr>
                                    <w:t xml:space="preserve"> </w:t>
                                  </w:r>
                                </w:p>
                              </w:tc>
                              <w:tc>
                                <w:tcPr>
                                  <w:tcW w:w="1617" w:type="dxa"/>
                                  <w:tcBorders>
                                    <w:top w:val="double" w:color="000000" w:sz="0" w:space="0"/>
                                    <w:left w:val="single" w:color="000000" w:sz="4" w:space="0"/>
                                    <w:bottom w:val="single" w:color="000000" w:sz="4" w:space="0"/>
                                    <w:right w:val="single" w:color="000000" w:sz="4" w:space="0"/>
                                  </w:tcBorders>
                                  <w:noWrap w:val="0"/>
                                  <w:vAlign w:val="top"/>
                                </w:tcPr>
                                <w:p w14:paraId="256698DC">
                                  <w:pPr>
                                    <w:pStyle w:val="32"/>
                                    <w:spacing w:before="9"/>
                                    <w:rPr>
                                      <w:sz w:val="21"/>
                                    </w:rPr>
                                  </w:pPr>
                                </w:p>
                                <w:p w14:paraId="2E5E37A8">
                                  <w:pPr>
                                    <w:pStyle w:val="32"/>
                                    <w:spacing w:before="1"/>
                                    <w:ind w:left="136"/>
                                    <w:jc w:val="center"/>
                                    <w:rPr>
                                      <w:sz w:val="21"/>
                                    </w:rPr>
                                  </w:pPr>
                                  <w:r>
                                    <w:rPr>
                                      <w:w w:val="100"/>
                                      <w:sz w:val="21"/>
                                    </w:rPr>
                                    <w:t xml:space="preserve"> </w:t>
                                  </w:r>
                                </w:p>
                              </w:tc>
                              <w:tc>
                                <w:tcPr>
                                  <w:tcW w:w="1910" w:type="dxa"/>
                                  <w:tcBorders>
                                    <w:top w:val="double" w:color="000000" w:sz="0" w:space="0"/>
                                    <w:left w:val="single" w:color="000000" w:sz="4" w:space="0"/>
                                    <w:bottom w:val="single" w:color="000000" w:sz="4" w:space="0"/>
                                    <w:right w:val="single" w:color="000000" w:sz="4" w:space="0"/>
                                  </w:tcBorders>
                                  <w:noWrap w:val="0"/>
                                  <w:vAlign w:val="top"/>
                                </w:tcPr>
                                <w:p w14:paraId="5AC6FD62">
                                  <w:pPr>
                                    <w:pStyle w:val="32"/>
                                    <w:spacing w:before="9"/>
                                    <w:rPr>
                                      <w:sz w:val="21"/>
                                    </w:rPr>
                                  </w:pPr>
                                </w:p>
                                <w:p w14:paraId="1136178E">
                                  <w:pPr>
                                    <w:pStyle w:val="32"/>
                                    <w:spacing w:before="1"/>
                                    <w:ind w:left="143"/>
                                    <w:jc w:val="center"/>
                                    <w:rPr>
                                      <w:sz w:val="21"/>
                                    </w:rPr>
                                  </w:pPr>
                                  <w:r>
                                    <w:rPr>
                                      <w:w w:val="100"/>
                                      <w:sz w:val="21"/>
                                    </w:rPr>
                                    <w:t xml:space="preserve"> </w:t>
                                  </w:r>
                                </w:p>
                              </w:tc>
                              <w:tc>
                                <w:tcPr>
                                  <w:tcW w:w="2585" w:type="dxa"/>
                                  <w:tcBorders>
                                    <w:top w:val="double" w:color="000000" w:sz="0" w:space="0"/>
                                    <w:left w:val="single" w:color="000000" w:sz="4" w:space="0"/>
                                    <w:bottom w:val="single" w:color="000000" w:sz="4" w:space="0"/>
                                  </w:tcBorders>
                                  <w:noWrap w:val="0"/>
                                  <w:vAlign w:val="top"/>
                                </w:tcPr>
                                <w:p w14:paraId="4B032F8B">
                                  <w:pPr>
                                    <w:pStyle w:val="32"/>
                                    <w:spacing w:before="9"/>
                                    <w:rPr>
                                      <w:sz w:val="21"/>
                                    </w:rPr>
                                  </w:pPr>
                                </w:p>
                                <w:p w14:paraId="49F8F639">
                                  <w:pPr>
                                    <w:pStyle w:val="32"/>
                                    <w:spacing w:before="1"/>
                                    <w:ind w:right="1151"/>
                                    <w:jc w:val="right"/>
                                    <w:rPr>
                                      <w:sz w:val="21"/>
                                    </w:rPr>
                                  </w:pPr>
                                  <w:r>
                                    <w:rPr>
                                      <w:w w:val="100"/>
                                      <w:sz w:val="21"/>
                                    </w:rPr>
                                    <w:t xml:space="preserve"> </w:t>
                                  </w:r>
                                </w:p>
                              </w:tc>
                            </w:tr>
                            <w:tr w14:paraId="752B835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07962D29">
                                  <w:pPr>
                                    <w:pStyle w:val="32"/>
                                    <w:spacing w:before="11"/>
                                    <w:rPr>
                                      <w:sz w:val="20"/>
                                    </w:rPr>
                                  </w:pPr>
                                </w:p>
                                <w:p w14:paraId="21637ED2">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4CEB9138">
                                  <w:pPr>
                                    <w:pStyle w:val="32"/>
                                    <w:spacing w:before="11"/>
                                    <w:rPr>
                                      <w:sz w:val="20"/>
                                    </w:rPr>
                                  </w:pPr>
                                </w:p>
                                <w:p w14:paraId="40E66CFC">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64CBC3F5">
                                  <w:pPr>
                                    <w:pStyle w:val="32"/>
                                    <w:spacing w:before="11"/>
                                    <w:rPr>
                                      <w:sz w:val="20"/>
                                    </w:rPr>
                                  </w:pPr>
                                </w:p>
                                <w:p w14:paraId="2E6FBC0F">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6F06005C">
                                  <w:pPr>
                                    <w:pStyle w:val="32"/>
                                    <w:spacing w:before="11"/>
                                    <w:rPr>
                                      <w:sz w:val="20"/>
                                    </w:rPr>
                                  </w:pPr>
                                </w:p>
                                <w:p w14:paraId="5E3F23CB">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09770AFC">
                                  <w:pPr>
                                    <w:pStyle w:val="32"/>
                                    <w:spacing w:before="11"/>
                                    <w:rPr>
                                      <w:sz w:val="20"/>
                                    </w:rPr>
                                  </w:pPr>
                                </w:p>
                                <w:p w14:paraId="5FF65BB0">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6AE69A25">
                                  <w:pPr>
                                    <w:pStyle w:val="32"/>
                                    <w:spacing w:before="11"/>
                                    <w:rPr>
                                      <w:sz w:val="20"/>
                                    </w:rPr>
                                  </w:pPr>
                                </w:p>
                                <w:p w14:paraId="43567DED">
                                  <w:pPr>
                                    <w:pStyle w:val="32"/>
                                    <w:ind w:right="1151"/>
                                    <w:jc w:val="right"/>
                                    <w:rPr>
                                      <w:sz w:val="21"/>
                                    </w:rPr>
                                  </w:pPr>
                                  <w:r>
                                    <w:rPr>
                                      <w:w w:val="100"/>
                                      <w:sz w:val="21"/>
                                    </w:rPr>
                                    <w:t xml:space="preserve"> </w:t>
                                  </w:r>
                                </w:p>
                              </w:tc>
                            </w:tr>
                            <w:tr w14:paraId="5B41C77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5" w:hRule="atLeast"/>
                              </w:trPr>
                              <w:tc>
                                <w:tcPr>
                                  <w:tcW w:w="881" w:type="dxa"/>
                                  <w:tcBorders>
                                    <w:top w:val="single" w:color="000000" w:sz="4" w:space="0"/>
                                    <w:bottom w:val="single" w:color="000000" w:sz="4" w:space="0"/>
                                    <w:right w:val="single" w:color="000000" w:sz="4" w:space="0"/>
                                  </w:tcBorders>
                                  <w:noWrap w:val="0"/>
                                  <w:vAlign w:val="top"/>
                                </w:tcPr>
                                <w:p w14:paraId="55C712FD">
                                  <w:pPr>
                                    <w:pStyle w:val="32"/>
                                    <w:spacing w:before="11"/>
                                    <w:rPr>
                                      <w:sz w:val="20"/>
                                    </w:rPr>
                                  </w:pPr>
                                </w:p>
                                <w:p w14:paraId="72C545F1">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59E3F2F5">
                                  <w:pPr>
                                    <w:pStyle w:val="32"/>
                                    <w:spacing w:before="11"/>
                                    <w:rPr>
                                      <w:sz w:val="20"/>
                                    </w:rPr>
                                  </w:pPr>
                                </w:p>
                                <w:p w14:paraId="703A2CEC">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44137738">
                                  <w:pPr>
                                    <w:pStyle w:val="32"/>
                                    <w:spacing w:before="11"/>
                                    <w:rPr>
                                      <w:sz w:val="20"/>
                                    </w:rPr>
                                  </w:pPr>
                                </w:p>
                                <w:p w14:paraId="64EE50FE">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4517F3D4">
                                  <w:pPr>
                                    <w:pStyle w:val="32"/>
                                    <w:spacing w:before="11"/>
                                    <w:rPr>
                                      <w:sz w:val="20"/>
                                    </w:rPr>
                                  </w:pPr>
                                </w:p>
                                <w:p w14:paraId="4705ABAD">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30522EBA">
                                  <w:pPr>
                                    <w:pStyle w:val="32"/>
                                    <w:spacing w:before="11"/>
                                    <w:rPr>
                                      <w:sz w:val="20"/>
                                    </w:rPr>
                                  </w:pPr>
                                </w:p>
                                <w:p w14:paraId="5C425A2D">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0F32BE77">
                                  <w:pPr>
                                    <w:pStyle w:val="32"/>
                                    <w:spacing w:before="11"/>
                                    <w:rPr>
                                      <w:sz w:val="20"/>
                                    </w:rPr>
                                  </w:pPr>
                                </w:p>
                                <w:p w14:paraId="67440800">
                                  <w:pPr>
                                    <w:pStyle w:val="32"/>
                                    <w:ind w:right="1151"/>
                                    <w:jc w:val="right"/>
                                    <w:rPr>
                                      <w:sz w:val="21"/>
                                    </w:rPr>
                                  </w:pPr>
                                  <w:r>
                                    <w:rPr>
                                      <w:w w:val="100"/>
                                      <w:sz w:val="21"/>
                                    </w:rPr>
                                    <w:t xml:space="preserve"> </w:t>
                                  </w:r>
                                </w:p>
                              </w:tc>
                            </w:tr>
                            <w:tr w14:paraId="3D099B6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3248320F">
                                  <w:pPr>
                                    <w:pStyle w:val="32"/>
                                    <w:spacing w:before="11"/>
                                    <w:rPr>
                                      <w:sz w:val="20"/>
                                    </w:rPr>
                                  </w:pPr>
                                </w:p>
                                <w:p w14:paraId="614EE05B">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11BB4E5F">
                                  <w:pPr>
                                    <w:pStyle w:val="32"/>
                                    <w:spacing w:before="11"/>
                                    <w:rPr>
                                      <w:sz w:val="20"/>
                                    </w:rPr>
                                  </w:pPr>
                                </w:p>
                                <w:p w14:paraId="2014FD99">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6875127D">
                                  <w:pPr>
                                    <w:pStyle w:val="32"/>
                                    <w:spacing w:before="11"/>
                                    <w:rPr>
                                      <w:sz w:val="20"/>
                                    </w:rPr>
                                  </w:pPr>
                                </w:p>
                                <w:p w14:paraId="5301A467">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2BE78ABF">
                                  <w:pPr>
                                    <w:pStyle w:val="32"/>
                                    <w:spacing w:before="11"/>
                                    <w:rPr>
                                      <w:sz w:val="20"/>
                                    </w:rPr>
                                  </w:pPr>
                                </w:p>
                                <w:p w14:paraId="5FE8CAA4">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2A3A00D1">
                                  <w:pPr>
                                    <w:pStyle w:val="32"/>
                                    <w:spacing w:before="11"/>
                                    <w:rPr>
                                      <w:sz w:val="20"/>
                                    </w:rPr>
                                  </w:pPr>
                                </w:p>
                                <w:p w14:paraId="438BC121">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54878E2B">
                                  <w:pPr>
                                    <w:pStyle w:val="32"/>
                                    <w:spacing w:before="11"/>
                                    <w:rPr>
                                      <w:sz w:val="20"/>
                                    </w:rPr>
                                  </w:pPr>
                                </w:p>
                                <w:p w14:paraId="1AB911C6">
                                  <w:pPr>
                                    <w:pStyle w:val="32"/>
                                    <w:ind w:right="1151"/>
                                    <w:jc w:val="right"/>
                                    <w:rPr>
                                      <w:sz w:val="21"/>
                                    </w:rPr>
                                  </w:pPr>
                                  <w:r>
                                    <w:rPr>
                                      <w:w w:val="100"/>
                                      <w:sz w:val="21"/>
                                    </w:rPr>
                                    <w:t xml:space="preserve"> </w:t>
                                  </w:r>
                                </w:p>
                              </w:tc>
                            </w:tr>
                            <w:tr w14:paraId="27C239E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52E0C8E5">
                                  <w:pPr>
                                    <w:pStyle w:val="32"/>
                                    <w:spacing w:before="11"/>
                                    <w:rPr>
                                      <w:sz w:val="20"/>
                                    </w:rPr>
                                  </w:pPr>
                                </w:p>
                                <w:p w14:paraId="2D9504C4">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265372E4">
                                  <w:pPr>
                                    <w:pStyle w:val="32"/>
                                    <w:spacing w:before="11"/>
                                    <w:rPr>
                                      <w:sz w:val="20"/>
                                    </w:rPr>
                                  </w:pPr>
                                </w:p>
                                <w:p w14:paraId="64C53CEA">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1B7DE112">
                                  <w:pPr>
                                    <w:pStyle w:val="32"/>
                                    <w:spacing w:before="11"/>
                                    <w:rPr>
                                      <w:sz w:val="20"/>
                                    </w:rPr>
                                  </w:pPr>
                                </w:p>
                                <w:p w14:paraId="65AA696A">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6EF9686A">
                                  <w:pPr>
                                    <w:pStyle w:val="32"/>
                                    <w:spacing w:before="11"/>
                                    <w:rPr>
                                      <w:sz w:val="20"/>
                                    </w:rPr>
                                  </w:pPr>
                                </w:p>
                                <w:p w14:paraId="3914E36F">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57CDDED4">
                                  <w:pPr>
                                    <w:pStyle w:val="32"/>
                                    <w:spacing w:before="11"/>
                                    <w:rPr>
                                      <w:sz w:val="20"/>
                                    </w:rPr>
                                  </w:pPr>
                                </w:p>
                                <w:p w14:paraId="67733CE1">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4104EC45">
                                  <w:pPr>
                                    <w:pStyle w:val="32"/>
                                    <w:spacing w:before="11"/>
                                    <w:rPr>
                                      <w:sz w:val="20"/>
                                    </w:rPr>
                                  </w:pPr>
                                </w:p>
                                <w:p w14:paraId="353A30F2">
                                  <w:pPr>
                                    <w:pStyle w:val="32"/>
                                    <w:ind w:right="1151"/>
                                    <w:jc w:val="right"/>
                                    <w:rPr>
                                      <w:sz w:val="21"/>
                                    </w:rPr>
                                  </w:pPr>
                                  <w:r>
                                    <w:rPr>
                                      <w:w w:val="100"/>
                                      <w:sz w:val="21"/>
                                    </w:rPr>
                                    <w:t xml:space="preserve"> </w:t>
                                  </w:r>
                                </w:p>
                              </w:tc>
                            </w:tr>
                            <w:tr w14:paraId="36C7C10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7AB1C19D">
                                  <w:pPr>
                                    <w:pStyle w:val="32"/>
                                    <w:spacing w:before="11"/>
                                    <w:rPr>
                                      <w:sz w:val="20"/>
                                    </w:rPr>
                                  </w:pPr>
                                </w:p>
                                <w:p w14:paraId="5378E01C">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79C79DAB">
                                  <w:pPr>
                                    <w:pStyle w:val="32"/>
                                    <w:spacing w:before="11"/>
                                    <w:rPr>
                                      <w:sz w:val="20"/>
                                    </w:rPr>
                                  </w:pPr>
                                </w:p>
                                <w:p w14:paraId="75DBB9E1">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33CB6EC2">
                                  <w:pPr>
                                    <w:pStyle w:val="32"/>
                                    <w:spacing w:before="11"/>
                                    <w:rPr>
                                      <w:sz w:val="20"/>
                                    </w:rPr>
                                  </w:pPr>
                                </w:p>
                                <w:p w14:paraId="71BF2A58">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526D5CBE">
                                  <w:pPr>
                                    <w:pStyle w:val="32"/>
                                    <w:spacing w:before="11"/>
                                    <w:rPr>
                                      <w:sz w:val="20"/>
                                    </w:rPr>
                                  </w:pPr>
                                </w:p>
                                <w:p w14:paraId="040FC1D6">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66DF6D33">
                                  <w:pPr>
                                    <w:pStyle w:val="32"/>
                                    <w:spacing w:before="11"/>
                                    <w:rPr>
                                      <w:sz w:val="20"/>
                                    </w:rPr>
                                  </w:pPr>
                                </w:p>
                                <w:p w14:paraId="0370B073">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6B2B752C">
                                  <w:pPr>
                                    <w:pStyle w:val="32"/>
                                    <w:spacing w:before="11"/>
                                    <w:rPr>
                                      <w:sz w:val="20"/>
                                    </w:rPr>
                                  </w:pPr>
                                </w:p>
                                <w:p w14:paraId="7848BD31">
                                  <w:pPr>
                                    <w:pStyle w:val="32"/>
                                    <w:ind w:right="1151"/>
                                    <w:jc w:val="right"/>
                                    <w:rPr>
                                      <w:sz w:val="21"/>
                                    </w:rPr>
                                  </w:pPr>
                                  <w:r>
                                    <w:rPr>
                                      <w:w w:val="100"/>
                                      <w:sz w:val="21"/>
                                    </w:rPr>
                                    <w:t xml:space="preserve"> </w:t>
                                  </w:r>
                                </w:p>
                              </w:tc>
                            </w:tr>
                            <w:tr w14:paraId="6254029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1DB97D3E">
                                  <w:pPr>
                                    <w:pStyle w:val="32"/>
                                    <w:spacing w:before="11"/>
                                    <w:rPr>
                                      <w:sz w:val="20"/>
                                    </w:rPr>
                                  </w:pPr>
                                </w:p>
                                <w:p w14:paraId="254820E2">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3C7FF339">
                                  <w:pPr>
                                    <w:pStyle w:val="32"/>
                                    <w:spacing w:before="11"/>
                                    <w:rPr>
                                      <w:sz w:val="20"/>
                                    </w:rPr>
                                  </w:pPr>
                                </w:p>
                                <w:p w14:paraId="142521A8">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2CBDBF1E">
                                  <w:pPr>
                                    <w:pStyle w:val="32"/>
                                    <w:spacing w:before="11"/>
                                    <w:rPr>
                                      <w:sz w:val="20"/>
                                    </w:rPr>
                                  </w:pPr>
                                </w:p>
                                <w:p w14:paraId="4ACC8247">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4C606BCF">
                                  <w:pPr>
                                    <w:pStyle w:val="32"/>
                                    <w:spacing w:before="11"/>
                                    <w:rPr>
                                      <w:sz w:val="20"/>
                                    </w:rPr>
                                  </w:pPr>
                                </w:p>
                                <w:p w14:paraId="1AF00F89">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28F1279E">
                                  <w:pPr>
                                    <w:pStyle w:val="32"/>
                                    <w:spacing w:before="11"/>
                                    <w:rPr>
                                      <w:sz w:val="20"/>
                                    </w:rPr>
                                  </w:pPr>
                                </w:p>
                                <w:p w14:paraId="2424F270">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22E86664">
                                  <w:pPr>
                                    <w:pStyle w:val="32"/>
                                    <w:spacing w:before="11"/>
                                    <w:rPr>
                                      <w:sz w:val="20"/>
                                    </w:rPr>
                                  </w:pPr>
                                </w:p>
                                <w:p w14:paraId="155F1CDB">
                                  <w:pPr>
                                    <w:pStyle w:val="32"/>
                                    <w:ind w:right="1151"/>
                                    <w:jc w:val="right"/>
                                    <w:rPr>
                                      <w:sz w:val="21"/>
                                    </w:rPr>
                                  </w:pPr>
                                  <w:r>
                                    <w:rPr>
                                      <w:w w:val="100"/>
                                      <w:sz w:val="21"/>
                                    </w:rPr>
                                    <w:t xml:space="preserve"> </w:t>
                                  </w:r>
                                </w:p>
                              </w:tc>
                            </w:tr>
                            <w:tr w14:paraId="400282A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right w:val="single" w:color="000000" w:sz="4" w:space="0"/>
                                  </w:tcBorders>
                                  <w:noWrap w:val="0"/>
                                  <w:vAlign w:val="top"/>
                                </w:tcPr>
                                <w:p w14:paraId="1DA74C9C">
                                  <w:pPr>
                                    <w:pStyle w:val="32"/>
                                    <w:spacing w:before="11"/>
                                    <w:rPr>
                                      <w:sz w:val="20"/>
                                    </w:rPr>
                                  </w:pPr>
                                </w:p>
                                <w:p w14:paraId="6175EB46">
                                  <w:pPr>
                                    <w:pStyle w:val="32"/>
                                    <w:ind w:left="127"/>
                                    <w:jc w:val="center"/>
                                    <w:rPr>
                                      <w:sz w:val="21"/>
                                    </w:rPr>
                                  </w:pPr>
                                  <w:r>
                                    <w:rPr>
                                      <w:w w:val="100"/>
                                      <w:sz w:val="21"/>
                                    </w:rPr>
                                    <w:t xml:space="preserve"> </w:t>
                                  </w:r>
                                </w:p>
                              </w:tc>
                              <w:tc>
                                <w:tcPr>
                                  <w:tcW w:w="1591" w:type="dxa"/>
                                  <w:tcBorders>
                                    <w:top w:val="single" w:color="000000" w:sz="4" w:space="0"/>
                                    <w:left w:val="single" w:color="000000" w:sz="4" w:space="0"/>
                                    <w:right w:val="single" w:color="000000" w:sz="4" w:space="0"/>
                                  </w:tcBorders>
                                  <w:noWrap w:val="0"/>
                                  <w:vAlign w:val="top"/>
                                </w:tcPr>
                                <w:p w14:paraId="2562274C">
                                  <w:pPr>
                                    <w:pStyle w:val="32"/>
                                    <w:spacing w:before="11"/>
                                    <w:rPr>
                                      <w:sz w:val="20"/>
                                    </w:rPr>
                                  </w:pPr>
                                </w:p>
                                <w:p w14:paraId="6937079C">
                                  <w:pPr>
                                    <w:pStyle w:val="32"/>
                                    <w:ind w:left="137"/>
                                    <w:jc w:val="center"/>
                                    <w:rPr>
                                      <w:sz w:val="21"/>
                                    </w:rPr>
                                  </w:pPr>
                                  <w:r>
                                    <w:rPr>
                                      <w:w w:val="100"/>
                                      <w:sz w:val="21"/>
                                    </w:rPr>
                                    <w:t xml:space="preserve"> </w:t>
                                  </w:r>
                                </w:p>
                              </w:tc>
                              <w:tc>
                                <w:tcPr>
                                  <w:tcW w:w="1265" w:type="dxa"/>
                                  <w:tcBorders>
                                    <w:top w:val="single" w:color="000000" w:sz="4" w:space="0"/>
                                    <w:left w:val="single" w:color="000000" w:sz="4" w:space="0"/>
                                    <w:right w:val="single" w:color="000000" w:sz="4" w:space="0"/>
                                  </w:tcBorders>
                                  <w:noWrap w:val="0"/>
                                  <w:vAlign w:val="top"/>
                                </w:tcPr>
                                <w:p w14:paraId="6BC246D2">
                                  <w:pPr>
                                    <w:pStyle w:val="32"/>
                                    <w:spacing w:before="11"/>
                                    <w:rPr>
                                      <w:sz w:val="20"/>
                                    </w:rPr>
                                  </w:pPr>
                                </w:p>
                                <w:p w14:paraId="7B57B3EB">
                                  <w:pPr>
                                    <w:pStyle w:val="32"/>
                                    <w:ind w:left="133"/>
                                    <w:jc w:val="center"/>
                                    <w:rPr>
                                      <w:sz w:val="21"/>
                                    </w:rPr>
                                  </w:pPr>
                                  <w:r>
                                    <w:rPr>
                                      <w:w w:val="100"/>
                                      <w:sz w:val="21"/>
                                    </w:rPr>
                                    <w:t xml:space="preserve"> </w:t>
                                  </w:r>
                                </w:p>
                              </w:tc>
                              <w:tc>
                                <w:tcPr>
                                  <w:tcW w:w="1617" w:type="dxa"/>
                                  <w:tcBorders>
                                    <w:top w:val="single" w:color="000000" w:sz="4" w:space="0"/>
                                    <w:left w:val="single" w:color="000000" w:sz="4" w:space="0"/>
                                    <w:right w:val="single" w:color="000000" w:sz="4" w:space="0"/>
                                  </w:tcBorders>
                                  <w:noWrap w:val="0"/>
                                  <w:vAlign w:val="top"/>
                                </w:tcPr>
                                <w:p w14:paraId="1CC8B8EB">
                                  <w:pPr>
                                    <w:pStyle w:val="32"/>
                                    <w:spacing w:before="11"/>
                                    <w:rPr>
                                      <w:sz w:val="20"/>
                                    </w:rPr>
                                  </w:pPr>
                                </w:p>
                                <w:p w14:paraId="02E2798F">
                                  <w:pPr>
                                    <w:pStyle w:val="32"/>
                                    <w:ind w:left="136"/>
                                    <w:jc w:val="center"/>
                                    <w:rPr>
                                      <w:sz w:val="21"/>
                                    </w:rPr>
                                  </w:pPr>
                                  <w:r>
                                    <w:rPr>
                                      <w:w w:val="100"/>
                                      <w:sz w:val="21"/>
                                    </w:rPr>
                                    <w:t xml:space="preserve"> </w:t>
                                  </w:r>
                                </w:p>
                              </w:tc>
                              <w:tc>
                                <w:tcPr>
                                  <w:tcW w:w="1910" w:type="dxa"/>
                                  <w:tcBorders>
                                    <w:top w:val="single" w:color="000000" w:sz="4" w:space="0"/>
                                    <w:left w:val="single" w:color="000000" w:sz="4" w:space="0"/>
                                    <w:right w:val="single" w:color="000000" w:sz="4" w:space="0"/>
                                  </w:tcBorders>
                                  <w:noWrap w:val="0"/>
                                  <w:vAlign w:val="top"/>
                                </w:tcPr>
                                <w:p w14:paraId="6988C12E">
                                  <w:pPr>
                                    <w:pStyle w:val="32"/>
                                    <w:spacing w:before="11"/>
                                    <w:rPr>
                                      <w:sz w:val="20"/>
                                    </w:rPr>
                                  </w:pPr>
                                </w:p>
                                <w:p w14:paraId="32F90409">
                                  <w:pPr>
                                    <w:pStyle w:val="32"/>
                                    <w:ind w:left="143"/>
                                    <w:jc w:val="center"/>
                                    <w:rPr>
                                      <w:sz w:val="21"/>
                                    </w:rPr>
                                  </w:pPr>
                                  <w:r>
                                    <w:rPr>
                                      <w:w w:val="100"/>
                                      <w:sz w:val="21"/>
                                    </w:rPr>
                                    <w:t xml:space="preserve"> </w:t>
                                  </w:r>
                                </w:p>
                              </w:tc>
                              <w:tc>
                                <w:tcPr>
                                  <w:tcW w:w="2585" w:type="dxa"/>
                                  <w:tcBorders>
                                    <w:top w:val="single" w:color="000000" w:sz="4" w:space="0"/>
                                    <w:left w:val="single" w:color="000000" w:sz="4" w:space="0"/>
                                  </w:tcBorders>
                                  <w:noWrap w:val="0"/>
                                  <w:vAlign w:val="top"/>
                                </w:tcPr>
                                <w:p w14:paraId="0F9DD587">
                                  <w:pPr>
                                    <w:pStyle w:val="32"/>
                                    <w:spacing w:before="11"/>
                                    <w:rPr>
                                      <w:sz w:val="20"/>
                                    </w:rPr>
                                  </w:pPr>
                                </w:p>
                                <w:p w14:paraId="5B6A077E">
                                  <w:pPr>
                                    <w:pStyle w:val="32"/>
                                    <w:ind w:right="1151"/>
                                    <w:jc w:val="right"/>
                                    <w:rPr>
                                      <w:sz w:val="21"/>
                                    </w:rPr>
                                  </w:pPr>
                                  <w:r>
                                    <w:rPr>
                                      <w:w w:val="100"/>
                                      <w:sz w:val="21"/>
                                    </w:rPr>
                                    <w:t xml:space="preserve"> </w:t>
                                  </w:r>
                                </w:p>
                              </w:tc>
                            </w:tr>
                          </w:tbl>
                          <w:p w14:paraId="2875D8EF">
                            <w:pPr>
                              <w:pStyle w:val="8"/>
                            </w:pPr>
                          </w:p>
                        </w:txbxContent>
                      </wps:txbx>
                      <wps:bodyPr lIns="0" tIns="0" rIns="0" bIns="0" upright="1"/>
                    </wps:wsp>
                  </a:graphicData>
                </a:graphic>
              </wp:anchor>
            </w:drawing>
          </mc:Choice>
          <mc:Fallback>
            <w:pict>
              <v:shape id="_x0000_s1026" o:spid="_x0000_s1026" o:spt="202" type="#_x0000_t202" style="position:absolute;left:0pt;margin-left:50.6pt;margin-top:45.4pt;height:323.7pt;width:494.75pt;mso-position-horizontal-relative:page;z-index:251666432;mso-width-relative:page;mso-height-relative:page;" filled="f" stroked="f" coordsize="21600,21600" o:gfxdata="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ZQvZI2AAAAAsBAAAPAAAAAAAAAAEAIAAAACIAAABkcnMvZG93bnJldi54bWxQ&#10;SwECFAAUAAAACACHTuJADsL9pb4BAAB1AwAADgAAAAAAAAABACAAAAAnAQAAZHJzL2Uyb0RvYy54&#10;bWxQSwUGAAAAAAYABgBZAQAAVwUAAAAA&#10;">
                <v:fill on="f" focussize="0,0"/>
                <v:stroke on="f"/>
                <v:imagedata o:title=""/>
                <o:lock v:ext="edit" aspectratio="f"/>
                <v:textbox inset="0mm,0mm,0mm,0mm">
                  <w:txbxContent>
                    <w:tbl>
                      <w:tblPr>
                        <w:tblStyle w:val="20"/>
                        <w:tblW w:w="9849"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81"/>
                        <w:gridCol w:w="1591"/>
                        <w:gridCol w:w="1265"/>
                        <w:gridCol w:w="1617"/>
                        <w:gridCol w:w="1910"/>
                        <w:gridCol w:w="2585"/>
                      </w:tblGrid>
                      <w:tr w14:paraId="2906292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4" w:hRule="atLeast"/>
                        </w:trPr>
                        <w:tc>
                          <w:tcPr>
                            <w:tcW w:w="881" w:type="dxa"/>
                            <w:tcBorders>
                              <w:bottom w:val="double" w:color="000000" w:sz="0" w:space="0"/>
                              <w:right w:val="single" w:color="000000" w:sz="4" w:space="0"/>
                            </w:tcBorders>
                            <w:shd w:val="clear" w:color="auto" w:fill="EDEBE0"/>
                            <w:noWrap w:val="0"/>
                            <w:vAlign w:val="top"/>
                          </w:tcPr>
                          <w:p w14:paraId="01951466">
                            <w:pPr>
                              <w:pStyle w:val="32"/>
                              <w:spacing w:before="163"/>
                              <w:ind w:left="258" w:right="143"/>
                              <w:jc w:val="center"/>
                              <w:rPr>
                                <w:sz w:val="21"/>
                              </w:rPr>
                            </w:pPr>
                            <w:r>
                              <w:rPr>
                                <w:sz w:val="21"/>
                              </w:rPr>
                              <w:t xml:space="preserve">序号 </w:t>
                            </w:r>
                          </w:p>
                        </w:tc>
                        <w:tc>
                          <w:tcPr>
                            <w:tcW w:w="1591" w:type="dxa"/>
                            <w:tcBorders>
                              <w:left w:val="single" w:color="000000" w:sz="4" w:space="0"/>
                              <w:bottom w:val="double" w:color="000000" w:sz="0" w:space="0"/>
                              <w:right w:val="single" w:color="000000" w:sz="4" w:space="0"/>
                            </w:tcBorders>
                            <w:shd w:val="clear" w:color="auto" w:fill="EDEBE0"/>
                            <w:noWrap w:val="0"/>
                            <w:vAlign w:val="top"/>
                          </w:tcPr>
                          <w:p w14:paraId="5B1F7127">
                            <w:pPr>
                              <w:pStyle w:val="32"/>
                              <w:spacing w:before="163"/>
                              <w:ind w:left="628" w:right="493"/>
                              <w:jc w:val="center"/>
                              <w:rPr>
                                <w:sz w:val="21"/>
                              </w:rPr>
                            </w:pPr>
                            <w:r>
                              <w:rPr>
                                <w:sz w:val="21"/>
                              </w:rPr>
                              <w:t xml:space="preserve">姓名 </w:t>
                            </w:r>
                          </w:p>
                        </w:tc>
                        <w:tc>
                          <w:tcPr>
                            <w:tcW w:w="1265" w:type="dxa"/>
                            <w:tcBorders>
                              <w:left w:val="single" w:color="000000" w:sz="4" w:space="0"/>
                              <w:bottom w:val="double" w:color="000000" w:sz="0" w:space="0"/>
                              <w:right w:val="single" w:color="000000" w:sz="4" w:space="0"/>
                            </w:tcBorders>
                            <w:shd w:val="clear" w:color="auto" w:fill="EDEBE0"/>
                            <w:noWrap w:val="0"/>
                            <w:vAlign w:val="top"/>
                          </w:tcPr>
                          <w:p w14:paraId="168572E4">
                            <w:pPr>
                              <w:pStyle w:val="32"/>
                              <w:spacing w:before="163"/>
                              <w:ind w:left="465" w:right="330"/>
                              <w:jc w:val="center"/>
                              <w:rPr>
                                <w:sz w:val="21"/>
                              </w:rPr>
                            </w:pPr>
                            <w:r>
                              <w:rPr>
                                <w:sz w:val="21"/>
                              </w:rPr>
                              <w:t xml:space="preserve">学历 </w:t>
                            </w:r>
                          </w:p>
                        </w:tc>
                        <w:tc>
                          <w:tcPr>
                            <w:tcW w:w="1617" w:type="dxa"/>
                            <w:tcBorders>
                              <w:left w:val="single" w:color="000000" w:sz="4" w:space="0"/>
                              <w:bottom w:val="double" w:color="000000" w:sz="0" w:space="0"/>
                              <w:right w:val="single" w:color="000000" w:sz="4" w:space="0"/>
                            </w:tcBorders>
                            <w:shd w:val="clear" w:color="auto" w:fill="EDEBE0"/>
                            <w:noWrap w:val="0"/>
                            <w:vAlign w:val="top"/>
                          </w:tcPr>
                          <w:p w14:paraId="3EF775DD">
                            <w:pPr>
                              <w:pStyle w:val="32"/>
                              <w:spacing w:before="163"/>
                              <w:ind w:left="640" w:right="506"/>
                              <w:jc w:val="center"/>
                              <w:rPr>
                                <w:sz w:val="21"/>
                              </w:rPr>
                            </w:pPr>
                            <w:r>
                              <w:rPr>
                                <w:sz w:val="21"/>
                              </w:rPr>
                              <w:t xml:space="preserve">职称 </w:t>
                            </w:r>
                          </w:p>
                        </w:tc>
                        <w:tc>
                          <w:tcPr>
                            <w:tcW w:w="1910" w:type="dxa"/>
                            <w:tcBorders>
                              <w:left w:val="single" w:color="000000" w:sz="4" w:space="0"/>
                              <w:bottom w:val="double" w:color="000000" w:sz="0" w:space="0"/>
                              <w:right w:val="single" w:color="000000" w:sz="4" w:space="0"/>
                            </w:tcBorders>
                            <w:shd w:val="clear" w:color="auto" w:fill="EDEBE0"/>
                            <w:noWrap w:val="0"/>
                            <w:vAlign w:val="top"/>
                          </w:tcPr>
                          <w:p w14:paraId="4557C6D0">
                            <w:pPr>
                              <w:pStyle w:val="32"/>
                              <w:spacing w:before="163"/>
                              <w:ind w:left="581" w:right="438"/>
                              <w:jc w:val="center"/>
                              <w:rPr>
                                <w:sz w:val="21"/>
                              </w:rPr>
                            </w:pPr>
                            <w:r>
                              <w:rPr>
                                <w:sz w:val="21"/>
                              </w:rPr>
                              <w:t xml:space="preserve">经验年限 </w:t>
                            </w:r>
                          </w:p>
                        </w:tc>
                        <w:tc>
                          <w:tcPr>
                            <w:tcW w:w="2585" w:type="dxa"/>
                            <w:tcBorders>
                              <w:left w:val="single" w:color="000000" w:sz="4" w:space="0"/>
                              <w:bottom w:val="double" w:color="000000" w:sz="0" w:space="0"/>
                            </w:tcBorders>
                            <w:shd w:val="clear" w:color="auto" w:fill="EDEBE0"/>
                            <w:noWrap w:val="0"/>
                            <w:vAlign w:val="top"/>
                          </w:tcPr>
                          <w:p w14:paraId="04196705">
                            <w:pPr>
                              <w:pStyle w:val="32"/>
                              <w:spacing w:before="26" w:line="270" w:lineRule="atLeast"/>
                              <w:ind w:left="1200" w:right="98" w:hanging="1050"/>
                              <w:rPr>
                                <w:sz w:val="21"/>
                              </w:rPr>
                            </w:pPr>
                            <w:r>
                              <w:rPr>
                                <w:sz w:val="21"/>
                              </w:rPr>
                              <w:t xml:space="preserve">拟担任职务或承担工作内容 </w:t>
                            </w:r>
                          </w:p>
                        </w:tc>
                      </w:tr>
                      <w:tr w14:paraId="58E808B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26" w:hRule="atLeast"/>
                        </w:trPr>
                        <w:tc>
                          <w:tcPr>
                            <w:tcW w:w="881" w:type="dxa"/>
                            <w:tcBorders>
                              <w:top w:val="double" w:color="000000" w:sz="0" w:space="0"/>
                              <w:bottom w:val="single" w:color="000000" w:sz="4" w:space="0"/>
                              <w:right w:val="single" w:color="000000" w:sz="4" w:space="0"/>
                            </w:tcBorders>
                            <w:noWrap w:val="0"/>
                            <w:vAlign w:val="top"/>
                          </w:tcPr>
                          <w:p w14:paraId="4F7422DB">
                            <w:pPr>
                              <w:pStyle w:val="32"/>
                              <w:spacing w:before="9"/>
                              <w:rPr>
                                <w:sz w:val="21"/>
                              </w:rPr>
                            </w:pPr>
                          </w:p>
                          <w:p w14:paraId="46B0E650">
                            <w:pPr>
                              <w:pStyle w:val="32"/>
                              <w:spacing w:before="1"/>
                              <w:ind w:left="127"/>
                              <w:jc w:val="center"/>
                              <w:rPr>
                                <w:sz w:val="21"/>
                              </w:rPr>
                            </w:pPr>
                            <w:r>
                              <w:rPr>
                                <w:w w:val="100"/>
                                <w:sz w:val="21"/>
                              </w:rPr>
                              <w:t xml:space="preserve"> </w:t>
                            </w:r>
                          </w:p>
                        </w:tc>
                        <w:tc>
                          <w:tcPr>
                            <w:tcW w:w="1591" w:type="dxa"/>
                            <w:tcBorders>
                              <w:top w:val="double" w:color="000000" w:sz="0" w:space="0"/>
                              <w:left w:val="single" w:color="000000" w:sz="4" w:space="0"/>
                              <w:bottom w:val="single" w:color="000000" w:sz="4" w:space="0"/>
                              <w:right w:val="single" w:color="000000" w:sz="4" w:space="0"/>
                            </w:tcBorders>
                            <w:noWrap w:val="0"/>
                            <w:vAlign w:val="top"/>
                          </w:tcPr>
                          <w:p w14:paraId="27B05421">
                            <w:pPr>
                              <w:pStyle w:val="32"/>
                              <w:spacing w:before="9"/>
                              <w:rPr>
                                <w:sz w:val="21"/>
                              </w:rPr>
                            </w:pPr>
                          </w:p>
                          <w:p w14:paraId="78EEEFD7">
                            <w:pPr>
                              <w:pStyle w:val="32"/>
                              <w:spacing w:before="1"/>
                              <w:ind w:left="137"/>
                              <w:jc w:val="center"/>
                              <w:rPr>
                                <w:sz w:val="21"/>
                              </w:rPr>
                            </w:pPr>
                            <w:r>
                              <w:rPr>
                                <w:w w:val="100"/>
                                <w:sz w:val="21"/>
                              </w:rPr>
                              <w:t xml:space="preserve"> </w:t>
                            </w:r>
                          </w:p>
                        </w:tc>
                        <w:tc>
                          <w:tcPr>
                            <w:tcW w:w="1265" w:type="dxa"/>
                            <w:tcBorders>
                              <w:top w:val="double" w:color="000000" w:sz="0" w:space="0"/>
                              <w:left w:val="single" w:color="000000" w:sz="4" w:space="0"/>
                              <w:bottom w:val="single" w:color="000000" w:sz="4" w:space="0"/>
                              <w:right w:val="single" w:color="000000" w:sz="4" w:space="0"/>
                            </w:tcBorders>
                            <w:noWrap w:val="0"/>
                            <w:vAlign w:val="top"/>
                          </w:tcPr>
                          <w:p w14:paraId="22E998CF">
                            <w:pPr>
                              <w:pStyle w:val="32"/>
                              <w:spacing w:before="9"/>
                              <w:rPr>
                                <w:sz w:val="21"/>
                              </w:rPr>
                            </w:pPr>
                          </w:p>
                          <w:p w14:paraId="19E49111">
                            <w:pPr>
                              <w:pStyle w:val="32"/>
                              <w:spacing w:before="1"/>
                              <w:ind w:left="133"/>
                              <w:jc w:val="center"/>
                              <w:rPr>
                                <w:sz w:val="21"/>
                              </w:rPr>
                            </w:pPr>
                            <w:r>
                              <w:rPr>
                                <w:w w:val="100"/>
                                <w:sz w:val="21"/>
                              </w:rPr>
                              <w:t xml:space="preserve"> </w:t>
                            </w:r>
                          </w:p>
                        </w:tc>
                        <w:tc>
                          <w:tcPr>
                            <w:tcW w:w="1617" w:type="dxa"/>
                            <w:tcBorders>
                              <w:top w:val="double" w:color="000000" w:sz="0" w:space="0"/>
                              <w:left w:val="single" w:color="000000" w:sz="4" w:space="0"/>
                              <w:bottom w:val="single" w:color="000000" w:sz="4" w:space="0"/>
                              <w:right w:val="single" w:color="000000" w:sz="4" w:space="0"/>
                            </w:tcBorders>
                            <w:noWrap w:val="0"/>
                            <w:vAlign w:val="top"/>
                          </w:tcPr>
                          <w:p w14:paraId="256698DC">
                            <w:pPr>
                              <w:pStyle w:val="32"/>
                              <w:spacing w:before="9"/>
                              <w:rPr>
                                <w:sz w:val="21"/>
                              </w:rPr>
                            </w:pPr>
                          </w:p>
                          <w:p w14:paraId="2E5E37A8">
                            <w:pPr>
                              <w:pStyle w:val="32"/>
                              <w:spacing w:before="1"/>
                              <w:ind w:left="136"/>
                              <w:jc w:val="center"/>
                              <w:rPr>
                                <w:sz w:val="21"/>
                              </w:rPr>
                            </w:pPr>
                            <w:r>
                              <w:rPr>
                                <w:w w:val="100"/>
                                <w:sz w:val="21"/>
                              </w:rPr>
                              <w:t xml:space="preserve"> </w:t>
                            </w:r>
                          </w:p>
                        </w:tc>
                        <w:tc>
                          <w:tcPr>
                            <w:tcW w:w="1910" w:type="dxa"/>
                            <w:tcBorders>
                              <w:top w:val="double" w:color="000000" w:sz="0" w:space="0"/>
                              <w:left w:val="single" w:color="000000" w:sz="4" w:space="0"/>
                              <w:bottom w:val="single" w:color="000000" w:sz="4" w:space="0"/>
                              <w:right w:val="single" w:color="000000" w:sz="4" w:space="0"/>
                            </w:tcBorders>
                            <w:noWrap w:val="0"/>
                            <w:vAlign w:val="top"/>
                          </w:tcPr>
                          <w:p w14:paraId="5AC6FD62">
                            <w:pPr>
                              <w:pStyle w:val="32"/>
                              <w:spacing w:before="9"/>
                              <w:rPr>
                                <w:sz w:val="21"/>
                              </w:rPr>
                            </w:pPr>
                          </w:p>
                          <w:p w14:paraId="1136178E">
                            <w:pPr>
                              <w:pStyle w:val="32"/>
                              <w:spacing w:before="1"/>
                              <w:ind w:left="143"/>
                              <w:jc w:val="center"/>
                              <w:rPr>
                                <w:sz w:val="21"/>
                              </w:rPr>
                            </w:pPr>
                            <w:r>
                              <w:rPr>
                                <w:w w:val="100"/>
                                <w:sz w:val="21"/>
                              </w:rPr>
                              <w:t xml:space="preserve"> </w:t>
                            </w:r>
                          </w:p>
                        </w:tc>
                        <w:tc>
                          <w:tcPr>
                            <w:tcW w:w="2585" w:type="dxa"/>
                            <w:tcBorders>
                              <w:top w:val="double" w:color="000000" w:sz="0" w:space="0"/>
                              <w:left w:val="single" w:color="000000" w:sz="4" w:space="0"/>
                              <w:bottom w:val="single" w:color="000000" w:sz="4" w:space="0"/>
                            </w:tcBorders>
                            <w:noWrap w:val="0"/>
                            <w:vAlign w:val="top"/>
                          </w:tcPr>
                          <w:p w14:paraId="4B032F8B">
                            <w:pPr>
                              <w:pStyle w:val="32"/>
                              <w:spacing w:before="9"/>
                              <w:rPr>
                                <w:sz w:val="21"/>
                              </w:rPr>
                            </w:pPr>
                          </w:p>
                          <w:p w14:paraId="49F8F639">
                            <w:pPr>
                              <w:pStyle w:val="32"/>
                              <w:spacing w:before="1"/>
                              <w:ind w:right="1151"/>
                              <w:jc w:val="right"/>
                              <w:rPr>
                                <w:sz w:val="21"/>
                              </w:rPr>
                            </w:pPr>
                            <w:r>
                              <w:rPr>
                                <w:w w:val="100"/>
                                <w:sz w:val="21"/>
                              </w:rPr>
                              <w:t xml:space="preserve"> </w:t>
                            </w:r>
                          </w:p>
                        </w:tc>
                      </w:tr>
                      <w:tr w14:paraId="752B835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07962D29">
                            <w:pPr>
                              <w:pStyle w:val="32"/>
                              <w:spacing w:before="11"/>
                              <w:rPr>
                                <w:sz w:val="20"/>
                              </w:rPr>
                            </w:pPr>
                          </w:p>
                          <w:p w14:paraId="21637ED2">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4CEB9138">
                            <w:pPr>
                              <w:pStyle w:val="32"/>
                              <w:spacing w:before="11"/>
                              <w:rPr>
                                <w:sz w:val="20"/>
                              </w:rPr>
                            </w:pPr>
                          </w:p>
                          <w:p w14:paraId="40E66CFC">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64CBC3F5">
                            <w:pPr>
                              <w:pStyle w:val="32"/>
                              <w:spacing w:before="11"/>
                              <w:rPr>
                                <w:sz w:val="20"/>
                              </w:rPr>
                            </w:pPr>
                          </w:p>
                          <w:p w14:paraId="2E6FBC0F">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6F06005C">
                            <w:pPr>
                              <w:pStyle w:val="32"/>
                              <w:spacing w:before="11"/>
                              <w:rPr>
                                <w:sz w:val="20"/>
                              </w:rPr>
                            </w:pPr>
                          </w:p>
                          <w:p w14:paraId="5E3F23CB">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09770AFC">
                            <w:pPr>
                              <w:pStyle w:val="32"/>
                              <w:spacing w:before="11"/>
                              <w:rPr>
                                <w:sz w:val="20"/>
                              </w:rPr>
                            </w:pPr>
                          </w:p>
                          <w:p w14:paraId="5FF65BB0">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6AE69A25">
                            <w:pPr>
                              <w:pStyle w:val="32"/>
                              <w:spacing w:before="11"/>
                              <w:rPr>
                                <w:sz w:val="20"/>
                              </w:rPr>
                            </w:pPr>
                          </w:p>
                          <w:p w14:paraId="43567DED">
                            <w:pPr>
                              <w:pStyle w:val="32"/>
                              <w:ind w:right="1151"/>
                              <w:jc w:val="right"/>
                              <w:rPr>
                                <w:sz w:val="21"/>
                              </w:rPr>
                            </w:pPr>
                            <w:r>
                              <w:rPr>
                                <w:w w:val="100"/>
                                <w:sz w:val="21"/>
                              </w:rPr>
                              <w:t xml:space="preserve"> </w:t>
                            </w:r>
                          </w:p>
                        </w:tc>
                      </w:tr>
                      <w:tr w14:paraId="5B41C77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5" w:hRule="atLeast"/>
                        </w:trPr>
                        <w:tc>
                          <w:tcPr>
                            <w:tcW w:w="881" w:type="dxa"/>
                            <w:tcBorders>
                              <w:top w:val="single" w:color="000000" w:sz="4" w:space="0"/>
                              <w:bottom w:val="single" w:color="000000" w:sz="4" w:space="0"/>
                              <w:right w:val="single" w:color="000000" w:sz="4" w:space="0"/>
                            </w:tcBorders>
                            <w:noWrap w:val="0"/>
                            <w:vAlign w:val="top"/>
                          </w:tcPr>
                          <w:p w14:paraId="55C712FD">
                            <w:pPr>
                              <w:pStyle w:val="32"/>
                              <w:spacing w:before="11"/>
                              <w:rPr>
                                <w:sz w:val="20"/>
                              </w:rPr>
                            </w:pPr>
                          </w:p>
                          <w:p w14:paraId="72C545F1">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59E3F2F5">
                            <w:pPr>
                              <w:pStyle w:val="32"/>
                              <w:spacing w:before="11"/>
                              <w:rPr>
                                <w:sz w:val="20"/>
                              </w:rPr>
                            </w:pPr>
                          </w:p>
                          <w:p w14:paraId="703A2CEC">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44137738">
                            <w:pPr>
                              <w:pStyle w:val="32"/>
                              <w:spacing w:before="11"/>
                              <w:rPr>
                                <w:sz w:val="20"/>
                              </w:rPr>
                            </w:pPr>
                          </w:p>
                          <w:p w14:paraId="64EE50FE">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4517F3D4">
                            <w:pPr>
                              <w:pStyle w:val="32"/>
                              <w:spacing w:before="11"/>
                              <w:rPr>
                                <w:sz w:val="20"/>
                              </w:rPr>
                            </w:pPr>
                          </w:p>
                          <w:p w14:paraId="4705ABAD">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30522EBA">
                            <w:pPr>
                              <w:pStyle w:val="32"/>
                              <w:spacing w:before="11"/>
                              <w:rPr>
                                <w:sz w:val="20"/>
                              </w:rPr>
                            </w:pPr>
                          </w:p>
                          <w:p w14:paraId="5C425A2D">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0F32BE77">
                            <w:pPr>
                              <w:pStyle w:val="32"/>
                              <w:spacing w:before="11"/>
                              <w:rPr>
                                <w:sz w:val="20"/>
                              </w:rPr>
                            </w:pPr>
                          </w:p>
                          <w:p w14:paraId="67440800">
                            <w:pPr>
                              <w:pStyle w:val="32"/>
                              <w:ind w:right="1151"/>
                              <w:jc w:val="right"/>
                              <w:rPr>
                                <w:sz w:val="21"/>
                              </w:rPr>
                            </w:pPr>
                            <w:r>
                              <w:rPr>
                                <w:w w:val="100"/>
                                <w:sz w:val="21"/>
                              </w:rPr>
                              <w:t xml:space="preserve"> </w:t>
                            </w:r>
                          </w:p>
                        </w:tc>
                      </w:tr>
                      <w:tr w14:paraId="3D099B6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3248320F">
                            <w:pPr>
                              <w:pStyle w:val="32"/>
                              <w:spacing w:before="11"/>
                              <w:rPr>
                                <w:sz w:val="20"/>
                              </w:rPr>
                            </w:pPr>
                          </w:p>
                          <w:p w14:paraId="614EE05B">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11BB4E5F">
                            <w:pPr>
                              <w:pStyle w:val="32"/>
                              <w:spacing w:before="11"/>
                              <w:rPr>
                                <w:sz w:val="20"/>
                              </w:rPr>
                            </w:pPr>
                          </w:p>
                          <w:p w14:paraId="2014FD99">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6875127D">
                            <w:pPr>
                              <w:pStyle w:val="32"/>
                              <w:spacing w:before="11"/>
                              <w:rPr>
                                <w:sz w:val="20"/>
                              </w:rPr>
                            </w:pPr>
                          </w:p>
                          <w:p w14:paraId="5301A467">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2BE78ABF">
                            <w:pPr>
                              <w:pStyle w:val="32"/>
                              <w:spacing w:before="11"/>
                              <w:rPr>
                                <w:sz w:val="20"/>
                              </w:rPr>
                            </w:pPr>
                          </w:p>
                          <w:p w14:paraId="5FE8CAA4">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2A3A00D1">
                            <w:pPr>
                              <w:pStyle w:val="32"/>
                              <w:spacing w:before="11"/>
                              <w:rPr>
                                <w:sz w:val="20"/>
                              </w:rPr>
                            </w:pPr>
                          </w:p>
                          <w:p w14:paraId="438BC121">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54878E2B">
                            <w:pPr>
                              <w:pStyle w:val="32"/>
                              <w:spacing w:before="11"/>
                              <w:rPr>
                                <w:sz w:val="20"/>
                              </w:rPr>
                            </w:pPr>
                          </w:p>
                          <w:p w14:paraId="1AB911C6">
                            <w:pPr>
                              <w:pStyle w:val="32"/>
                              <w:ind w:right="1151"/>
                              <w:jc w:val="right"/>
                              <w:rPr>
                                <w:sz w:val="21"/>
                              </w:rPr>
                            </w:pPr>
                            <w:r>
                              <w:rPr>
                                <w:w w:val="100"/>
                                <w:sz w:val="21"/>
                              </w:rPr>
                              <w:t xml:space="preserve"> </w:t>
                            </w:r>
                          </w:p>
                        </w:tc>
                      </w:tr>
                      <w:tr w14:paraId="27C239E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52E0C8E5">
                            <w:pPr>
                              <w:pStyle w:val="32"/>
                              <w:spacing w:before="11"/>
                              <w:rPr>
                                <w:sz w:val="20"/>
                              </w:rPr>
                            </w:pPr>
                          </w:p>
                          <w:p w14:paraId="2D9504C4">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265372E4">
                            <w:pPr>
                              <w:pStyle w:val="32"/>
                              <w:spacing w:before="11"/>
                              <w:rPr>
                                <w:sz w:val="20"/>
                              </w:rPr>
                            </w:pPr>
                          </w:p>
                          <w:p w14:paraId="64C53CEA">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1B7DE112">
                            <w:pPr>
                              <w:pStyle w:val="32"/>
                              <w:spacing w:before="11"/>
                              <w:rPr>
                                <w:sz w:val="20"/>
                              </w:rPr>
                            </w:pPr>
                          </w:p>
                          <w:p w14:paraId="65AA696A">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6EF9686A">
                            <w:pPr>
                              <w:pStyle w:val="32"/>
                              <w:spacing w:before="11"/>
                              <w:rPr>
                                <w:sz w:val="20"/>
                              </w:rPr>
                            </w:pPr>
                          </w:p>
                          <w:p w14:paraId="3914E36F">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57CDDED4">
                            <w:pPr>
                              <w:pStyle w:val="32"/>
                              <w:spacing w:before="11"/>
                              <w:rPr>
                                <w:sz w:val="20"/>
                              </w:rPr>
                            </w:pPr>
                          </w:p>
                          <w:p w14:paraId="67733CE1">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4104EC45">
                            <w:pPr>
                              <w:pStyle w:val="32"/>
                              <w:spacing w:before="11"/>
                              <w:rPr>
                                <w:sz w:val="20"/>
                              </w:rPr>
                            </w:pPr>
                          </w:p>
                          <w:p w14:paraId="353A30F2">
                            <w:pPr>
                              <w:pStyle w:val="32"/>
                              <w:ind w:right="1151"/>
                              <w:jc w:val="right"/>
                              <w:rPr>
                                <w:sz w:val="21"/>
                              </w:rPr>
                            </w:pPr>
                            <w:r>
                              <w:rPr>
                                <w:w w:val="100"/>
                                <w:sz w:val="21"/>
                              </w:rPr>
                              <w:t xml:space="preserve"> </w:t>
                            </w:r>
                          </w:p>
                        </w:tc>
                      </w:tr>
                      <w:tr w14:paraId="36C7C10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7AB1C19D">
                            <w:pPr>
                              <w:pStyle w:val="32"/>
                              <w:spacing w:before="11"/>
                              <w:rPr>
                                <w:sz w:val="20"/>
                              </w:rPr>
                            </w:pPr>
                          </w:p>
                          <w:p w14:paraId="5378E01C">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79C79DAB">
                            <w:pPr>
                              <w:pStyle w:val="32"/>
                              <w:spacing w:before="11"/>
                              <w:rPr>
                                <w:sz w:val="20"/>
                              </w:rPr>
                            </w:pPr>
                          </w:p>
                          <w:p w14:paraId="75DBB9E1">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33CB6EC2">
                            <w:pPr>
                              <w:pStyle w:val="32"/>
                              <w:spacing w:before="11"/>
                              <w:rPr>
                                <w:sz w:val="20"/>
                              </w:rPr>
                            </w:pPr>
                          </w:p>
                          <w:p w14:paraId="71BF2A58">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526D5CBE">
                            <w:pPr>
                              <w:pStyle w:val="32"/>
                              <w:spacing w:before="11"/>
                              <w:rPr>
                                <w:sz w:val="20"/>
                              </w:rPr>
                            </w:pPr>
                          </w:p>
                          <w:p w14:paraId="040FC1D6">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66DF6D33">
                            <w:pPr>
                              <w:pStyle w:val="32"/>
                              <w:spacing w:before="11"/>
                              <w:rPr>
                                <w:sz w:val="20"/>
                              </w:rPr>
                            </w:pPr>
                          </w:p>
                          <w:p w14:paraId="0370B073">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6B2B752C">
                            <w:pPr>
                              <w:pStyle w:val="32"/>
                              <w:spacing w:before="11"/>
                              <w:rPr>
                                <w:sz w:val="20"/>
                              </w:rPr>
                            </w:pPr>
                          </w:p>
                          <w:p w14:paraId="7848BD31">
                            <w:pPr>
                              <w:pStyle w:val="32"/>
                              <w:ind w:right="1151"/>
                              <w:jc w:val="right"/>
                              <w:rPr>
                                <w:sz w:val="21"/>
                              </w:rPr>
                            </w:pPr>
                            <w:r>
                              <w:rPr>
                                <w:w w:val="100"/>
                                <w:sz w:val="21"/>
                              </w:rPr>
                              <w:t xml:space="preserve"> </w:t>
                            </w:r>
                          </w:p>
                        </w:tc>
                      </w:tr>
                      <w:tr w14:paraId="6254029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bottom w:val="single" w:color="000000" w:sz="4" w:space="0"/>
                              <w:right w:val="single" w:color="000000" w:sz="4" w:space="0"/>
                            </w:tcBorders>
                            <w:noWrap w:val="0"/>
                            <w:vAlign w:val="top"/>
                          </w:tcPr>
                          <w:p w14:paraId="1DB97D3E">
                            <w:pPr>
                              <w:pStyle w:val="32"/>
                              <w:spacing w:before="11"/>
                              <w:rPr>
                                <w:sz w:val="20"/>
                              </w:rPr>
                            </w:pPr>
                          </w:p>
                          <w:p w14:paraId="254820E2">
                            <w:pPr>
                              <w:pStyle w:val="32"/>
                              <w:ind w:left="127"/>
                              <w:jc w:val="center"/>
                              <w:rPr>
                                <w:sz w:val="21"/>
                              </w:rPr>
                            </w:pPr>
                            <w:r>
                              <w:rPr>
                                <w:w w:val="100"/>
                                <w:sz w:val="21"/>
                              </w:rPr>
                              <w:t xml:space="preserve"> </w:t>
                            </w:r>
                          </w:p>
                        </w:tc>
                        <w:tc>
                          <w:tcPr>
                            <w:tcW w:w="1591" w:type="dxa"/>
                            <w:tcBorders>
                              <w:top w:val="single" w:color="000000" w:sz="4" w:space="0"/>
                              <w:left w:val="single" w:color="000000" w:sz="4" w:space="0"/>
                              <w:bottom w:val="single" w:color="000000" w:sz="4" w:space="0"/>
                              <w:right w:val="single" w:color="000000" w:sz="4" w:space="0"/>
                            </w:tcBorders>
                            <w:noWrap w:val="0"/>
                            <w:vAlign w:val="top"/>
                          </w:tcPr>
                          <w:p w14:paraId="3C7FF339">
                            <w:pPr>
                              <w:pStyle w:val="32"/>
                              <w:spacing w:before="11"/>
                              <w:rPr>
                                <w:sz w:val="20"/>
                              </w:rPr>
                            </w:pPr>
                          </w:p>
                          <w:p w14:paraId="142521A8">
                            <w:pPr>
                              <w:pStyle w:val="32"/>
                              <w:ind w:left="137"/>
                              <w:jc w:val="center"/>
                              <w:rPr>
                                <w:sz w:val="21"/>
                              </w:rPr>
                            </w:pPr>
                            <w:r>
                              <w:rPr>
                                <w:w w:val="100"/>
                                <w:sz w:val="21"/>
                              </w:rPr>
                              <w:t xml:space="preserve"> </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14:paraId="2CBDBF1E">
                            <w:pPr>
                              <w:pStyle w:val="32"/>
                              <w:spacing w:before="11"/>
                              <w:rPr>
                                <w:sz w:val="20"/>
                              </w:rPr>
                            </w:pPr>
                          </w:p>
                          <w:p w14:paraId="4ACC8247">
                            <w:pPr>
                              <w:pStyle w:val="32"/>
                              <w:ind w:left="133"/>
                              <w:jc w:val="center"/>
                              <w:rPr>
                                <w:sz w:val="21"/>
                              </w:rPr>
                            </w:pPr>
                            <w:r>
                              <w:rPr>
                                <w:w w:val="100"/>
                                <w:sz w:val="21"/>
                              </w:rPr>
                              <w:t xml:space="preserve"> </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4C606BCF">
                            <w:pPr>
                              <w:pStyle w:val="32"/>
                              <w:spacing w:before="11"/>
                              <w:rPr>
                                <w:sz w:val="20"/>
                              </w:rPr>
                            </w:pPr>
                          </w:p>
                          <w:p w14:paraId="1AF00F89">
                            <w:pPr>
                              <w:pStyle w:val="32"/>
                              <w:ind w:left="136"/>
                              <w:jc w:val="center"/>
                              <w:rPr>
                                <w:sz w:val="21"/>
                              </w:rPr>
                            </w:pPr>
                            <w:r>
                              <w:rPr>
                                <w:w w:val="100"/>
                                <w:sz w:val="21"/>
                              </w:rPr>
                              <w:t xml:space="preserve"> </w:t>
                            </w:r>
                          </w:p>
                        </w:tc>
                        <w:tc>
                          <w:tcPr>
                            <w:tcW w:w="1910" w:type="dxa"/>
                            <w:tcBorders>
                              <w:top w:val="single" w:color="000000" w:sz="4" w:space="0"/>
                              <w:left w:val="single" w:color="000000" w:sz="4" w:space="0"/>
                              <w:bottom w:val="single" w:color="000000" w:sz="4" w:space="0"/>
                              <w:right w:val="single" w:color="000000" w:sz="4" w:space="0"/>
                            </w:tcBorders>
                            <w:noWrap w:val="0"/>
                            <w:vAlign w:val="top"/>
                          </w:tcPr>
                          <w:p w14:paraId="28F1279E">
                            <w:pPr>
                              <w:pStyle w:val="32"/>
                              <w:spacing w:before="11"/>
                              <w:rPr>
                                <w:sz w:val="20"/>
                              </w:rPr>
                            </w:pPr>
                          </w:p>
                          <w:p w14:paraId="2424F270">
                            <w:pPr>
                              <w:pStyle w:val="32"/>
                              <w:ind w:left="143"/>
                              <w:jc w:val="center"/>
                              <w:rPr>
                                <w:sz w:val="21"/>
                              </w:rPr>
                            </w:pPr>
                            <w:r>
                              <w:rPr>
                                <w:w w:val="100"/>
                                <w:sz w:val="21"/>
                              </w:rPr>
                              <w:t xml:space="preserve"> </w:t>
                            </w:r>
                          </w:p>
                        </w:tc>
                        <w:tc>
                          <w:tcPr>
                            <w:tcW w:w="2585" w:type="dxa"/>
                            <w:tcBorders>
                              <w:top w:val="single" w:color="000000" w:sz="4" w:space="0"/>
                              <w:left w:val="single" w:color="000000" w:sz="4" w:space="0"/>
                              <w:bottom w:val="single" w:color="000000" w:sz="4" w:space="0"/>
                            </w:tcBorders>
                            <w:noWrap w:val="0"/>
                            <w:vAlign w:val="top"/>
                          </w:tcPr>
                          <w:p w14:paraId="22E86664">
                            <w:pPr>
                              <w:pStyle w:val="32"/>
                              <w:spacing w:before="11"/>
                              <w:rPr>
                                <w:sz w:val="20"/>
                              </w:rPr>
                            </w:pPr>
                          </w:p>
                          <w:p w14:paraId="155F1CDB">
                            <w:pPr>
                              <w:pStyle w:val="32"/>
                              <w:ind w:right="1151"/>
                              <w:jc w:val="right"/>
                              <w:rPr>
                                <w:sz w:val="21"/>
                              </w:rPr>
                            </w:pPr>
                            <w:r>
                              <w:rPr>
                                <w:w w:val="100"/>
                                <w:sz w:val="21"/>
                              </w:rPr>
                              <w:t xml:space="preserve"> </w:t>
                            </w:r>
                          </w:p>
                        </w:tc>
                      </w:tr>
                      <w:tr w14:paraId="400282A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4" w:hRule="atLeast"/>
                        </w:trPr>
                        <w:tc>
                          <w:tcPr>
                            <w:tcW w:w="881" w:type="dxa"/>
                            <w:tcBorders>
                              <w:top w:val="single" w:color="000000" w:sz="4" w:space="0"/>
                              <w:right w:val="single" w:color="000000" w:sz="4" w:space="0"/>
                            </w:tcBorders>
                            <w:noWrap w:val="0"/>
                            <w:vAlign w:val="top"/>
                          </w:tcPr>
                          <w:p w14:paraId="1DA74C9C">
                            <w:pPr>
                              <w:pStyle w:val="32"/>
                              <w:spacing w:before="11"/>
                              <w:rPr>
                                <w:sz w:val="20"/>
                              </w:rPr>
                            </w:pPr>
                          </w:p>
                          <w:p w14:paraId="6175EB46">
                            <w:pPr>
                              <w:pStyle w:val="32"/>
                              <w:ind w:left="127"/>
                              <w:jc w:val="center"/>
                              <w:rPr>
                                <w:sz w:val="21"/>
                              </w:rPr>
                            </w:pPr>
                            <w:r>
                              <w:rPr>
                                <w:w w:val="100"/>
                                <w:sz w:val="21"/>
                              </w:rPr>
                              <w:t xml:space="preserve"> </w:t>
                            </w:r>
                          </w:p>
                        </w:tc>
                        <w:tc>
                          <w:tcPr>
                            <w:tcW w:w="1591" w:type="dxa"/>
                            <w:tcBorders>
                              <w:top w:val="single" w:color="000000" w:sz="4" w:space="0"/>
                              <w:left w:val="single" w:color="000000" w:sz="4" w:space="0"/>
                              <w:right w:val="single" w:color="000000" w:sz="4" w:space="0"/>
                            </w:tcBorders>
                            <w:noWrap w:val="0"/>
                            <w:vAlign w:val="top"/>
                          </w:tcPr>
                          <w:p w14:paraId="2562274C">
                            <w:pPr>
                              <w:pStyle w:val="32"/>
                              <w:spacing w:before="11"/>
                              <w:rPr>
                                <w:sz w:val="20"/>
                              </w:rPr>
                            </w:pPr>
                          </w:p>
                          <w:p w14:paraId="6937079C">
                            <w:pPr>
                              <w:pStyle w:val="32"/>
                              <w:ind w:left="137"/>
                              <w:jc w:val="center"/>
                              <w:rPr>
                                <w:sz w:val="21"/>
                              </w:rPr>
                            </w:pPr>
                            <w:r>
                              <w:rPr>
                                <w:w w:val="100"/>
                                <w:sz w:val="21"/>
                              </w:rPr>
                              <w:t xml:space="preserve"> </w:t>
                            </w:r>
                          </w:p>
                        </w:tc>
                        <w:tc>
                          <w:tcPr>
                            <w:tcW w:w="1265" w:type="dxa"/>
                            <w:tcBorders>
                              <w:top w:val="single" w:color="000000" w:sz="4" w:space="0"/>
                              <w:left w:val="single" w:color="000000" w:sz="4" w:space="0"/>
                              <w:right w:val="single" w:color="000000" w:sz="4" w:space="0"/>
                            </w:tcBorders>
                            <w:noWrap w:val="0"/>
                            <w:vAlign w:val="top"/>
                          </w:tcPr>
                          <w:p w14:paraId="6BC246D2">
                            <w:pPr>
                              <w:pStyle w:val="32"/>
                              <w:spacing w:before="11"/>
                              <w:rPr>
                                <w:sz w:val="20"/>
                              </w:rPr>
                            </w:pPr>
                          </w:p>
                          <w:p w14:paraId="7B57B3EB">
                            <w:pPr>
                              <w:pStyle w:val="32"/>
                              <w:ind w:left="133"/>
                              <w:jc w:val="center"/>
                              <w:rPr>
                                <w:sz w:val="21"/>
                              </w:rPr>
                            </w:pPr>
                            <w:r>
                              <w:rPr>
                                <w:w w:val="100"/>
                                <w:sz w:val="21"/>
                              </w:rPr>
                              <w:t xml:space="preserve"> </w:t>
                            </w:r>
                          </w:p>
                        </w:tc>
                        <w:tc>
                          <w:tcPr>
                            <w:tcW w:w="1617" w:type="dxa"/>
                            <w:tcBorders>
                              <w:top w:val="single" w:color="000000" w:sz="4" w:space="0"/>
                              <w:left w:val="single" w:color="000000" w:sz="4" w:space="0"/>
                              <w:right w:val="single" w:color="000000" w:sz="4" w:space="0"/>
                            </w:tcBorders>
                            <w:noWrap w:val="0"/>
                            <w:vAlign w:val="top"/>
                          </w:tcPr>
                          <w:p w14:paraId="1CC8B8EB">
                            <w:pPr>
                              <w:pStyle w:val="32"/>
                              <w:spacing w:before="11"/>
                              <w:rPr>
                                <w:sz w:val="20"/>
                              </w:rPr>
                            </w:pPr>
                          </w:p>
                          <w:p w14:paraId="02E2798F">
                            <w:pPr>
                              <w:pStyle w:val="32"/>
                              <w:ind w:left="136"/>
                              <w:jc w:val="center"/>
                              <w:rPr>
                                <w:sz w:val="21"/>
                              </w:rPr>
                            </w:pPr>
                            <w:r>
                              <w:rPr>
                                <w:w w:val="100"/>
                                <w:sz w:val="21"/>
                              </w:rPr>
                              <w:t xml:space="preserve"> </w:t>
                            </w:r>
                          </w:p>
                        </w:tc>
                        <w:tc>
                          <w:tcPr>
                            <w:tcW w:w="1910" w:type="dxa"/>
                            <w:tcBorders>
                              <w:top w:val="single" w:color="000000" w:sz="4" w:space="0"/>
                              <w:left w:val="single" w:color="000000" w:sz="4" w:space="0"/>
                              <w:right w:val="single" w:color="000000" w:sz="4" w:space="0"/>
                            </w:tcBorders>
                            <w:noWrap w:val="0"/>
                            <w:vAlign w:val="top"/>
                          </w:tcPr>
                          <w:p w14:paraId="6988C12E">
                            <w:pPr>
                              <w:pStyle w:val="32"/>
                              <w:spacing w:before="11"/>
                              <w:rPr>
                                <w:sz w:val="20"/>
                              </w:rPr>
                            </w:pPr>
                          </w:p>
                          <w:p w14:paraId="32F90409">
                            <w:pPr>
                              <w:pStyle w:val="32"/>
                              <w:ind w:left="143"/>
                              <w:jc w:val="center"/>
                              <w:rPr>
                                <w:sz w:val="21"/>
                              </w:rPr>
                            </w:pPr>
                            <w:r>
                              <w:rPr>
                                <w:w w:val="100"/>
                                <w:sz w:val="21"/>
                              </w:rPr>
                              <w:t xml:space="preserve"> </w:t>
                            </w:r>
                          </w:p>
                        </w:tc>
                        <w:tc>
                          <w:tcPr>
                            <w:tcW w:w="2585" w:type="dxa"/>
                            <w:tcBorders>
                              <w:top w:val="single" w:color="000000" w:sz="4" w:space="0"/>
                              <w:left w:val="single" w:color="000000" w:sz="4" w:space="0"/>
                            </w:tcBorders>
                            <w:noWrap w:val="0"/>
                            <w:vAlign w:val="top"/>
                          </w:tcPr>
                          <w:p w14:paraId="0F9DD587">
                            <w:pPr>
                              <w:pStyle w:val="32"/>
                              <w:spacing w:before="11"/>
                              <w:rPr>
                                <w:sz w:val="20"/>
                              </w:rPr>
                            </w:pPr>
                          </w:p>
                          <w:p w14:paraId="5B6A077E">
                            <w:pPr>
                              <w:pStyle w:val="32"/>
                              <w:ind w:right="1151"/>
                              <w:jc w:val="right"/>
                              <w:rPr>
                                <w:sz w:val="21"/>
                              </w:rPr>
                            </w:pPr>
                            <w:r>
                              <w:rPr>
                                <w:w w:val="100"/>
                                <w:sz w:val="21"/>
                              </w:rPr>
                              <w:t xml:space="preserve"> </w:t>
                            </w:r>
                          </w:p>
                        </w:tc>
                      </w:tr>
                    </w:tbl>
                    <w:p w14:paraId="2875D8EF">
                      <w:pPr>
                        <w:pStyle w:val="8"/>
                      </w:pPr>
                    </w:p>
                  </w:txbxContent>
                </v:textbox>
              </v:shape>
            </w:pict>
          </mc:Fallback>
        </mc:AlternateContent>
      </w:r>
      <w:r>
        <w:rPr>
          <w:rFonts w:hint="eastAsia" w:ascii="宋体" w:hAnsi="宋体" w:eastAsia="宋体" w:cs="宋体"/>
          <w:color w:val="auto"/>
          <w:sz w:val="24"/>
          <w:szCs w:val="24"/>
          <w:highlight w:val="none"/>
        </w:rPr>
        <w:t>采购项目名称：</w:t>
      </w:r>
    </w:p>
    <w:p w14:paraId="5EC39E9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 xml:space="preserve">  </w:t>
      </w:r>
    </w:p>
    <w:p w14:paraId="4877B01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7D3A95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3BA2C3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5C6F7C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07B5AC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ABE031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FB4745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BD7AA7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0941EB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785E35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DB81CF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CF571C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904167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201E9D1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3607C3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5CA2884">
      <w:pPr>
        <w:rPr>
          <w:rFonts w:hint="eastAsia"/>
          <w:color w:val="auto"/>
          <w:highlight w:val="none"/>
          <w:lang w:val="en-US" w:eastAsia="zh-CN"/>
        </w:rPr>
      </w:pPr>
      <w:r>
        <w:rPr>
          <w:rFonts w:hint="eastAsia"/>
          <w:color w:val="auto"/>
          <w:highlight w:val="none"/>
          <w:lang w:val="en-US" w:eastAsia="zh-CN"/>
        </w:rPr>
        <w:t xml:space="preserve">备注：根据评审表的要求提交相应证明资料复印件加盖企业公章：身份证、资格证（注册建造师执业资格证书）、安全生产考核合格证、社保证明（需提供近1个月）、拟派项目负责人没有在其他在建项目中担任项目负责人的书面承诺。 </w:t>
      </w:r>
    </w:p>
    <w:p w14:paraId="28310EC4">
      <w:pPr>
        <w:rPr>
          <w:rFonts w:hint="eastAsia"/>
          <w:color w:val="auto"/>
          <w:highlight w:val="none"/>
          <w:lang w:val="en-US" w:eastAsia="zh-CN"/>
        </w:rPr>
      </w:pPr>
    </w:p>
    <w:p w14:paraId="6C5B8215">
      <w:pPr>
        <w:rPr>
          <w:rFonts w:hint="eastAsia"/>
          <w:color w:val="auto"/>
          <w:highlight w:val="none"/>
          <w:lang w:val="en-US" w:eastAsia="zh-CN"/>
        </w:rPr>
      </w:pPr>
      <w:r>
        <w:rPr>
          <w:rFonts w:hint="eastAsia"/>
          <w:color w:val="auto"/>
          <w:highlight w:val="none"/>
          <w:lang w:val="en-US" w:eastAsia="zh-CN"/>
        </w:rPr>
        <w:t xml:space="preserve">供应商名称（单位盖公章）：                              </w:t>
      </w:r>
    </w:p>
    <w:p w14:paraId="243E8F59">
      <w:pPr>
        <w:rPr>
          <w:rFonts w:hint="eastAsia"/>
          <w:color w:val="auto"/>
          <w:highlight w:val="none"/>
          <w:lang w:val="en-US" w:eastAsia="zh-CN"/>
        </w:rPr>
      </w:pPr>
      <w:r>
        <w:rPr>
          <w:rFonts w:hint="eastAsia"/>
          <w:color w:val="auto"/>
          <w:highlight w:val="none"/>
          <w:lang w:val="en-US" w:eastAsia="zh-CN"/>
        </w:rPr>
        <w:t xml:space="preserve"> </w:t>
      </w:r>
    </w:p>
    <w:p w14:paraId="1EF64115">
      <w:pPr>
        <w:rPr>
          <w:rFonts w:hint="eastAsia" w:ascii="宋体" w:hAnsi="宋体" w:eastAsia="宋体" w:cs="宋体"/>
          <w:color w:val="auto"/>
          <w:sz w:val="24"/>
          <w:szCs w:val="24"/>
          <w:highlight w:val="none"/>
        </w:rPr>
      </w:pPr>
      <w:r>
        <w:rPr>
          <w:rFonts w:hint="eastAsia"/>
          <w:color w:val="auto"/>
          <w:highlight w:val="none"/>
          <w:lang w:val="en-US" w:eastAsia="zh-CN"/>
        </w:rPr>
        <w:t xml:space="preserve">日期:   </w:t>
      </w:r>
      <w:r>
        <w:rPr>
          <w:rFonts w:hint="eastAsia" w:ascii="宋体" w:hAnsi="宋体" w:eastAsia="宋体" w:cs="宋体"/>
          <w:color w:val="auto"/>
          <w:sz w:val="24"/>
          <w:szCs w:val="24"/>
          <w:highlight w:val="none"/>
        </w:rPr>
        <w:t xml:space="preserve">     </w:t>
      </w:r>
    </w:p>
    <w:p w14:paraId="65BAE726">
      <w:pPr>
        <w:rPr>
          <w:rFonts w:hint="eastAsia" w:ascii="宋体" w:hAnsi="宋体" w:eastAsia="宋体" w:cs="宋体"/>
          <w:b/>
          <w:bCs/>
          <w:color w:val="auto"/>
          <w:sz w:val="30"/>
          <w:szCs w:val="30"/>
          <w:highlight w:val="none"/>
          <w:lang w:val="en-US" w:eastAsia="zh-CN"/>
        </w:rPr>
      </w:pPr>
    </w:p>
    <w:p w14:paraId="0582A9F7">
      <w:pPr>
        <w:pStyle w:val="7"/>
        <w:rPr>
          <w:rFonts w:hint="eastAsia"/>
          <w:color w:val="auto"/>
          <w:highlight w:val="none"/>
          <w:lang w:val="en-US" w:eastAsia="zh-CN"/>
        </w:rPr>
      </w:pPr>
    </w:p>
    <w:p w14:paraId="4186F80A">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b/>
          <w:bCs/>
          <w:color w:val="auto"/>
          <w:sz w:val="30"/>
          <w:szCs w:val="30"/>
          <w:highlight w:val="none"/>
          <w:lang w:val="en-US" w:eastAsia="zh-CN"/>
        </w:rPr>
      </w:pPr>
    </w:p>
    <w:p w14:paraId="4DEE5BC5">
      <w:pPr>
        <w:pStyle w:val="7"/>
        <w:rPr>
          <w:rFonts w:hint="eastAsia"/>
          <w:color w:val="auto"/>
          <w:highlight w:val="none"/>
          <w:lang w:val="en-US" w:eastAsia="zh-CN"/>
        </w:rPr>
      </w:pPr>
    </w:p>
    <w:p w14:paraId="74CDBC82">
      <w:pPr>
        <w:rPr>
          <w:rFonts w:hint="eastAsia"/>
          <w:lang w:val="en-US" w:eastAsia="zh-CN"/>
        </w:rPr>
      </w:pPr>
    </w:p>
    <w:p w14:paraId="1C1467D6">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b/>
          <w:bCs/>
          <w:color w:val="auto"/>
          <w:sz w:val="30"/>
          <w:szCs w:val="30"/>
          <w:highlight w:val="none"/>
          <w:lang w:val="en-US" w:eastAsia="zh-CN"/>
        </w:rPr>
      </w:pPr>
    </w:p>
    <w:p w14:paraId="0783266A">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b/>
          <w:bCs/>
          <w:color w:val="auto"/>
          <w:sz w:val="30"/>
          <w:szCs w:val="30"/>
          <w:highlight w:val="none"/>
          <w:lang w:val="en-US" w:eastAsia="zh-CN"/>
        </w:rPr>
      </w:pPr>
      <w:r>
        <w:rPr>
          <w:rFonts w:hint="eastAsia" w:cs="宋体"/>
          <w:b/>
          <w:bCs/>
          <w:color w:val="auto"/>
          <w:sz w:val="30"/>
          <w:szCs w:val="30"/>
          <w:highlight w:val="none"/>
          <w:lang w:val="en-US" w:eastAsia="zh-CN"/>
        </w:rPr>
        <w:t>2</w:t>
      </w:r>
      <w:r>
        <w:rPr>
          <w:rFonts w:hint="eastAsia" w:ascii="宋体" w:hAnsi="宋体" w:eastAsia="宋体" w:cs="宋体"/>
          <w:b/>
          <w:bCs/>
          <w:color w:val="auto"/>
          <w:sz w:val="30"/>
          <w:szCs w:val="30"/>
          <w:highlight w:val="none"/>
          <w:lang w:val="en-US" w:eastAsia="zh-CN"/>
        </w:rPr>
        <w:t xml:space="preserve">.4 企业管理体系认证 </w:t>
      </w:r>
    </w:p>
    <w:p w14:paraId="286BEE64">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p>
    <w:p w14:paraId="1DB9BF1C">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注：根据</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须知第</w:t>
      </w:r>
      <w:r>
        <w:rPr>
          <w:rFonts w:hint="eastAsia" w:cs="宋体"/>
          <w:color w:val="auto"/>
          <w:sz w:val="24"/>
          <w:szCs w:val="24"/>
          <w:highlight w:val="none"/>
          <w:lang w:val="en-US" w:eastAsia="zh-CN"/>
        </w:rPr>
        <w:t>七部分</w:t>
      </w:r>
      <w:r>
        <w:rPr>
          <w:rFonts w:hint="eastAsia" w:ascii="宋体" w:hAnsi="宋体" w:eastAsia="宋体" w:cs="宋体"/>
          <w:color w:val="auto"/>
          <w:sz w:val="24"/>
          <w:szCs w:val="24"/>
          <w:highlight w:val="none"/>
          <w:lang w:val="en-US" w:eastAsia="zh-CN"/>
        </w:rPr>
        <w:t>评审</w:t>
      </w:r>
      <w:r>
        <w:rPr>
          <w:rFonts w:hint="eastAsia" w:cs="宋体"/>
          <w:color w:val="auto"/>
          <w:sz w:val="24"/>
          <w:szCs w:val="24"/>
          <w:highlight w:val="none"/>
          <w:lang w:val="en-US" w:eastAsia="zh-CN"/>
        </w:rPr>
        <w:t>标准</w:t>
      </w:r>
      <w:r>
        <w:rPr>
          <w:rFonts w:hint="eastAsia" w:ascii="宋体" w:hAnsi="宋体" w:eastAsia="宋体" w:cs="宋体"/>
          <w:color w:val="auto"/>
          <w:sz w:val="24"/>
          <w:szCs w:val="24"/>
          <w:highlight w:val="none"/>
          <w:lang w:val="en-US" w:eastAsia="zh-CN"/>
        </w:rPr>
        <w:t>“商务部</w:t>
      </w:r>
      <w:r>
        <w:rPr>
          <w:rFonts w:hint="eastAsia" w:cs="宋体"/>
          <w:color w:val="auto"/>
          <w:sz w:val="24"/>
          <w:szCs w:val="24"/>
          <w:highlight w:val="none"/>
          <w:lang w:val="en-US" w:eastAsia="zh-CN"/>
        </w:rPr>
        <w:t>分</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评审内容</w:t>
      </w:r>
      <w:r>
        <w:rPr>
          <w:rFonts w:hint="eastAsia" w:ascii="宋体" w:hAnsi="宋体" w:eastAsia="宋体" w:cs="宋体"/>
          <w:color w:val="auto"/>
          <w:sz w:val="24"/>
          <w:szCs w:val="24"/>
          <w:highlight w:val="none"/>
          <w:lang w:val="en-US" w:eastAsia="zh-CN"/>
        </w:rPr>
        <w:t xml:space="preserve">的要求编写及提供相关资料，复印件均要求加盖公章。 </w:t>
      </w:r>
    </w:p>
    <w:p w14:paraId="3FE0BA8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p>
    <w:p w14:paraId="7C71FC67">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p>
    <w:p w14:paraId="5B218C83">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p>
    <w:p w14:paraId="58F8C6DC">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p>
    <w:p w14:paraId="6B67EFE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供应商法定代表人（或法定代表人授权代表）签名或签章： </w:t>
      </w:r>
    </w:p>
    <w:p w14:paraId="04C664C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供应商名称（盖公章）： </w:t>
      </w:r>
    </w:p>
    <w:p w14:paraId="551A28BD">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日 期： 年 月 日</w:t>
      </w:r>
    </w:p>
    <w:p w14:paraId="1D5FDE09">
      <w:pPr>
        <w:pStyle w:val="7"/>
        <w:rPr>
          <w:rFonts w:hint="eastAsia" w:ascii="宋体" w:hAnsi="宋体" w:eastAsia="宋体" w:cs="宋体"/>
          <w:b/>
          <w:bCs/>
          <w:color w:val="auto"/>
          <w:sz w:val="30"/>
          <w:szCs w:val="30"/>
          <w:highlight w:val="none"/>
          <w:lang w:val="en-US" w:eastAsia="zh-CN"/>
        </w:rPr>
      </w:pPr>
    </w:p>
    <w:p w14:paraId="7F02579E">
      <w:pPr>
        <w:rPr>
          <w:rFonts w:hint="eastAsia" w:ascii="宋体" w:hAnsi="宋体" w:eastAsia="宋体" w:cs="宋体"/>
          <w:b/>
          <w:bCs/>
          <w:color w:val="auto"/>
          <w:sz w:val="30"/>
          <w:szCs w:val="30"/>
          <w:highlight w:val="none"/>
          <w:lang w:val="en-US" w:eastAsia="zh-CN"/>
        </w:rPr>
      </w:pPr>
    </w:p>
    <w:p w14:paraId="7B8DC8CB">
      <w:pPr>
        <w:pStyle w:val="7"/>
        <w:rPr>
          <w:rFonts w:hint="eastAsia" w:ascii="宋体" w:hAnsi="宋体" w:eastAsia="宋体" w:cs="宋体"/>
          <w:b/>
          <w:bCs/>
          <w:color w:val="auto"/>
          <w:sz w:val="30"/>
          <w:szCs w:val="30"/>
          <w:highlight w:val="none"/>
          <w:lang w:val="en-US" w:eastAsia="zh-CN"/>
        </w:rPr>
      </w:pPr>
    </w:p>
    <w:p w14:paraId="15AEBC9B">
      <w:pPr>
        <w:rPr>
          <w:rFonts w:hint="eastAsia" w:ascii="宋体" w:hAnsi="宋体" w:eastAsia="宋体" w:cs="宋体"/>
          <w:b/>
          <w:bCs/>
          <w:color w:val="auto"/>
          <w:sz w:val="30"/>
          <w:szCs w:val="30"/>
          <w:highlight w:val="none"/>
          <w:lang w:val="en-US" w:eastAsia="zh-CN"/>
        </w:rPr>
      </w:pPr>
    </w:p>
    <w:p w14:paraId="4E2E8F32">
      <w:pPr>
        <w:pStyle w:val="7"/>
        <w:rPr>
          <w:rFonts w:hint="eastAsia" w:ascii="宋体" w:hAnsi="宋体" w:eastAsia="宋体" w:cs="宋体"/>
          <w:b/>
          <w:bCs/>
          <w:color w:val="auto"/>
          <w:sz w:val="30"/>
          <w:szCs w:val="30"/>
          <w:highlight w:val="none"/>
          <w:lang w:val="en-US" w:eastAsia="zh-CN"/>
        </w:rPr>
      </w:pPr>
    </w:p>
    <w:p w14:paraId="2001768E">
      <w:pPr>
        <w:rPr>
          <w:rFonts w:hint="eastAsia" w:ascii="宋体" w:hAnsi="宋体" w:eastAsia="宋体" w:cs="宋体"/>
          <w:b/>
          <w:bCs/>
          <w:color w:val="auto"/>
          <w:sz w:val="30"/>
          <w:szCs w:val="30"/>
          <w:highlight w:val="none"/>
          <w:lang w:val="en-US" w:eastAsia="zh-CN"/>
        </w:rPr>
      </w:pPr>
    </w:p>
    <w:p w14:paraId="47B7531A">
      <w:pPr>
        <w:pStyle w:val="7"/>
        <w:rPr>
          <w:rFonts w:hint="eastAsia" w:ascii="宋体" w:hAnsi="宋体" w:eastAsia="宋体" w:cs="宋体"/>
          <w:b/>
          <w:bCs/>
          <w:color w:val="auto"/>
          <w:sz w:val="30"/>
          <w:szCs w:val="30"/>
          <w:highlight w:val="none"/>
          <w:lang w:val="en-US" w:eastAsia="zh-CN"/>
        </w:rPr>
      </w:pPr>
    </w:p>
    <w:p w14:paraId="0B9300FF">
      <w:pPr>
        <w:rPr>
          <w:rFonts w:hint="eastAsia" w:ascii="宋体" w:hAnsi="宋体" w:eastAsia="宋体" w:cs="宋体"/>
          <w:b/>
          <w:bCs/>
          <w:color w:val="auto"/>
          <w:sz w:val="30"/>
          <w:szCs w:val="30"/>
          <w:highlight w:val="none"/>
          <w:lang w:val="en-US" w:eastAsia="zh-CN"/>
        </w:rPr>
      </w:pPr>
    </w:p>
    <w:p w14:paraId="664876C7">
      <w:pPr>
        <w:pStyle w:val="7"/>
        <w:rPr>
          <w:rFonts w:hint="eastAsia" w:ascii="宋体" w:hAnsi="宋体" w:eastAsia="宋体" w:cs="宋体"/>
          <w:b/>
          <w:bCs/>
          <w:color w:val="auto"/>
          <w:sz w:val="30"/>
          <w:szCs w:val="30"/>
          <w:highlight w:val="none"/>
          <w:lang w:val="en-US" w:eastAsia="zh-CN"/>
        </w:rPr>
      </w:pPr>
    </w:p>
    <w:p w14:paraId="3F5A0393">
      <w:pPr>
        <w:rPr>
          <w:rFonts w:hint="eastAsia" w:ascii="宋体" w:hAnsi="宋体" w:eastAsia="宋体" w:cs="宋体"/>
          <w:b/>
          <w:bCs/>
          <w:color w:val="auto"/>
          <w:sz w:val="30"/>
          <w:szCs w:val="30"/>
          <w:highlight w:val="none"/>
          <w:lang w:val="en-US" w:eastAsia="zh-CN"/>
        </w:rPr>
      </w:pPr>
    </w:p>
    <w:p w14:paraId="69C7C1D6">
      <w:pPr>
        <w:pStyle w:val="7"/>
        <w:rPr>
          <w:rFonts w:hint="eastAsia" w:ascii="宋体" w:hAnsi="宋体" w:eastAsia="宋体" w:cs="宋体"/>
          <w:b/>
          <w:bCs/>
          <w:color w:val="auto"/>
          <w:sz w:val="30"/>
          <w:szCs w:val="30"/>
          <w:highlight w:val="none"/>
          <w:lang w:val="en-US" w:eastAsia="zh-CN"/>
        </w:rPr>
      </w:pPr>
    </w:p>
    <w:p w14:paraId="5170F54F">
      <w:pPr>
        <w:rPr>
          <w:rFonts w:hint="eastAsia" w:ascii="宋体" w:hAnsi="宋体" w:eastAsia="宋体" w:cs="宋体"/>
          <w:b/>
          <w:bCs/>
          <w:color w:val="auto"/>
          <w:sz w:val="30"/>
          <w:szCs w:val="30"/>
          <w:highlight w:val="none"/>
          <w:lang w:val="en-US" w:eastAsia="zh-CN"/>
        </w:rPr>
      </w:pPr>
    </w:p>
    <w:p w14:paraId="39C3E62C">
      <w:pPr>
        <w:pStyle w:val="7"/>
        <w:rPr>
          <w:rFonts w:hint="eastAsia" w:ascii="宋体" w:hAnsi="宋体" w:eastAsia="宋体" w:cs="宋体"/>
          <w:b/>
          <w:bCs/>
          <w:color w:val="auto"/>
          <w:sz w:val="30"/>
          <w:szCs w:val="30"/>
          <w:highlight w:val="none"/>
          <w:lang w:val="en-US" w:eastAsia="zh-CN"/>
        </w:rPr>
      </w:pPr>
    </w:p>
    <w:p w14:paraId="1778C0FF">
      <w:pPr>
        <w:rPr>
          <w:rFonts w:hint="eastAsia" w:ascii="宋体" w:hAnsi="宋体" w:eastAsia="宋体" w:cs="宋体"/>
          <w:b/>
          <w:bCs/>
          <w:color w:val="auto"/>
          <w:sz w:val="30"/>
          <w:szCs w:val="30"/>
          <w:highlight w:val="none"/>
          <w:lang w:val="en-US" w:eastAsia="zh-CN"/>
        </w:rPr>
      </w:pPr>
    </w:p>
    <w:p w14:paraId="7B53A850">
      <w:pPr>
        <w:pStyle w:val="7"/>
        <w:rPr>
          <w:rFonts w:hint="eastAsia" w:ascii="宋体" w:hAnsi="宋体" w:eastAsia="宋体" w:cs="宋体"/>
          <w:b/>
          <w:bCs/>
          <w:color w:val="auto"/>
          <w:sz w:val="30"/>
          <w:szCs w:val="30"/>
          <w:highlight w:val="none"/>
          <w:lang w:val="en-US" w:eastAsia="zh-CN"/>
        </w:rPr>
      </w:pPr>
    </w:p>
    <w:p w14:paraId="78CD5478">
      <w:pPr>
        <w:rPr>
          <w:rFonts w:hint="eastAsia" w:ascii="宋体" w:hAnsi="宋体" w:eastAsia="宋体" w:cs="宋体"/>
          <w:b/>
          <w:bCs/>
          <w:color w:val="auto"/>
          <w:sz w:val="30"/>
          <w:szCs w:val="30"/>
          <w:highlight w:val="none"/>
          <w:lang w:val="en-US" w:eastAsia="zh-CN"/>
        </w:rPr>
      </w:pPr>
    </w:p>
    <w:p w14:paraId="153A4077">
      <w:pPr>
        <w:pStyle w:val="7"/>
        <w:rPr>
          <w:rFonts w:hint="eastAsia" w:ascii="宋体" w:hAnsi="宋体" w:eastAsia="宋体" w:cs="宋体"/>
          <w:b/>
          <w:bCs/>
          <w:color w:val="auto"/>
          <w:sz w:val="30"/>
          <w:szCs w:val="30"/>
          <w:highlight w:val="none"/>
          <w:lang w:val="en-US" w:eastAsia="zh-CN"/>
        </w:rPr>
      </w:pPr>
    </w:p>
    <w:p w14:paraId="36A4EE2B">
      <w:pPr>
        <w:rPr>
          <w:rFonts w:hint="eastAsia" w:ascii="宋体" w:hAnsi="宋体" w:eastAsia="宋体" w:cs="宋体"/>
          <w:b/>
          <w:bCs/>
          <w:color w:val="auto"/>
          <w:sz w:val="30"/>
          <w:szCs w:val="30"/>
          <w:highlight w:val="none"/>
          <w:lang w:val="en-US" w:eastAsia="zh-CN"/>
        </w:rPr>
      </w:pPr>
    </w:p>
    <w:p w14:paraId="47DC44A5">
      <w:pPr>
        <w:pStyle w:val="7"/>
        <w:rPr>
          <w:rFonts w:hint="eastAsia" w:ascii="宋体" w:hAnsi="宋体" w:eastAsia="宋体" w:cs="宋体"/>
          <w:b/>
          <w:bCs/>
          <w:color w:val="auto"/>
          <w:sz w:val="30"/>
          <w:szCs w:val="30"/>
          <w:highlight w:val="none"/>
          <w:lang w:val="en-US" w:eastAsia="zh-CN"/>
        </w:rPr>
      </w:pPr>
    </w:p>
    <w:p w14:paraId="661E7C78">
      <w:pPr>
        <w:rPr>
          <w:rFonts w:hint="eastAsia" w:ascii="宋体" w:hAnsi="宋体" w:eastAsia="宋体" w:cs="宋体"/>
          <w:b/>
          <w:bCs/>
          <w:color w:val="auto"/>
          <w:sz w:val="30"/>
          <w:szCs w:val="30"/>
          <w:highlight w:val="none"/>
          <w:lang w:val="en-US" w:eastAsia="zh-CN"/>
        </w:rPr>
      </w:pPr>
    </w:p>
    <w:p w14:paraId="0765F465">
      <w:pPr>
        <w:pStyle w:val="7"/>
        <w:rPr>
          <w:rFonts w:hint="eastAsia"/>
          <w:color w:val="auto"/>
          <w:highlight w:val="none"/>
          <w:lang w:val="en-US" w:eastAsia="zh-CN"/>
        </w:rPr>
      </w:pPr>
    </w:p>
    <w:p w14:paraId="08949F9E">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color w:val="auto"/>
          <w:sz w:val="24"/>
          <w:szCs w:val="24"/>
          <w:highlight w:val="none"/>
        </w:rPr>
      </w:pPr>
      <w:r>
        <w:rPr>
          <w:rFonts w:hint="eastAsia" w:cs="宋体"/>
          <w:b/>
          <w:bCs/>
          <w:color w:val="auto"/>
          <w:sz w:val="30"/>
          <w:szCs w:val="30"/>
          <w:highlight w:val="none"/>
          <w:lang w:val="en-US" w:eastAsia="zh-CN"/>
        </w:rPr>
        <w:t xml:space="preserve">2.5 </w:t>
      </w:r>
      <w:r>
        <w:rPr>
          <w:rFonts w:hint="eastAsia" w:ascii="宋体" w:hAnsi="宋体" w:eastAsia="宋体" w:cs="宋体"/>
          <w:b/>
          <w:bCs/>
          <w:color w:val="auto"/>
          <w:sz w:val="30"/>
          <w:szCs w:val="30"/>
          <w:highlight w:val="none"/>
          <w:lang w:val="en-US" w:eastAsia="zh-CN"/>
        </w:rPr>
        <w:t>同类项目业绩情况一览表</w:t>
      </w:r>
    </w:p>
    <w:p w14:paraId="3BD6823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4EA5C52">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采购项目名称：</w:t>
      </w:r>
    </w:p>
    <w:p w14:paraId="275123E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 xml:space="preserve">  </w:t>
      </w:r>
    </w:p>
    <w:p w14:paraId="56AB2C5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7456" behindDoc="0" locked="0" layoutInCell="1" allowOverlap="1">
                <wp:simplePos x="0" y="0"/>
                <wp:positionH relativeFrom="page">
                  <wp:posOffset>622300</wp:posOffset>
                </wp:positionH>
                <wp:positionV relativeFrom="paragraph">
                  <wp:posOffset>113030</wp:posOffset>
                </wp:positionV>
                <wp:extent cx="6285230" cy="2620645"/>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6285230" cy="2620645"/>
                        </a:xfrm>
                        <a:prstGeom prst="rect">
                          <a:avLst/>
                        </a:prstGeom>
                        <a:noFill/>
                        <a:ln>
                          <a:noFill/>
                        </a:ln>
                      </wps:spPr>
                      <wps:txbx>
                        <w:txbxContent>
                          <w:tbl>
                            <w:tblPr>
                              <w:tblStyle w:val="20"/>
                              <w:tblW w:w="9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2"/>
                              <w:gridCol w:w="1878"/>
                              <w:gridCol w:w="2115"/>
                              <w:gridCol w:w="1755"/>
                              <w:gridCol w:w="1723"/>
                              <w:gridCol w:w="1721"/>
                            </w:tblGrid>
                            <w:tr w14:paraId="6F53F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492" w:type="dxa"/>
                                  <w:shd w:val="clear" w:color="auto" w:fill="EDEBE0"/>
                                  <w:noWrap w:val="0"/>
                                  <w:vAlign w:val="top"/>
                                </w:tcPr>
                                <w:p w14:paraId="407D5270">
                                  <w:pPr>
                                    <w:pStyle w:val="32"/>
                                    <w:spacing w:before="137"/>
                                    <w:ind w:left="170" w:right="10"/>
                                    <w:jc w:val="center"/>
                                    <w:rPr>
                                      <w:sz w:val="21"/>
                                    </w:rPr>
                                  </w:pPr>
                                  <w:r>
                                    <w:rPr>
                                      <w:sz w:val="21"/>
                                    </w:rPr>
                                    <w:t xml:space="preserve">序号 </w:t>
                                  </w:r>
                                </w:p>
                              </w:tc>
                              <w:tc>
                                <w:tcPr>
                                  <w:tcW w:w="1878" w:type="dxa"/>
                                  <w:shd w:val="clear" w:color="auto" w:fill="EDEBE0"/>
                                  <w:noWrap w:val="0"/>
                                  <w:vAlign w:val="top"/>
                                </w:tcPr>
                                <w:p w14:paraId="75455539">
                                  <w:pPr>
                                    <w:pStyle w:val="32"/>
                                    <w:spacing w:before="137"/>
                                    <w:ind w:left="366" w:right="228"/>
                                    <w:jc w:val="center"/>
                                    <w:rPr>
                                      <w:sz w:val="21"/>
                                    </w:rPr>
                                  </w:pPr>
                                  <w:r>
                                    <w:rPr>
                                      <w:sz w:val="21"/>
                                    </w:rPr>
                                    <w:t xml:space="preserve">采购单位名称 </w:t>
                                  </w:r>
                                </w:p>
                              </w:tc>
                              <w:tc>
                                <w:tcPr>
                                  <w:tcW w:w="2115" w:type="dxa"/>
                                  <w:shd w:val="clear" w:color="auto" w:fill="EDEBE0"/>
                                  <w:noWrap w:val="0"/>
                                  <w:vAlign w:val="top"/>
                                </w:tcPr>
                                <w:p w14:paraId="3950877D">
                                  <w:pPr>
                                    <w:pStyle w:val="32"/>
                                    <w:spacing w:before="137"/>
                                    <w:ind w:left="456" w:right="319"/>
                                    <w:jc w:val="center"/>
                                    <w:rPr>
                                      <w:sz w:val="21"/>
                                    </w:rPr>
                                  </w:pPr>
                                  <w:r>
                                    <w:rPr>
                                      <w:sz w:val="21"/>
                                    </w:rPr>
                                    <w:t xml:space="preserve">采购项目名称 </w:t>
                                  </w:r>
                                </w:p>
                              </w:tc>
                              <w:tc>
                                <w:tcPr>
                                  <w:tcW w:w="1755" w:type="dxa"/>
                                  <w:shd w:val="clear" w:color="auto" w:fill="EDEBE0"/>
                                  <w:noWrap w:val="0"/>
                                  <w:vAlign w:val="top"/>
                                </w:tcPr>
                                <w:p w14:paraId="3B55C8BF">
                                  <w:pPr>
                                    <w:pStyle w:val="32"/>
                                    <w:spacing w:before="137"/>
                                    <w:ind w:left="492" w:right="353"/>
                                    <w:jc w:val="center"/>
                                    <w:rPr>
                                      <w:sz w:val="21"/>
                                    </w:rPr>
                                  </w:pPr>
                                  <w:r>
                                    <w:rPr>
                                      <w:sz w:val="21"/>
                                    </w:rPr>
                                    <w:t xml:space="preserve">合同总价 </w:t>
                                  </w:r>
                                </w:p>
                              </w:tc>
                              <w:tc>
                                <w:tcPr>
                                  <w:tcW w:w="1723" w:type="dxa"/>
                                  <w:shd w:val="clear" w:color="auto" w:fill="EDEBE0"/>
                                  <w:noWrap w:val="0"/>
                                  <w:vAlign w:val="top"/>
                                </w:tcPr>
                                <w:p w14:paraId="4B9F14A5">
                                  <w:pPr>
                                    <w:pStyle w:val="32"/>
                                    <w:spacing w:before="137"/>
                                    <w:ind w:left="490" w:right="355"/>
                                    <w:jc w:val="center"/>
                                    <w:rPr>
                                      <w:sz w:val="21"/>
                                    </w:rPr>
                                  </w:pPr>
                                  <w:r>
                                    <w:rPr>
                                      <w:sz w:val="21"/>
                                    </w:rPr>
                                    <w:t xml:space="preserve">签订日期 </w:t>
                                  </w:r>
                                </w:p>
                              </w:tc>
                              <w:tc>
                                <w:tcPr>
                                  <w:tcW w:w="1721" w:type="dxa"/>
                                  <w:shd w:val="clear" w:color="auto" w:fill="EDEBE0"/>
                                  <w:noWrap w:val="0"/>
                                  <w:vAlign w:val="top"/>
                                </w:tcPr>
                                <w:p w14:paraId="28AC086B">
                                  <w:pPr>
                                    <w:pStyle w:val="32"/>
                                    <w:ind w:left="118" w:right="73"/>
                                    <w:jc w:val="center"/>
                                    <w:rPr>
                                      <w:sz w:val="21"/>
                                    </w:rPr>
                                  </w:pPr>
                                  <w:r>
                                    <w:rPr>
                                      <w:sz w:val="21"/>
                                    </w:rPr>
                                    <w:t>单位联系人及电</w:t>
                                  </w:r>
                                </w:p>
                                <w:p w14:paraId="0A30F7B3">
                                  <w:pPr>
                                    <w:pStyle w:val="32"/>
                                    <w:spacing w:before="5" w:line="240" w:lineRule="exact"/>
                                    <w:ind w:left="219" w:right="73"/>
                                    <w:jc w:val="center"/>
                                    <w:rPr>
                                      <w:sz w:val="21"/>
                                    </w:rPr>
                                  </w:pPr>
                                  <w:r>
                                    <w:rPr>
                                      <w:sz w:val="21"/>
                                    </w:rPr>
                                    <w:t xml:space="preserve">话 </w:t>
                                  </w:r>
                                </w:p>
                              </w:tc>
                            </w:tr>
                            <w:tr w14:paraId="5E34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492" w:type="dxa"/>
                                  <w:noWrap w:val="0"/>
                                  <w:vAlign w:val="top"/>
                                </w:tcPr>
                                <w:p w14:paraId="7C2E764F">
                                  <w:pPr>
                                    <w:pStyle w:val="32"/>
                                    <w:spacing w:before="120"/>
                                    <w:ind w:left="122"/>
                                    <w:jc w:val="center"/>
                                    <w:rPr>
                                      <w:sz w:val="21"/>
                                    </w:rPr>
                                  </w:pPr>
                                  <w:r>
                                    <w:rPr>
                                      <w:w w:val="100"/>
                                      <w:sz w:val="21"/>
                                    </w:rPr>
                                    <w:t xml:space="preserve"> </w:t>
                                  </w:r>
                                </w:p>
                              </w:tc>
                              <w:tc>
                                <w:tcPr>
                                  <w:tcW w:w="1878" w:type="dxa"/>
                                  <w:noWrap w:val="0"/>
                                  <w:vAlign w:val="top"/>
                                </w:tcPr>
                                <w:p w14:paraId="5EDCC99E">
                                  <w:pPr>
                                    <w:pStyle w:val="32"/>
                                    <w:spacing w:before="120"/>
                                    <w:ind w:left="135"/>
                                    <w:jc w:val="center"/>
                                    <w:rPr>
                                      <w:sz w:val="21"/>
                                    </w:rPr>
                                  </w:pPr>
                                  <w:r>
                                    <w:rPr>
                                      <w:w w:val="100"/>
                                      <w:sz w:val="21"/>
                                    </w:rPr>
                                    <w:t xml:space="preserve"> </w:t>
                                  </w:r>
                                </w:p>
                              </w:tc>
                              <w:tc>
                                <w:tcPr>
                                  <w:tcW w:w="2115" w:type="dxa"/>
                                  <w:noWrap w:val="0"/>
                                  <w:vAlign w:val="top"/>
                                </w:tcPr>
                                <w:p w14:paraId="53A67E89">
                                  <w:pPr>
                                    <w:pStyle w:val="32"/>
                                    <w:spacing w:before="120"/>
                                    <w:ind w:left="139"/>
                                    <w:jc w:val="center"/>
                                    <w:rPr>
                                      <w:sz w:val="21"/>
                                    </w:rPr>
                                  </w:pPr>
                                  <w:r>
                                    <w:rPr>
                                      <w:w w:val="100"/>
                                      <w:sz w:val="21"/>
                                    </w:rPr>
                                    <w:t xml:space="preserve"> </w:t>
                                  </w:r>
                                </w:p>
                              </w:tc>
                              <w:tc>
                                <w:tcPr>
                                  <w:tcW w:w="1755" w:type="dxa"/>
                                  <w:noWrap w:val="0"/>
                                  <w:vAlign w:val="top"/>
                                </w:tcPr>
                                <w:p w14:paraId="2BF62894">
                                  <w:pPr>
                                    <w:pStyle w:val="32"/>
                                    <w:spacing w:before="120"/>
                                    <w:ind w:left="139"/>
                                    <w:jc w:val="center"/>
                                    <w:rPr>
                                      <w:sz w:val="21"/>
                                    </w:rPr>
                                  </w:pPr>
                                  <w:r>
                                    <w:rPr>
                                      <w:w w:val="100"/>
                                      <w:sz w:val="21"/>
                                    </w:rPr>
                                    <w:t xml:space="preserve"> </w:t>
                                  </w:r>
                                </w:p>
                              </w:tc>
                              <w:tc>
                                <w:tcPr>
                                  <w:tcW w:w="1723" w:type="dxa"/>
                                  <w:noWrap w:val="0"/>
                                  <w:vAlign w:val="top"/>
                                </w:tcPr>
                                <w:p w14:paraId="40CDD260">
                                  <w:pPr>
                                    <w:pStyle w:val="32"/>
                                    <w:spacing w:before="120"/>
                                    <w:ind w:left="135"/>
                                    <w:jc w:val="center"/>
                                    <w:rPr>
                                      <w:sz w:val="21"/>
                                    </w:rPr>
                                  </w:pPr>
                                  <w:r>
                                    <w:rPr>
                                      <w:w w:val="100"/>
                                      <w:sz w:val="21"/>
                                    </w:rPr>
                                    <w:t xml:space="preserve"> </w:t>
                                  </w:r>
                                </w:p>
                              </w:tc>
                              <w:tc>
                                <w:tcPr>
                                  <w:tcW w:w="1721" w:type="dxa"/>
                                  <w:noWrap w:val="0"/>
                                  <w:vAlign w:val="top"/>
                                </w:tcPr>
                                <w:p w14:paraId="20852DF3">
                                  <w:pPr>
                                    <w:pStyle w:val="32"/>
                                    <w:spacing w:before="120"/>
                                    <w:ind w:right="722"/>
                                    <w:jc w:val="right"/>
                                    <w:rPr>
                                      <w:sz w:val="21"/>
                                    </w:rPr>
                                  </w:pPr>
                                  <w:r>
                                    <w:rPr>
                                      <w:w w:val="100"/>
                                      <w:sz w:val="21"/>
                                    </w:rPr>
                                    <w:t xml:space="preserve"> </w:t>
                                  </w:r>
                                </w:p>
                              </w:tc>
                            </w:tr>
                            <w:tr w14:paraId="4B40A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2" w:type="dxa"/>
                                  <w:noWrap w:val="0"/>
                                  <w:vAlign w:val="top"/>
                                </w:tcPr>
                                <w:p w14:paraId="115E4727">
                                  <w:pPr>
                                    <w:pStyle w:val="32"/>
                                    <w:spacing w:before="109"/>
                                    <w:ind w:left="122"/>
                                    <w:jc w:val="center"/>
                                    <w:rPr>
                                      <w:sz w:val="21"/>
                                    </w:rPr>
                                  </w:pPr>
                                  <w:r>
                                    <w:rPr>
                                      <w:w w:val="100"/>
                                      <w:sz w:val="21"/>
                                    </w:rPr>
                                    <w:t xml:space="preserve"> </w:t>
                                  </w:r>
                                </w:p>
                              </w:tc>
                              <w:tc>
                                <w:tcPr>
                                  <w:tcW w:w="1878" w:type="dxa"/>
                                  <w:noWrap w:val="0"/>
                                  <w:vAlign w:val="top"/>
                                </w:tcPr>
                                <w:p w14:paraId="0D1BF479">
                                  <w:pPr>
                                    <w:pStyle w:val="32"/>
                                    <w:spacing w:before="109"/>
                                    <w:ind w:left="135"/>
                                    <w:jc w:val="center"/>
                                    <w:rPr>
                                      <w:sz w:val="21"/>
                                    </w:rPr>
                                  </w:pPr>
                                  <w:r>
                                    <w:rPr>
                                      <w:w w:val="100"/>
                                      <w:sz w:val="21"/>
                                    </w:rPr>
                                    <w:t xml:space="preserve"> </w:t>
                                  </w:r>
                                </w:p>
                              </w:tc>
                              <w:tc>
                                <w:tcPr>
                                  <w:tcW w:w="2115" w:type="dxa"/>
                                  <w:noWrap w:val="0"/>
                                  <w:vAlign w:val="top"/>
                                </w:tcPr>
                                <w:p w14:paraId="462D3CAB">
                                  <w:pPr>
                                    <w:pStyle w:val="32"/>
                                    <w:spacing w:before="109"/>
                                    <w:ind w:left="139"/>
                                    <w:jc w:val="center"/>
                                    <w:rPr>
                                      <w:sz w:val="21"/>
                                    </w:rPr>
                                  </w:pPr>
                                  <w:r>
                                    <w:rPr>
                                      <w:w w:val="100"/>
                                      <w:sz w:val="21"/>
                                    </w:rPr>
                                    <w:t xml:space="preserve"> </w:t>
                                  </w:r>
                                </w:p>
                              </w:tc>
                              <w:tc>
                                <w:tcPr>
                                  <w:tcW w:w="1755" w:type="dxa"/>
                                  <w:noWrap w:val="0"/>
                                  <w:vAlign w:val="top"/>
                                </w:tcPr>
                                <w:p w14:paraId="174D5639">
                                  <w:pPr>
                                    <w:pStyle w:val="32"/>
                                    <w:spacing w:before="109"/>
                                    <w:ind w:left="139"/>
                                    <w:jc w:val="center"/>
                                    <w:rPr>
                                      <w:sz w:val="21"/>
                                    </w:rPr>
                                  </w:pPr>
                                  <w:r>
                                    <w:rPr>
                                      <w:w w:val="100"/>
                                      <w:sz w:val="21"/>
                                    </w:rPr>
                                    <w:t xml:space="preserve"> </w:t>
                                  </w:r>
                                </w:p>
                              </w:tc>
                              <w:tc>
                                <w:tcPr>
                                  <w:tcW w:w="1723" w:type="dxa"/>
                                  <w:noWrap w:val="0"/>
                                  <w:vAlign w:val="top"/>
                                </w:tcPr>
                                <w:p w14:paraId="1E22A852">
                                  <w:pPr>
                                    <w:pStyle w:val="32"/>
                                    <w:spacing w:before="109"/>
                                    <w:ind w:left="135"/>
                                    <w:jc w:val="center"/>
                                    <w:rPr>
                                      <w:sz w:val="21"/>
                                    </w:rPr>
                                  </w:pPr>
                                  <w:r>
                                    <w:rPr>
                                      <w:w w:val="100"/>
                                      <w:sz w:val="21"/>
                                    </w:rPr>
                                    <w:t xml:space="preserve"> </w:t>
                                  </w:r>
                                </w:p>
                              </w:tc>
                              <w:tc>
                                <w:tcPr>
                                  <w:tcW w:w="1721" w:type="dxa"/>
                                  <w:noWrap w:val="0"/>
                                  <w:vAlign w:val="top"/>
                                </w:tcPr>
                                <w:p w14:paraId="71D0F854">
                                  <w:pPr>
                                    <w:pStyle w:val="32"/>
                                    <w:spacing w:before="109"/>
                                    <w:ind w:right="722"/>
                                    <w:jc w:val="right"/>
                                    <w:rPr>
                                      <w:sz w:val="21"/>
                                    </w:rPr>
                                  </w:pPr>
                                  <w:r>
                                    <w:rPr>
                                      <w:w w:val="100"/>
                                      <w:sz w:val="21"/>
                                    </w:rPr>
                                    <w:t xml:space="preserve"> </w:t>
                                  </w:r>
                                </w:p>
                              </w:tc>
                            </w:tr>
                            <w:tr w14:paraId="7FC2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 w:type="dxa"/>
                                  <w:noWrap w:val="0"/>
                                  <w:vAlign w:val="top"/>
                                </w:tcPr>
                                <w:p w14:paraId="4EB9F2C4">
                                  <w:pPr>
                                    <w:pStyle w:val="32"/>
                                    <w:spacing w:before="111"/>
                                    <w:ind w:left="122"/>
                                    <w:jc w:val="center"/>
                                    <w:rPr>
                                      <w:sz w:val="21"/>
                                    </w:rPr>
                                  </w:pPr>
                                  <w:r>
                                    <w:rPr>
                                      <w:w w:val="100"/>
                                      <w:sz w:val="21"/>
                                    </w:rPr>
                                    <w:t xml:space="preserve"> </w:t>
                                  </w:r>
                                </w:p>
                              </w:tc>
                              <w:tc>
                                <w:tcPr>
                                  <w:tcW w:w="1878" w:type="dxa"/>
                                  <w:noWrap w:val="0"/>
                                  <w:vAlign w:val="top"/>
                                </w:tcPr>
                                <w:p w14:paraId="17ABAE61">
                                  <w:pPr>
                                    <w:pStyle w:val="32"/>
                                    <w:spacing w:before="111"/>
                                    <w:ind w:left="135"/>
                                    <w:jc w:val="center"/>
                                    <w:rPr>
                                      <w:sz w:val="21"/>
                                    </w:rPr>
                                  </w:pPr>
                                  <w:r>
                                    <w:rPr>
                                      <w:w w:val="100"/>
                                      <w:sz w:val="21"/>
                                    </w:rPr>
                                    <w:t xml:space="preserve"> </w:t>
                                  </w:r>
                                </w:p>
                              </w:tc>
                              <w:tc>
                                <w:tcPr>
                                  <w:tcW w:w="2115" w:type="dxa"/>
                                  <w:noWrap w:val="0"/>
                                  <w:vAlign w:val="top"/>
                                </w:tcPr>
                                <w:p w14:paraId="2F441EE9">
                                  <w:pPr>
                                    <w:pStyle w:val="32"/>
                                    <w:spacing w:before="111"/>
                                    <w:ind w:left="139"/>
                                    <w:jc w:val="center"/>
                                    <w:rPr>
                                      <w:sz w:val="21"/>
                                    </w:rPr>
                                  </w:pPr>
                                  <w:r>
                                    <w:rPr>
                                      <w:w w:val="100"/>
                                      <w:sz w:val="21"/>
                                    </w:rPr>
                                    <w:t xml:space="preserve"> </w:t>
                                  </w:r>
                                </w:p>
                              </w:tc>
                              <w:tc>
                                <w:tcPr>
                                  <w:tcW w:w="1755" w:type="dxa"/>
                                  <w:noWrap w:val="0"/>
                                  <w:vAlign w:val="top"/>
                                </w:tcPr>
                                <w:p w14:paraId="3518DFBE">
                                  <w:pPr>
                                    <w:pStyle w:val="32"/>
                                    <w:spacing w:before="111"/>
                                    <w:ind w:left="139"/>
                                    <w:jc w:val="center"/>
                                    <w:rPr>
                                      <w:sz w:val="21"/>
                                    </w:rPr>
                                  </w:pPr>
                                  <w:r>
                                    <w:rPr>
                                      <w:w w:val="100"/>
                                      <w:sz w:val="21"/>
                                    </w:rPr>
                                    <w:t xml:space="preserve"> </w:t>
                                  </w:r>
                                </w:p>
                              </w:tc>
                              <w:tc>
                                <w:tcPr>
                                  <w:tcW w:w="1723" w:type="dxa"/>
                                  <w:noWrap w:val="0"/>
                                  <w:vAlign w:val="top"/>
                                </w:tcPr>
                                <w:p w14:paraId="3C72D780">
                                  <w:pPr>
                                    <w:pStyle w:val="32"/>
                                    <w:spacing w:before="111"/>
                                    <w:ind w:left="135"/>
                                    <w:jc w:val="center"/>
                                    <w:rPr>
                                      <w:sz w:val="21"/>
                                    </w:rPr>
                                  </w:pPr>
                                  <w:r>
                                    <w:rPr>
                                      <w:w w:val="100"/>
                                      <w:sz w:val="21"/>
                                    </w:rPr>
                                    <w:t xml:space="preserve"> </w:t>
                                  </w:r>
                                </w:p>
                              </w:tc>
                              <w:tc>
                                <w:tcPr>
                                  <w:tcW w:w="1721" w:type="dxa"/>
                                  <w:noWrap w:val="0"/>
                                  <w:vAlign w:val="top"/>
                                </w:tcPr>
                                <w:p w14:paraId="6CFDDCA9">
                                  <w:pPr>
                                    <w:pStyle w:val="32"/>
                                    <w:spacing w:before="111"/>
                                    <w:ind w:right="722"/>
                                    <w:jc w:val="right"/>
                                    <w:rPr>
                                      <w:sz w:val="21"/>
                                    </w:rPr>
                                  </w:pPr>
                                  <w:r>
                                    <w:rPr>
                                      <w:w w:val="100"/>
                                      <w:sz w:val="21"/>
                                    </w:rPr>
                                    <w:t xml:space="preserve"> </w:t>
                                  </w:r>
                                </w:p>
                              </w:tc>
                            </w:tr>
                            <w:tr w14:paraId="3072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492" w:type="dxa"/>
                                  <w:noWrap w:val="0"/>
                                  <w:vAlign w:val="top"/>
                                </w:tcPr>
                                <w:p w14:paraId="00B8D671">
                                  <w:pPr>
                                    <w:pStyle w:val="32"/>
                                    <w:spacing w:before="109"/>
                                    <w:ind w:left="122"/>
                                    <w:jc w:val="center"/>
                                    <w:rPr>
                                      <w:sz w:val="21"/>
                                    </w:rPr>
                                  </w:pPr>
                                  <w:r>
                                    <w:rPr>
                                      <w:w w:val="100"/>
                                      <w:sz w:val="21"/>
                                    </w:rPr>
                                    <w:t xml:space="preserve"> </w:t>
                                  </w:r>
                                </w:p>
                              </w:tc>
                              <w:tc>
                                <w:tcPr>
                                  <w:tcW w:w="1878" w:type="dxa"/>
                                  <w:noWrap w:val="0"/>
                                  <w:vAlign w:val="top"/>
                                </w:tcPr>
                                <w:p w14:paraId="0BF16FA0">
                                  <w:pPr>
                                    <w:pStyle w:val="32"/>
                                    <w:spacing w:before="109"/>
                                    <w:ind w:left="135"/>
                                    <w:jc w:val="center"/>
                                    <w:rPr>
                                      <w:sz w:val="21"/>
                                    </w:rPr>
                                  </w:pPr>
                                  <w:r>
                                    <w:rPr>
                                      <w:w w:val="100"/>
                                      <w:sz w:val="21"/>
                                    </w:rPr>
                                    <w:t xml:space="preserve"> </w:t>
                                  </w:r>
                                </w:p>
                              </w:tc>
                              <w:tc>
                                <w:tcPr>
                                  <w:tcW w:w="2115" w:type="dxa"/>
                                  <w:noWrap w:val="0"/>
                                  <w:vAlign w:val="top"/>
                                </w:tcPr>
                                <w:p w14:paraId="6704C0E3">
                                  <w:pPr>
                                    <w:pStyle w:val="32"/>
                                    <w:spacing w:before="109"/>
                                    <w:ind w:left="139"/>
                                    <w:jc w:val="center"/>
                                    <w:rPr>
                                      <w:sz w:val="21"/>
                                    </w:rPr>
                                  </w:pPr>
                                  <w:r>
                                    <w:rPr>
                                      <w:w w:val="100"/>
                                      <w:sz w:val="21"/>
                                    </w:rPr>
                                    <w:t xml:space="preserve"> </w:t>
                                  </w:r>
                                </w:p>
                              </w:tc>
                              <w:tc>
                                <w:tcPr>
                                  <w:tcW w:w="1755" w:type="dxa"/>
                                  <w:noWrap w:val="0"/>
                                  <w:vAlign w:val="top"/>
                                </w:tcPr>
                                <w:p w14:paraId="21258494">
                                  <w:pPr>
                                    <w:pStyle w:val="32"/>
                                    <w:spacing w:before="109"/>
                                    <w:ind w:left="139"/>
                                    <w:jc w:val="center"/>
                                    <w:rPr>
                                      <w:sz w:val="21"/>
                                    </w:rPr>
                                  </w:pPr>
                                  <w:r>
                                    <w:rPr>
                                      <w:w w:val="100"/>
                                      <w:sz w:val="21"/>
                                    </w:rPr>
                                    <w:t xml:space="preserve"> </w:t>
                                  </w:r>
                                </w:p>
                              </w:tc>
                              <w:tc>
                                <w:tcPr>
                                  <w:tcW w:w="1723" w:type="dxa"/>
                                  <w:noWrap w:val="0"/>
                                  <w:vAlign w:val="top"/>
                                </w:tcPr>
                                <w:p w14:paraId="220F6F9E">
                                  <w:pPr>
                                    <w:pStyle w:val="32"/>
                                    <w:spacing w:before="109"/>
                                    <w:ind w:left="135"/>
                                    <w:jc w:val="center"/>
                                    <w:rPr>
                                      <w:sz w:val="21"/>
                                    </w:rPr>
                                  </w:pPr>
                                  <w:r>
                                    <w:rPr>
                                      <w:w w:val="100"/>
                                      <w:sz w:val="21"/>
                                    </w:rPr>
                                    <w:t xml:space="preserve"> </w:t>
                                  </w:r>
                                </w:p>
                              </w:tc>
                              <w:tc>
                                <w:tcPr>
                                  <w:tcW w:w="1721" w:type="dxa"/>
                                  <w:noWrap w:val="0"/>
                                  <w:vAlign w:val="top"/>
                                </w:tcPr>
                                <w:p w14:paraId="73F16979">
                                  <w:pPr>
                                    <w:pStyle w:val="32"/>
                                    <w:spacing w:before="109"/>
                                    <w:ind w:right="722"/>
                                    <w:jc w:val="right"/>
                                    <w:rPr>
                                      <w:sz w:val="21"/>
                                    </w:rPr>
                                  </w:pPr>
                                  <w:r>
                                    <w:rPr>
                                      <w:w w:val="100"/>
                                      <w:sz w:val="21"/>
                                    </w:rPr>
                                    <w:t xml:space="preserve"> </w:t>
                                  </w:r>
                                </w:p>
                              </w:tc>
                            </w:tr>
                            <w:tr w14:paraId="54DD0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 w:type="dxa"/>
                                  <w:noWrap w:val="0"/>
                                  <w:vAlign w:val="top"/>
                                </w:tcPr>
                                <w:p w14:paraId="4AF43608">
                                  <w:pPr>
                                    <w:pStyle w:val="32"/>
                                    <w:spacing w:before="109"/>
                                    <w:ind w:left="122"/>
                                    <w:jc w:val="center"/>
                                    <w:rPr>
                                      <w:sz w:val="21"/>
                                    </w:rPr>
                                  </w:pPr>
                                  <w:r>
                                    <w:rPr>
                                      <w:w w:val="100"/>
                                      <w:sz w:val="21"/>
                                    </w:rPr>
                                    <w:t xml:space="preserve"> </w:t>
                                  </w:r>
                                </w:p>
                              </w:tc>
                              <w:tc>
                                <w:tcPr>
                                  <w:tcW w:w="1878" w:type="dxa"/>
                                  <w:noWrap w:val="0"/>
                                  <w:vAlign w:val="top"/>
                                </w:tcPr>
                                <w:p w14:paraId="73726242">
                                  <w:pPr>
                                    <w:pStyle w:val="32"/>
                                    <w:spacing w:before="109"/>
                                    <w:ind w:left="135"/>
                                    <w:jc w:val="center"/>
                                    <w:rPr>
                                      <w:sz w:val="21"/>
                                    </w:rPr>
                                  </w:pPr>
                                  <w:r>
                                    <w:rPr>
                                      <w:w w:val="100"/>
                                      <w:sz w:val="21"/>
                                    </w:rPr>
                                    <w:t xml:space="preserve"> </w:t>
                                  </w:r>
                                </w:p>
                              </w:tc>
                              <w:tc>
                                <w:tcPr>
                                  <w:tcW w:w="2115" w:type="dxa"/>
                                  <w:noWrap w:val="0"/>
                                  <w:vAlign w:val="top"/>
                                </w:tcPr>
                                <w:p w14:paraId="6A0FB917">
                                  <w:pPr>
                                    <w:pStyle w:val="32"/>
                                    <w:spacing w:before="109"/>
                                    <w:ind w:left="139"/>
                                    <w:jc w:val="center"/>
                                    <w:rPr>
                                      <w:sz w:val="21"/>
                                    </w:rPr>
                                  </w:pPr>
                                  <w:r>
                                    <w:rPr>
                                      <w:w w:val="100"/>
                                      <w:sz w:val="21"/>
                                    </w:rPr>
                                    <w:t xml:space="preserve"> </w:t>
                                  </w:r>
                                </w:p>
                              </w:tc>
                              <w:tc>
                                <w:tcPr>
                                  <w:tcW w:w="1755" w:type="dxa"/>
                                  <w:noWrap w:val="0"/>
                                  <w:vAlign w:val="top"/>
                                </w:tcPr>
                                <w:p w14:paraId="577DF54B">
                                  <w:pPr>
                                    <w:pStyle w:val="32"/>
                                    <w:spacing w:before="109"/>
                                    <w:ind w:left="139"/>
                                    <w:jc w:val="center"/>
                                    <w:rPr>
                                      <w:sz w:val="21"/>
                                    </w:rPr>
                                  </w:pPr>
                                  <w:r>
                                    <w:rPr>
                                      <w:w w:val="100"/>
                                      <w:sz w:val="21"/>
                                    </w:rPr>
                                    <w:t xml:space="preserve"> </w:t>
                                  </w:r>
                                </w:p>
                              </w:tc>
                              <w:tc>
                                <w:tcPr>
                                  <w:tcW w:w="1723" w:type="dxa"/>
                                  <w:noWrap w:val="0"/>
                                  <w:vAlign w:val="top"/>
                                </w:tcPr>
                                <w:p w14:paraId="2F08D25B">
                                  <w:pPr>
                                    <w:pStyle w:val="32"/>
                                    <w:spacing w:before="109"/>
                                    <w:ind w:left="135"/>
                                    <w:jc w:val="center"/>
                                    <w:rPr>
                                      <w:sz w:val="21"/>
                                    </w:rPr>
                                  </w:pPr>
                                  <w:r>
                                    <w:rPr>
                                      <w:w w:val="100"/>
                                      <w:sz w:val="21"/>
                                    </w:rPr>
                                    <w:t xml:space="preserve"> </w:t>
                                  </w:r>
                                </w:p>
                              </w:tc>
                              <w:tc>
                                <w:tcPr>
                                  <w:tcW w:w="1721" w:type="dxa"/>
                                  <w:noWrap w:val="0"/>
                                  <w:vAlign w:val="top"/>
                                </w:tcPr>
                                <w:p w14:paraId="2FDD09E4">
                                  <w:pPr>
                                    <w:pStyle w:val="32"/>
                                    <w:spacing w:before="109"/>
                                    <w:ind w:right="722"/>
                                    <w:jc w:val="right"/>
                                    <w:rPr>
                                      <w:sz w:val="21"/>
                                    </w:rPr>
                                  </w:pPr>
                                  <w:r>
                                    <w:rPr>
                                      <w:w w:val="100"/>
                                      <w:sz w:val="21"/>
                                    </w:rPr>
                                    <w:t xml:space="preserve"> </w:t>
                                  </w:r>
                                </w:p>
                              </w:tc>
                            </w:tr>
                            <w:tr w14:paraId="0314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 w:type="dxa"/>
                                  <w:noWrap w:val="0"/>
                                  <w:vAlign w:val="top"/>
                                </w:tcPr>
                                <w:p w14:paraId="14B14C29">
                                  <w:pPr>
                                    <w:pStyle w:val="32"/>
                                    <w:spacing w:before="109"/>
                                    <w:ind w:left="122"/>
                                    <w:jc w:val="center"/>
                                    <w:rPr>
                                      <w:sz w:val="21"/>
                                    </w:rPr>
                                  </w:pPr>
                                  <w:r>
                                    <w:rPr>
                                      <w:w w:val="100"/>
                                      <w:sz w:val="21"/>
                                    </w:rPr>
                                    <w:t xml:space="preserve"> </w:t>
                                  </w:r>
                                </w:p>
                              </w:tc>
                              <w:tc>
                                <w:tcPr>
                                  <w:tcW w:w="1878" w:type="dxa"/>
                                  <w:noWrap w:val="0"/>
                                  <w:vAlign w:val="top"/>
                                </w:tcPr>
                                <w:p w14:paraId="2CA62393">
                                  <w:pPr>
                                    <w:pStyle w:val="32"/>
                                    <w:spacing w:before="109"/>
                                    <w:ind w:left="135"/>
                                    <w:jc w:val="center"/>
                                    <w:rPr>
                                      <w:sz w:val="21"/>
                                    </w:rPr>
                                  </w:pPr>
                                  <w:r>
                                    <w:rPr>
                                      <w:w w:val="100"/>
                                      <w:sz w:val="21"/>
                                    </w:rPr>
                                    <w:t xml:space="preserve"> </w:t>
                                  </w:r>
                                </w:p>
                              </w:tc>
                              <w:tc>
                                <w:tcPr>
                                  <w:tcW w:w="2115" w:type="dxa"/>
                                  <w:noWrap w:val="0"/>
                                  <w:vAlign w:val="top"/>
                                </w:tcPr>
                                <w:p w14:paraId="39DE8CCA">
                                  <w:pPr>
                                    <w:pStyle w:val="32"/>
                                    <w:spacing w:before="109"/>
                                    <w:ind w:left="139"/>
                                    <w:jc w:val="center"/>
                                    <w:rPr>
                                      <w:sz w:val="21"/>
                                    </w:rPr>
                                  </w:pPr>
                                  <w:r>
                                    <w:rPr>
                                      <w:w w:val="100"/>
                                      <w:sz w:val="21"/>
                                    </w:rPr>
                                    <w:t xml:space="preserve"> </w:t>
                                  </w:r>
                                </w:p>
                              </w:tc>
                              <w:tc>
                                <w:tcPr>
                                  <w:tcW w:w="1755" w:type="dxa"/>
                                  <w:noWrap w:val="0"/>
                                  <w:vAlign w:val="top"/>
                                </w:tcPr>
                                <w:p w14:paraId="62A8499E">
                                  <w:pPr>
                                    <w:pStyle w:val="32"/>
                                    <w:spacing w:before="109"/>
                                    <w:ind w:left="139"/>
                                    <w:jc w:val="center"/>
                                    <w:rPr>
                                      <w:sz w:val="21"/>
                                    </w:rPr>
                                  </w:pPr>
                                  <w:r>
                                    <w:rPr>
                                      <w:w w:val="100"/>
                                      <w:sz w:val="21"/>
                                    </w:rPr>
                                    <w:t xml:space="preserve"> </w:t>
                                  </w:r>
                                </w:p>
                              </w:tc>
                              <w:tc>
                                <w:tcPr>
                                  <w:tcW w:w="1723" w:type="dxa"/>
                                  <w:noWrap w:val="0"/>
                                  <w:vAlign w:val="top"/>
                                </w:tcPr>
                                <w:p w14:paraId="4B9EC7D2">
                                  <w:pPr>
                                    <w:pStyle w:val="32"/>
                                    <w:spacing w:before="109"/>
                                    <w:ind w:left="135"/>
                                    <w:jc w:val="center"/>
                                    <w:rPr>
                                      <w:sz w:val="21"/>
                                    </w:rPr>
                                  </w:pPr>
                                  <w:r>
                                    <w:rPr>
                                      <w:w w:val="100"/>
                                      <w:sz w:val="21"/>
                                    </w:rPr>
                                    <w:t xml:space="preserve"> </w:t>
                                  </w:r>
                                </w:p>
                              </w:tc>
                              <w:tc>
                                <w:tcPr>
                                  <w:tcW w:w="1721" w:type="dxa"/>
                                  <w:noWrap w:val="0"/>
                                  <w:vAlign w:val="top"/>
                                </w:tcPr>
                                <w:p w14:paraId="4A25781B">
                                  <w:pPr>
                                    <w:pStyle w:val="32"/>
                                    <w:spacing w:before="109"/>
                                    <w:ind w:right="722"/>
                                    <w:jc w:val="right"/>
                                    <w:rPr>
                                      <w:sz w:val="21"/>
                                    </w:rPr>
                                  </w:pPr>
                                  <w:r>
                                    <w:rPr>
                                      <w:w w:val="100"/>
                                      <w:sz w:val="21"/>
                                    </w:rPr>
                                    <w:t xml:space="preserve"> </w:t>
                                  </w:r>
                                </w:p>
                              </w:tc>
                            </w:tr>
                            <w:tr w14:paraId="6911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 w:type="dxa"/>
                                  <w:noWrap w:val="0"/>
                                  <w:vAlign w:val="top"/>
                                </w:tcPr>
                                <w:p w14:paraId="351F0CE6">
                                  <w:pPr>
                                    <w:pStyle w:val="32"/>
                                    <w:spacing w:before="109"/>
                                    <w:ind w:left="122"/>
                                    <w:jc w:val="center"/>
                                    <w:rPr>
                                      <w:sz w:val="21"/>
                                    </w:rPr>
                                  </w:pPr>
                                  <w:r>
                                    <w:rPr>
                                      <w:w w:val="100"/>
                                      <w:sz w:val="21"/>
                                    </w:rPr>
                                    <w:t xml:space="preserve"> </w:t>
                                  </w:r>
                                </w:p>
                              </w:tc>
                              <w:tc>
                                <w:tcPr>
                                  <w:tcW w:w="1878" w:type="dxa"/>
                                  <w:noWrap w:val="0"/>
                                  <w:vAlign w:val="top"/>
                                </w:tcPr>
                                <w:p w14:paraId="42B447CF">
                                  <w:pPr>
                                    <w:pStyle w:val="32"/>
                                    <w:spacing w:before="109"/>
                                    <w:ind w:left="135"/>
                                    <w:jc w:val="center"/>
                                    <w:rPr>
                                      <w:sz w:val="21"/>
                                    </w:rPr>
                                  </w:pPr>
                                  <w:r>
                                    <w:rPr>
                                      <w:w w:val="100"/>
                                      <w:sz w:val="21"/>
                                    </w:rPr>
                                    <w:t xml:space="preserve"> </w:t>
                                  </w:r>
                                </w:p>
                              </w:tc>
                              <w:tc>
                                <w:tcPr>
                                  <w:tcW w:w="2115" w:type="dxa"/>
                                  <w:noWrap w:val="0"/>
                                  <w:vAlign w:val="top"/>
                                </w:tcPr>
                                <w:p w14:paraId="436D70B6">
                                  <w:pPr>
                                    <w:pStyle w:val="32"/>
                                    <w:spacing w:before="109"/>
                                    <w:ind w:left="139"/>
                                    <w:jc w:val="center"/>
                                    <w:rPr>
                                      <w:sz w:val="21"/>
                                    </w:rPr>
                                  </w:pPr>
                                  <w:r>
                                    <w:rPr>
                                      <w:w w:val="100"/>
                                      <w:sz w:val="21"/>
                                    </w:rPr>
                                    <w:t xml:space="preserve"> </w:t>
                                  </w:r>
                                </w:p>
                              </w:tc>
                              <w:tc>
                                <w:tcPr>
                                  <w:tcW w:w="1755" w:type="dxa"/>
                                  <w:noWrap w:val="0"/>
                                  <w:vAlign w:val="top"/>
                                </w:tcPr>
                                <w:p w14:paraId="34C84EC1">
                                  <w:pPr>
                                    <w:pStyle w:val="32"/>
                                    <w:spacing w:before="109"/>
                                    <w:ind w:left="139"/>
                                    <w:jc w:val="center"/>
                                    <w:rPr>
                                      <w:sz w:val="21"/>
                                    </w:rPr>
                                  </w:pPr>
                                  <w:r>
                                    <w:rPr>
                                      <w:w w:val="100"/>
                                      <w:sz w:val="21"/>
                                    </w:rPr>
                                    <w:t xml:space="preserve"> </w:t>
                                  </w:r>
                                </w:p>
                              </w:tc>
                              <w:tc>
                                <w:tcPr>
                                  <w:tcW w:w="1723" w:type="dxa"/>
                                  <w:noWrap w:val="0"/>
                                  <w:vAlign w:val="top"/>
                                </w:tcPr>
                                <w:p w14:paraId="1D996C64">
                                  <w:pPr>
                                    <w:pStyle w:val="32"/>
                                    <w:spacing w:before="109"/>
                                    <w:ind w:left="135"/>
                                    <w:jc w:val="center"/>
                                    <w:rPr>
                                      <w:sz w:val="21"/>
                                    </w:rPr>
                                  </w:pPr>
                                  <w:r>
                                    <w:rPr>
                                      <w:w w:val="100"/>
                                      <w:sz w:val="21"/>
                                    </w:rPr>
                                    <w:t xml:space="preserve"> </w:t>
                                  </w:r>
                                </w:p>
                              </w:tc>
                              <w:tc>
                                <w:tcPr>
                                  <w:tcW w:w="1721" w:type="dxa"/>
                                  <w:noWrap w:val="0"/>
                                  <w:vAlign w:val="top"/>
                                </w:tcPr>
                                <w:p w14:paraId="60A48D67">
                                  <w:pPr>
                                    <w:pStyle w:val="32"/>
                                    <w:spacing w:before="109"/>
                                    <w:ind w:right="722"/>
                                    <w:jc w:val="right"/>
                                    <w:rPr>
                                      <w:sz w:val="21"/>
                                    </w:rPr>
                                  </w:pPr>
                                  <w:r>
                                    <w:rPr>
                                      <w:w w:val="100"/>
                                      <w:sz w:val="21"/>
                                    </w:rPr>
                                    <w:t xml:space="preserve"> </w:t>
                                  </w:r>
                                </w:p>
                              </w:tc>
                            </w:tr>
                            <w:tr w14:paraId="18E68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2" w:type="dxa"/>
                                  <w:noWrap w:val="0"/>
                                  <w:vAlign w:val="top"/>
                                </w:tcPr>
                                <w:p w14:paraId="090C83E3">
                                  <w:pPr>
                                    <w:pStyle w:val="32"/>
                                    <w:spacing w:before="109" w:line="269" w:lineRule="exact"/>
                                    <w:ind w:left="122"/>
                                    <w:jc w:val="center"/>
                                    <w:rPr>
                                      <w:sz w:val="21"/>
                                    </w:rPr>
                                  </w:pPr>
                                  <w:r>
                                    <w:rPr>
                                      <w:w w:val="100"/>
                                      <w:sz w:val="21"/>
                                    </w:rPr>
                                    <w:t xml:space="preserve"> </w:t>
                                  </w:r>
                                </w:p>
                              </w:tc>
                              <w:tc>
                                <w:tcPr>
                                  <w:tcW w:w="1878" w:type="dxa"/>
                                  <w:noWrap w:val="0"/>
                                  <w:vAlign w:val="top"/>
                                </w:tcPr>
                                <w:p w14:paraId="385D596D">
                                  <w:pPr>
                                    <w:pStyle w:val="32"/>
                                    <w:spacing w:before="109" w:line="269" w:lineRule="exact"/>
                                    <w:ind w:left="135"/>
                                    <w:jc w:val="center"/>
                                    <w:rPr>
                                      <w:sz w:val="21"/>
                                    </w:rPr>
                                  </w:pPr>
                                  <w:r>
                                    <w:rPr>
                                      <w:w w:val="100"/>
                                      <w:sz w:val="21"/>
                                    </w:rPr>
                                    <w:t xml:space="preserve"> </w:t>
                                  </w:r>
                                </w:p>
                              </w:tc>
                              <w:tc>
                                <w:tcPr>
                                  <w:tcW w:w="2115" w:type="dxa"/>
                                  <w:noWrap w:val="0"/>
                                  <w:vAlign w:val="top"/>
                                </w:tcPr>
                                <w:p w14:paraId="16ACC73B">
                                  <w:pPr>
                                    <w:pStyle w:val="32"/>
                                    <w:spacing w:before="109" w:line="269" w:lineRule="exact"/>
                                    <w:ind w:left="139"/>
                                    <w:jc w:val="center"/>
                                    <w:rPr>
                                      <w:sz w:val="21"/>
                                    </w:rPr>
                                  </w:pPr>
                                  <w:r>
                                    <w:rPr>
                                      <w:w w:val="100"/>
                                      <w:sz w:val="21"/>
                                    </w:rPr>
                                    <w:t xml:space="preserve"> </w:t>
                                  </w:r>
                                </w:p>
                              </w:tc>
                              <w:tc>
                                <w:tcPr>
                                  <w:tcW w:w="1755" w:type="dxa"/>
                                  <w:noWrap w:val="0"/>
                                  <w:vAlign w:val="top"/>
                                </w:tcPr>
                                <w:p w14:paraId="76FA310C">
                                  <w:pPr>
                                    <w:pStyle w:val="32"/>
                                    <w:spacing w:before="109" w:line="269" w:lineRule="exact"/>
                                    <w:ind w:left="139"/>
                                    <w:jc w:val="center"/>
                                    <w:rPr>
                                      <w:sz w:val="21"/>
                                    </w:rPr>
                                  </w:pPr>
                                  <w:r>
                                    <w:rPr>
                                      <w:w w:val="100"/>
                                      <w:sz w:val="21"/>
                                    </w:rPr>
                                    <w:t xml:space="preserve"> </w:t>
                                  </w:r>
                                </w:p>
                              </w:tc>
                              <w:tc>
                                <w:tcPr>
                                  <w:tcW w:w="1723" w:type="dxa"/>
                                  <w:noWrap w:val="0"/>
                                  <w:vAlign w:val="top"/>
                                </w:tcPr>
                                <w:p w14:paraId="7CBF1188">
                                  <w:pPr>
                                    <w:pStyle w:val="32"/>
                                    <w:spacing w:before="109" w:line="269" w:lineRule="exact"/>
                                    <w:ind w:left="135"/>
                                    <w:jc w:val="center"/>
                                    <w:rPr>
                                      <w:sz w:val="21"/>
                                    </w:rPr>
                                  </w:pPr>
                                  <w:r>
                                    <w:rPr>
                                      <w:w w:val="100"/>
                                      <w:sz w:val="21"/>
                                    </w:rPr>
                                    <w:t xml:space="preserve"> </w:t>
                                  </w:r>
                                </w:p>
                              </w:tc>
                              <w:tc>
                                <w:tcPr>
                                  <w:tcW w:w="1721" w:type="dxa"/>
                                  <w:noWrap w:val="0"/>
                                  <w:vAlign w:val="top"/>
                                </w:tcPr>
                                <w:p w14:paraId="4E6A06EA">
                                  <w:pPr>
                                    <w:pStyle w:val="32"/>
                                    <w:spacing w:before="109" w:line="269" w:lineRule="exact"/>
                                    <w:ind w:right="722"/>
                                    <w:jc w:val="right"/>
                                    <w:rPr>
                                      <w:sz w:val="21"/>
                                    </w:rPr>
                                  </w:pPr>
                                  <w:r>
                                    <w:rPr>
                                      <w:w w:val="100"/>
                                      <w:sz w:val="21"/>
                                    </w:rPr>
                                    <w:t xml:space="preserve"> </w:t>
                                  </w:r>
                                </w:p>
                              </w:tc>
                            </w:tr>
                          </w:tbl>
                          <w:p w14:paraId="64A18F1F">
                            <w:pPr>
                              <w:pStyle w:val="8"/>
                            </w:pPr>
                          </w:p>
                        </w:txbxContent>
                      </wps:txbx>
                      <wps:bodyPr lIns="0" tIns="0" rIns="0" bIns="0" upright="1"/>
                    </wps:wsp>
                  </a:graphicData>
                </a:graphic>
              </wp:anchor>
            </w:drawing>
          </mc:Choice>
          <mc:Fallback>
            <w:pict>
              <v:shape id="_x0000_s1026" o:spid="_x0000_s1026" o:spt="202" type="#_x0000_t202" style="position:absolute;left:0pt;margin-left:49pt;margin-top:8.9pt;height:206.35pt;width:494.9pt;mso-position-horizontal-relative:page;z-index:251667456;mso-width-relative:page;mso-height-relative:page;" filled="f" stroked="f" coordsize="21600,21600" o:gfxdata="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EJ0dI2AAAAAoBAAAPAAAAAAAAAAEAIAAAACIAAABkcnMvZG93bnJldi54bWxQSwEC&#10;FAAUAAAACACHTuJA8l5M1rsBAAB1AwAADgAAAAAAAAABACAAAAAnAQAAZHJzL2Uyb0RvYy54bWxQ&#10;SwUGAAAAAAYABgBZAQAAVAUAAAAA&#10;">
                <v:fill on="f" focussize="0,0"/>
                <v:stroke on="f"/>
                <v:imagedata o:title=""/>
                <o:lock v:ext="edit" aspectratio="f"/>
                <v:textbox inset="0mm,0mm,0mm,0mm">
                  <w:txbxContent>
                    <w:tbl>
                      <w:tblPr>
                        <w:tblStyle w:val="20"/>
                        <w:tblW w:w="9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2"/>
                        <w:gridCol w:w="1878"/>
                        <w:gridCol w:w="2115"/>
                        <w:gridCol w:w="1755"/>
                        <w:gridCol w:w="1723"/>
                        <w:gridCol w:w="1721"/>
                      </w:tblGrid>
                      <w:tr w14:paraId="6F53F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492" w:type="dxa"/>
                            <w:shd w:val="clear" w:color="auto" w:fill="EDEBE0"/>
                            <w:noWrap w:val="0"/>
                            <w:vAlign w:val="top"/>
                          </w:tcPr>
                          <w:p w14:paraId="407D5270">
                            <w:pPr>
                              <w:pStyle w:val="32"/>
                              <w:spacing w:before="137"/>
                              <w:ind w:left="170" w:right="10"/>
                              <w:jc w:val="center"/>
                              <w:rPr>
                                <w:sz w:val="21"/>
                              </w:rPr>
                            </w:pPr>
                            <w:r>
                              <w:rPr>
                                <w:sz w:val="21"/>
                              </w:rPr>
                              <w:t xml:space="preserve">序号 </w:t>
                            </w:r>
                          </w:p>
                        </w:tc>
                        <w:tc>
                          <w:tcPr>
                            <w:tcW w:w="1878" w:type="dxa"/>
                            <w:shd w:val="clear" w:color="auto" w:fill="EDEBE0"/>
                            <w:noWrap w:val="0"/>
                            <w:vAlign w:val="top"/>
                          </w:tcPr>
                          <w:p w14:paraId="75455539">
                            <w:pPr>
                              <w:pStyle w:val="32"/>
                              <w:spacing w:before="137"/>
                              <w:ind w:left="366" w:right="228"/>
                              <w:jc w:val="center"/>
                              <w:rPr>
                                <w:sz w:val="21"/>
                              </w:rPr>
                            </w:pPr>
                            <w:r>
                              <w:rPr>
                                <w:sz w:val="21"/>
                              </w:rPr>
                              <w:t xml:space="preserve">采购单位名称 </w:t>
                            </w:r>
                          </w:p>
                        </w:tc>
                        <w:tc>
                          <w:tcPr>
                            <w:tcW w:w="2115" w:type="dxa"/>
                            <w:shd w:val="clear" w:color="auto" w:fill="EDEBE0"/>
                            <w:noWrap w:val="0"/>
                            <w:vAlign w:val="top"/>
                          </w:tcPr>
                          <w:p w14:paraId="3950877D">
                            <w:pPr>
                              <w:pStyle w:val="32"/>
                              <w:spacing w:before="137"/>
                              <w:ind w:left="456" w:right="319"/>
                              <w:jc w:val="center"/>
                              <w:rPr>
                                <w:sz w:val="21"/>
                              </w:rPr>
                            </w:pPr>
                            <w:r>
                              <w:rPr>
                                <w:sz w:val="21"/>
                              </w:rPr>
                              <w:t xml:space="preserve">采购项目名称 </w:t>
                            </w:r>
                          </w:p>
                        </w:tc>
                        <w:tc>
                          <w:tcPr>
                            <w:tcW w:w="1755" w:type="dxa"/>
                            <w:shd w:val="clear" w:color="auto" w:fill="EDEBE0"/>
                            <w:noWrap w:val="0"/>
                            <w:vAlign w:val="top"/>
                          </w:tcPr>
                          <w:p w14:paraId="3B55C8BF">
                            <w:pPr>
                              <w:pStyle w:val="32"/>
                              <w:spacing w:before="137"/>
                              <w:ind w:left="492" w:right="353"/>
                              <w:jc w:val="center"/>
                              <w:rPr>
                                <w:sz w:val="21"/>
                              </w:rPr>
                            </w:pPr>
                            <w:r>
                              <w:rPr>
                                <w:sz w:val="21"/>
                              </w:rPr>
                              <w:t xml:space="preserve">合同总价 </w:t>
                            </w:r>
                          </w:p>
                        </w:tc>
                        <w:tc>
                          <w:tcPr>
                            <w:tcW w:w="1723" w:type="dxa"/>
                            <w:shd w:val="clear" w:color="auto" w:fill="EDEBE0"/>
                            <w:noWrap w:val="0"/>
                            <w:vAlign w:val="top"/>
                          </w:tcPr>
                          <w:p w14:paraId="4B9F14A5">
                            <w:pPr>
                              <w:pStyle w:val="32"/>
                              <w:spacing w:before="137"/>
                              <w:ind w:left="490" w:right="355"/>
                              <w:jc w:val="center"/>
                              <w:rPr>
                                <w:sz w:val="21"/>
                              </w:rPr>
                            </w:pPr>
                            <w:r>
                              <w:rPr>
                                <w:sz w:val="21"/>
                              </w:rPr>
                              <w:t xml:space="preserve">签订日期 </w:t>
                            </w:r>
                          </w:p>
                        </w:tc>
                        <w:tc>
                          <w:tcPr>
                            <w:tcW w:w="1721" w:type="dxa"/>
                            <w:shd w:val="clear" w:color="auto" w:fill="EDEBE0"/>
                            <w:noWrap w:val="0"/>
                            <w:vAlign w:val="top"/>
                          </w:tcPr>
                          <w:p w14:paraId="28AC086B">
                            <w:pPr>
                              <w:pStyle w:val="32"/>
                              <w:ind w:left="118" w:right="73"/>
                              <w:jc w:val="center"/>
                              <w:rPr>
                                <w:sz w:val="21"/>
                              </w:rPr>
                            </w:pPr>
                            <w:r>
                              <w:rPr>
                                <w:sz w:val="21"/>
                              </w:rPr>
                              <w:t>单位联系人及电</w:t>
                            </w:r>
                          </w:p>
                          <w:p w14:paraId="0A30F7B3">
                            <w:pPr>
                              <w:pStyle w:val="32"/>
                              <w:spacing w:before="5" w:line="240" w:lineRule="exact"/>
                              <w:ind w:left="219" w:right="73"/>
                              <w:jc w:val="center"/>
                              <w:rPr>
                                <w:sz w:val="21"/>
                              </w:rPr>
                            </w:pPr>
                            <w:r>
                              <w:rPr>
                                <w:sz w:val="21"/>
                              </w:rPr>
                              <w:t xml:space="preserve">话 </w:t>
                            </w:r>
                          </w:p>
                        </w:tc>
                      </w:tr>
                      <w:tr w14:paraId="5E34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492" w:type="dxa"/>
                            <w:noWrap w:val="0"/>
                            <w:vAlign w:val="top"/>
                          </w:tcPr>
                          <w:p w14:paraId="7C2E764F">
                            <w:pPr>
                              <w:pStyle w:val="32"/>
                              <w:spacing w:before="120"/>
                              <w:ind w:left="122"/>
                              <w:jc w:val="center"/>
                              <w:rPr>
                                <w:sz w:val="21"/>
                              </w:rPr>
                            </w:pPr>
                            <w:r>
                              <w:rPr>
                                <w:w w:val="100"/>
                                <w:sz w:val="21"/>
                              </w:rPr>
                              <w:t xml:space="preserve"> </w:t>
                            </w:r>
                          </w:p>
                        </w:tc>
                        <w:tc>
                          <w:tcPr>
                            <w:tcW w:w="1878" w:type="dxa"/>
                            <w:noWrap w:val="0"/>
                            <w:vAlign w:val="top"/>
                          </w:tcPr>
                          <w:p w14:paraId="5EDCC99E">
                            <w:pPr>
                              <w:pStyle w:val="32"/>
                              <w:spacing w:before="120"/>
                              <w:ind w:left="135"/>
                              <w:jc w:val="center"/>
                              <w:rPr>
                                <w:sz w:val="21"/>
                              </w:rPr>
                            </w:pPr>
                            <w:r>
                              <w:rPr>
                                <w:w w:val="100"/>
                                <w:sz w:val="21"/>
                              </w:rPr>
                              <w:t xml:space="preserve"> </w:t>
                            </w:r>
                          </w:p>
                        </w:tc>
                        <w:tc>
                          <w:tcPr>
                            <w:tcW w:w="2115" w:type="dxa"/>
                            <w:noWrap w:val="0"/>
                            <w:vAlign w:val="top"/>
                          </w:tcPr>
                          <w:p w14:paraId="53A67E89">
                            <w:pPr>
                              <w:pStyle w:val="32"/>
                              <w:spacing w:before="120"/>
                              <w:ind w:left="139"/>
                              <w:jc w:val="center"/>
                              <w:rPr>
                                <w:sz w:val="21"/>
                              </w:rPr>
                            </w:pPr>
                            <w:r>
                              <w:rPr>
                                <w:w w:val="100"/>
                                <w:sz w:val="21"/>
                              </w:rPr>
                              <w:t xml:space="preserve"> </w:t>
                            </w:r>
                          </w:p>
                        </w:tc>
                        <w:tc>
                          <w:tcPr>
                            <w:tcW w:w="1755" w:type="dxa"/>
                            <w:noWrap w:val="0"/>
                            <w:vAlign w:val="top"/>
                          </w:tcPr>
                          <w:p w14:paraId="2BF62894">
                            <w:pPr>
                              <w:pStyle w:val="32"/>
                              <w:spacing w:before="120"/>
                              <w:ind w:left="139"/>
                              <w:jc w:val="center"/>
                              <w:rPr>
                                <w:sz w:val="21"/>
                              </w:rPr>
                            </w:pPr>
                            <w:r>
                              <w:rPr>
                                <w:w w:val="100"/>
                                <w:sz w:val="21"/>
                              </w:rPr>
                              <w:t xml:space="preserve"> </w:t>
                            </w:r>
                          </w:p>
                        </w:tc>
                        <w:tc>
                          <w:tcPr>
                            <w:tcW w:w="1723" w:type="dxa"/>
                            <w:noWrap w:val="0"/>
                            <w:vAlign w:val="top"/>
                          </w:tcPr>
                          <w:p w14:paraId="40CDD260">
                            <w:pPr>
                              <w:pStyle w:val="32"/>
                              <w:spacing w:before="120"/>
                              <w:ind w:left="135"/>
                              <w:jc w:val="center"/>
                              <w:rPr>
                                <w:sz w:val="21"/>
                              </w:rPr>
                            </w:pPr>
                            <w:r>
                              <w:rPr>
                                <w:w w:val="100"/>
                                <w:sz w:val="21"/>
                              </w:rPr>
                              <w:t xml:space="preserve"> </w:t>
                            </w:r>
                          </w:p>
                        </w:tc>
                        <w:tc>
                          <w:tcPr>
                            <w:tcW w:w="1721" w:type="dxa"/>
                            <w:noWrap w:val="0"/>
                            <w:vAlign w:val="top"/>
                          </w:tcPr>
                          <w:p w14:paraId="20852DF3">
                            <w:pPr>
                              <w:pStyle w:val="32"/>
                              <w:spacing w:before="120"/>
                              <w:ind w:right="722"/>
                              <w:jc w:val="right"/>
                              <w:rPr>
                                <w:sz w:val="21"/>
                              </w:rPr>
                            </w:pPr>
                            <w:r>
                              <w:rPr>
                                <w:w w:val="100"/>
                                <w:sz w:val="21"/>
                              </w:rPr>
                              <w:t xml:space="preserve"> </w:t>
                            </w:r>
                          </w:p>
                        </w:tc>
                      </w:tr>
                      <w:tr w14:paraId="4B40A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2" w:type="dxa"/>
                            <w:noWrap w:val="0"/>
                            <w:vAlign w:val="top"/>
                          </w:tcPr>
                          <w:p w14:paraId="115E4727">
                            <w:pPr>
                              <w:pStyle w:val="32"/>
                              <w:spacing w:before="109"/>
                              <w:ind w:left="122"/>
                              <w:jc w:val="center"/>
                              <w:rPr>
                                <w:sz w:val="21"/>
                              </w:rPr>
                            </w:pPr>
                            <w:r>
                              <w:rPr>
                                <w:w w:val="100"/>
                                <w:sz w:val="21"/>
                              </w:rPr>
                              <w:t xml:space="preserve"> </w:t>
                            </w:r>
                          </w:p>
                        </w:tc>
                        <w:tc>
                          <w:tcPr>
                            <w:tcW w:w="1878" w:type="dxa"/>
                            <w:noWrap w:val="0"/>
                            <w:vAlign w:val="top"/>
                          </w:tcPr>
                          <w:p w14:paraId="0D1BF479">
                            <w:pPr>
                              <w:pStyle w:val="32"/>
                              <w:spacing w:before="109"/>
                              <w:ind w:left="135"/>
                              <w:jc w:val="center"/>
                              <w:rPr>
                                <w:sz w:val="21"/>
                              </w:rPr>
                            </w:pPr>
                            <w:r>
                              <w:rPr>
                                <w:w w:val="100"/>
                                <w:sz w:val="21"/>
                              </w:rPr>
                              <w:t xml:space="preserve"> </w:t>
                            </w:r>
                          </w:p>
                        </w:tc>
                        <w:tc>
                          <w:tcPr>
                            <w:tcW w:w="2115" w:type="dxa"/>
                            <w:noWrap w:val="0"/>
                            <w:vAlign w:val="top"/>
                          </w:tcPr>
                          <w:p w14:paraId="462D3CAB">
                            <w:pPr>
                              <w:pStyle w:val="32"/>
                              <w:spacing w:before="109"/>
                              <w:ind w:left="139"/>
                              <w:jc w:val="center"/>
                              <w:rPr>
                                <w:sz w:val="21"/>
                              </w:rPr>
                            </w:pPr>
                            <w:r>
                              <w:rPr>
                                <w:w w:val="100"/>
                                <w:sz w:val="21"/>
                              </w:rPr>
                              <w:t xml:space="preserve"> </w:t>
                            </w:r>
                          </w:p>
                        </w:tc>
                        <w:tc>
                          <w:tcPr>
                            <w:tcW w:w="1755" w:type="dxa"/>
                            <w:noWrap w:val="0"/>
                            <w:vAlign w:val="top"/>
                          </w:tcPr>
                          <w:p w14:paraId="174D5639">
                            <w:pPr>
                              <w:pStyle w:val="32"/>
                              <w:spacing w:before="109"/>
                              <w:ind w:left="139"/>
                              <w:jc w:val="center"/>
                              <w:rPr>
                                <w:sz w:val="21"/>
                              </w:rPr>
                            </w:pPr>
                            <w:r>
                              <w:rPr>
                                <w:w w:val="100"/>
                                <w:sz w:val="21"/>
                              </w:rPr>
                              <w:t xml:space="preserve"> </w:t>
                            </w:r>
                          </w:p>
                        </w:tc>
                        <w:tc>
                          <w:tcPr>
                            <w:tcW w:w="1723" w:type="dxa"/>
                            <w:noWrap w:val="0"/>
                            <w:vAlign w:val="top"/>
                          </w:tcPr>
                          <w:p w14:paraId="1E22A852">
                            <w:pPr>
                              <w:pStyle w:val="32"/>
                              <w:spacing w:before="109"/>
                              <w:ind w:left="135"/>
                              <w:jc w:val="center"/>
                              <w:rPr>
                                <w:sz w:val="21"/>
                              </w:rPr>
                            </w:pPr>
                            <w:r>
                              <w:rPr>
                                <w:w w:val="100"/>
                                <w:sz w:val="21"/>
                              </w:rPr>
                              <w:t xml:space="preserve"> </w:t>
                            </w:r>
                          </w:p>
                        </w:tc>
                        <w:tc>
                          <w:tcPr>
                            <w:tcW w:w="1721" w:type="dxa"/>
                            <w:noWrap w:val="0"/>
                            <w:vAlign w:val="top"/>
                          </w:tcPr>
                          <w:p w14:paraId="71D0F854">
                            <w:pPr>
                              <w:pStyle w:val="32"/>
                              <w:spacing w:before="109"/>
                              <w:ind w:right="722"/>
                              <w:jc w:val="right"/>
                              <w:rPr>
                                <w:sz w:val="21"/>
                              </w:rPr>
                            </w:pPr>
                            <w:r>
                              <w:rPr>
                                <w:w w:val="100"/>
                                <w:sz w:val="21"/>
                              </w:rPr>
                              <w:t xml:space="preserve"> </w:t>
                            </w:r>
                          </w:p>
                        </w:tc>
                      </w:tr>
                      <w:tr w14:paraId="7FC2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 w:type="dxa"/>
                            <w:noWrap w:val="0"/>
                            <w:vAlign w:val="top"/>
                          </w:tcPr>
                          <w:p w14:paraId="4EB9F2C4">
                            <w:pPr>
                              <w:pStyle w:val="32"/>
                              <w:spacing w:before="111"/>
                              <w:ind w:left="122"/>
                              <w:jc w:val="center"/>
                              <w:rPr>
                                <w:sz w:val="21"/>
                              </w:rPr>
                            </w:pPr>
                            <w:r>
                              <w:rPr>
                                <w:w w:val="100"/>
                                <w:sz w:val="21"/>
                              </w:rPr>
                              <w:t xml:space="preserve"> </w:t>
                            </w:r>
                          </w:p>
                        </w:tc>
                        <w:tc>
                          <w:tcPr>
                            <w:tcW w:w="1878" w:type="dxa"/>
                            <w:noWrap w:val="0"/>
                            <w:vAlign w:val="top"/>
                          </w:tcPr>
                          <w:p w14:paraId="17ABAE61">
                            <w:pPr>
                              <w:pStyle w:val="32"/>
                              <w:spacing w:before="111"/>
                              <w:ind w:left="135"/>
                              <w:jc w:val="center"/>
                              <w:rPr>
                                <w:sz w:val="21"/>
                              </w:rPr>
                            </w:pPr>
                            <w:r>
                              <w:rPr>
                                <w:w w:val="100"/>
                                <w:sz w:val="21"/>
                              </w:rPr>
                              <w:t xml:space="preserve"> </w:t>
                            </w:r>
                          </w:p>
                        </w:tc>
                        <w:tc>
                          <w:tcPr>
                            <w:tcW w:w="2115" w:type="dxa"/>
                            <w:noWrap w:val="0"/>
                            <w:vAlign w:val="top"/>
                          </w:tcPr>
                          <w:p w14:paraId="2F441EE9">
                            <w:pPr>
                              <w:pStyle w:val="32"/>
                              <w:spacing w:before="111"/>
                              <w:ind w:left="139"/>
                              <w:jc w:val="center"/>
                              <w:rPr>
                                <w:sz w:val="21"/>
                              </w:rPr>
                            </w:pPr>
                            <w:r>
                              <w:rPr>
                                <w:w w:val="100"/>
                                <w:sz w:val="21"/>
                              </w:rPr>
                              <w:t xml:space="preserve"> </w:t>
                            </w:r>
                          </w:p>
                        </w:tc>
                        <w:tc>
                          <w:tcPr>
                            <w:tcW w:w="1755" w:type="dxa"/>
                            <w:noWrap w:val="0"/>
                            <w:vAlign w:val="top"/>
                          </w:tcPr>
                          <w:p w14:paraId="3518DFBE">
                            <w:pPr>
                              <w:pStyle w:val="32"/>
                              <w:spacing w:before="111"/>
                              <w:ind w:left="139"/>
                              <w:jc w:val="center"/>
                              <w:rPr>
                                <w:sz w:val="21"/>
                              </w:rPr>
                            </w:pPr>
                            <w:r>
                              <w:rPr>
                                <w:w w:val="100"/>
                                <w:sz w:val="21"/>
                              </w:rPr>
                              <w:t xml:space="preserve"> </w:t>
                            </w:r>
                          </w:p>
                        </w:tc>
                        <w:tc>
                          <w:tcPr>
                            <w:tcW w:w="1723" w:type="dxa"/>
                            <w:noWrap w:val="0"/>
                            <w:vAlign w:val="top"/>
                          </w:tcPr>
                          <w:p w14:paraId="3C72D780">
                            <w:pPr>
                              <w:pStyle w:val="32"/>
                              <w:spacing w:before="111"/>
                              <w:ind w:left="135"/>
                              <w:jc w:val="center"/>
                              <w:rPr>
                                <w:sz w:val="21"/>
                              </w:rPr>
                            </w:pPr>
                            <w:r>
                              <w:rPr>
                                <w:w w:val="100"/>
                                <w:sz w:val="21"/>
                              </w:rPr>
                              <w:t xml:space="preserve"> </w:t>
                            </w:r>
                          </w:p>
                        </w:tc>
                        <w:tc>
                          <w:tcPr>
                            <w:tcW w:w="1721" w:type="dxa"/>
                            <w:noWrap w:val="0"/>
                            <w:vAlign w:val="top"/>
                          </w:tcPr>
                          <w:p w14:paraId="6CFDDCA9">
                            <w:pPr>
                              <w:pStyle w:val="32"/>
                              <w:spacing w:before="111"/>
                              <w:ind w:right="722"/>
                              <w:jc w:val="right"/>
                              <w:rPr>
                                <w:sz w:val="21"/>
                              </w:rPr>
                            </w:pPr>
                            <w:r>
                              <w:rPr>
                                <w:w w:val="100"/>
                                <w:sz w:val="21"/>
                              </w:rPr>
                              <w:t xml:space="preserve"> </w:t>
                            </w:r>
                          </w:p>
                        </w:tc>
                      </w:tr>
                      <w:tr w14:paraId="3072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492" w:type="dxa"/>
                            <w:noWrap w:val="0"/>
                            <w:vAlign w:val="top"/>
                          </w:tcPr>
                          <w:p w14:paraId="00B8D671">
                            <w:pPr>
                              <w:pStyle w:val="32"/>
                              <w:spacing w:before="109"/>
                              <w:ind w:left="122"/>
                              <w:jc w:val="center"/>
                              <w:rPr>
                                <w:sz w:val="21"/>
                              </w:rPr>
                            </w:pPr>
                            <w:r>
                              <w:rPr>
                                <w:w w:val="100"/>
                                <w:sz w:val="21"/>
                              </w:rPr>
                              <w:t xml:space="preserve"> </w:t>
                            </w:r>
                          </w:p>
                        </w:tc>
                        <w:tc>
                          <w:tcPr>
                            <w:tcW w:w="1878" w:type="dxa"/>
                            <w:noWrap w:val="0"/>
                            <w:vAlign w:val="top"/>
                          </w:tcPr>
                          <w:p w14:paraId="0BF16FA0">
                            <w:pPr>
                              <w:pStyle w:val="32"/>
                              <w:spacing w:before="109"/>
                              <w:ind w:left="135"/>
                              <w:jc w:val="center"/>
                              <w:rPr>
                                <w:sz w:val="21"/>
                              </w:rPr>
                            </w:pPr>
                            <w:r>
                              <w:rPr>
                                <w:w w:val="100"/>
                                <w:sz w:val="21"/>
                              </w:rPr>
                              <w:t xml:space="preserve"> </w:t>
                            </w:r>
                          </w:p>
                        </w:tc>
                        <w:tc>
                          <w:tcPr>
                            <w:tcW w:w="2115" w:type="dxa"/>
                            <w:noWrap w:val="0"/>
                            <w:vAlign w:val="top"/>
                          </w:tcPr>
                          <w:p w14:paraId="6704C0E3">
                            <w:pPr>
                              <w:pStyle w:val="32"/>
                              <w:spacing w:before="109"/>
                              <w:ind w:left="139"/>
                              <w:jc w:val="center"/>
                              <w:rPr>
                                <w:sz w:val="21"/>
                              </w:rPr>
                            </w:pPr>
                            <w:r>
                              <w:rPr>
                                <w:w w:val="100"/>
                                <w:sz w:val="21"/>
                              </w:rPr>
                              <w:t xml:space="preserve"> </w:t>
                            </w:r>
                          </w:p>
                        </w:tc>
                        <w:tc>
                          <w:tcPr>
                            <w:tcW w:w="1755" w:type="dxa"/>
                            <w:noWrap w:val="0"/>
                            <w:vAlign w:val="top"/>
                          </w:tcPr>
                          <w:p w14:paraId="21258494">
                            <w:pPr>
                              <w:pStyle w:val="32"/>
                              <w:spacing w:before="109"/>
                              <w:ind w:left="139"/>
                              <w:jc w:val="center"/>
                              <w:rPr>
                                <w:sz w:val="21"/>
                              </w:rPr>
                            </w:pPr>
                            <w:r>
                              <w:rPr>
                                <w:w w:val="100"/>
                                <w:sz w:val="21"/>
                              </w:rPr>
                              <w:t xml:space="preserve"> </w:t>
                            </w:r>
                          </w:p>
                        </w:tc>
                        <w:tc>
                          <w:tcPr>
                            <w:tcW w:w="1723" w:type="dxa"/>
                            <w:noWrap w:val="0"/>
                            <w:vAlign w:val="top"/>
                          </w:tcPr>
                          <w:p w14:paraId="220F6F9E">
                            <w:pPr>
                              <w:pStyle w:val="32"/>
                              <w:spacing w:before="109"/>
                              <w:ind w:left="135"/>
                              <w:jc w:val="center"/>
                              <w:rPr>
                                <w:sz w:val="21"/>
                              </w:rPr>
                            </w:pPr>
                            <w:r>
                              <w:rPr>
                                <w:w w:val="100"/>
                                <w:sz w:val="21"/>
                              </w:rPr>
                              <w:t xml:space="preserve"> </w:t>
                            </w:r>
                          </w:p>
                        </w:tc>
                        <w:tc>
                          <w:tcPr>
                            <w:tcW w:w="1721" w:type="dxa"/>
                            <w:noWrap w:val="0"/>
                            <w:vAlign w:val="top"/>
                          </w:tcPr>
                          <w:p w14:paraId="73F16979">
                            <w:pPr>
                              <w:pStyle w:val="32"/>
                              <w:spacing w:before="109"/>
                              <w:ind w:right="722"/>
                              <w:jc w:val="right"/>
                              <w:rPr>
                                <w:sz w:val="21"/>
                              </w:rPr>
                            </w:pPr>
                            <w:r>
                              <w:rPr>
                                <w:w w:val="100"/>
                                <w:sz w:val="21"/>
                              </w:rPr>
                              <w:t xml:space="preserve"> </w:t>
                            </w:r>
                          </w:p>
                        </w:tc>
                      </w:tr>
                      <w:tr w14:paraId="54DD0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 w:type="dxa"/>
                            <w:noWrap w:val="0"/>
                            <w:vAlign w:val="top"/>
                          </w:tcPr>
                          <w:p w14:paraId="4AF43608">
                            <w:pPr>
                              <w:pStyle w:val="32"/>
                              <w:spacing w:before="109"/>
                              <w:ind w:left="122"/>
                              <w:jc w:val="center"/>
                              <w:rPr>
                                <w:sz w:val="21"/>
                              </w:rPr>
                            </w:pPr>
                            <w:r>
                              <w:rPr>
                                <w:w w:val="100"/>
                                <w:sz w:val="21"/>
                              </w:rPr>
                              <w:t xml:space="preserve"> </w:t>
                            </w:r>
                          </w:p>
                        </w:tc>
                        <w:tc>
                          <w:tcPr>
                            <w:tcW w:w="1878" w:type="dxa"/>
                            <w:noWrap w:val="0"/>
                            <w:vAlign w:val="top"/>
                          </w:tcPr>
                          <w:p w14:paraId="73726242">
                            <w:pPr>
                              <w:pStyle w:val="32"/>
                              <w:spacing w:before="109"/>
                              <w:ind w:left="135"/>
                              <w:jc w:val="center"/>
                              <w:rPr>
                                <w:sz w:val="21"/>
                              </w:rPr>
                            </w:pPr>
                            <w:r>
                              <w:rPr>
                                <w:w w:val="100"/>
                                <w:sz w:val="21"/>
                              </w:rPr>
                              <w:t xml:space="preserve"> </w:t>
                            </w:r>
                          </w:p>
                        </w:tc>
                        <w:tc>
                          <w:tcPr>
                            <w:tcW w:w="2115" w:type="dxa"/>
                            <w:noWrap w:val="0"/>
                            <w:vAlign w:val="top"/>
                          </w:tcPr>
                          <w:p w14:paraId="6A0FB917">
                            <w:pPr>
                              <w:pStyle w:val="32"/>
                              <w:spacing w:before="109"/>
                              <w:ind w:left="139"/>
                              <w:jc w:val="center"/>
                              <w:rPr>
                                <w:sz w:val="21"/>
                              </w:rPr>
                            </w:pPr>
                            <w:r>
                              <w:rPr>
                                <w:w w:val="100"/>
                                <w:sz w:val="21"/>
                              </w:rPr>
                              <w:t xml:space="preserve"> </w:t>
                            </w:r>
                          </w:p>
                        </w:tc>
                        <w:tc>
                          <w:tcPr>
                            <w:tcW w:w="1755" w:type="dxa"/>
                            <w:noWrap w:val="0"/>
                            <w:vAlign w:val="top"/>
                          </w:tcPr>
                          <w:p w14:paraId="577DF54B">
                            <w:pPr>
                              <w:pStyle w:val="32"/>
                              <w:spacing w:before="109"/>
                              <w:ind w:left="139"/>
                              <w:jc w:val="center"/>
                              <w:rPr>
                                <w:sz w:val="21"/>
                              </w:rPr>
                            </w:pPr>
                            <w:r>
                              <w:rPr>
                                <w:w w:val="100"/>
                                <w:sz w:val="21"/>
                              </w:rPr>
                              <w:t xml:space="preserve"> </w:t>
                            </w:r>
                          </w:p>
                        </w:tc>
                        <w:tc>
                          <w:tcPr>
                            <w:tcW w:w="1723" w:type="dxa"/>
                            <w:noWrap w:val="0"/>
                            <w:vAlign w:val="top"/>
                          </w:tcPr>
                          <w:p w14:paraId="2F08D25B">
                            <w:pPr>
                              <w:pStyle w:val="32"/>
                              <w:spacing w:before="109"/>
                              <w:ind w:left="135"/>
                              <w:jc w:val="center"/>
                              <w:rPr>
                                <w:sz w:val="21"/>
                              </w:rPr>
                            </w:pPr>
                            <w:r>
                              <w:rPr>
                                <w:w w:val="100"/>
                                <w:sz w:val="21"/>
                              </w:rPr>
                              <w:t xml:space="preserve"> </w:t>
                            </w:r>
                          </w:p>
                        </w:tc>
                        <w:tc>
                          <w:tcPr>
                            <w:tcW w:w="1721" w:type="dxa"/>
                            <w:noWrap w:val="0"/>
                            <w:vAlign w:val="top"/>
                          </w:tcPr>
                          <w:p w14:paraId="2FDD09E4">
                            <w:pPr>
                              <w:pStyle w:val="32"/>
                              <w:spacing w:before="109"/>
                              <w:ind w:right="722"/>
                              <w:jc w:val="right"/>
                              <w:rPr>
                                <w:sz w:val="21"/>
                              </w:rPr>
                            </w:pPr>
                            <w:r>
                              <w:rPr>
                                <w:w w:val="100"/>
                                <w:sz w:val="21"/>
                              </w:rPr>
                              <w:t xml:space="preserve"> </w:t>
                            </w:r>
                          </w:p>
                        </w:tc>
                      </w:tr>
                      <w:tr w14:paraId="0314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 w:type="dxa"/>
                            <w:noWrap w:val="0"/>
                            <w:vAlign w:val="top"/>
                          </w:tcPr>
                          <w:p w14:paraId="14B14C29">
                            <w:pPr>
                              <w:pStyle w:val="32"/>
                              <w:spacing w:before="109"/>
                              <w:ind w:left="122"/>
                              <w:jc w:val="center"/>
                              <w:rPr>
                                <w:sz w:val="21"/>
                              </w:rPr>
                            </w:pPr>
                            <w:r>
                              <w:rPr>
                                <w:w w:val="100"/>
                                <w:sz w:val="21"/>
                              </w:rPr>
                              <w:t xml:space="preserve"> </w:t>
                            </w:r>
                          </w:p>
                        </w:tc>
                        <w:tc>
                          <w:tcPr>
                            <w:tcW w:w="1878" w:type="dxa"/>
                            <w:noWrap w:val="0"/>
                            <w:vAlign w:val="top"/>
                          </w:tcPr>
                          <w:p w14:paraId="2CA62393">
                            <w:pPr>
                              <w:pStyle w:val="32"/>
                              <w:spacing w:before="109"/>
                              <w:ind w:left="135"/>
                              <w:jc w:val="center"/>
                              <w:rPr>
                                <w:sz w:val="21"/>
                              </w:rPr>
                            </w:pPr>
                            <w:r>
                              <w:rPr>
                                <w:w w:val="100"/>
                                <w:sz w:val="21"/>
                              </w:rPr>
                              <w:t xml:space="preserve"> </w:t>
                            </w:r>
                          </w:p>
                        </w:tc>
                        <w:tc>
                          <w:tcPr>
                            <w:tcW w:w="2115" w:type="dxa"/>
                            <w:noWrap w:val="0"/>
                            <w:vAlign w:val="top"/>
                          </w:tcPr>
                          <w:p w14:paraId="39DE8CCA">
                            <w:pPr>
                              <w:pStyle w:val="32"/>
                              <w:spacing w:before="109"/>
                              <w:ind w:left="139"/>
                              <w:jc w:val="center"/>
                              <w:rPr>
                                <w:sz w:val="21"/>
                              </w:rPr>
                            </w:pPr>
                            <w:r>
                              <w:rPr>
                                <w:w w:val="100"/>
                                <w:sz w:val="21"/>
                              </w:rPr>
                              <w:t xml:space="preserve"> </w:t>
                            </w:r>
                          </w:p>
                        </w:tc>
                        <w:tc>
                          <w:tcPr>
                            <w:tcW w:w="1755" w:type="dxa"/>
                            <w:noWrap w:val="0"/>
                            <w:vAlign w:val="top"/>
                          </w:tcPr>
                          <w:p w14:paraId="62A8499E">
                            <w:pPr>
                              <w:pStyle w:val="32"/>
                              <w:spacing w:before="109"/>
                              <w:ind w:left="139"/>
                              <w:jc w:val="center"/>
                              <w:rPr>
                                <w:sz w:val="21"/>
                              </w:rPr>
                            </w:pPr>
                            <w:r>
                              <w:rPr>
                                <w:w w:val="100"/>
                                <w:sz w:val="21"/>
                              </w:rPr>
                              <w:t xml:space="preserve"> </w:t>
                            </w:r>
                          </w:p>
                        </w:tc>
                        <w:tc>
                          <w:tcPr>
                            <w:tcW w:w="1723" w:type="dxa"/>
                            <w:noWrap w:val="0"/>
                            <w:vAlign w:val="top"/>
                          </w:tcPr>
                          <w:p w14:paraId="4B9EC7D2">
                            <w:pPr>
                              <w:pStyle w:val="32"/>
                              <w:spacing w:before="109"/>
                              <w:ind w:left="135"/>
                              <w:jc w:val="center"/>
                              <w:rPr>
                                <w:sz w:val="21"/>
                              </w:rPr>
                            </w:pPr>
                            <w:r>
                              <w:rPr>
                                <w:w w:val="100"/>
                                <w:sz w:val="21"/>
                              </w:rPr>
                              <w:t xml:space="preserve"> </w:t>
                            </w:r>
                          </w:p>
                        </w:tc>
                        <w:tc>
                          <w:tcPr>
                            <w:tcW w:w="1721" w:type="dxa"/>
                            <w:noWrap w:val="0"/>
                            <w:vAlign w:val="top"/>
                          </w:tcPr>
                          <w:p w14:paraId="4A25781B">
                            <w:pPr>
                              <w:pStyle w:val="32"/>
                              <w:spacing w:before="109"/>
                              <w:ind w:right="722"/>
                              <w:jc w:val="right"/>
                              <w:rPr>
                                <w:sz w:val="21"/>
                              </w:rPr>
                            </w:pPr>
                            <w:r>
                              <w:rPr>
                                <w:w w:val="100"/>
                                <w:sz w:val="21"/>
                              </w:rPr>
                              <w:t xml:space="preserve"> </w:t>
                            </w:r>
                          </w:p>
                        </w:tc>
                      </w:tr>
                      <w:tr w14:paraId="6911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492" w:type="dxa"/>
                            <w:noWrap w:val="0"/>
                            <w:vAlign w:val="top"/>
                          </w:tcPr>
                          <w:p w14:paraId="351F0CE6">
                            <w:pPr>
                              <w:pStyle w:val="32"/>
                              <w:spacing w:before="109"/>
                              <w:ind w:left="122"/>
                              <w:jc w:val="center"/>
                              <w:rPr>
                                <w:sz w:val="21"/>
                              </w:rPr>
                            </w:pPr>
                            <w:r>
                              <w:rPr>
                                <w:w w:val="100"/>
                                <w:sz w:val="21"/>
                              </w:rPr>
                              <w:t xml:space="preserve"> </w:t>
                            </w:r>
                          </w:p>
                        </w:tc>
                        <w:tc>
                          <w:tcPr>
                            <w:tcW w:w="1878" w:type="dxa"/>
                            <w:noWrap w:val="0"/>
                            <w:vAlign w:val="top"/>
                          </w:tcPr>
                          <w:p w14:paraId="42B447CF">
                            <w:pPr>
                              <w:pStyle w:val="32"/>
                              <w:spacing w:before="109"/>
                              <w:ind w:left="135"/>
                              <w:jc w:val="center"/>
                              <w:rPr>
                                <w:sz w:val="21"/>
                              </w:rPr>
                            </w:pPr>
                            <w:r>
                              <w:rPr>
                                <w:w w:val="100"/>
                                <w:sz w:val="21"/>
                              </w:rPr>
                              <w:t xml:space="preserve"> </w:t>
                            </w:r>
                          </w:p>
                        </w:tc>
                        <w:tc>
                          <w:tcPr>
                            <w:tcW w:w="2115" w:type="dxa"/>
                            <w:noWrap w:val="0"/>
                            <w:vAlign w:val="top"/>
                          </w:tcPr>
                          <w:p w14:paraId="436D70B6">
                            <w:pPr>
                              <w:pStyle w:val="32"/>
                              <w:spacing w:before="109"/>
                              <w:ind w:left="139"/>
                              <w:jc w:val="center"/>
                              <w:rPr>
                                <w:sz w:val="21"/>
                              </w:rPr>
                            </w:pPr>
                            <w:r>
                              <w:rPr>
                                <w:w w:val="100"/>
                                <w:sz w:val="21"/>
                              </w:rPr>
                              <w:t xml:space="preserve"> </w:t>
                            </w:r>
                          </w:p>
                        </w:tc>
                        <w:tc>
                          <w:tcPr>
                            <w:tcW w:w="1755" w:type="dxa"/>
                            <w:noWrap w:val="0"/>
                            <w:vAlign w:val="top"/>
                          </w:tcPr>
                          <w:p w14:paraId="34C84EC1">
                            <w:pPr>
                              <w:pStyle w:val="32"/>
                              <w:spacing w:before="109"/>
                              <w:ind w:left="139"/>
                              <w:jc w:val="center"/>
                              <w:rPr>
                                <w:sz w:val="21"/>
                              </w:rPr>
                            </w:pPr>
                            <w:r>
                              <w:rPr>
                                <w:w w:val="100"/>
                                <w:sz w:val="21"/>
                              </w:rPr>
                              <w:t xml:space="preserve"> </w:t>
                            </w:r>
                          </w:p>
                        </w:tc>
                        <w:tc>
                          <w:tcPr>
                            <w:tcW w:w="1723" w:type="dxa"/>
                            <w:noWrap w:val="0"/>
                            <w:vAlign w:val="top"/>
                          </w:tcPr>
                          <w:p w14:paraId="1D996C64">
                            <w:pPr>
                              <w:pStyle w:val="32"/>
                              <w:spacing w:before="109"/>
                              <w:ind w:left="135"/>
                              <w:jc w:val="center"/>
                              <w:rPr>
                                <w:sz w:val="21"/>
                              </w:rPr>
                            </w:pPr>
                            <w:r>
                              <w:rPr>
                                <w:w w:val="100"/>
                                <w:sz w:val="21"/>
                              </w:rPr>
                              <w:t xml:space="preserve"> </w:t>
                            </w:r>
                          </w:p>
                        </w:tc>
                        <w:tc>
                          <w:tcPr>
                            <w:tcW w:w="1721" w:type="dxa"/>
                            <w:noWrap w:val="0"/>
                            <w:vAlign w:val="top"/>
                          </w:tcPr>
                          <w:p w14:paraId="60A48D67">
                            <w:pPr>
                              <w:pStyle w:val="32"/>
                              <w:spacing w:before="109"/>
                              <w:ind w:right="722"/>
                              <w:jc w:val="right"/>
                              <w:rPr>
                                <w:sz w:val="21"/>
                              </w:rPr>
                            </w:pPr>
                            <w:r>
                              <w:rPr>
                                <w:w w:val="100"/>
                                <w:sz w:val="21"/>
                              </w:rPr>
                              <w:t xml:space="preserve"> </w:t>
                            </w:r>
                          </w:p>
                        </w:tc>
                      </w:tr>
                      <w:tr w14:paraId="18E68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2" w:type="dxa"/>
                            <w:noWrap w:val="0"/>
                            <w:vAlign w:val="top"/>
                          </w:tcPr>
                          <w:p w14:paraId="090C83E3">
                            <w:pPr>
                              <w:pStyle w:val="32"/>
                              <w:spacing w:before="109" w:line="269" w:lineRule="exact"/>
                              <w:ind w:left="122"/>
                              <w:jc w:val="center"/>
                              <w:rPr>
                                <w:sz w:val="21"/>
                              </w:rPr>
                            </w:pPr>
                            <w:r>
                              <w:rPr>
                                <w:w w:val="100"/>
                                <w:sz w:val="21"/>
                              </w:rPr>
                              <w:t xml:space="preserve"> </w:t>
                            </w:r>
                          </w:p>
                        </w:tc>
                        <w:tc>
                          <w:tcPr>
                            <w:tcW w:w="1878" w:type="dxa"/>
                            <w:noWrap w:val="0"/>
                            <w:vAlign w:val="top"/>
                          </w:tcPr>
                          <w:p w14:paraId="385D596D">
                            <w:pPr>
                              <w:pStyle w:val="32"/>
                              <w:spacing w:before="109" w:line="269" w:lineRule="exact"/>
                              <w:ind w:left="135"/>
                              <w:jc w:val="center"/>
                              <w:rPr>
                                <w:sz w:val="21"/>
                              </w:rPr>
                            </w:pPr>
                            <w:r>
                              <w:rPr>
                                <w:w w:val="100"/>
                                <w:sz w:val="21"/>
                              </w:rPr>
                              <w:t xml:space="preserve"> </w:t>
                            </w:r>
                          </w:p>
                        </w:tc>
                        <w:tc>
                          <w:tcPr>
                            <w:tcW w:w="2115" w:type="dxa"/>
                            <w:noWrap w:val="0"/>
                            <w:vAlign w:val="top"/>
                          </w:tcPr>
                          <w:p w14:paraId="16ACC73B">
                            <w:pPr>
                              <w:pStyle w:val="32"/>
                              <w:spacing w:before="109" w:line="269" w:lineRule="exact"/>
                              <w:ind w:left="139"/>
                              <w:jc w:val="center"/>
                              <w:rPr>
                                <w:sz w:val="21"/>
                              </w:rPr>
                            </w:pPr>
                            <w:r>
                              <w:rPr>
                                <w:w w:val="100"/>
                                <w:sz w:val="21"/>
                              </w:rPr>
                              <w:t xml:space="preserve"> </w:t>
                            </w:r>
                          </w:p>
                        </w:tc>
                        <w:tc>
                          <w:tcPr>
                            <w:tcW w:w="1755" w:type="dxa"/>
                            <w:noWrap w:val="0"/>
                            <w:vAlign w:val="top"/>
                          </w:tcPr>
                          <w:p w14:paraId="76FA310C">
                            <w:pPr>
                              <w:pStyle w:val="32"/>
                              <w:spacing w:before="109" w:line="269" w:lineRule="exact"/>
                              <w:ind w:left="139"/>
                              <w:jc w:val="center"/>
                              <w:rPr>
                                <w:sz w:val="21"/>
                              </w:rPr>
                            </w:pPr>
                            <w:r>
                              <w:rPr>
                                <w:w w:val="100"/>
                                <w:sz w:val="21"/>
                              </w:rPr>
                              <w:t xml:space="preserve"> </w:t>
                            </w:r>
                          </w:p>
                        </w:tc>
                        <w:tc>
                          <w:tcPr>
                            <w:tcW w:w="1723" w:type="dxa"/>
                            <w:noWrap w:val="0"/>
                            <w:vAlign w:val="top"/>
                          </w:tcPr>
                          <w:p w14:paraId="7CBF1188">
                            <w:pPr>
                              <w:pStyle w:val="32"/>
                              <w:spacing w:before="109" w:line="269" w:lineRule="exact"/>
                              <w:ind w:left="135"/>
                              <w:jc w:val="center"/>
                              <w:rPr>
                                <w:sz w:val="21"/>
                              </w:rPr>
                            </w:pPr>
                            <w:r>
                              <w:rPr>
                                <w:w w:val="100"/>
                                <w:sz w:val="21"/>
                              </w:rPr>
                              <w:t xml:space="preserve"> </w:t>
                            </w:r>
                          </w:p>
                        </w:tc>
                        <w:tc>
                          <w:tcPr>
                            <w:tcW w:w="1721" w:type="dxa"/>
                            <w:noWrap w:val="0"/>
                            <w:vAlign w:val="top"/>
                          </w:tcPr>
                          <w:p w14:paraId="4E6A06EA">
                            <w:pPr>
                              <w:pStyle w:val="32"/>
                              <w:spacing w:before="109" w:line="269" w:lineRule="exact"/>
                              <w:ind w:right="722"/>
                              <w:jc w:val="right"/>
                              <w:rPr>
                                <w:sz w:val="21"/>
                              </w:rPr>
                            </w:pPr>
                            <w:r>
                              <w:rPr>
                                <w:w w:val="100"/>
                                <w:sz w:val="21"/>
                              </w:rPr>
                              <w:t xml:space="preserve"> </w:t>
                            </w:r>
                          </w:p>
                        </w:tc>
                      </w:tr>
                    </w:tbl>
                    <w:p w14:paraId="64A18F1F">
                      <w:pPr>
                        <w:pStyle w:val="8"/>
                      </w:pPr>
                    </w:p>
                  </w:txbxContent>
                </v:textbox>
              </v:shape>
            </w:pict>
          </mc:Fallback>
        </mc:AlternateContent>
      </w:r>
    </w:p>
    <w:p w14:paraId="42D267B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9D3E09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83B227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26595A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09C711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B48FB0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14B7F6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3B90AA2">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BC3FA9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1A1C52E7">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备注：根据评审表的要求提交相应资料。 </w:t>
      </w:r>
    </w:p>
    <w:p w14:paraId="627ADCB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9F62F7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F04A3B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42AD68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3B4B19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p>
    <w:p w14:paraId="45320B0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供应商名称（单位盖公章）：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1523D0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98BFCE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62E532A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sectPr>
          <w:headerReference r:id="rId18" w:type="default"/>
          <w:footerReference r:id="rId19" w:type="default"/>
          <w:pgSz w:w="11910" w:h="16840"/>
          <w:pgMar w:top="1984" w:right="1531" w:bottom="2098" w:left="1531" w:header="670" w:footer="1041" w:gutter="0"/>
          <w:pgNumType w:fmt="decimal"/>
          <w:cols w:space="720" w:num="1"/>
          <w:rtlGutter w:val="0"/>
          <w:docGrid w:linePitch="1" w:charSpace="0"/>
        </w:sectPr>
      </w:pPr>
    </w:p>
    <w:p w14:paraId="41A7D53E">
      <w:pPr>
        <w:jc w:val="center"/>
        <w:rPr>
          <w:rFonts w:hint="eastAsia" w:ascii="宋体" w:hAnsi="宋体" w:eastAsia="宋体" w:cs="宋体"/>
          <w:b/>
          <w:bCs/>
          <w:color w:val="auto"/>
          <w:sz w:val="30"/>
          <w:szCs w:val="30"/>
          <w:highlight w:val="none"/>
          <w:lang w:val="en-US" w:eastAsia="zh-CN"/>
        </w:rPr>
      </w:pPr>
      <w:r>
        <w:rPr>
          <w:rFonts w:hint="eastAsia" w:cs="宋体"/>
          <w:b/>
          <w:bCs/>
          <w:color w:val="auto"/>
          <w:sz w:val="30"/>
          <w:szCs w:val="30"/>
          <w:highlight w:val="none"/>
          <w:lang w:val="en-US" w:eastAsia="zh-CN"/>
        </w:rPr>
        <w:t>2</w:t>
      </w:r>
      <w:r>
        <w:rPr>
          <w:rFonts w:hint="eastAsia" w:ascii="宋体" w:hAnsi="宋体" w:eastAsia="宋体" w:cs="宋体"/>
          <w:b/>
          <w:bCs/>
          <w:color w:val="auto"/>
          <w:sz w:val="30"/>
          <w:szCs w:val="30"/>
          <w:highlight w:val="none"/>
          <w:lang w:val="en-US" w:eastAsia="zh-CN"/>
        </w:rPr>
        <w:t>.</w:t>
      </w:r>
      <w:r>
        <w:rPr>
          <w:rFonts w:hint="eastAsia" w:cs="宋体"/>
          <w:b/>
          <w:bCs/>
          <w:color w:val="auto"/>
          <w:sz w:val="30"/>
          <w:szCs w:val="30"/>
          <w:highlight w:val="none"/>
          <w:lang w:val="en-US" w:eastAsia="zh-CN"/>
        </w:rPr>
        <w:t xml:space="preserve">6 </w:t>
      </w:r>
      <w:r>
        <w:rPr>
          <w:rFonts w:hint="eastAsia" w:ascii="宋体" w:hAnsi="宋体" w:eastAsia="宋体" w:cs="宋体"/>
          <w:b/>
          <w:bCs/>
          <w:color w:val="auto"/>
          <w:sz w:val="30"/>
          <w:szCs w:val="30"/>
          <w:highlight w:val="none"/>
          <w:lang w:val="en-US" w:eastAsia="zh-CN"/>
        </w:rPr>
        <w:t>项目团队</w:t>
      </w:r>
    </w:p>
    <w:p w14:paraId="2EA5A234">
      <w:pPr>
        <w:pStyle w:val="7"/>
        <w:rPr>
          <w:color w:val="auto"/>
          <w:highlight w:val="none"/>
        </w:rPr>
      </w:pPr>
    </w:p>
    <w:p w14:paraId="60BB0BD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注：根据</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须知</w:t>
      </w:r>
      <w:r>
        <w:rPr>
          <w:rFonts w:hint="eastAsia" w:cs="宋体"/>
          <w:color w:val="auto"/>
          <w:sz w:val="24"/>
          <w:szCs w:val="24"/>
          <w:highlight w:val="none"/>
          <w:lang w:val="en-US" w:eastAsia="zh-CN"/>
        </w:rPr>
        <w:t>第七部分</w:t>
      </w:r>
      <w:r>
        <w:rPr>
          <w:rFonts w:hint="eastAsia" w:ascii="宋体" w:hAnsi="宋体" w:eastAsia="宋体" w:cs="宋体"/>
          <w:color w:val="auto"/>
          <w:sz w:val="24"/>
          <w:szCs w:val="24"/>
          <w:highlight w:val="none"/>
          <w:lang w:val="en-US" w:eastAsia="zh-CN"/>
        </w:rPr>
        <w:t>评审</w:t>
      </w:r>
      <w:r>
        <w:rPr>
          <w:rFonts w:hint="eastAsia" w:cs="宋体"/>
          <w:color w:val="auto"/>
          <w:sz w:val="24"/>
          <w:szCs w:val="24"/>
          <w:highlight w:val="none"/>
          <w:lang w:val="en-US" w:eastAsia="zh-CN"/>
        </w:rPr>
        <w:t>标准</w:t>
      </w:r>
      <w:r>
        <w:rPr>
          <w:rFonts w:hint="eastAsia" w:ascii="宋体" w:hAnsi="宋体" w:eastAsia="宋体" w:cs="宋体"/>
          <w:color w:val="auto"/>
          <w:sz w:val="24"/>
          <w:szCs w:val="24"/>
          <w:highlight w:val="none"/>
          <w:lang w:val="en-US" w:eastAsia="zh-CN"/>
        </w:rPr>
        <w:t>“商务部</w:t>
      </w:r>
      <w:r>
        <w:rPr>
          <w:rFonts w:hint="eastAsia" w:cs="宋体"/>
          <w:color w:val="auto"/>
          <w:sz w:val="24"/>
          <w:szCs w:val="24"/>
          <w:highlight w:val="none"/>
          <w:lang w:val="en-US" w:eastAsia="zh-CN"/>
        </w:rPr>
        <w:t>分</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评审内容</w:t>
      </w:r>
      <w:r>
        <w:rPr>
          <w:rFonts w:hint="eastAsia" w:ascii="宋体" w:hAnsi="宋体" w:eastAsia="宋体" w:cs="宋体"/>
          <w:color w:val="auto"/>
          <w:sz w:val="24"/>
          <w:szCs w:val="24"/>
          <w:highlight w:val="none"/>
          <w:lang w:val="en-US" w:eastAsia="zh-CN"/>
        </w:rPr>
        <w:t xml:space="preserve">的要求编写及提供相关资料，复印件均要求加盖公章。 </w:t>
      </w:r>
    </w:p>
    <w:p w14:paraId="369429D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供应商法定代表人（或法定代表人授权代表）签名或签章： </w:t>
      </w:r>
    </w:p>
    <w:p w14:paraId="62A8F58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供应商名称（盖公章）： </w:t>
      </w:r>
    </w:p>
    <w:p w14:paraId="15C7F6C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日 期： 年 月 日</w:t>
      </w:r>
    </w:p>
    <w:p w14:paraId="27C583AC">
      <w:pPr>
        <w:rPr>
          <w:rFonts w:hint="eastAsia"/>
          <w:color w:val="auto"/>
          <w:highlight w:val="none"/>
          <w:lang w:val="en-US" w:eastAsia="zh-CN"/>
        </w:rPr>
      </w:pPr>
    </w:p>
    <w:p w14:paraId="448500C7">
      <w:pPr>
        <w:pStyle w:val="7"/>
        <w:rPr>
          <w:rFonts w:hint="eastAsia" w:ascii="宋体" w:hAnsi="宋体" w:eastAsia="宋体" w:cs="宋体"/>
          <w:b/>
          <w:bCs/>
          <w:color w:val="auto"/>
          <w:sz w:val="30"/>
          <w:szCs w:val="30"/>
          <w:highlight w:val="none"/>
          <w:lang w:val="en-US" w:eastAsia="zh-CN"/>
        </w:rPr>
      </w:pPr>
    </w:p>
    <w:p w14:paraId="2B89D9D0">
      <w:pPr>
        <w:rPr>
          <w:rFonts w:hint="eastAsia" w:ascii="宋体" w:hAnsi="宋体" w:eastAsia="宋体" w:cs="宋体"/>
          <w:b/>
          <w:bCs/>
          <w:color w:val="auto"/>
          <w:sz w:val="30"/>
          <w:szCs w:val="30"/>
          <w:highlight w:val="none"/>
          <w:lang w:val="en-US" w:eastAsia="zh-CN"/>
        </w:rPr>
      </w:pPr>
    </w:p>
    <w:p w14:paraId="79B9174C">
      <w:pPr>
        <w:pStyle w:val="7"/>
        <w:rPr>
          <w:rFonts w:hint="eastAsia" w:ascii="宋体" w:hAnsi="宋体" w:eastAsia="宋体" w:cs="宋体"/>
          <w:b/>
          <w:bCs/>
          <w:color w:val="auto"/>
          <w:sz w:val="30"/>
          <w:szCs w:val="30"/>
          <w:highlight w:val="none"/>
          <w:lang w:val="en-US" w:eastAsia="zh-CN"/>
        </w:rPr>
      </w:pPr>
    </w:p>
    <w:p w14:paraId="38AC2056">
      <w:pPr>
        <w:rPr>
          <w:rFonts w:hint="eastAsia" w:ascii="宋体" w:hAnsi="宋体" w:eastAsia="宋体" w:cs="宋体"/>
          <w:b/>
          <w:bCs/>
          <w:color w:val="auto"/>
          <w:sz w:val="30"/>
          <w:szCs w:val="30"/>
          <w:highlight w:val="none"/>
          <w:lang w:val="en-US" w:eastAsia="zh-CN"/>
        </w:rPr>
      </w:pPr>
    </w:p>
    <w:p w14:paraId="16834CD0">
      <w:pPr>
        <w:pStyle w:val="7"/>
        <w:rPr>
          <w:rFonts w:hint="eastAsia" w:ascii="宋体" w:hAnsi="宋体" w:eastAsia="宋体" w:cs="宋体"/>
          <w:b/>
          <w:bCs/>
          <w:color w:val="auto"/>
          <w:sz w:val="30"/>
          <w:szCs w:val="30"/>
          <w:highlight w:val="none"/>
          <w:lang w:val="en-US" w:eastAsia="zh-CN"/>
        </w:rPr>
      </w:pPr>
    </w:p>
    <w:p w14:paraId="7BCACFCB">
      <w:pPr>
        <w:rPr>
          <w:rFonts w:hint="eastAsia" w:ascii="宋体" w:hAnsi="宋体" w:eastAsia="宋体" w:cs="宋体"/>
          <w:b/>
          <w:bCs/>
          <w:color w:val="auto"/>
          <w:sz w:val="30"/>
          <w:szCs w:val="30"/>
          <w:highlight w:val="none"/>
          <w:lang w:val="en-US" w:eastAsia="zh-CN"/>
        </w:rPr>
      </w:pPr>
    </w:p>
    <w:p w14:paraId="691ECD72">
      <w:pPr>
        <w:pStyle w:val="7"/>
        <w:rPr>
          <w:rFonts w:hint="eastAsia" w:ascii="宋体" w:hAnsi="宋体" w:eastAsia="宋体" w:cs="宋体"/>
          <w:b/>
          <w:bCs/>
          <w:color w:val="auto"/>
          <w:sz w:val="30"/>
          <w:szCs w:val="30"/>
          <w:highlight w:val="none"/>
          <w:lang w:val="en-US" w:eastAsia="zh-CN"/>
        </w:rPr>
      </w:pPr>
    </w:p>
    <w:p w14:paraId="4FBA74C3">
      <w:pPr>
        <w:rPr>
          <w:rFonts w:hint="eastAsia" w:ascii="宋体" w:hAnsi="宋体" w:eastAsia="宋体" w:cs="宋体"/>
          <w:b/>
          <w:bCs/>
          <w:color w:val="auto"/>
          <w:sz w:val="30"/>
          <w:szCs w:val="30"/>
          <w:highlight w:val="none"/>
          <w:lang w:val="en-US" w:eastAsia="zh-CN"/>
        </w:rPr>
      </w:pPr>
    </w:p>
    <w:p w14:paraId="782C26C0">
      <w:pPr>
        <w:pStyle w:val="7"/>
        <w:rPr>
          <w:rFonts w:hint="eastAsia" w:ascii="宋体" w:hAnsi="宋体" w:eastAsia="宋体" w:cs="宋体"/>
          <w:b/>
          <w:bCs/>
          <w:color w:val="auto"/>
          <w:sz w:val="30"/>
          <w:szCs w:val="30"/>
          <w:highlight w:val="none"/>
          <w:lang w:val="en-US" w:eastAsia="zh-CN"/>
        </w:rPr>
      </w:pPr>
    </w:p>
    <w:p w14:paraId="11F68B94">
      <w:pPr>
        <w:rPr>
          <w:rFonts w:hint="eastAsia" w:ascii="宋体" w:hAnsi="宋体" w:eastAsia="宋体" w:cs="宋体"/>
          <w:b/>
          <w:bCs/>
          <w:color w:val="auto"/>
          <w:sz w:val="30"/>
          <w:szCs w:val="30"/>
          <w:highlight w:val="none"/>
          <w:lang w:val="en-US" w:eastAsia="zh-CN"/>
        </w:rPr>
      </w:pPr>
    </w:p>
    <w:p w14:paraId="321018A7">
      <w:pPr>
        <w:pStyle w:val="7"/>
        <w:rPr>
          <w:rFonts w:hint="eastAsia" w:ascii="宋体" w:hAnsi="宋体" w:eastAsia="宋体" w:cs="宋体"/>
          <w:b/>
          <w:bCs/>
          <w:color w:val="auto"/>
          <w:sz w:val="30"/>
          <w:szCs w:val="30"/>
          <w:highlight w:val="none"/>
          <w:lang w:val="en-US" w:eastAsia="zh-CN"/>
        </w:rPr>
      </w:pPr>
    </w:p>
    <w:p w14:paraId="32E71BA7">
      <w:pPr>
        <w:rPr>
          <w:rFonts w:hint="eastAsia" w:ascii="宋体" w:hAnsi="宋体" w:eastAsia="宋体" w:cs="宋体"/>
          <w:b/>
          <w:bCs/>
          <w:color w:val="auto"/>
          <w:sz w:val="30"/>
          <w:szCs w:val="30"/>
          <w:highlight w:val="none"/>
          <w:lang w:val="en-US" w:eastAsia="zh-CN"/>
        </w:rPr>
      </w:pPr>
    </w:p>
    <w:p w14:paraId="0B291027">
      <w:pPr>
        <w:pStyle w:val="7"/>
        <w:rPr>
          <w:rFonts w:hint="eastAsia" w:ascii="宋体" w:hAnsi="宋体" w:eastAsia="宋体" w:cs="宋体"/>
          <w:b/>
          <w:bCs/>
          <w:color w:val="auto"/>
          <w:sz w:val="30"/>
          <w:szCs w:val="30"/>
          <w:highlight w:val="none"/>
          <w:lang w:val="en-US" w:eastAsia="zh-CN"/>
        </w:rPr>
      </w:pPr>
    </w:p>
    <w:p w14:paraId="4E1FC3DB">
      <w:pPr>
        <w:rPr>
          <w:rFonts w:hint="eastAsia" w:ascii="宋体" w:hAnsi="宋体" w:eastAsia="宋体" w:cs="宋体"/>
          <w:b/>
          <w:bCs/>
          <w:color w:val="auto"/>
          <w:sz w:val="30"/>
          <w:szCs w:val="30"/>
          <w:highlight w:val="none"/>
          <w:lang w:val="en-US" w:eastAsia="zh-CN"/>
        </w:rPr>
      </w:pPr>
    </w:p>
    <w:p w14:paraId="0B366FAC">
      <w:pPr>
        <w:pStyle w:val="7"/>
        <w:rPr>
          <w:rFonts w:hint="eastAsia" w:ascii="宋体" w:hAnsi="宋体" w:eastAsia="宋体" w:cs="宋体"/>
          <w:b/>
          <w:bCs/>
          <w:color w:val="auto"/>
          <w:sz w:val="30"/>
          <w:szCs w:val="30"/>
          <w:highlight w:val="none"/>
          <w:lang w:val="en-US" w:eastAsia="zh-CN"/>
        </w:rPr>
      </w:pPr>
    </w:p>
    <w:p w14:paraId="2C0087F7">
      <w:pPr>
        <w:rPr>
          <w:rFonts w:hint="eastAsia" w:ascii="宋体" w:hAnsi="宋体" w:eastAsia="宋体" w:cs="宋体"/>
          <w:b/>
          <w:bCs/>
          <w:color w:val="auto"/>
          <w:sz w:val="30"/>
          <w:szCs w:val="30"/>
          <w:highlight w:val="none"/>
          <w:lang w:val="en-US" w:eastAsia="zh-CN"/>
        </w:rPr>
      </w:pPr>
    </w:p>
    <w:p w14:paraId="2CC40B3D">
      <w:pPr>
        <w:pStyle w:val="7"/>
        <w:rPr>
          <w:rFonts w:hint="eastAsia" w:ascii="宋体" w:hAnsi="宋体" w:eastAsia="宋体" w:cs="宋体"/>
          <w:b/>
          <w:bCs/>
          <w:color w:val="auto"/>
          <w:sz w:val="30"/>
          <w:szCs w:val="30"/>
          <w:highlight w:val="none"/>
          <w:lang w:val="en-US" w:eastAsia="zh-CN"/>
        </w:rPr>
      </w:pPr>
    </w:p>
    <w:p w14:paraId="3216CB3E">
      <w:pPr>
        <w:rPr>
          <w:rFonts w:hint="eastAsia" w:ascii="宋体" w:hAnsi="宋体" w:eastAsia="宋体" w:cs="宋体"/>
          <w:b/>
          <w:bCs/>
          <w:color w:val="auto"/>
          <w:sz w:val="30"/>
          <w:szCs w:val="30"/>
          <w:highlight w:val="none"/>
          <w:lang w:val="en-US" w:eastAsia="zh-CN"/>
        </w:rPr>
      </w:pPr>
    </w:p>
    <w:p w14:paraId="4758C868">
      <w:pPr>
        <w:pStyle w:val="7"/>
        <w:rPr>
          <w:rFonts w:hint="eastAsia" w:ascii="宋体" w:hAnsi="宋体" w:eastAsia="宋体" w:cs="宋体"/>
          <w:b/>
          <w:bCs/>
          <w:color w:val="auto"/>
          <w:sz w:val="30"/>
          <w:szCs w:val="30"/>
          <w:highlight w:val="none"/>
          <w:lang w:val="en-US" w:eastAsia="zh-CN"/>
        </w:rPr>
      </w:pPr>
    </w:p>
    <w:p w14:paraId="70DDED9D">
      <w:pPr>
        <w:rPr>
          <w:rFonts w:hint="eastAsia" w:ascii="宋体" w:hAnsi="宋体" w:eastAsia="宋体" w:cs="宋体"/>
          <w:b/>
          <w:bCs/>
          <w:color w:val="auto"/>
          <w:sz w:val="30"/>
          <w:szCs w:val="30"/>
          <w:highlight w:val="none"/>
          <w:lang w:val="en-US" w:eastAsia="zh-CN"/>
        </w:rPr>
      </w:pPr>
    </w:p>
    <w:p w14:paraId="14624DC3">
      <w:pPr>
        <w:pStyle w:val="7"/>
        <w:rPr>
          <w:rFonts w:hint="eastAsia" w:ascii="宋体" w:hAnsi="宋体" w:eastAsia="宋体" w:cs="宋体"/>
          <w:b/>
          <w:bCs/>
          <w:color w:val="auto"/>
          <w:sz w:val="30"/>
          <w:szCs w:val="30"/>
          <w:highlight w:val="none"/>
          <w:lang w:val="en-US" w:eastAsia="zh-CN"/>
        </w:rPr>
      </w:pPr>
    </w:p>
    <w:p w14:paraId="6F275E07">
      <w:pPr>
        <w:rPr>
          <w:rFonts w:hint="eastAsia" w:ascii="宋体" w:hAnsi="宋体" w:eastAsia="宋体" w:cs="宋体"/>
          <w:b/>
          <w:bCs/>
          <w:color w:val="auto"/>
          <w:sz w:val="30"/>
          <w:szCs w:val="30"/>
          <w:highlight w:val="none"/>
          <w:lang w:val="en-US" w:eastAsia="zh-CN"/>
        </w:rPr>
      </w:pPr>
    </w:p>
    <w:p w14:paraId="15899241">
      <w:pPr>
        <w:pStyle w:val="7"/>
        <w:rPr>
          <w:rFonts w:hint="eastAsia" w:ascii="宋体" w:hAnsi="宋体" w:eastAsia="宋体" w:cs="宋体"/>
          <w:b/>
          <w:bCs/>
          <w:color w:val="auto"/>
          <w:sz w:val="30"/>
          <w:szCs w:val="30"/>
          <w:highlight w:val="none"/>
          <w:lang w:val="en-US" w:eastAsia="zh-CN"/>
        </w:rPr>
      </w:pPr>
    </w:p>
    <w:p w14:paraId="7E61215D">
      <w:pPr>
        <w:rPr>
          <w:rFonts w:hint="eastAsia"/>
          <w:color w:val="auto"/>
          <w:highlight w:val="none"/>
          <w:lang w:val="en-US" w:eastAsia="zh-CN"/>
        </w:rPr>
      </w:pPr>
    </w:p>
    <w:p w14:paraId="5554E9B4">
      <w:pPr>
        <w:rPr>
          <w:rFonts w:hint="eastAsia" w:ascii="宋体" w:hAnsi="宋体" w:eastAsia="宋体" w:cs="宋体"/>
          <w:b/>
          <w:bCs/>
          <w:color w:val="auto"/>
          <w:sz w:val="30"/>
          <w:szCs w:val="30"/>
          <w:highlight w:val="none"/>
          <w:lang w:val="en-US" w:eastAsia="zh-CN"/>
        </w:rPr>
      </w:pPr>
    </w:p>
    <w:p w14:paraId="388F7CCD">
      <w:pPr>
        <w:pStyle w:val="7"/>
        <w:rPr>
          <w:rFonts w:hint="eastAsia" w:ascii="宋体" w:hAnsi="宋体" w:eastAsia="宋体" w:cs="宋体"/>
          <w:b/>
          <w:bCs/>
          <w:color w:val="auto"/>
          <w:sz w:val="30"/>
          <w:szCs w:val="30"/>
          <w:highlight w:val="none"/>
          <w:lang w:val="en-US" w:eastAsia="zh-CN"/>
        </w:rPr>
      </w:pPr>
    </w:p>
    <w:p w14:paraId="21AB4A90">
      <w:pPr>
        <w:rPr>
          <w:rFonts w:hint="eastAsia"/>
          <w:color w:val="auto"/>
          <w:highlight w:val="none"/>
          <w:lang w:val="en-US" w:eastAsia="zh-CN"/>
        </w:rPr>
      </w:pPr>
    </w:p>
    <w:p w14:paraId="296A78EB">
      <w:pPr>
        <w:pStyle w:val="7"/>
        <w:rPr>
          <w:rFonts w:hint="eastAsia"/>
          <w:color w:val="auto"/>
          <w:highlight w:val="none"/>
          <w:lang w:val="en-US" w:eastAsia="zh-CN"/>
        </w:rPr>
      </w:pPr>
    </w:p>
    <w:p w14:paraId="7DAD04B0">
      <w:pPr>
        <w:keepNext w:val="0"/>
        <w:keepLines w:val="0"/>
        <w:pageBreakBefore w:val="0"/>
        <w:widowControl w:val="0"/>
        <w:kinsoku/>
        <w:wordWrap/>
        <w:overflowPunct/>
        <w:topLinePunct w:val="0"/>
        <w:autoSpaceDE w:val="0"/>
        <w:autoSpaceDN w:val="0"/>
        <w:bidi w:val="0"/>
        <w:adjustRightInd/>
        <w:snapToGrid/>
        <w:spacing w:line="440" w:lineRule="exact"/>
        <w:ind w:firstLine="1205" w:firstLineChars="400"/>
        <w:jc w:val="both"/>
        <w:textAlignment w:val="auto"/>
        <w:rPr>
          <w:rFonts w:hint="eastAsia" w:ascii="宋体" w:hAnsi="宋体" w:eastAsia="宋体" w:cs="宋体"/>
          <w:b/>
          <w:bCs/>
          <w:color w:val="auto"/>
          <w:sz w:val="30"/>
          <w:szCs w:val="30"/>
          <w:highlight w:val="none"/>
        </w:rPr>
      </w:pPr>
      <w:r>
        <w:rPr>
          <w:rFonts w:hint="eastAsia" w:cs="宋体"/>
          <w:b/>
          <w:bCs/>
          <w:color w:val="auto"/>
          <w:sz w:val="30"/>
          <w:szCs w:val="30"/>
          <w:highlight w:val="none"/>
          <w:lang w:val="en-US" w:eastAsia="zh-CN"/>
        </w:rPr>
        <w:t xml:space="preserve">2.7  </w:t>
      </w:r>
      <w:r>
        <w:rPr>
          <w:rFonts w:hint="eastAsia" w:ascii="宋体" w:hAnsi="宋体" w:eastAsia="宋体" w:cs="宋体"/>
          <w:b/>
          <w:bCs/>
          <w:color w:val="auto"/>
          <w:sz w:val="30"/>
          <w:szCs w:val="30"/>
          <w:highlight w:val="none"/>
        </w:rPr>
        <w:t>中小企业声明函</w:t>
      </w:r>
      <w:r>
        <w:rPr>
          <w:rFonts w:hint="eastAsia" w:cs="宋体"/>
          <w:b/>
          <w:bCs/>
          <w:color w:val="auto"/>
          <w:sz w:val="30"/>
          <w:szCs w:val="30"/>
          <w:highlight w:val="none"/>
          <w:lang w:eastAsia="zh-CN"/>
        </w:rPr>
        <w:t>（</w:t>
      </w:r>
      <w:r>
        <w:rPr>
          <w:rFonts w:hint="eastAsia" w:cs="宋体"/>
          <w:b/>
          <w:bCs/>
          <w:color w:val="auto"/>
          <w:sz w:val="30"/>
          <w:szCs w:val="30"/>
          <w:highlight w:val="none"/>
          <w:lang w:val="en-US" w:eastAsia="zh-CN"/>
        </w:rPr>
        <w:t>实质性条款必须提供</w:t>
      </w:r>
      <w:r>
        <w:rPr>
          <w:rFonts w:hint="eastAsia" w:cs="宋体"/>
          <w:b/>
          <w:bCs/>
          <w:color w:val="auto"/>
          <w:sz w:val="30"/>
          <w:szCs w:val="30"/>
          <w:highlight w:val="none"/>
          <w:lang w:eastAsia="zh-CN"/>
        </w:rPr>
        <w:t>）</w:t>
      </w:r>
      <w:r>
        <w:rPr>
          <w:rFonts w:hint="eastAsia" w:ascii="宋体" w:hAnsi="宋体" w:eastAsia="宋体" w:cs="宋体"/>
          <w:b/>
          <w:bCs/>
          <w:color w:val="auto"/>
          <w:sz w:val="30"/>
          <w:szCs w:val="30"/>
          <w:highlight w:val="none"/>
        </w:rPr>
        <w:t xml:space="preserve"> </w:t>
      </w:r>
    </w:p>
    <w:p w14:paraId="37B357F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7B67323">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本公司（联合体）郑重声明，根据《政府采购促进中小企业发展管理办法》（财库〔2020〕46号）的规定，</w:t>
      </w:r>
      <w:r>
        <w:rPr>
          <w:rFonts w:hint="eastAsia" w:ascii="宋体" w:hAnsi="宋体" w:eastAsia="宋体" w:cs="宋体"/>
          <w:color w:val="auto"/>
          <w:spacing w:val="6"/>
          <w:kern w:val="0"/>
          <w:sz w:val="24"/>
          <w:szCs w:val="24"/>
          <w:highlight w:val="none"/>
          <w:u w:val="single"/>
          <w:lang w:val="zh-CN" w:eastAsia="zh-CN" w:bidi="zh-CN"/>
        </w:rPr>
        <w:t>本公司（联合体）参加（单位名称）的（项目名称）采购活动，工程的施工单位全部为符合政策要求的中小企业（或者：服务全部由符合政策要求的中小企业承接）。相关企业（含联合体中的中小企业、签订分包意向协议的中小企业）</w:t>
      </w:r>
      <w:r>
        <w:rPr>
          <w:rFonts w:hint="eastAsia" w:ascii="宋体" w:hAnsi="宋体" w:eastAsia="宋体" w:cs="宋体"/>
          <w:color w:val="auto"/>
          <w:spacing w:val="6"/>
          <w:kern w:val="0"/>
          <w:sz w:val="24"/>
          <w:szCs w:val="24"/>
          <w:highlight w:val="none"/>
          <w:lang w:val="zh-CN" w:eastAsia="zh-CN" w:bidi="zh-CN"/>
        </w:rPr>
        <w:t>的具体情况如下：</w:t>
      </w:r>
    </w:p>
    <w:p w14:paraId="28708939">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u w:val="single"/>
          <w:lang w:val="zh-CN" w:eastAsia="zh-CN" w:bidi="zh-CN"/>
        </w:rPr>
      </w:pPr>
      <w:r>
        <w:rPr>
          <w:rFonts w:hint="eastAsia" w:ascii="宋体" w:hAnsi="宋体" w:eastAsia="宋体" w:cs="宋体"/>
          <w:color w:val="auto"/>
          <w:spacing w:val="6"/>
          <w:kern w:val="0"/>
          <w:sz w:val="24"/>
          <w:szCs w:val="24"/>
          <w:highlight w:val="none"/>
          <w:lang w:val="zh-CN" w:eastAsia="zh-CN" w:bidi="zh-CN"/>
        </w:rPr>
        <w:t>1.</w:t>
      </w:r>
      <w:r>
        <w:rPr>
          <w:rFonts w:hint="eastAsia" w:ascii="宋体" w:hAnsi="宋体" w:eastAsia="宋体" w:cs="宋体"/>
          <w:color w:val="auto"/>
          <w:spacing w:val="6"/>
          <w:kern w:val="0"/>
          <w:sz w:val="24"/>
          <w:szCs w:val="24"/>
          <w:highlight w:val="none"/>
          <w:u w:val="single"/>
          <w:lang w:val="zh-CN" w:eastAsia="zh-CN" w:bidi="zh-CN"/>
        </w:rPr>
        <w:t>（标的名称），属于（采购文件中明确的所属行业）；承建（承接）企业为（企业名称），从业人员  人，营业收入为  万元，资产总额为  万元，属于（中型企业、小型企业、微型企业）；</w:t>
      </w:r>
    </w:p>
    <w:p w14:paraId="0B3C2350">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u w:val="single"/>
          <w:lang w:val="zh-CN" w:eastAsia="zh-CN" w:bidi="zh-CN"/>
        </w:rPr>
      </w:pPr>
      <w:r>
        <w:rPr>
          <w:rFonts w:hint="eastAsia" w:ascii="宋体" w:hAnsi="宋体" w:eastAsia="宋体" w:cs="宋体"/>
          <w:color w:val="auto"/>
          <w:spacing w:val="6"/>
          <w:kern w:val="0"/>
          <w:sz w:val="24"/>
          <w:szCs w:val="24"/>
          <w:highlight w:val="none"/>
          <w:lang w:val="zh-CN" w:eastAsia="zh-CN" w:bidi="zh-CN"/>
        </w:rPr>
        <w:t>2.</w:t>
      </w:r>
      <w:r>
        <w:rPr>
          <w:rFonts w:hint="eastAsia" w:ascii="宋体" w:hAnsi="宋体" w:eastAsia="宋体" w:cs="宋体"/>
          <w:color w:val="auto"/>
          <w:spacing w:val="6"/>
          <w:kern w:val="0"/>
          <w:sz w:val="24"/>
          <w:szCs w:val="24"/>
          <w:highlight w:val="none"/>
          <w:u w:val="single"/>
          <w:lang w:val="zh-CN" w:eastAsia="zh-CN" w:bidi="zh-CN"/>
        </w:rPr>
        <w:t>（标的名称），属于（采购文件中明确的所属行业）；承建（承接）企业为（企业名称），从业人员  人，营业收入为  万元，资产总额为  万元，属于（中型企业、小型企业、微型企业）；</w:t>
      </w:r>
    </w:p>
    <w:p w14:paraId="6BCC00EE">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w:t>
      </w:r>
    </w:p>
    <w:p w14:paraId="511419BD">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以上企业，不属于大企业的分支机构，不存在控股股东为大企业的情形，也不存在与大企业的负责人为同一人的情形。</w:t>
      </w:r>
    </w:p>
    <w:p w14:paraId="5A2B4256">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本企业对上述声明内容的真实性负责。如有虚假，将依法承担相应责任。</w:t>
      </w:r>
    </w:p>
    <w:p w14:paraId="6BBDAFAE">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 </w:t>
      </w:r>
    </w:p>
    <w:p w14:paraId="1F9078AC">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                      企业名称（盖章）：</w:t>
      </w:r>
    </w:p>
    <w:p w14:paraId="7FB184F5">
      <w:pPr>
        <w:pStyle w:val="17"/>
        <w:keepNext w:val="0"/>
        <w:keepLines w:val="0"/>
        <w:widowControl/>
        <w:suppressLineNumbers w:val="0"/>
        <w:spacing w:before="75" w:beforeAutospacing="0" w:after="75" w:afterAutospacing="0" w:line="555" w:lineRule="atLeast"/>
        <w:ind w:left="0" w:right="0" w:firstLine="645"/>
        <w:rPr>
          <w:rFonts w:hint="eastAsia" w:ascii="宋体" w:hAnsi="宋体" w:eastAsia="宋体" w:cs="宋体"/>
          <w:color w:val="auto"/>
          <w:spacing w:val="6"/>
          <w:kern w:val="0"/>
          <w:sz w:val="24"/>
          <w:szCs w:val="24"/>
          <w:highlight w:val="none"/>
          <w:lang w:val="zh-CN" w:eastAsia="zh-CN" w:bidi="zh-CN"/>
        </w:rPr>
      </w:pPr>
      <w:r>
        <w:rPr>
          <w:rFonts w:hint="eastAsia" w:ascii="宋体" w:hAnsi="宋体" w:eastAsia="宋体" w:cs="宋体"/>
          <w:color w:val="auto"/>
          <w:spacing w:val="6"/>
          <w:kern w:val="0"/>
          <w:sz w:val="24"/>
          <w:szCs w:val="24"/>
          <w:highlight w:val="none"/>
          <w:lang w:val="zh-CN" w:eastAsia="zh-CN" w:bidi="zh-CN"/>
        </w:rPr>
        <w:t>                      日期：</w:t>
      </w:r>
    </w:p>
    <w:p w14:paraId="52DB5DB7">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b/>
          <w:bCs/>
          <w:color w:val="auto"/>
          <w:sz w:val="18"/>
          <w:highlight w:val="none"/>
        </w:rPr>
      </w:pPr>
      <w:r>
        <w:rPr>
          <w:rFonts w:hint="eastAsia" w:ascii="宋体" w:hAnsi="宋体"/>
          <w:b/>
          <w:bCs/>
          <w:color w:val="auto"/>
          <w:sz w:val="18"/>
          <w:highlight w:val="none"/>
          <w:lang w:val="en-US" w:eastAsia="zh-CN"/>
        </w:rPr>
        <w:t>备注：1、</w:t>
      </w:r>
      <w:r>
        <w:rPr>
          <w:rFonts w:hint="eastAsia" w:ascii="宋体" w:hAnsi="宋体" w:eastAsia="宋体"/>
          <w:b/>
          <w:bCs/>
          <w:color w:val="auto"/>
          <w:sz w:val="18"/>
          <w:highlight w:val="none"/>
        </w:rPr>
        <w:t>从业人员、营业收入、资产总额填报上一年度数据，无上一年度数据的新成立企业</w:t>
      </w:r>
      <w:r>
        <w:rPr>
          <w:rFonts w:hint="eastAsia"/>
          <w:b/>
          <w:bCs/>
          <w:color w:val="auto"/>
          <w:sz w:val="18"/>
          <w:highlight w:val="none"/>
          <w:lang w:val="en-US" w:eastAsia="zh-CN"/>
        </w:rPr>
        <w:t>按照现状</w:t>
      </w:r>
      <w:r>
        <w:rPr>
          <w:rFonts w:hint="eastAsia" w:ascii="宋体" w:hAnsi="宋体" w:eastAsia="宋体"/>
          <w:b/>
          <w:bCs/>
          <w:color w:val="auto"/>
          <w:sz w:val="18"/>
          <w:highlight w:val="none"/>
        </w:rPr>
        <w:t>填报。</w:t>
      </w:r>
    </w:p>
    <w:p w14:paraId="57402E77">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300" w:right="0" w:rightChars="0"/>
        <w:jc w:val="both"/>
        <w:textAlignment w:val="auto"/>
        <w:rPr>
          <w:rFonts w:hint="eastAsia" w:ascii="宋体" w:hAnsi="宋体" w:eastAsia="宋体" w:cs="宋体"/>
          <w:b/>
          <w:bCs/>
          <w:color w:val="auto"/>
          <w:sz w:val="30"/>
          <w:szCs w:val="30"/>
          <w:highlight w:val="none"/>
          <w:lang w:val="en-US" w:eastAsia="zh-CN"/>
        </w:rPr>
      </w:pPr>
      <w:r>
        <w:rPr>
          <w:rFonts w:hint="eastAsia"/>
          <w:b/>
          <w:bCs/>
          <w:color w:val="auto"/>
          <w:sz w:val="18"/>
          <w:szCs w:val="22"/>
          <w:highlight w:val="none"/>
          <w:lang w:val="en-US" w:eastAsia="zh-CN"/>
        </w:rPr>
        <w:t>2、</w:t>
      </w:r>
      <w:r>
        <w:rPr>
          <w:rFonts w:hint="eastAsia" w:ascii="宋体" w:hAnsi="宋体" w:eastAsia="宋体"/>
          <w:b/>
          <w:bCs/>
          <w:color w:val="auto"/>
          <w:sz w:val="18"/>
          <w:szCs w:val="22"/>
          <w:highlight w:val="none"/>
          <w:lang w:val="en-US" w:eastAsia="zh-CN"/>
        </w:rPr>
        <w:t>投标人为中小企业时需提供本声明函，并完整填写从业人员、营业收入、资产总额等内容，否则评审时不能享受相应的价格扣除。</w:t>
      </w:r>
    </w:p>
    <w:p w14:paraId="0AA55F56">
      <w:pPr>
        <w:pStyle w:val="19"/>
        <w:rPr>
          <w:rFonts w:hint="eastAsia"/>
          <w:lang w:val="en-US" w:eastAsia="zh-CN"/>
        </w:rPr>
      </w:pPr>
    </w:p>
    <w:p w14:paraId="05AF2671">
      <w:pPr>
        <w:spacing w:line="360" w:lineRule="auto"/>
        <w:jc w:val="center"/>
        <w:rPr>
          <w:rFonts w:ascii="仿宋_GB2312" w:hAnsi="仿宋_GB2312" w:eastAsia="仿宋_GB2312"/>
          <w:b/>
          <w:bCs/>
          <w:color w:val="auto"/>
          <w:sz w:val="32"/>
          <w:szCs w:val="32"/>
          <w:highlight w:val="none"/>
        </w:rPr>
      </w:pPr>
      <w:r>
        <w:rPr>
          <w:rFonts w:hint="eastAsia" w:ascii="仿宋_GB2312" w:hAnsi="仿宋_GB2312" w:eastAsia="仿宋_GB2312" w:cs="仿宋"/>
          <w:b/>
          <w:bCs/>
          <w:color w:val="auto"/>
          <w:sz w:val="32"/>
          <w:szCs w:val="32"/>
          <w:highlight w:val="none"/>
          <w:lang w:val="en-US" w:eastAsia="zh-CN"/>
        </w:rPr>
        <w:t xml:space="preserve">2.8 </w:t>
      </w:r>
      <w:r>
        <w:rPr>
          <w:rFonts w:hint="eastAsia" w:ascii="宋体" w:hAnsi="宋体" w:eastAsia="宋体" w:cs="宋体"/>
          <w:b/>
          <w:bCs/>
          <w:color w:val="auto"/>
          <w:sz w:val="30"/>
          <w:szCs w:val="30"/>
          <w:highlight w:val="none"/>
        </w:rPr>
        <w:t>残疾人福利性单位声明函</w:t>
      </w:r>
      <w:r>
        <w:rPr>
          <w:rFonts w:hint="eastAsia" w:cs="宋体"/>
          <w:b/>
          <w:bCs/>
          <w:color w:val="auto"/>
          <w:sz w:val="30"/>
          <w:szCs w:val="30"/>
          <w:highlight w:val="none"/>
          <w:lang w:eastAsia="zh-CN"/>
        </w:rPr>
        <w:t>（</w:t>
      </w:r>
      <w:r>
        <w:rPr>
          <w:rFonts w:hint="eastAsia" w:cs="宋体"/>
          <w:b/>
          <w:bCs/>
          <w:color w:val="auto"/>
          <w:sz w:val="30"/>
          <w:szCs w:val="30"/>
          <w:highlight w:val="none"/>
          <w:lang w:val="en-US" w:eastAsia="zh-CN"/>
        </w:rPr>
        <w:t>可选</w:t>
      </w:r>
      <w:r>
        <w:rPr>
          <w:rFonts w:hint="eastAsia" w:cs="宋体"/>
          <w:b/>
          <w:bCs/>
          <w:color w:val="auto"/>
          <w:sz w:val="30"/>
          <w:szCs w:val="30"/>
          <w:highlight w:val="none"/>
          <w:lang w:eastAsia="zh-CN"/>
        </w:rPr>
        <w:t>）</w:t>
      </w:r>
    </w:p>
    <w:p w14:paraId="0F054179">
      <w:pPr>
        <w:spacing w:line="360" w:lineRule="auto"/>
        <w:rPr>
          <w:rFonts w:ascii="仿宋_GB2312" w:hAnsi="仿宋_GB2312" w:eastAsia="仿宋_GB2312"/>
          <w:b/>
          <w:bCs/>
          <w:color w:val="auto"/>
          <w:spacing w:val="6"/>
          <w:highlight w:val="none"/>
        </w:rPr>
      </w:pPr>
    </w:p>
    <w:p w14:paraId="0240EB80">
      <w:pPr>
        <w:spacing w:line="360" w:lineRule="auto"/>
        <w:ind w:firstLine="504" w:firstLineChars="200"/>
        <w:jc w:val="both"/>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本单位郑重声明，根据《财政部民政部中国残疾人联合会关于促进残疾人就业政府采购政策的通知》（财库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6"/>
          <w:sz w:val="24"/>
          <w:szCs w:val="24"/>
          <w:highlight w:val="none"/>
        </w:rPr>
        <w:t>号）的规定，本单位为符合条件的残疾人福利性单位，且本单位参加</w:t>
      </w:r>
      <w:r>
        <w:rPr>
          <w:rFonts w:hint="eastAsia" w:ascii="宋体" w:hAnsi="宋体" w:eastAsia="宋体" w:cs="宋体"/>
          <w:color w:val="auto"/>
          <w:sz w:val="24"/>
          <w:szCs w:val="24"/>
          <w:highlight w:val="none"/>
          <w:u w:val="single"/>
        </w:rPr>
        <w:t>XXXX</w:t>
      </w:r>
      <w:r>
        <w:rPr>
          <w:rFonts w:hint="eastAsia" w:ascii="宋体" w:hAnsi="宋体" w:eastAsia="宋体" w:cs="宋体"/>
          <w:color w:val="auto"/>
          <w:spacing w:val="6"/>
          <w:sz w:val="24"/>
          <w:szCs w:val="24"/>
          <w:highlight w:val="none"/>
        </w:rPr>
        <w:t>单位的</w:t>
      </w:r>
      <w:r>
        <w:rPr>
          <w:rFonts w:hint="eastAsia" w:ascii="宋体" w:hAnsi="宋体" w:eastAsia="宋体" w:cs="宋体"/>
          <w:color w:val="auto"/>
          <w:sz w:val="24"/>
          <w:szCs w:val="24"/>
          <w:highlight w:val="none"/>
          <w:u w:val="single"/>
        </w:rPr>
        <w:t>XXXX</w:t>
      </w:r>
      <w:r>
        <w:rPr>
          <w:rFonts w:hint="eastAsia" w:ascii="宋体" w:hAnsi="宋体" w:eastAsia="宋体" w:cs="宋体"/>
          <w:color w:val="auto"/>
          <w:spacing w:val="6"/>
          <w:sz w:val="24"/>
          <w:szCs w:val="24"/>
          <w:highlight w:val="none"/>
        </w:rPr>
        <w:t>项目采购活动由本单位承担工程。</w:t>
      </w:r>
    </w:p>
    <w:p w14:paraId="66CD8D9B">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2E9CECB7">
      <w:pPr>
        <w:spacing w:line="360" w:lineRule="auto"/>
        <w:rPr>
          <w:rFonts w:hint="eastAsia" w:ascii="宋体" w:hAnsi="宋体" w:eastAsia="宋体" w:cs="宋体"/>
          <w:color w:val="auto"/>
          <w:spacing w:val="6"/>
          <w:sz w:val="24"/>
          <w:szCs w:val="24"/>
          <w:highlight w:val="none"/>
        </w:rPr>
      </w:pPr>
    </w:p>
    <w:p w14:paraId="78527BF0">
      <w:pPr>
        <w:spacing w:line="360" w:lineRule="auto"/>
        <w:rPr>
          <w:rFonts w:hint="eastAsia" w:ascii="宋体" w:hAnsi="宋体" w:eastAsia="宋体" w:cs="宋体"/>
          <w:color w:val="auto"/>
          <w:spacing w:val="6"/>
          <w:sz w:val="24"/>
          <w:szCs w:val="24"/>
          <w:highlight w:val="none"/>
        </w:rPr>
      </w:pPr>
    </w:p>
    <w:p w14:paraId="7794D18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供应商名称：XXXX（加盖公章）</w:t>
      </w:r>
    </w:p>
    <w:p w14:paraId="6B1D0659">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日期：XXX年XXX月XXX日</w:t>
      </w:r>
    </w:p>
    <w:p w14:paraId="2AB9522D">
      <w:pPr>
        <w:spacing w:line="360" w:lineRule="auto"/>
        <w:ind w:firstLine="480" w:firstLineChars="200"/>
        <w:rPr>
          <w:rFonts w:hint="eastAsia" w:ascii="宋体" w:hAnsi="宋体" w:eastAsia="宋体" w:cs="宋体"/>
          <w:color w:val="auto"/>
          <w:sz w:val="24"/>
          <w:szCs w:val="24"/>
          <w:highlight w:val="none"/>
        </w:rPr>
      </w:pPr>
    </w:p>
    <w:p w14:paraId="00981AB0">
      <w:pPr>
        <w:spacing w:line="360" w:lineRule="auto"/>
        <w:rPr>
          <w:rFonts w:hint="eastAsia" w:ascii="宋体" w:hAnsi="宋体" w:eastAsia="宋体" w:cs="宋体"/>
          <w:color w:val="auto"/>
          <w:sz w:val="24"/>
          <w:szCs w:val="24"/>
          <w:highlight w:val="none"/>
        </w:rPr>
      </w:pPr>
    </w:p>
    <w:p w14:paraId="4F8F6F32">
      <w:pPr>
        <w:spacing w:line="360" w:lineRule="auto"/>
        <w:rPr>
          <w:rFonts w:hint="eastAsia" w:ascii="宋体" w:hAnsi="宋体" w:eastAsia="宋体" w:cs="宋体"/>
          <w:color w:val="auto"/>
          <w:sz w:val="24"/>
          <w:szCs w:val="24"/>
          <w:highlight w:val="none"/>
        </w:rPr>
      </w:pPr>
    </w:p>
    <w:p w14:paraId="3357CA3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245D437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1.残疾人福利性单位视同小型、微型企业，享受预留份额、评审中价格扣除等促进中小企业发展的政府采购政策。残疾人福利性单位属于小型、微型企业的，不重复享受政策。</w:t>
      </w:r>
    </w:p>
    <w:p w14:paraId="73B056D2">
      <w:pPr>
        <w:spacing w:line="360" w:lineRule="auto"/>
        <w:rPr>
          <w:rFonts w:ascii="仿宋_GB2312" w:hAnsi="仿宋_GB2312" w:eastAsia="仿宋_GB2312" w:cs="仿宋"/>
          <w:color w:val="auto"/>
          <w:highlight w:val="none"/>
        </w:rPr>
      </w:pPr>
      <w:r>
        <w:rPr>
          <w:rFonts w:hint="eastAsia" w:ascii="宋体" w:hAnsi="宋体" w:eastAsia="宋体" w:cs="宋体"/>
          <w:color w:val="auto"/>
          <w:sz w:val="24"/>
          <w:szCs w:val="24"/>
          <w:highlight w:val="none"/>
        </w:rPr>
        <w:t>2.供应商为非残疾人福利性单位的，不得提供此声明，提供此声明的，声明无效。</w:t>
      </w:r>
    </w:p>
    <w:p w14:paraId="59C34F07">
      <w:pPr>
        <w:spacing w:line="360" w:lineRule="auto"/>
        <w:ind w:firstLine="431" w:firstLineChars="196"/>
        <w:outlineLvl w:val="1"/>
        <w:rPr>
          <w:rFonts w:ascii="仿宋_GB2312" w:hAnsi="仿宋_GB2312" w:eastAsia="仿宋_GB2312"/>
          <w:color w:val="auto"/>
          <w:highlight w:val="none"/>
        </w:rPr>
      </w:pPr>
    </w:p>
    <w:p w14:paraId="1721C4C8">
      <w:pPr>
        <w:spacing w:line="360" w:lineRule="auto"/>
        <w:rPr>
          <w:rFonts w:ascii="仿宋_GB2312" w:hAnsi="仿宋_GB2312" w:eastAsia="仿宋_GB2312"/>
          <w:b/>
          <w:bCs/>
          <w:color w:val="auto"/>
          <w:sz w:val="28"/>
          <w:szCs w:val="28"/>
          <w:highlight w:val="none"/>
        </w:rPr>
        <w:sectPr>
          <w:headerReference r:id="rId20" w:type="default"/>
          <w:footerReference r:id="rId21" w:type="default"/>
          <w:footerReference r:id="rId22" w:type="even"/>
          <w:pgSz w:w="11907" w:h="16840"/>
          <w:pgMar w:top="1440" w:right="1797" w:bottom="1440" w:left="1797" w:header="851" w:footer="992" w:gutter="0"/>
          <w:pgNumType w:fmt="decimal"/>
          <w:cols w:space="720" w:num="1"/>
          <w:docGrid w:linePitch="312" w:charSpace="0"/>
        </w:sectPr>
      </w:pPr>
    </w:p>
    <w:p w14:paraId="688A7840">
      <w:pPr>
        <w:spacing w:line="360" w:lineRule="auto"/>
        <w:jc w:val="center"/>
        <w:rPr>
          <w:rFonts w:hint="eastAsia" w:ascii="宋体" w:hAnsi="宋体" w:eastAsia="宋体" w:cs="宋体"/>
          <w:b/>
          <w:bCs/>
          <w:color w:val="auto"/>
          <w:sz w:val="30"/>
          <w:szCs w:val="30"/>
          <w:highlight w:val="none"/>
          <w:lang w:eastAsia="zh-CN"/>
        </w:rPr>
      </w:pPr>
      <w:r>
        <w:rPr>
          <w:rFonts w:hint="eastAsia" w:cs="宋体"/>
          <w:b/>
          <w:bCs/>
          <w:color w:val="auto"/>
          <w:sz w:val="30"/>
          <w:szCs w:val="30"/>
          <w:highlight w:val="none"/>
          <w:lang w:val="en-US" w:eastAsia="zh-CN"/>
        </w:rPr>
        <w:t xml:space="preserve">2.9 </w:t>
      </w:r>
      <w:r>
        <w:rPr>
          <w:rFonts w:hint="eastAsia" w:ascii="宋体" w:hAnsi="宋体" w:eastAsia="宋体" w:cs="宋体"/>
          <w:b/>
          <w:bCs/>
          <w:color w:val="auto"/>
          <w:sz w:val="30"/>
          <w:szCs w:val="30"/>
          <w:highlight w:val="none"/>
        </w:rPr>
        <w:t>监狱企业证明</w:t>
      </w:r>
      <w:r>
        <w:rPr>
          <w:rFonts w:hint="eastAsia" w:cs="宋体"/>
          <w:b/>
          <w:bCs/>
          <w:color w:val="auto"/>
          <w:sz w:val="30"/>
          <w:szCs w:val="30"/>
          <w:highlight w:val="none"/>
          <w:lang w:eastAsia="zh-CN"/>
        </w:rPr>
        <w:t>（</w:t>
      </w:r>
      <w:r>
        <w:rPr>
          <w:rFonts w:hint="eastAsia" w:cs="宋体"/>
          <w:b/>
          <w:bCs/>
          <w:color w:val="auto"/>
          <w:sz w:val="30"/>
          <w:szCs w:val="30"/>
          <w:highlight w:val="none"/>
          <w:lang w:val="en-US" w:eastAsia="zh-CN"/>
        </w:rPr>
        <w:t>可选</w:t>
      </w:r>
      <w:r>
        <w:rPr>
          <w:rFonts w:hint="eastAsia" w:cs="宋体"/>
          <w:b/>
          <w:bCs/>
          <w:color w:val="auto"/>
          <w:sz w:val="30"/>
          <w:szCs w:val="30"/>
          <w:highlight w:val="none"/>
          <w:lang w:eastAsia="zh-CN"/>
        </w:rPr>
        <w:t>）</w:t>
      </w:r>
    </w:p>
    <w:p w14:paraId="643542BF">
      <w:pPr>
        <w:spacing w:line="360" w:lineRule="auto"/>
        <w:jc w:val="center"/>
        <w:rPr>
          <w:rFonts w:ascii="仿宋_GB2312" w:hAnsi="仿宋_GB2312" w:eastAsia="仿宋_GB2312" w:cs="仿宋"/>
          <w:b/>
          <w:bCs/>
          <w:color w:val="auto"/>
          <w:sz w:val="32"/>
          <w:szCs w:val="32"/>
          <w:highlight w:val="none"/>
        </w:rPr>
      </w:pPr>
    </w:p>
    <w:p w14:paraId="7B945666">
      <w:pPr>
        <w:spacing w:line="360" w:lineRule="auto"/>
        <w:jc w:val="center"/>
        <w:rPr>
          <w:rFonts w:ascii="仿宋_GB2312" w:hAnsi="仿宋_GB2312" w:eastAsia="仿宋_GB2312" w:cs="仿宋"/>
          <w:b/>
          <w:bCs/>
          <w:color w:val="auto"/>
          <w:sz w:val="32"/>
          <w:szCs w:val="32"/>
          <w:highlight w:val="none"/>
        </w:rPr>
      </w:pPr>
    </w:p>
    <w:p w14:paraId="1EA0080E">
      <w:pPr>
        <w:spacing w:after="16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注：1.监狱企业参加政府采购活动时，应当提供由省级以上监狱管理局、戒毒管理局（含新疆生产建设兵团）出具的属于监狱企业的证明文件，并加盖单位公章。</w:t>
      </w:r>
    </w:p>
    <w:p w14:paraId="2F236B56">
      <w:pPr>
        <w:spacing w:after="16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2.监狱企业视同小型、微型企业，享受预留份额、评审中价格扣除等政府采购促进中小企业发展的政府采购政策。监狱企业属于小型、微型企业的，不重复享受政策。</w:t>
      </w:r>
    </w:p>
    <w:p w14:paraId="438E93A8">
      <w:pPr>
        <w:rPr>
          <w:rFonts w:hint="eastAsia"/>
          <w:color w:val="auto"/>
          <w:highlight w:val="none"/>
          <w:lang w:val="en-US" w:eastAsia="zh-CN"/>
        </w:rPr>
      </w:pPr>
    </w:p>
    <w:p w14:paraId="21822272">
      <w:pPr>
        <w:pStyle w:val="7"/>
        <w:rPr>
          <w:rFonts w:hint="eastAsia"/>
          <w:color w:val="auto"/>
          <w:highlight w:val="none"/>
          <w:lang w:val="en-US" w:eastAsia="zh-CN"/>
        </w:rPr>
      </w:pPr>
    </w:p>
    <w:p w14:paraId="0612CB6B">
      <w:pPr>
        <w:rPr>
          <w:rFonts w:hint="eastAsia"/>
          <w:color w:val="auto"/>
          <w:highlight w:val="none"/>
          <w:lang w:val="en-US" w:eastAsia="zh-CN"/>
        </w:rPr>
      </w:pPr>
    </w:p>
    <w:p w14:paraId="025473FB">
      <w:pPr>
        <w:pStyle w:val="7"/>
        <w:rPr>
          <w:rFonts w:hint="eastAsia"/>
          <w:color w:val="auto"/>
          <w:highlight w:val="none"/>
          <w:lang w:val="en-US" w:eastAsia="zh-CN"/>
        </w:rPr>
      </w:pPr>
    </w:p>
    <w:p w14:paraId="725006F4">
      <w:pPr>
        <w:rPr>
          <w:rFonts w:hint="eastAsia"/>
          <w:color w:val="auto"/>
          <w:highlight w:val="none"/>
          <w:lang w:val="en-US" w:eastAsia="zh-CN"/>
        </w:rPr>
      </w:pPr>
    </w:p>
    <w:p w14:paraId="191F9659">
      <w:pPr>
        <w:pStyle w:val="7"/>
        <w:rPr>
          <w:rFonts w:hint="eastAsia"/>
          <w:color w:val="auto"/>
          <w:highlight w:val="none"/>
          <w:lang w:val="en-US" w:eastAsia="zh-CN"/>
        </w:rPr>
      </w:pPr>
    </w:p>
    <w:p w14:paraId="5D6B46B0">
      <w:pPr>
        <w:rPr>
          <w:rFonts w:hint="eastAsia"/>
          <w:color w:val="auto"/>
          <w:highlight w:val="none"/>
          <w:lang w:val="en-US" w:eastAsia="zh-CN"/>
        </w:rPr>
      </w:pPr>
    </w:p>
    <w:p w14:paraId="5EFA2C72">
      <w:pPr>
        <w:pStyle w:val="7"/>
        <w:rPr>
          <w:rFonts w:hint="eastAsia"/>
          <w:color w:val="auto"/>
          <w:highlight w:val="none"/>
          <w:lang w:val="en-US" w:eastAsia="zh-CN"/>
        </w:rPr>
      </w:pPr>
    </w:p>
    <w:p w14:paraId="2EA25CE8">
      <w:pPr>
        <w:rPr>
          <w:rFonts w:hint="eastAsia"/>
          <w:color w:val="auto"/>
          <w:highlight w:val="none"/>
          <w:lang w:val="en-US" w:eastAsia="zh-CN"/>
        </w:rPr>
      </w:pPr>
    </w:p>
    <w:p w14:paraId="4541897D">
      <w:pPr>
        <w:pStyle w:val="7"/>
        <w:rPr>
          <w:rFonts w:hint="eastAsia"/>
          <w:color w:val="auto"/>
          <w:highlight w:val="none"/>
          <w:lang w:val="en-US" w:eastAsia="zh-CN"/>
        </w:rPr>
      </w:pPr>
    </w:p>
    <w:p w14:paraId="04E4F952">
      <w:pPr>
        <w:rPr>
          <w:rFonts w:hint="eastAsia"/>
          <w:color w:val="auto"/>
          <w:highlight w:val="none"/>
          <w:lang w:val="en-US" w:eastAsia="zh-CN"/>
        </w:rPr>
      </w:pPr>
    </w:p>
    <w:p w14:paraId="197C3F34">
      <w:pPr>
        <w:pStyle w:val="7"/>
        <w:rPr>
          <w:rFonts w:hint="eastAsia"/>
          <w:color w:val="auto"/>
          <w:highlight w:val="none"/>
          <w:lang w:val="en-US" w:eastAsia="zh-CN"/>
        </w:rPr>
      </w:pPr>
    </w:p>
    <w:p w14:paraId="79568861">
      <w:pPr>
        <w:rPr>
          <w:rFonts w:hint="eastAsia"/>
          <w:color w:val="auto"/>
          <w:highlight w:val="none"/>
          <w:lang w:val="en-US" w:eastAsia="zh-CN"/>
        </w:rPr>
      </w:pPr>
    </w:p>
    <w:p w14:paraId="1FD986B3">
      <w:pPr>
        <w:pStyle w:val="7"/>
        <w:rPr>
          <w:rFonts w:hint="eastAsia"/>
          <w:color w:val="auto"/>
          <w:highlight w:val="none"/>
          <w:lang w:val="en-US" w:eastAsia="zh-CN"/>
        </w:rPr>
      </w:pPr>
    </w:p>
    <w:p w14:paraId="1F25DFDE">
      <w:pPr>
        <w:rPr>
          <w:rFonts w:hint="eastAsia"/>
          <w:color w:val="auto"/>
          <w:highlight w:val="none"/>
          <w:lang w:val="en-US" w:eastAsia="zh-CN"/>
        </w:rPr>
      </w:pPr>
    </w:p>
    <w:p w14:paraId="32B8D497">
      <w:pPr>
        <w:pStyle w:val="7"/>
        <w:rPr>
          <w:rFonts w:hint="eastAsia"/>
          <w:color w:val="auto"/>
          <w:highlight w:val="none"/>
          <w:lang w:val="en-US" w:eastAsia="zh-CN"/>
        </w:rPr>
      </w:pPr>
    </w:p>
    <w:p w14:paraId="3B382ED1">
      <w:pPr>
        <w:rPr>
          <w:rFonts w:hint="eastAsia"/>
          <w:color w:val="auto"/>
          <w:highlight w:val="none"/>
          <w:lang w:val="en-US" w:eastAsia="zh-CN"/>
        </w:rPr>
      </w:pPr>
    </w:p>
    <w:p w14:paraId="11B7D951">
      <w:pPr>
        <w:pStyle w:val="7"/>
        <w:rPr>
          <w:rFonts w:hint="eastAsia"/>
          <w:color w:val="auto"/>
          <w:highlight w:val="none"/>
          <w:lang w:val="en-US" w:eastAsia="zh-CN"/>
        </w:rPr>
      </w:pPr>
    </w:p>
    <w:p w14:paraId="2A358D76">
      <w:pPr>
        <w:rPr>
          <w:rFonts w:hint="eastAsia"/>
          <w:color w:val="auto"/>
          <w:highlight w:val="none"/>
          <w:lang w:val="en-US" w:eastAsia="zh-CN"/>
        </w:rPr>
      </w:pPr>
    </w:p>
    <w:p w14:paraId="1FCF7AAF">
      <w:pPr>
        <w:pStyle w:val="7"/>
        <w:rPr>
          <w:rFonts w:hint="eastAsia"/>
          <w:color w:val="auto"/>
          <w:highlight w:val="none"/>
          <w:lang w:val="en-US" w:eastAsia="zh-CN"/>
        </w:rPr>
      </w:pPr>
    </w:p>
    <w:p w14:paraId="4E5D17D7">
      <w:pPr>
        <w:rPr>
          <w:rFonts w:hint="eastAsia"/>
          <w:color w:val="auto"/>
          <w:highlight w:val="none"/>
          <w:lang w:val="en-US" w:eastAsia="zh-CN"/>
        </w:rPr>
      </w:pPr>
    </w:p>
    <w:p w14:paraId="66D2E6C9">
      <w:pPr>
        <w:pStyle w:val="7"/>
        <w:rPr>
          <w:rFonts w:hint="eastAsia"/>
          <w:color w:val="auto"/>
          <w:highlight w:val="none"/>
          <w:lang w:val="en-US" w:eastAsia="zh-CN"/>
        </w:rPr>
      </w:pPr>
    </w:p>
    <w:p w14:paraId="7B9D9AA4">
      <w:pPr>
        <w:rPr>
          <w:rFonts w:hint="eastAsia"/>
          <w:color w:val="auto"/>
          <w:highlight w:val="none"/>
          <w:lang w:val="en-US" w:eastAsia="zh-CN"/>
        </w:rPr>
      </w:pPr>
    </w:p>
    <w:p w14:paraId="2BB009F5">
      <w:pPr>
        <w:pStyle w:val="7"/>
        <w:rPr>
          <w:rFonts w:hint="eastAsia"/>
          <w:color w:val="auto"/>
          <w:highlight w:val="none"/>
          <w:lang w:val="en-US" w:eastAsia="zh-CN"/>
        </w:rPr>
      </w:pPr>
    </w:p>
    <w:p w14:paraId="427141D5">
      <w:pPr>
        <w:rPr>
          <w:rFonts w:hint="eastAsia"/>
          <w:color w:val="auto"/>
          <w:highlight w:val="none"/>
          <w:lang w:val="en-US" w:eastAsia="zh-CN"/>
        </w:rPr>
      </w:pPr>
    </w:p>
    <w:p w14:paraId="10B3DA1D">
      <w:pPr>
        <w:pStyle w:val="16"/>
        <w:rPr>
          <w:rFonts w:hint="eastAsia"/>
          <w:color w:val="auto"/>
          <w:highlight w:val="none"/>
          <w:lang w:val="en-US" w:eastAsia="zh-CN"/>
        </w:rPr>
      </w:pPr>
    </w:p>
    <w:p w14:paraId="7E02E6ED">
      <w:pPr>
        <w:pStyle w:val="11"/>
        <w:rPr>
          <w:rFonts w:hint="eastAsia"/>
          <w:color w:val="auto"/>
          <w:highlight w:val="none"/>
          <w:lang w:val="en-US" w:eastAsia="zh-CN"/>
        </w:rPr>
      </w:pPr>
    </w:p>
    <w:p w14:paraId="3D0626F1">
      <w:pPr>
        <w:pStyle w:val="11"/>
        <w:rPr>
          <w:rFonts w:hint="eastAsia"/>
          <w:color w:val="auto"/>
          <w:highlight w:val="none"/>
          <w:lang w:val="en-US" w:eastAsia="zh-CN"/>
        </w:rPr>
      </w:pPr>
    </w:p>
    <w:p w14:paraId="451ABDBE">
      <w:pPr>
        <w:pStyle w:val="11"/>
        <w:rPr>
          <w:rFonts w:hint="eastAsia"/>
          <w:color w:val="auto"/>
          <w:highlight w:val="none"/>
          <w:lang w:val="en-US" w:eastAsia="zh-CN"/>
        </w:rPr>
      </w:pPr>
    </w:p>
    <w:p w14:paraId="3B9F05CA">
      <w:pPr>
        <w:pStyle w:val="11"/>
        <w:rPr>
          <w:rFonts w:hint="eastAsia"/>
          <w:color w:val="auto"/>
          <w:highlight w:val="none"/>
          <w:lang w:val="en-US" w:eastAsia="zh-CN"/>
        </w:rPr>
      </w:pPr>
    </w:p>
    <w:p w14:paraId="082890BC">
      <w:pPr>
        <w:pStyle w:val="7"/>
        <w:rPr>
          <w:rFonts w:hint="eastAsia"/>
          <w:color w:val="auto"/>
          <w:highlight w:val="none"/>
          <w:lang w:val="en-US" w:eastAsia="zh-CN"/>
        </w:rPr>
      </w:pPr>
    </w:p>
    <w:p w14:paraId="521DB7F7">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b/>
          <w:bCs/>
          <w:color w:val="auto"/>
          <w:sz w:val="36"/>
          <w:szCs w:val="36"/>
          <w:highlight w:val="none"/>
        </w:rPr>
      </w:pPr>
      <w:bookmarkStart w:id="530" w:name="_Toc12316_WPSOffice_Level1"/>
      <w:r>
        <w:rPr>
          <w:rFonts w:hint="eastAsia"/>
          <w:b/>
          <w:bCs/>
          <w:color w:val="auto"/>
          <w:sz w:val="36"/>
          <w:szCs w:val="36"/>
          <w:highlight w:val="none"/>
          <w:lang w:val="en-US" w:eastAsia="zh-CN"/>
        </w:rPr>
        <w:t>三、技术文件</w:t>
      </w:r>
      <w:bookmarkEnd w:id="530"/>
    </w:p>
    <w:p w14:paraId="3FA1594C">
      <w:pPr>
        <w:rPr>
          <w:rFonts w:hint="eastAsia"/>
          <w:color w:val="auto"/>
          <w:highlight w:val="none"/>
          <w:lang w:val="en-US" w:eastAsia="zh-CN"/>
        </w:rPr>
      </w:pPr>
    </w:p>
    <w:p w14:paraId="27405DA9">
      <w:pPr>
        <w:rPr>
          <w:rFonts w:hint="eastAsia"/>
          <w:color w:val="auto"/>
          <w:highlight w:val="none"/>
          <w:lang w:val="en-US" w:eastAsia="zh-CN"/>
        </w:rPr>
      </w:pPr>
    </w:p>
    <w:p w14:paraId="7AE7553C">
      <w:pPr>
        <w:pStyle w:val="7"/>
        <w:rPr>
          <w:rFonts w:hint="eastAsia"/>
          <w:color w:val="auto"/>
          <w:highlight w:val="none"/>
          <w:lang w:val="en-US" w:eastAsia="zh-CN"/>
        </w:rPr>
      </w:pPr>
    </w:p>
    <w:p w14:paraId="2B6B873E">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cs="宋体"/>
          <w:b/>
          <w:bCs/>
          <w:color w:val="auto"/>
          <w:sz w:val="30"/>
          <w:szCs w:val="30"/>
          <w:highlight w:val="none"/>
          <w:lang w:val="en-US" w:eastAsia="zh-CN"/>
        </w:rPr>
      </w:pPr>
      <w:r>
        <w:rPr>
          <w:rFonts w:hint="eastAsia" w:cs="宋体"/>
          <w:b/>
          <w:bCs/>
          <w:color w:val="auto"/>
          <w:sz w:val="30"/>
          <w:szCs w:val="30"/>
          <w:highlight w:val="none"/>
          <w:lang w:val="en-US" w:eastAsia="zh-CN"/>
        </w:rPr>
        <w:t xml:space="preserve">3.1  技术服务内容 </w:t>
      </w:r>
    </w:p>
    <w:p w14:paraId="25DDEE7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lang w:val="en-US" w:eastAsia="zh-CN"/>
        </w:rPr>
      </w:pPr>
    </w:p>
    <w:p w14:paraId="48B4F211">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应包括但不局限于以下内容 </w:t>
      </w:r>
    </w:p>
    <w:p w14:paraId="3D94E653">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技术方案必须科学合理、真实可行，能充分体现出自身技术和专业优势。其要点和主要内容不限于如下内容： </w:t>
      </w:r>
    </w:p>
    <w:p w14:paraId="25DCE318">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4.2.1 项目实施方案； </w:t>
      </w:r>
    </w:p>
    <w:p w14:paraId="0955F61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4.2.2 施工工期保证措施； </w:t>
      </w:r>
    </w:p>
    <w:p w14:paraId="79A9CD9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4.2.3 质量管理及质量保证措施； </w:t>
      </w:r>
    </w:p>
    <w:p w14:paraId="1AA2AF2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4.2.4 施工安全及文明施工措施； </w:t>
      </w:r>
    </w:p>
    <w:p w14:paraId="694BCCC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4.2.5 应急服务方案； </w:t>
      </w:r>
    </w:p>
    <w:p w14:paraId="5D3F40CE">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4.2.6 员工权益保障方案； </w:t>
      </w:r>
    </w:p>
    <w:p w14:paraId="5D8F4FE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4.2.7 企业规章制度情况。 </w:t>
      </w:r>
    </w:p>
    <w:p w14:paraId="1F589F69">
      <w:pPr>
        <w:pStyle w:val="7"/>
        <w:rPr>
          <w:rFonts w:hint="eastAsia" w:ascii="宋体" w:hAnsi="宋体" w:eastAsia="宋体" w:cs="宋体"/>
          <w:color w:val="auto"/>
          <w:sz w:val="24"/>
          <w:szCs w:val="24"/>
          <w:highlight w:val="none"/>
          <w:lang w:val="en-US" w:eastAsia="zh-CN"/>
        </w:rPr>
      </w:pPr>
    </w:p>
    <w:p w14:paraId="23C8E75C">
      <w:pPr>
        <w:rPr>
          <w:rFonts w:hint="eastAsia"/>
          <w:color w:val="auto"/>
          <w:highlight w:val="none"/>
          <w:lang w:val="en-US" w:eastAsia="zh-CN"/>
        </w:rPr>
      </w:pPr>
    </w:p>
    <w:p w14:paraId="5B94B97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注：根据</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须知</w:t>
      </w:r>
      <w:r>
        <w:rPr>
          <w:rFonts w:hint="eastAsia" w:cs="宋体"/>
          <w:color w:val="auto"/>
          <w:sz w:val="24"/>
          <w:szCs w:val="24"/>
          <w:highlight w:val="none"/>
          <w:lang w:val="en-US" w:eastAsia="zh-CN"/>
        </w:rPr>
        <w:t>第七部分</w:t>
      </w:r>
      <w:r>
        <w:rPr>
          <w:rFonts w:hint="eastAsia" w:ascii="宋体" w:hAnsi="宋体" w:eastAsia="宋体" w:cs="宋体"/>
          <w:color w:val="auto"/>
          <w:sz w:val="24"/>
          <w:szCs w:val="24"/>
          <w:highlight w:val="none"/>
          <w:lang w:val="en-US" w:eastAsia="zh-CN"/>
        </w:rPr>
        <w:t>评审</w:t>
      </w:r>
      <w:r>
        <w:rPr>
          <w:rFonts w:hint="eastAsia" w:cs="宋体"/>
          <w:color w:val="auto"/>
          <w:sz w:val="24"/>
          <w:szCs w:val="24"/>
          <w:highlight w:val="none"/>
          <w:lang w:val="en-US" w:eastAsia="zh-CN"/>
        </w:rPr>
        <w:t>标准</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技术</w:t>
      </w:r>
      <w:r>
        <w:rPr>
          <w:rFonts w:hint="eastAsia" w:ascii="宋体" w:hAnsi="宋体" w:eastAsia="宋体" w:cs="宋体"/>
          <w:color w:val="auto"/>
          <w:sz w:val="24"/>
          <w:szCs w:val="24"/>
          <w:highlight w:val="none"/>
          <w:lang w:val="en-US" w:eastAsia="zh-CN"/>
        </w:rPr>
        <w:t>部</w:t>
      </w:r>
      <w:r>
        <w:rPr>
          <w:rFonts w:hint="eastAsia" w:cs="宋体"/>
          <w:color w:val="auto"/>
          <w:sz w:val="24"/>
          <w:szCs w:val="24"/>
          <w:highlight w:val="none"/>
          <w:lang w:val="en-US" w:eastAsia="zh-CN"/>
        </w:rPr>
        <w:t>分</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评审内容</w:t>
      </w:r>
      <w:r>
        <w:rPr>
          <w:rFonts w:hint="eastAsia" w:ascii="宋体" w:hAnsi="宋体" w:eastAsia="宋体" w:cs="宋体"/>
          <w:color w:val="auto"/>
          <w:sz w:val="24"/>
          <w:szCs w:val="24"/>
          <w:highlight w:val="none"/>
          <w:lang w:val="en-US" w:eastAsia="zh-CN"/>
        </w:rPr>
        <w:t>提供相应证明材料。</w:t>
      </w:r>
    </w:p>
    <w:p w14:paraId="2C5AB31E">
      <w:pPr>
        <w:pStyle w:val="7"/>
        <w:rPr>
          <w:rFonts w:hint="eastAsia"/>
          <w:color w:val="auto"/>
          <w:highlight w:val="none"/>
          <w:lang w:val="en-US" w:eastAsia="zh-CN"/>
        </w:rPr>
      </w:pPr>
    </w:p>
    <w:p w14:paraId="41ABB021">
      <w:pPr>
        <w:rPr>
          <w:rFonts w:hint="eastAsia"/>
          <w:color w:val="auto"/>
          <w:highlight w:val="none"/>
          <w:lang w:val="en-US" w:eastAsia="zh-CN"/>
        </w:rPr>
      </w:pPr>
    </w:p>
    <w:p w14:paraId="6550F42E">
      <w:pPr>
        <w:pStyle w:val="7"/>
        <w:rPr>
          <w:rFonts w:hint="eastAsia"/>
          <w:color w:val="auto"/>
          <w:highlight w:val="none"/>
          <w:lang w:val="en-US" w:eastAsia="zh-CN"/>
        </w:rPr>
      </w:pPr>
    </w:p>
    <w:p w14:paraId="179736D6">
      <w:pPr>
        <w:rPr>
          <w:rFonts w:hint="eastAsia"/>
          <w:color w:val="auto"/>
          <w:highlight w:val="none"/>
          <w:lang w:val="en-US" w:eastAsia="zh-CN"/>
        </w:rPr>
      </w:pPr>
    </w:p>
    <w:p w14:paraId="28BDA092">
      <w:pPr>
        <w:pStyle w:val="7"/>
        <w:rPr>
          <w:rFonts w:hint="eastAsia"/>
          <w:color w:val="auto"/>
          <w:highlight w:val="none"/>
          <w:lang w:val="en-US" w:eastAsia="zh-CN"/>
        </w:rPr>
      </w:pPr>
    </w:p>
    <w:p w14:paraId="6FEBA996">
      <w:pPr>
        <w:rPr>
          <w:rFonts w:hint="eastAsia"/>
          <w:color w:val="auto"/>
          <w:highlight w:val="none"/>
          <w:lang w:val="en-US" w:eastAsia="zh-CN"/>
        </w:rPr>
      </w:pPr>
    </w:p>
    <w:p w14:paraId="1D333716">
      <w:pPr>
        <w:pStyle w:val="7"/>
        <w:rPr>
          <w:rFonts w:hint="eastAsia"/>
          <w:color w:val="auto"/>
          <w:highlight w:val="none"/>
          <w:lang w:val="en-US" w:eastAsia="zh-CN"/>
        </w:rPr>
      </w:pPr>
    </w:p>
    <w:p w14:paraId="70753DBF">
      <w:pPr>
        <w:rPr>
          <w:rFonts w:hint="eastAsia"/>
          <w:color w:val="auto"/>
          <w:highlight w:val="none"/>
          <w:lang w:val="en-US" w:eastAsia="zh-CN"/>
        </w:rPr>
      </w:pPr>
    </w:p>
    <w:p w14:paraId="54BE95D7">
      <w:pPr>
        <w:pStyle w:val="7"/>
        <w:rPr>
          <w:rFonts w:hint="eastAsia"/>
          <w:color w:val="auto"/>
          <w:highlight w:val="none"/>
          <w:lang w:val="en-US" w:eastAsia="zh-CN"/>
        </w:rPr>
      </w:pPr>
    </w:p>
    <w:p w14:paraId="216071BA">
      <w:pPr>
        <w:rPr>
          <w:rFonts w:hint="eastAsia"/>
          <w:color w:val="auto"/>
          <w:highlight w:val="none"/>
          <w:lang w:val="en-US" w:eastAsia="zh-CN"/>
        </w:rPr>
      </w:pPr>
    </w:p>
    <w:p w14:paraId="36FE55D9">
      <w:pPr>
        <w:pStyle w:val="7"/>
        <w:rPr>
          <w:rFonts w:hint="eastAsia"/>
          <w:color w:val="auto"/>
          <w:highlight w:val="none"/>
          <w:lang w:val="en-US" w:eastAsia="zh-CN"/>
        </w:rPr>
      </w:pPr>
    </w:p>
    <w:p w14:paraId="306AAB1E">
      <w:pPr>
        <w:rPr>
          <w:rFonts w:hint="eastAsia"/>
          <w:color w:val="auto"/>
          <w:highlight w:val="none"/>
          <w:lang w:val="en-US" w:eastAsia="zh-CN"/>
        </w:rPr>
      </w:pPr>
    </w:p>
    <w:p w14:paraId="33CEE700">
      <w:pPr>
        <w:pStyle w:val="7"/>
        <w:rPr>
          <w:rFonts w:hint="eastAsia"/>
          <w:color w:val="auto"/>
          <w:highlight w:val="none"/>
          <w:lang w:val="en-US" w:eastAsia="zh-CN"/>
        </w:rPr>
      </w:pPr>
    </w:p>
    <w:p w14:paraId="471D0E14">
      <w:pPr>
        <w:rPr>
          <w:rFonts w:hint="eastAsia"/>
          <w:color w:val="auto"/>
          <w:highlight w:val="none"/>
          <w:lang w:val="en-US" w:eastAsia="zh-CN"/>
        </w:rPr>
      </w:pPr>
    </w:p>
    <w:p w14:paraId="2F03802A">
      <w:pPr>
        <w:pStyle w:val="7"/>
        <w:rPr>
          <w:rFonts w:hint="eastAsia"/>
          <w:color w:val="auto"/>
          <w:highlight w:val="none"/>
          <w:lang w:val="en-US" w:eastAsia="zh-CN"/>
        </w:rPr>
      </w:pPr>
    </w:p>
    <w:p w14:paraId="0E9F298A">
      <w:pPr>
        <w:rPr>
          <w:rFonts w:hint="eastAsia"/>
          <w:color w:val="auto"/>
          <w:highlight w:val="none"/>
          <w:lang w:val="en-US" w:eastAsia="zh-CN"/>
        </w:rPr>
      </w:pPr>
    </w:p>
    <w:p w14:paraId="2E10AFFB">
      <w:pPr>
        <w:pStyle w:val="7"/>
        <w:rPr>
          <w:rFonts w:hint="eastAsia"/>
          <w:color w:val="auto"/>
          <w:highlight w:val="none"/>
          <w:lang w:val="en-US" w:eastAsia="zh-CN"/>
        </w:rPr>
      </w:pPr>
    </w:p>
    <w:p w14:paraId="7A0FE2F9">
      <w:pPr>
        <w:rPr>
          <w:rFonts w:hint="eastAsia"/>
          <w:color w:val="auto"/>
          <w:highlight w:val="none"/>
          <w:lang w:val="en-US" w:eastAsia="zh-CN"/>
        </w:rPr>
      </w:pPr>
    </w:p>
    <w:p w14:paraId="74AFC521">
      <w:pPr>
        <w:pStyle w:val="7"/>
        <w:rPr>
          <w:rFonts w:hint="eastAsia"/>
          <w:color w:val="auto"/>
          <w:highlight w:val="none"/>
          <w:lang w:val="en-US" w:eastAsia="zh-CN"/>
        </w:rPr>
      </w:pPr>
    </w:p>
    <w:p w14:paraId="4D233992">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b/>
          <w:bCs/>
          <w:color w:val="auto"/>
          <w:sz w:val="36"/>
          <w:szCs w:val="36"/>
          <w:highlight w:val="none"/>
          <w:lang w:val="en-US" w:eastAsia="zh-CN"/>
        </w:rPr>
      </w:pPr>
      <w:bookmarkStart w:id="531" w:name="_Toc28570_WPSOffice_Level1"/>
      <w:r>
        <w:rPr>
          <w:rFonts w:hint="eastAsia"/>
          <w:b/>
          <w:bCs/>
          <w:color w:val="auto"/>
          <w:sz w:val="36"/>
          <w:szCs w:val="36"/>
          <w:highlight w:val="none"/>
          <w:lang w:val="en-US" w:eastAsia="zh-CN"/>
        </w:rPr>
        <w:t>四、价格部分</w:t>
      </w:r>
      <w:bookmarkEnd w:id="531"/>
    </w:p>
    <w:p w14:paraId="76468BA2">
      <w:pPr>
        <w:rPr>
          <w:rFonts w:hint="eastAsia"/>
          <w:color w:val="auto"/>
          <w:highlight w:val="none"/>
          <w:lang w:val="en-US" w:eastAsia="zh-CN"/>
        </w:rPr>
      </w:pPr>
    </w:p>
    <w:p w14:paraId="0BE282D1">
      <w:pPr>
        <w:pStyle w:val="7"/>
        <w:rPr>
          <w:rFonts w:hint="eastAsia"/>
          <w:color w:val="auto"/>
          <w:highlight w:val="none"/>
          <w:lang w:val="en-US" w:eastAsia="zh-CN"/>
        </w:rPr>
      </w:pPr>
    </w:p>
    <w:p w14:paraId="09B732CC">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4.1 报价</w:t>
      </w:r>
      <w:r>
        <w:rPr>
          <w:rFonts w:hint="eastAsia" w:ascii="宋体" w:hAnsi="宋体" w:eastAsia="宋体" w:cs="宋体"/>
          <w:b/>
          <w:bCs/>
          <w:color w:val="auto"/>
          <w:sz w:val="30"/>
          <w:szCs w:val="30"/>
          <w:highlight w:val="none"/>
        </w:rPr>
        <w:t>一览表(首次报价表)</w:t>
      </w:r>
    </w:p>
    <w:p w14:paraId="517BC88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0A139A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5408" behindDoc="0" locked="0" layoutInCell="1" allowOverlap="1">
                <wp:simplePos x="0" y="0"/>
                <wp:positionH relativeFrom="page">
                  <wp:posOffset>641350</wp:posOffset>
                </wp:positionH>
                <wp:positionV relativeFrom="paragraph">
                  <wp:posOffset>576580</wp:posOffset>
                </wp:positionV>
                <wp:extent cx="6286500" cy="175895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6286500" cy="1758950"/>
                        </a:xfrm>
                        <a:prstGeom prst="rect">
                          <a:avLst/>
                        </a:prstGeom>
                        <a:noFill/>
                        <a:ln>
                          <a:noFill/>
                        </a:ln>
                      </wps:spPr>
                      <wps:txbx>
                        <w:txbxContent>
                          <w:tbl>
                            <w:tblPr>
                              <w:tblStyle w:val="20"/>
                              <w:tblW w:w="9719"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653"/>
                              <w:gridCol w:w="5066"/>
                            </w:tblGrid>
                            <w:tr w14:paraId="3C55ECB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6" w:hRule="atLeast"/>
                              </w:trPr>
                              <w:tc>
                                <w:tcPr>
                                  <w:tcW w:w="4653" w:type="dxa"/>
                                  <w:tcBorders>
                                    <w:bottom w:val="double" w:color="000000" w:sz="0" w:space="0"/>
                                    <w:right w:val="single" w:color="000000" w:sz="4" w:space="0"/>
                                  </w:tcBorders>
                                  <w:shd w:val="clear" w:color="auto" w:fill="EDEBE0"/>
                                  <w:noWrap w:val="0"/>
                                  <w:vAlign w:val="top"/>
                                </w:tcPr>
                                <w:p w14:paraId="513C8408">
                                  <w:pPr>
                                    <w:pStyle w:val="32"/>
                                    <w:spacing w:before="101"/>
                                    <w:ind w:left="606" w:right="479"/>
                                    <w:jc w:val="center"/>
                                    <w:rPr>
                                      <w:rFonts w:hint="eastAsia" w:ascii="微软雅黑" w:eastAsia="微软雅黑"/>
                                      <w:b/>
                                      <w:sz w:val="21"/>
                                    </w:rPr>
                                  </w:pPr>
                                  <w:r>
                                    <w:rPr>
                                      <w:rFonts w:hint="eastAsia" w:ascii="微软雅黑" w:eastAsia="微软雅黑"/>
                                      <w:b/>
                                      <w:sz w:val="21"/>
                                      <w:lang w:val="en-US" w:eastAsia="zh-CN"/>
                                    </w:rPr>
                                    <w:t>项目</w:t>
                                  </w:r>
                                  <w:r>
                                    <w:rPr>
                                      <w:rFonts w:hint="eastAsia" w:ascii="微软雅黑" w:eastAsia="微软雅黑"/>
                                      <w:b/>
                                      <w:sz w:val="21"/>
                                    </w:rPr>
                                    <w:t>内容</w:t>
                                  </w:r>
                                  <w:r>
                                    <w:rPr>
                                      <w:rFonts w:hint="eastAsia" w:ascii="微软雅黑" w:eastAsia="微软雅黑"/>
                                      <w:b/>
                                      <w:w w:val="168"/>
                                      <w:sz w:val="21"/>
                                    </w:rPr>
                                    <w:t xml:space="preserve"> </w:t>
                                  </w:r>
                                </w:p>
                              </w:tc>
                              <w:tc>
                                <w:tcPr>
                                  <w:tcW w:w="5066" w:type="dxa"/>
                                  <w:tcBorders>
                                    <w:left w:val="single" w:color="000000" w:sz="4" w:space="0"/>
                                    <w:bottom w:val="double" w:color="000000" w:sz="0" w:space="0"/>
                                  </w:tcBorders>
                                  <w:shd w:val="clear" w:color="auto" w:fill="EDEBE0"/>
                                  <w:noWrap w:val="0"/>
                                  <w:vAlign w:val="top"/>
                                </w:tcPr>
                                <w:p w14:paraId="2C43ED4C">
                                  <w:pPr>
                                    <w:pStyle w:val="32"/>
                                    <w:spacing w:line="296" w:lineRule="exact"/>
                                    <w:ind w:left="1950" w:right="1803"/>
                                    <w:jc w:val="center"/>
                                    <w:rPr>
                                      <w:rFonts w:hint="eastAsia" w:ascii="微软雅黑" w:eastAsia="微软雅黑"/>
                                      <w:b/>
                                      <w:sz w:val="21"/>
                                    </w:rPr>
                                  </w:pPr>
                                  <w:r>
                                    <w:rPr>
                                      <w:rFonts w:hint="eastAsia" w:ascii="微软雅黑" w:eastAsia="微软雅黑"/>
                                      <w:b/>
                                      <w:sz w:val="21"/>
                                    </w:rPr>
                                    <w:t>磋商报价</w:t>
                                  </w:r>
                                  <w:r>
                                    <w:rPr>
                                      <w:rFonts w:hint="eastAsia" w:ascii="微软雅黑" w:eastAsia="微软雅黑"/>
                                      <w:b/>
                                      <w:w w:val="168"/>
                                      <w:sz w:val="21"/>
                                    </w:rPr>
                                    <w:t xml:space="preserve"> </w:t>
                                  </w:r>
                                </w:p>
                                <w:p w14:paraId="662AF829">
                                  <w:pPr>
                                    <w:pStyle w:val="32"/>
                                    <w:spacing w:line="280" w:lineRule="exact"/>
                                    <w:ind w:left="1950" w:right="1803"/>
                                    <w:jc w:val="center"/>
                                    <w:rPr>
                                      <w:rFonts w:hint="eastAsia" w:ascii="微软雅黑" w:eastAsia="微软雅黑"/>
                                      <w:b/>
                                      <w:sz w:val="21"/>
                                    </w:rPr>
                                  </w:pPr>
                                  <w:r>
                                    <w:rPr>
                                      <w:rFonts w:hint="eastAsia" w:ascii="微软雅黑" w:eastAsia="微软雅黑"/>
                                      <w:b/>
                                      <w:sz w:val="21"/>
                                    </w:rPr>
                                    <w:t>（人民币 元）</w:t>
                                  </w:r>
                                  <w:r>
                                    <w:rPr>
                                      <w:rFonts w:hint="eastAsia" w:ascii="微软雅黑" w:eastAsia="微软雅黑"/>
                                      <w:b/>
                                      <w:w w:val="168"/>
                                      <w:sz w:val="21"/>
                                    </w:rPr>
                                    <w:t xml:space="preserve"> </w:t>
                                  </w:r>
                                </w:p>
                              </w:tc>
                            </w:tr>
                            <w:tr w14:paraId="2E8F465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48" w:hRule="atLeast"/>
                              </w:trPr>
                              <w:tc>
                                <w:tcPr>
                                  <w:tcW w:w="4653" w:type="dxa"/>
                                  <w:tcBorders>
                                    <w:top w:val="double" w:color="000000" w:sz="0" w:space="0"/>
                                    <w:bottom w:val="double" w:color="000000" w:sz="0" w:space="0"/>
                                    <w:right w:val="single" w:color="000000" w:sz="4" w:space="0"/>
                                  </w:tcBorders>
                                  <w:noWrap w:val="0"/>
                                  <w:vAlign w:val="top"/>
                                </w:tcPr>
                                <w:p w14:paraId="4B3D40CD">
                                  <w:pPr>
                                    <w:pStyle w:val="32"/>
                                    <w:rPr>
                                      <w:rFonts w:ascii="微软雅黑"/>
                                      <w:b/>
                                      <w:sz w:val="20"/>
                                    </w:rPr>
                                  </w:pPr>
                                </w:p>
                                <w:p w14:paraId="4ED6E339">
                                  <w:pPr>
                                    <w:pStyle w:val="32"/>
                                    <w:spacing w:before="9"/>
                                    <w:rPr>
                                      <w:rFonts w:ascii="微软雅黑"/>
                                      <w:b/>
                                      <w:sz w:val="14"/>
                                    </w:rPr>
                                  </w:pPr>
                                </w:p>
                                <w:p w14:paraId="05D3A4DE">
                                  <w:pPr>
                                    <w:pStyle w:val="32"/>
                                    <w:spacing w:before="1"/>
                                    <w:ind w:left="609" w:right="479"/>
                                    <w:jc w:val="center"/>
                                    <w:rPr>
                                      <w:sz w:val="21"/>
                                    </w:rPr>
                                  </w:pPr>
                                </w:p>
                              </w:tc>
                              <w:tc>
                                <w:tcPr>
                                  <w:tcW w:w="5066" w:type="dxa"/>
                                  <w:tcBorders>
                                    <w:top w:val="double" w:color="000000" w:sz="0" w:space="0"/>
                                    <w:left w:val="single" w:color="000000" w:sz="4" w:space="0"/>
                                    <w:bottom w:val="single" w:color="000000" w:sz="4" w:space="0"/>
                                  </w:tcBorders>
                                  <w:noWrap w:val="0"/>
                                  <w:vAlign w:val="top"/>
                                </w:tcPr>
                                <w:p w14:paraId="72492474">
                                  <w:pPr>
                                    <w:pStyle w:val="32"/>
                                    <w:spacing w:before="2"/>
                                    <w:rPr>
                                      <w:rFonts w:ascii="微软雅黑"/>
                                      <w:b/>
                                      <w:sz w:val="27"/>
                                    </w:rPr>
                                  </w:pPr>
                                </w:p>
                                <w:p w14:paraId="5989694B">
                                  <w:pPr>
                                    <w:pStyle w:val="32"/>
                                    <w:spacing w:line="381" w:lineRule="auto"/>
                                    <w:ind w:left="120" w:right="2161"/>
                                    <w:rPr>
                                      <w:spacing w:val="-1"/>
                                      <w:sz w:val="21"/>
                                      <w:u w:val="single"/>
                                    </w:rPr>
                                  </w:pPr>
                                  <w:r>
                                    <w:rPr>
                                      <w:spacing w:val="-1"/>
                                      <w:sz w:val="21"/>
                                    </w:rPr>
                                    <w:t>小 写 ：</w:t>
                                  </w:r>
                                  <w:r>
                                    <w:rPr>
                                      <w:spacing w:val="-1"/>
                                      <w:sz w:val="21"/>
                                      <w:u w:val="single"/>
                                    </w:rPr>
                                    <w:t xml:space="preserve">                 </w:t>
                                  </w:r>
                                </w:p>
                                <w:p w14:paraId="4340DCE0">
                                  <w:pPr>
                                    <w:pStyle w:val="32"/>
                                    <w:spacing w:line="381" w:lineRule="auto"/>
                                    <w:ind w:left="120" w:right="2161"/>
                                    <w:rPr>
                                      <w:sz w:val="21"/>
                                    </w:rPr>
                                  </w:pPr>
                                  <w:r>
                                    <w:rPr>
                                      <w:spacing w:val="-1"/>
                                      <w:sz w:val="21"/>
                                    </w:rPr>
                                    <w:t>大</w:t>
                                  </w:r>
                                  <w:r>
                                    <w:rPr>
                                      <w:rFonts w:hint="eastAsia"/>
                                      <w:spacing w:val="-1"/>
                                      <w:sz w:val="21"/>
                                      <w:lang w:val="en-US" w:eastAsia="zh-CN"/>
                                    </w:rPr>
                                    <w:t xml:space="preserve"> </w:t>
                                  </w:r>
                                  <w:r>
                                    <w:rPr>
                                      <w:spacing w:val="-1"/>
                                      <w:sz w:val="21"/>
                                    </w:rPr>
                                    <w:t>写：</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rPr>
                                    <w:t xml:space="preserve"> </w:t>
                                  </w:r>
                                </w:p>
                                <w:p w14:paraId="5B210EED">
                                  <w:pPr>
                                    <w:pStyle w:val="32"/>
                                    <w:spacing w:line="381" w:lineRule="auto"/>
                                    <w:ind w:left="120" w:right="2161"/>
                                    <w:rPr>
                                      <w:rFonts w:hint="eastAsia" w:eastAsia="宋体"/>
                                      <w:sz w:val="21"/>
                                      <w:lang w:val="en-US" w:eastAsia="zh-CN"/>
                                    </w:rPr>
                                  </w:pPr>
                                  <w:r>
                                    <w:rPr>
                                      <w:rFonts w:hint="eastAsia"/>
                                      <w:sz w:val="21"/>
                                      <w:lang w:val="en-US" w:eastAsia="zh-CN"/>
                                    </w:rPr>
                                    <w:t>合同履约期限：</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rFonts w:hint="eastAsia"/>
                                      <w:sz w:val="21"/>
                                      <w:u w:val="single"/>
                                      <w:lang w:val="en-US" w:eastAsia="zh-CN"/>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rPr>
                                    <w:t xml:space="preserve"> </w:t>
                                  </w:r>
                                </w:p>
                              </w:tc>
                            </w:tr>
                          </w:tbl>
                          <w:p w14:paraId="1337E98A">
                            <w:pPr>
                              <w:pStyle w:val="8"/>
                            </w:pPr>
                          </w:p>
                        </w:txbxContent>
                      </wps:txbx>
                      <wps:bodyPr lIns="0" tIns="0" rIns="0" bIns="0" upright="1"/>
                    </wps:wsp>
                  </a:graphicData>
                </a:graphic>
              </wp:anchor>
            </w:drawing>
          </mc:Choice>
          <mc:Fallback>
            <w:pict>
              <v:shape id="_x0000_s1026" o:spid="_x0000_s1026" o:spt="202" type="#_x0000_t202" style="position:absolute;left:0pt;margin-left:50.5pt;margin-top:45.4pt;height:138.5pt;width:495pt;mso-position-horizontal-relative:page;z-index:251665408;mso-width-relative:page;mso-height-relative:page;" filled="f" stroked="f" coordsize="21600,21600" o:gfxdata="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BjANcAAAALAQAADwAAAAAAAAABACAAAAAiAAAAZHJzL2Rvd25yZXYueG1sUEsB&#10;AhQAFAAAAAgAh07iQBkkqaG9AQAAdQMAAA4AAAAAAAAAAQAgAAAAJgEAAGRycy9lMm9Eb2MueG1s&#10;UEsFBgAAAAAGAAYAWQEAAFUFAAAAAA==&#10;">
                <v:fill on="f" focussize="0,0"/>
                <v:stroke on="f"/>
                <v:imagedata o:title=""/>
                <o:lock v:ext="edit" aspectratio="f"/>
                <v:textbox inset="0mm,0mm,0mm,0mm">
                  <w:txbxContent>
                    <w:tbl>
                      <w:tblPr>
                        <w:tblStyle w:val="20"/>
                        <w:tblW w:w="9719"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653"/>
                        <w:gridCol w:w="5066"/>
                      </w:tblGrid>
                      <w:tr w14:paraId="3C55ECB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6" w:hRule="atLeast"/>
                        </w:trPr>
                        <w:tc>
                          <w:tcPr>
                            <w:tcW w:w="4653" w:type="dxa"/>
                            <w:tcBorders>
                              <w:bottom w:val="double" w:color="000000" w:sz="0" w:space="0"/>
                              <w:right w:val="single" w:color="000000" w:sz="4" w:space="0"/>
                            </w:tcBorders>
                            <w:shd w:val="clear" w:color="auto" w:fill="EDEBE0"/>
                            <w:noWrap w:val="0"/>
                            <w:vAlign w:val="top"/>
                          </w:tcPr>
                          <w:p w14:paraId="513C8408">
                            <w:pPr>
                              <w:pStyle w:val="32"/>
                              <w:spacing w:before="101"/>
                              <w:ind w:left="606" w:right="479"/>
                              <w:jc w:val="center"/>
                              <w:rPr>
                                <w:rFonts w:hint="eastAsia" w:ascii="微软雅黑" w:eastAsia="微软雅黑"/>
                                <w:b/>
                                <w:sz w:val="21"/>
                              </w:rPr>
                            </w:pPr>
                            <w:r>
                              <w:rPr>
                                <w:rFonts w:hint="eastAsia" w:ascii="微软雅黑" w:eastAsia="微软雅黑"/>
                                <w:b/>
                                <w:sz w:val="21"/>
                                <w:lang w:val="en-US" w:eastAsia="zh-CN"/>
                              </w:rPr>
                              <w:t>项目</w:t>
                            </w:r>
                            <w:r>
                              <w:rPr>
                                <w:rFonts w:hint="eastAsia" w:ascii="微软雅黑" w:eastAsia="微软雅黑"/>
                                <w:b/>
                                <w:sz w:val="21"/>
                              </w:rPr>
                              <w:t>内容</w:t>
                            </w:r>
                            <w:r>
                              <w:rPr>
                                <w:rFonts w:hint="eastAsia" w:ascii="微软雅黑" w:eastAsia="微软雅黑"/>
                                <w:b/>
                                <w:w w:val="168"/>
                                <w:sz w:val="21"/>
                              </w:rPr>
                              <w:t xml:space="preserve"> </w:t>
                            </w:r>
                          </w:p>
                        </w:tc>
                        <w:tc>
                          <w:tcPr>
                            <w:tcW w:w="5066" w:type="dxa"/>
                            <w:tcBorders>
                              <w:left w:val="single" w:color="000000" w:sz="4" w:space="0"/>
                              <w:bottom w:val="double" w:color="000000" w:sz="0" w:space="0"/>
                            </w:tcBorders>
                            <w:shd w:val="clear" w:color="auto" w:fill="EDEBE0"/>
                            <w:noWrap w:val="0"/>
                            <w:vAlign w:val="top"/>
                          </w:tcPr>
                          <w:p w14:paraId="2C43ED4C">
                            <w:pPr>
                              <w:pStyle w:val="32"/>
                              <w:spacing w:line="296" w:lineRule="exact"/>
                              <w:ind w:left="1950" w:right="1803"/>
                              <w:jc w:val="center"/>
                              <w:rPr>
                                <w:rFonts w:hint="eastAsia" w:ascii="微软雅黑" w:eastAsia="微软雅黑"/>
                                <w:b/>
                                <w:sz w:val="21"/>
                              </w:rPr>
                            </w:pPr>
                            <w:r>
                              <w:rPr>
                                <w:rFonts w:hint="eastAsia" w:ascii="微软雅黑" w:eastAsia="微软雅黑"/>
                                <w:b/>
                                <w:sz w:val="21"/>
                              </w:rPr>
                              <w:t>磋商报价</w:t>
                            </w:r>
                            <w:r>
                              <w:rPr>
                                <w:rFonts w:hint="eastAsia" w:ascii="微软雅黑" w:eastAsia="微软雅黑"/>
                                <w:b/>
                                <w:w w:val="168"/>
                                <w:sz w:val="21"/>
                              </w:rPr>
                              <w:t xml:space="preserve"> </w:t>
                            </w:r>
                          </w:p>
                          <w:p w14:paraId="662AF829">
                            <w:pPr>
                              <w:pStyle w:val="32"/>
                              <w:spacing w:line="280" w:lineRule="exact"/>
                              <w:ind w:left="1950" w:right="1803"/>
                              <w:jc w:val="center"/>
                              <w:rPr>
                                <w:rFonts w:hint="eastAsia" w:ascii="微软雅黑" w:eastAsia="微软雅黑"/>
                                <w:b/>
                                <w:sz w:val="21"/>
                              </w:rPr>
                            </w:pPr>
                            <w:r>
                              <w:rPr>
                                <w:rFonts w:hint="eastAsia" w:ascii="微软雅黑" w:eastAsia="微软雅黑"/>
                                <w:b/>
                                <w:sz w:val="21"/>
                              </w:rPr>
                              <w:t>（人民币 元）</w:t>
                            </w:r>
                            <w:r>
                              <w:rPr>
                                <w:rFonts w:hint="eastAsia" w:ascii="微软雅黑" w:eastAsia="微软雅黑"/>
                                <w:b/>
                                <w:w w:val="168"/>
                                <w:sz w:val="21"/>
                              </w:rPr>
                              <w:t xml:space="preserve"> </w:t>
                            </w:r>
                          </w:p>
                        </w:tc>
                      </w:tr>
                      <w:tr w14:paraId="2E8F465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48" w:hRule="atLeast"/>
                        </w:trPr>
                        <w:tc>
                          <w:tcPr>
                            <w:tcW w:w="4653" w:type="dxa"/>
                            <w:tcBorders>
                              <w:top w:val="double" w:color="000000" w:sz="0" w:space="0"/>
                              <w:bottom w:val="double" w:color="000000" w:sz="0" w:space="0"/>
                              <w:right w:val="single" w:color="000000" w:sz="4" w:space="0"/>
                            </w:tcBorders>
                            <w:noWrap w:val="0"/>
                            <w:vAlign w:val="top"/>
                          </w:tcPr>
                          <w:p w14:paraId="4B3D40CD">
                            <w:pPr>
                              <w:pStyle w:val="32"/>
                              <w:rPr>
                                <w:rFonts w:ascii="微软雅黑"/>
                                <w:b/>
                                <w:sz w:val="20"/>
                              </w:rPr>
                            </w:pPr>
                          </w:p>
                          <w:p w14:paraId="4ED6E339">
                            <w:pPr>
                              <w:pStyle w:val="32"/>
                              <w:spacing w:before="9"/>
                              <w:rPr>
                                <w:rFonts w:ascii="微软雅黑"/>
                                <w:b/>
                                <w:sz w:val="14"/>
                              </w:rPr>
                            </w:pPr>
                          </w:p>
                          <w:p w14:paraId="05D3A4DE">
                            <w:pPr>
                              <w:pStyle w:val="32"/>
                              <w:spacing w:before="1"/>
                              <w:ind w:left="609" w:right="479"/>
                              <w:jc w:val="center"/>
                              <w:rPr>
                                <w:sz w:val="21"/>
                              </w:rPr>
                            </w:pPr>
                          </w:p>
                        </w:tc>
                        <w:tc>
                          <w:tcPr>
                            <w:tcW w:w="5066" w:type="dxa"/>
                            <w:tcBorders>
                              <w:top w:val="double" w:color="000000" w:sz="0" w:space="0"/>
                              <w:left w:val="single" w:color="000000" w:sz="4" w:space="0"/>
                              <w:bottom w:val="single" w:color="000000" w:sz="4" w:space="0"/>
                            </w:tcBorders>
                            <w:noWrap w:val="0"/>
                            <w:vAlign w:val="top"/>
                          </w:tcPr>
                          <w:p w14:paraId="72492474">
                            <w:pPr>
                              <w:pStyle w:val="32"/>
                              <w:spacing w:before="2"/>
                              <w:rPr>
                                <w:rFonts w:ascii="微软雅黑"/>
                                <w:b/>
                                <w:sz w:val="27"/>
                              </w:rPr>
                            </w:pPr>
                          </w:p>
                          <w:p w14:paraId="5989694B">
                            <w:pPr>
                              <w:pStyle w:val="32"/>
                              <w:spacing w:line="381" w:lineRule="auto"/>
                              <w:ind w:left="120" w:right="2161"/>
                              <w:rPr>
                                <w:spacing w:val="-1"/>
                                <w:sz w:val="21"/>
                                <w:u w:val="single"/>
                              </w:rPr>
                            </w:pPr>
                            <w:r>
                              <w:rPr>
                                <w:spacing w:val="-1"/>
                                <w:sz w:val="21"/>
                              </w:rPr>
                              <w:t>小 写 ：</w:t>
                            </w:r>
                            <w:r>
                              <w:rPr>
                                <w:spacing w:val="-1"/>
                                <w:sz w:val="21"/>
                                <w:u w:val="single"/>
                              </w:rPr>
                              <w:t xml:space="preserve">                 </w:t>
                            </w:r>
                          </w:p>
                          <w:p w14:paraId="4340DCE0">
                            <w:pPr>
                              <w:pStyle w:val="32"/>
                              <w:spacing w:line="381" w:lineRule="auto"/>
                              <w:ind w:left="120" w:right="2161"/>
                              <w:rPr>
                                <w:sz w:val="21"/>
                              </w:rPr>
                            </w:pPr>
                            <w:r>
                              <w:rPr>
                                <w:spacing w:val="-1"/>
                                <w:sz w:val="21"/>
                              </w:rPr>
                              <w:t>大</w:t>
                            </w:r>
                            <w:r>
                              <w:rPr>
                                <w:rFonts w:hint="eastAsia"/>
                                <w:spacing w:val="-1"/>
                                <w:sz w:val="21"/>
                                <w:lang w:val="en-US" w:eastAsia="zh-CN"/>
                              </w:rPr>
                              <w:t xml:space="preserve"> </w:t>
                            </w:r>
                            <w:r>
                              <w:rPr>
                                <w:spacing w:val="-1"/>
                                <w:sz w:val="21"/>
                              </w:rPr>
                              <w:t>写：</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rPr>
                              <w:t xml:space="preserve"> </w:t>
                            </w:r>
                          </w:p>
                          <w:p w14:paraId="5B210EED">
                            <w:pPr>
                              <w:pStyle w:val="32"/>
                              <w:spacing w:line="381" w:lineRule="auto"/>
                              <w:ind w:left="120" w:right="2161"/>
                              <w:rPr>
                                <w:rFonts w:hint="eastAsia" w:eastAsia="宋体"/>
                                <w:sz w:val="21"/>
                                <w:lang w:val="en-US" w:eastAsia="zh-CN"/>
                              </w:rPr>
                            </w:pPr>
                            <w:r>
                              <w:rPr>
                                <w:rFonts w:hint="eastAsia"/>
                                <w:sz w:val="21"/>
                                <w:lang w:val="en-US" w:eastAsia="zh-CN"/>
                              </w:rPr>
                              <w:t>合同履约期限：</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rFonts w:hint="eastAsia"/>
                                <w:sz w:val="21"/>
                                <w:u w:val="single"/>
                                <w:lang w:val="en-US" w:eastAsia="zh-CN"/>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u w:val="single"/>
                              </w:rPr>
                              <w:t xml:space="preserve">  </w:t>
                            </w:r>
                            <w:r>
                              <w:rPr>
                                <w:spacing w:val="-3"/>
                                <w:sz w:val="21"/>
                                <w:u w:val="single"/>
                              </w:rPr>
                              <w:t xml:space="preserve"> </w:t>
                            </w:r>
                            <w:r>
                              <w:rPr>
                                <w:sz w:val="21"/>
                              </w:rPr>
                              <w:t xml:space="preserve"> </w:t>
                            </w:r>
                          </w:p>
                        </w:tc>
                      </w:tr>
                    </w:tbl>
                    <w:p w14:paraId="1337E98A">
                      <w:pPr>
                        <w:pStyle w:val="8"/>
                      </w:pPr>
                    </w:p>
                  </w:txbxContent>
                </v:textbox>
              </v:shape>
            </w:pict>
          </mc:Fallback>
        </mc:AlternateContent>
      </w:r>
      <w:r>
        <w:rPr>
          <w:rFonts w:hint="eastAsia" w:ascii="宋体" w:hAnsi="宋体" w:eastAsia="宋体" w:cs="宋体"/>
          <w:color w:val="auto"/>
          <w:sz w:val="24"/>
          <w:szCs w:val="24"/>
          <w:highlight w:val="none"/>
        </w:rPr>
        <w:t>采购项目名称：</w:t>
      </w:r>
    </w:p>
    <w:p w14:paraId="69106293">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 xml:space="preserve">  </w:t>
      </w:r>
    </w:p>
    <w:p w14:paraId="0243C15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2FF714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94FB2C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A85A18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EDEEAD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4A4A5E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CFA3589">
      <w:pPr>
        <w:rPr>
          <w:rFonts w:hint="eastAsia"/>
          <w:color w:val="auto"/>
          <w:highlight w:val="none"/>
          <w:lang w:val="en-US" w:eastAsia="zh-CN"/>
        </w:rPr>
      </w:pPr>
    </w:p>
    <w:p w14:paraId="53894A19">
      <w:pPr>
        <w:rPr>
          <w:rFonts w:hint="eastAsia"/>
          <w:color w:val="auto"/>
          <w:highlight w:val="none"/>
          <w:lang w:val="en-US" w:eastAsia="zh-CN"/>
        </w:rPr>
      </w:pPr>
    </w:p>
    <w:p w14:paraId="0C3026F5">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w:t>
      </w:r>
    </w:p>
    <w:p w14:paraId="3B072FE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 xml:space="preserve">供应商须按要求填写所有信息。政采云填报必须与本格式一致，本表格式内容不得改动。 </w:t>
      </w:r>
    </w:p>
    <w:p w14:paraId="341E8A6C">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lang w:val="en-US" w:eastAsia="zh-CN"/>
        </w:rPr>
        <w:t>总报价不得超出本项目采购预算价，否则视作无效响应文件。</w:t>
      </w:r>
    </w:p>
    <w:p w14:paraId="1C17892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59A93E7">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供应商名称（单位盖公章）：                              </w:t>
      </w:r>
    </w:p>
    <w:p w14:paraId="6ECD77A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D7E05DC">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法定代表人或供应商授权代表（签名或盖章）：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B3F80B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F11001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FCB2F7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sectPr>
          <w:headerReference r:id="rId23" w:type="default"/>
          <w:pgSz w:w="11910" w:h="16840"/>
          <w:pgMar w:top="1984" w:right="1531" w:bottom="2098" w:left="1531" w:header="670" w:footer="1041" w:gutter="0"/>
          <w:pgNumType w:fmt="decimal"/>
          <w:cols w:space="720" w:num="1"/>
          <w:rtlGutter w:val="0"/>
          <w:docGrid w:linePitch="1" w:charSpace="0"/>
        </w:sectPr>
      </w:pPr>
    </w:p>
    <w:p w14:paraId="34D7634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9B42E68">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4.2 标价的工程量清单</w:t>
      </w:r>
      <w:r>
        <w:rPr>
          <w:rFonts w:hint="eastAsia" w:ascii="宋体" w:hAnsi="宋体" w:eastAsia="宋体" w:cs="宋体"/>
          <w:b/>
          <w:bCs/>
          <w:color w:val="auto"/>
          <w:sz w:val="30"/>
          <w:szCs w:val="30"/>
          <w:highlight w:val="none"/>
        </w:rPr>
        <w:t xml:space="preserve"> </w:t>
      </w:r>
    </w:p>
    <w:p w14:paraId="704AB48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p>
    <w:p w14:paraId="58DDB2F8">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采购项目名称：</w:t>
      </w:r>
    </w:p>
    <w:p w14:paraId="4A19798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采购项目编号：</w:t>
      </w:r>
      <w:r>
        <w:rPr>
          <w:rFonts w:hint="eastAsia" w:ascii="宋体" w:hAnsi="宋体" w:eastAsia="宋体" w:cs="宋体"/>
          <w:color w:val="auto"/>
          <w:sz w:val="24"/>
          <w:szCs w:val="24"/>
          <w:highlight w:val="none"/>
        </w:rPr>
        <w:t xml:space="preserve">  </w:t>
      </w:r>
    </w:p>
    <w:p w14:paraId="1756578B">
      <w:pPr>
        <w:pStyle w:val="7"/>
        <w:ind w:left="0" w:leftChars="0" w:firstLine="0" w:firstLineChars="0"/>
        <w:rPr>
          <w:rFonts w:hint="eastAsia" w:ascii="宋体" w:hAnsi="宋体" w:eastAsia="宋体" w:cs="宋体"/>
          <w:color w:val="auto"/>
          <w:sz w:val="24"/>
          <w:szCs w:val="24"/>
          <w:highlight w:val="none"/>
          <w:lang w:val="en-US" w:eastAsia="zh-CN"/>
        </w:rPr>
      </w:pPr>
    </w:p>
    <w:p w14:paraId="44804763">
      <w:pPr>
        <w:pStyle w:val="7"/>
        <w:ind w:left="0" w:leftChars="0" w:firstLine="1440" w:firstLineChars="6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p w14:paraId="3CC9095D">
      <w:pPr>
        <w:rPr>
          <w:rFonts w:hint="eastAsia" w:ascii="宋体" w:hAnsi="宋体" w:eastAsia="宋体" w:cs="宋体"/>
          <w:color w:val="auto"/>
          <w:sz w:val="24"/>
          <w:szCs w:val="24"/>
          <w:highlight w:val="none"/>
        </w:rPr>
      </w:pPr>
    </w:p>
    <w:p w14:paraId="23966891">
      <w:pPr>
        <w:pStyle w:val="7"/>
        <w:ind w:left="0" w:leftChars="0" w:firstLine="1440" w:firstLineChars="6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p w14:paraId="163BE803">
      <w:pPr>
        <w:pStyle w:val="7"/>
        <w:rPr>
          <w:rFonts w:hint="eastAsia" w:ascii="宋体" w:hAnsi="宋体" w:eastAsia="宋体" w:cs="宋体"/>
          <w:color w:val="auto"/>
          <w:sz w:val="24"/>
          <w:szCs w:val="24"/>
          <w:highlight w:val="none"/>
        </w:rPr>
      </w:pPr>
    </w:p>
    <w:p w14:paraId="7B10F5DE">
      <w:pPr>
        <w:pStyle w:val="7"/>
        <w:ind w:left="0" w:leftChars="0" w:firstLine="1440" w:firstLineChars="6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p w14:paraId="65F3EEB7">
      <w:pPr>
        <w:rPr>
          <w:rFonts w:hint="eastAsia" w:ascii="宋体" w:hAnsi="宋体" w:eastAsia="宋体" w:cs="宋体"/>
          <w:color w:val="auto"/>
          <w:sz w:val="24"/>
          <w:szCs w:val="24"/>
          <w:highlight w:val="none"/>
        </w:rPr>
      </w:pPr>
    </w:p>
    <w:p w14:paraId="5DBE33CF">
      <w:pPr>
        <w:pStyle w:val="7"/>
        <w:rPr>
          <w:rFonts w:hint="eastAsia" w:ascii="宋体" w:hAnsi="宋体" w:eastAsia="宋体" w:cs="宋体"/>
          <w:color w:val="auto"/>
          <w:sz w:val="24"/>
          <w:szCs w:val="24"/>
          <w:highlight w:val="none"/>
        </w:rPr>
      </w:pPr>
    </w:p>
    <w:p w14:paraId="29D5B943">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 </w:t>
      </w:r>
    </w:p>
    <w:p w14:paraId="0433E0E2">
      <w:pPr>
        <w:keepNext w:val="0"/>
        <w:keepLines w:val="0"/>
        <w:pageBreakBefore w:val="0"/>
        <w:widowControl w:val="0"/>
        <w:kinsoku/>
        <w:wordWrap/>
        <w:overflowPunct/>
        <w:topLinePunct w:val="0"/>
        <w:autoSpaceDE w:val="0"/>
        <w:autoSpaceDN w:val="0"/>
        <w:bidi w:val="0"/>
        <w:adjustRightInd/>
        <w:snapToGrid/>
        <w:spacing w:line="440" w:lineRule="exact"/>
        <w:textAlignment w:val="auto"/>
        <w:rPr>
          <w:color w:val="auto"/>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此表为《</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一览表(首次报价表)》的报价明细表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lang w:val="en-US" w:eastAsia="zh-CN" w:bidi="ar"/>
        </w:rPr>
        <w:t>具体内容及所需的表格，以</w:t>
      </w:r>
      <w:r>
        <w:rPr>
          <w:rFonts w:hint="eastAsia" w:cs="宋体"/>
          <w:color w:val="auto"/>
          <w:kern w:val="0"/>
          <w:sz w:val="24"/>
          <w:szCs w:val="24"/>
          <w:highlight w:val="none"/>
          <w:lang w:val="en-US" w:eastAsia="zh-CN" w:bidi="ar"/>
        </w:rPr>
        <w:t>磋商</w:t>
      </w:r>
      <w:r>
        <w:rPr>
          <w:rFonts w:hint="eastAsia" w:ascii="宋体" w:hAnsi="宋体" w:eastAsia="宋体" w:cs="宋体"/>
          <w:color w:val="auto"/>
          <w:kern w:val="0"/>
          <w:sz w:val="24"/>
          <w:szCs w:val="24"/>
          <w:highlight w:val="none"/>
          <w:lang w:val="en-US" w:eastAsia="zh-CN" w:bidi="ar"/>
        </w:rPr>
        <w:t>文件的“附件</w:t>
      </w:r>
      <w:r>
        <w:rPr>
          <w:rFonts w:hint="eastAsia"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工程量清单”为准。</w:t>
      </w:r>
    </w:p>
    <w:p w14:paraId="6CF7F70C">
      <w:pPr>
        <w:rPr>
          <w:rFonts w:hint="eastAsia" w:ascii="宋体" w:hAnsi="宋体" w:eastAsia="宋体" w:cs="宋体"/>
          <w:color w:val="auto"/>
          <w:sz w:val="24"/>
          <w:szCs w:val="24"/>
          <w:highlight w:val="none"/>
        </w:rPr>
      </w:pPr>
    </w:p>
    <w:p w14:paraId="4FC1D107">
      <w:pPr>
        <w:pStyle w:val="7"/>
        <w:ind w:left="0" w:leftChars="0" w:firstLine="0" w:firstLineChars="0"/>
        <w:jc w:val="both"/>
        <w:rPr>
          <w:rFonts w:hint="eastAsia" w:ascii="宋体" w:hAnsi="宋体" w:eastAsia="宋体" w:cs="宋体"/>
          <w:color w:val="auto"/>
          <w:sz w:val="24"/>
          <w:szCs w:val="24"/>
          <w:highlight w:val="none"/>
        </w:rPr>
      </w:pPr>
      <w:r>
        <w:rPr>
          <w:rFonts w:hint="eastAsia" w:ascii="仿宋" w:hAnsi="仿宋" w:eastAsia="仿宋" w:cs="仿宋"/>
          <w:b w:val="0"/>
          <w:bCs w:val="0"/>
          <w:color w:val="auto"/>
          <w:kern w:val="2"/>
          <w:sz w:val="24"/>
          <w:szCs w:val="24"/>
          <w:u w:val="none"/>
          <w:lang w:val="en-US" w:eastAsia="zh-CN" w:bidi="ar-SA"/>
        </w:rPr>
        <w:t>2、</w:t>
      </w:r>
      <w:r>
        <w:rPr>
          <w:rFonts w:hint="eastAsia" w:ascii="宋体" w:hAnsi="宋体" w:eastAsia="宋体" w:cs="宋体"/>
          <w:color w:val="auto"/>
          <w:sz w:val="24"/>
          <w:szCs w:val="24"/>
          <w:highlight w:val="none"/>
          <w:lang w:val="en-US" w:eastAsia="zh-CN" w:bidi="zh-CN"/>
        </w:rPr>
        <w:t>本项目招磋商文件中投标总价单必须由投标单位注册造价工程师签字并盖专用章</w:t>
      </w:r>
    </w:p>
    <w:p w14:paraId="2742C93F">
      <w:pPr>
        <w:rPr>
          <w:rFonts w:hint="eastAsia" w:ascii="宋体" w:hAnsi="宋体" w:eastAsia="宋体" w:cs="宋体"/>
          <w:color w:val="auto"/>
          <w:sz w:val="24"/>
          <w:szCs w:val="24"/>
          <w:highlight w:val="none"/>
        </w:rPr>
      </w:pPr>
    </w:p>
    <w:p w14:paraId="373CA20E">
      <w:pPr>
        <w:pStyle w:val="7"/>
        <w:rPr>
          <w:rFonts w:hint="eastAsia"/>
          <w:color w:val="auto"/>
          <w:highlight w:val="none"/>
        </w:rPr>
      </w:pPr>
    </w:p>
    <w:p w14:paraId="3A399DB4">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供应商名称（单位盖公章）：                              </w:t>
      </w:r>
    </w:p>
    <w:p w14:paraId="5EEE549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E48087E">
      <w:pPr>
        <w:keepNext w:val="0"/>
        <w:keepLines w:val="0"/>
        <w:widowControl/>
        <w:suppressLineNumbers w:val="0"/>
        <w:jc w:val="left"/>
        <w:rPr>
          <w:color w:val="auto"/>
          <w:highlight w:val="none"/>
        </w:rPr>
      </w:pPr>
      <w:r>
        <w:rPr>
          <w:rFonts w:hint="eastAsia" w:ascii="宋体" w:hAnsi="宋体" w:eastAsia="宋体" w:cs="宋体"/>
          <w:color w:val="auto"/>
          <w:sz w:val="24"/>
          <w:szCs w:val="24"/>
          <w:highlight w:val="none"/>
        </w:rPr>
        <w:t>法定代表人或供应商授权代表（签名或盖章）：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u w:val="single"/>
        </w:rPr>
        <w:t xml:space="preserve">         </w:t>
      </w:r>
    </w:p>
    <w:p w14:paraId="22F0A27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EEE1E3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6ABEFA1F">
      <w:pPr>
        <w:pStyle w:val="6"/>
        <w:rPr>
          <w:rFonts w:hint="eastAsia" w:ascii="宋体" w:hAnsi="宋体" w:eastAsia="宋体" w:cs="宋体"/>
          <w:color w:val="auto"/>
          <w:sz w:val="24"/>
          <w:szCs w:val="24"/>
          <w:highlight w:val="none"/>
        </w:rPr>
      </w:pPr>
    </w:p>
    <w:p w14:paraId="4C32D058">
      <w:pPr>
        <w:rPr>
          <w:rFonts w:hint="eastAsia" w:ascii="宋体" w:hAnsi="宋体" w:eastAsia="宋体" w:cs="宋体"/>
          <w:color w:val="auto"/>
          <w:sz w:val="24"/>
          <w:szCs w:val="24"/>
          <w:highlight w:val="none"/>
        </w:rPr>
      </w:pPr>
    </w:p>
    <w:p w14:paraId="79CE4AFF">
      <w:pPr>
        <w:pStyle w:val="6"/>
        <w:rPr>
          <w:rFonts w:hint="eastAsia" w:ascii="宋体" w:hAnsi="宋体" w:eastAsia="宋体" w:cs="宋体"/>
          <w:color w:val="auto"/>
          <w:sz w:val="24"/>
          <w:szCs w:val="24"/>
          <w:highlight w:val="none"/>
        </w:rPr>
      </w:pPr>
    </w:p>
    <w:p w14:paraId="5E091711">
      <w:pPr>
        <w:rPr>
          <w:rFonts w:hint="eastAsia" w:ascii="宋体" w:hAnsi="宋体" w:eastAsia="宋体" w:cs="宋体"/>
          <w:color w:val="auto"/>
          <w:sz w:val="24"/>
          <w:szCs w:val="24"/>
          <w:highlight w:val="none"/>
        </w:rPr>
      </w:pPr>
    </w:p>
    <w:p w14:paraId="0348E8E8">
      <w:pPr>
        <w:pStyle w:val="6"/>
        <w:rPr>
          <w:rFonts w:hint="eastAsia" w:ascii="宋体" w:hAnsi="宋体" w:eastAsia="宋体" w:cs="宋体"/>
          <w:color w:val="auto"/>
          <w:sz w:val="24"/>
          <w:szCs w:val="24"/>
          <w:highlight w:val="none"/>
        </w:rPr>
      </w:pPr>
    </w:p>
    <w:p w14:paraId="4F20936E">
      <w:pPr>
        <w:rPr>
          <w:rFonts w:hint="eastAsia" w:ascii="宋体" w:hAnsi="宋体" w:eastAsia="宋体" w:cs="宋体"/>
          <w:color w:val="auto"/>
          <w:sz w:val="24"/>
          <w:szCs w:val="24"/>
          <w:highlight w:val="none"/>
        </w:rPr>
      </w:pPr>
    </w:p>
    <w:p w14:paraId="2CC2DA3E">
      <w:pPr>
        <w:pStyle w:val="6"/>
        <w:rPr>
          <w:rFonts w:hint="eastAsia" w:ascii="宋体" w:hAnsi="宋体" w:eastAsia="宋体" w:cs="宋体"/>
          <w:color w:val="auto"/>
          <w:sz w:val="24"/>
          <w:szCs w:val="24"/>
          <w:highlight w:val="none"/>
        </w:rPr>
      </w:pPr>
    </w:p>
    <w:p w14:paraId="15A52DBF">
      <w:pPr>
        <w:rPr>
          <w:rFonts w:hint="eastAsia" w:ascii="宋体" w:hAnsi="宋体" w:eastAsia="宋体" w:cs="宋体"/>
          <w:color w:val="auto"/>
          <w:sz w:val="24"/>
          <w:szCs w:val="24"/>
          <w:highlight w:val="none"/>
        </w:rPr>
      </w:pPr>
    </w:p>
    <w:p w14:paraId="00DE99D7">
      <w:pPr>
        <w:pStyle w:val="6"/>
        <w:rPr>
          <w:rFonts w:hint="eastAsia" w:ascii="宋体" w:hAnsi="宋体" w:eastAsia="宋体" w:cs="宋体"/>
          <w:color w:val="auto"/>
          <w:sz w:val="24"/>
          <w:szCs w:val="24"/>
          <w:highlight w:val="none"/>
        </w:rPr>
      </w:pPr>
    </w:p>
    <w:p w14:paraId="3BF7A3EF">
      <w:pPr>
        <w:rPr>
          <w:rFonts w:hint="eastAsia" w:ascii="宋体" w:hAnsi="宋体" w:eastAsia="宋体" w:cs="宋体"/>
          <w:color w:val="auto"/>
          <w:sz w:val="24"/>
          <w:szCs w:val="24"/>
          <w:highlight w:val="none"/>
        </w:rPr>
      </w:pPr>
    </w:p>
    <w:p w14:paraId="5CA522FE">
      <w:pPr>
        <w:jc w:val="center"/>
        <w:rPr>
          <w:rFonts w:hint="eastAsia"/>
          <w:sz w:val="48"/>
          <w:szCs w:val="56"/>
          <w:lang w:val="en-US" w:eastAsia="zh-CN"/>
        </w:rPr>
      </w:pPr>
      <w:r>
        <w:rPr>
          <w:rFonts w:hint="eastAsia"/>
          <w:sz w:val="48"/>
          <w:szCs w:val="56"/>
          <w:lang w:val="en-US" w:eastAsia="zh-CN"/>
        </w:rPr>
        <w:t>投标总价单</w:t>
      </w:r>
    </w:p>
    <w:p w14:paraId="18488C18">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投标总价：</w:t>
      </w:r>
      <w:r>
        <w:rPr>
          <w:rFonts w:hint="eastAsia"/>
          <w:sz w:val="24"/>
          <w:szCs w:val="32"/>
          <w:u w:val="single"/>
          <w:lang w:val="en-US" w:eastAsia="zh-CN"/>
        </w:rPr>
        <w:t xml:space="preserve">                                              </w:t>
      </w:r>
    </w:p>
    <w:p w14:paraId="62CC766F">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招标人：</w:t>
      </w:r>
      <w:r>
        <w:rPr>
          <w:rFonts w:hint="eastAsia"/>
          <w:sz w:val="24"/>
          <w:szCs w:val="32"/>
          <w:u w:val="single"/>
          <w:lang w:val="en-US" w:eastAsia="zh-CN"/>
        </w:rPr>
        <w:t xml:space="preserve">                                                 </w:t>
      </w:r>
    </w:p>
    <w:p w14:paraId="58158476">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工程名称：</w:t>
      </w:r>
      <w:r>
        <w:rPr>
          <w:rFonts w:hint="eastAsia"/>
          <w:sz w:val="24"/>
          <w:szCs w:val="32"/>
          <w:u w:val="single"/>
          <w:lang w:val="en-US" w:eastAsia="zh-CN"/>
        </w:rPr>
        <w:t xml:space="preserve">                                               </w:t>
      </w:r>
    </w:p>
    <w:p w14:paraId="2163AA27">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投标总价：（小写）</w:t>
      </w:r>
      <w:r>
        <w:rPr>
          <w:rFonts w:hint="eastAsia"/>
          <w:sz w:val="24"/>
          <w:szCs w:val="32"/>
          <w:u w:val="single"/>
          <w:lang w:val="en-US" w:eastAsia="zh-CN"/>
        </w:rPr>
        <w:t xml:space="preserve">                                        </w:t>
      </w:r>
    </w:p>
    <w:p w14:paraId="130E11E7">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sz w:val="24"/>
          <w:szCs w:val="32"/>
          <w:u w:val="single"/>
          <w:lang w:val="en-US" w:eastAsia="zh-CN"/>
        </w:rPr>
      </w:pPr>
      <w:r>
        <w:rPr>
          <w:rFonts w:hint="eastAsia"/>
          <w:sz w:val="24"/>
          <w:szCs w:val="32"/>
          <w:lang w:val="en-US" w:eastAsia="zh-CN"/>
        </w:rPr>
        <w:t xml:space="preserve">             （大写） </w:t>
      </w:r>
      <w:r>
        <w:rPr>
          <w:rFonts w:hint="eastAsia"/>
          <w:sz w:val="24"/>
          <w:szCs w:val="32"/>
          <w:u w:val="single"/>
          <w:lang w:val="en-US" w:eastAsia="zh-CN"/>
        </w:rPr>
        <w:t xml:space="preserve">                                        </w:t>
      </w:r>
    </w:p>
    <w:p w14:paraId="5DC75C39">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投标人：</w:t>
      </w:r>
      <w:r>
        <w:rPr>
          <w:rFonts w:hint="eastAsia"/>
          <w:sz w:val="24"/>
          <w:szCs w:val="32"/>
          <w:u w:val="single"/>
          <w:lang w:val="en-US" w:eastAsia="zh-CN"/>
        </w:rPr>
        <w:t xml:space="preserve">                                                 </w:t>
      </w:r>
    </w:p>
    <w:p w14:paraId="68D51CD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sz w:val="24"/>
          <w:szCs w:val="32"/>
          <w:lang w:val="en-US" w:eastAsia="zh-CN"/>
        </w:rPr>
      </w:pPr>
      <w:r>
        <w:rPr>
          <w:rFonts w:hint="eastAsia"/>
          <w:sz w:val="24"/>
          <w:szCs w:val="32"/>
          <w:lang w:val="en-US" w:eastAsia="zh-CN"/>
        </w:rPr>
        <w:t>（单位盖章）</w:t>
      </w:r>
    </w:p>
    <w:p w14:paraId="00EF6873">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法定代表人：</w:t>
      </w:r>
      <w:r>
        <w:rPr>
          <w:rFonts w:hint="eastAsia"/>
          <w:sz w:val="24"/>
          <w:szCs w:val="32"/>
          <w:u w:val="single"/>
          <w:lang w:val="en-US" w:eastAsia="zh-CN"/>
        </w:rPr>
        <w:t xml:space="preserve">                                             </w:t>
      </w:r>
    </w:p>
    <w:p w14:paraId="3EE1A8C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sz w:val="24"/>
          <w:szCs w:val="32"/>
          <w:lang w:val="en-US" w:eastAsia="zh-CN"/>
        </w:rPr>
      </w:pPr>
      <w:r>
        <w:rPr>
          <w:rFonts w:hint="eastAsia"/>
          <w:sz w:val="24"/>
          <w:szCs w:val="32"/>
          <w:lang w:val="en-US" w:eastAsia="zh-CN"/>
        </w:rPr>
        <w:t>（盖章）</w:t>
      </w:r>
    </w:p>
    <w:p w14:paraId="3497ABBE">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编制人：</w:t>
      </w:r>
      <w:r>
        <w:rPr>
          <w:rFonts w:hint="eastAsia"/>
          <w:sz w:val="24"/>
          <w:szCs w:val="32"/>
          <w:u w:val="single"/>
          <w:lang w:val="en-US" w:eastAsia="zh-CN"/>
        </w:rPr>
        <w:t xml:space="preserve">                                                  </w:t>
      </w:r>
    </w:p>
    <w:p w14:paraId="6B86DA2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sz w:val="24"/>
          <w:szCs w:val="32"/>
          <w:lang w:val="en-US" w:eastAsia="zh-CN"/>
        </w:rPr>
      </w:pPr>
      <w:r>
        <w:rPr>
          <w:rFonts w:hint="eastAsia"/>
          <w:sz w:val="24"/>
          <w:szCs w:val="32"/>
          <w:lang w:val="en-US" w:eastAsia="zh-CN"/>
        </w:rPr>
        <w:t>（注册造价师盖专业章）</w:t>
      </w:r>
    </w:p>
    <w:p w14:paraId="4B4FA347">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sz w:val="24"/>
          <w:szCs w:val="32"/>
          <w:lang w:val="en-US" w:eastAsia="zh-CN"/>
        </w:rPr>
      </w:pPr>
    </w:p>
    <w:p w14:paraId="59675D08">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sz w:val="24"/>
          <w:szCs w:val="32"/>
          <w:lang w:val="en-US" w:eastAsia="zh-CN"/>
        </w:rPr>
      </w:pPr>
    </w:p>
    <w:p w14:paraId="5207CBE0">
      <w:pPr>
        <w:keepNext w:val="0"/>
        <w:keepLines w:val="0"/>
        <w:pageBreakBefore w:val="0"/>
        <w:widowControl w:val="0"/>
        <w:kinsoku/>
        <w:wordWrap/>
        <w:overflowPunct/>
        <w:topLinePunct w:val="0"/>
        <w:autoSpaceDE/>
        <w:autoSpaceDN/>
        <w:bidi w:val="0"/>
        <w:adjustRightInd/>
        <w:snapToGrid/>
        <w:spacing w:line="700" w:lineRule="exact"/>
        <w:ind w:firstLine="240" w:firstLineChars="100"/>
        <w:textAlignment w:val="auto"/>
        <w:rPr>
          <w:rFonts w:hint="default"/>
          <w:sz w:val="24"/>
          <w:szCs w:val="32"/>
          <w:lang w:val="en-US" w:eastAsia="zh-CN"/>
        </w:rPr>
      </w:pPr>
      <w:r>
        <w:rPr>
          <w:rFonts w:hint="eastAsia"/>
          <w:sz w:val="24"/>
          <w:szCs w:val="32"/>
          <w:lang w:val="en-US" w:eastAsia="zh-CN"/>
        </w:rPr>
        <w:t>时间：   年   月    日</w:t>
      </w:r>
    </w:p>
    <w:p w14:paraId="34598AAA">
      <w:pPr>
        <w:pStyle w:val="6"/>
        <w:rPr>
          <w:rFonts w:hint="eastAsia"/>
        </w:rPr>
        <w:sectPr>
          <w:pgSz w:w="11910" w:h="16840"/>
          <w:pgMar w:top="1984" w:right="1531" w:bottom="2098" w:left="1531" w:header="670" w:footer="1041" w:gutter="0"/>
          <w:pgNumType w:fmt="decimal"/>
          <w:cols w:space="720" w:num="1"/>
          <w:rtlGutter w:val="0"/>
          <w:docGrid w:linePitch="1" w:charSpace="0"/>
        </w:sectPr>
      </w:pPr>
    </w:p>
    <w:p w14:paraId="0DC5A512">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b/>
          <w:bCs/>
          <w:color w:val="auto"/>
          <w:sz w:val="36"/>
          <w:szCs w:val="36"/>
          <w:highlight w:val="none"/>
          <w:lang w:val="en-US" w:eastAsia="zh-CN"/>
        </w:rPr>
      </w:pPr>
      <w:bookmarkStart w:id="532" w:name="_Toc10107_WPSOffice_Level1"/>
      <w:r>
        <w:rPr>
          <w:rFonts w:hint="eastAsia"/>
          <w:b/>
          <w:bCs/>
          <w:color w:val="auto"/>
          <w:sz w:val="36"/>
          <w:szCs w:val="36"/>
          <w:highlight w:val="none"/>
          <w:lang w:val="en-US" w:eastAsia="zh-CN"/>
        </w:rPr>
        <w:t>五、供应商认为需要提供的其他资料</w:t>
      </w:r>
      <w:bookmarkEnd w:id="532"/>
    </w:p>
    <w:p w14:paraId="7233B22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C1EBA1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4EA9ED35">
      <w:pPr>
        <w:keepNext w:val="0"/>
        <w:keepLines w:val="0"/>
        <w:widowControl/>
        <w:suppressLineNumbers w:val="0"/>
        <w:jc w:val="left"/>
        <w:rPr>
          <w:color w:val="auto"/>
          <w:highlight w:val="none"/>
        </w:rPr>
      </w:pPr>
      <w:r>
        <w:rPr>
          <w:rFonts w:hint="eastAsia" w:ascii="宋体" w:hAnsi="宋体" w:eastAsia="宋体" w:cs="宋体"/>
          <w:b/>
          <w:bCs/>
          <w:color w:val="auto"/>
          <w:kern w:val="0"/>
          <w:sz w:val="28"/>
          <w:szCs w:val="28"/>
          <w:highlight w:val="none"/>
          <w:lang w:val="en-US" w:eastAsia="zh-CN" w:bidi="ar"/>
        </w:rPr>
        <w:t xml:space="preserve"> </w:t>
      </w:r>
    </w:p>
    <w:p w14:paraId="215E495D">
      <w:pPr>
        <w:keepNext w:val="0"/>
        <w:keepLines w:val="0"/>
        <w:widowControl/>
        <w:suppressLineNumbers w:val="0"/>
        <w:ind w:firstLine="480" w:firstLineChars="20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供应商认为需要提供的其他证明文件或图片、文字说明等其他资料。 </w:t>
      </w:r>
    </w:p>
    <w:p w14:paraId="46953306">
      <w:pPr>
        <w:keepNext w:val="0"/>
        <w:keepLines w:val="0"/>
        <w:widowControl/>
        <w:suppressLineNumbers w:val="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注：本项内容由供应商根据本磋商文件的内容自行决定。 </w:t>
      </w:r>
    </w:p>
    <w:p w14:paraId="17825A30">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44962341">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102DB2A6">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6B0389E4">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3028C044">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A768A8E">
      <w:pPr>
        <w:keepNext w:val="0"/>
        <w:keepLines w:val="0"/>
        <w:widowControl/>
        <w:suppressLineNumbers w:val="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供应商法定代表人（或法定代表人授权代表）签字或签章： </w:t>
      </w:r>
    </w:p>
    <w:p w14:paraId="2B4F05EE">
      <w:pPr>
        <w:keepNext w:val="0"/>
        <w:keepLines w:val="0"/>
        <w:widowControl/>
        <w:suppressLineNumbers w:val="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供应商名称（盖公章）： </w:t>
      </w:r>
    </w:p>
    <w:p w14:paraId="64F4E45C">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2A2B36F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06B0852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0285D40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26AEE3CF">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2CFC3A3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102E686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1B87F63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4387510E">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619DD4EE">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522954B7">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2FA06237">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12362009">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24C4A291">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4262AEBE">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6C616C44">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490C54B2">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779F28B6">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699221C0">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42AA9E8D">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14:paraId="0FCA28AA">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b/>
          <w:bCs/>
          <w:color w:val="auto"/>
          <w:sz w:val="36"/>
          <w:szCs w:val="36"/>
          <w:highlight w:val="none"/>
          <w:lang w:val="en-US" w:eastAsia="zh-CN"/>
        </w:rPr>
      </w:pPr>
      <w:bookmarkStart w:id="533" w:name="_Toc27321_WPSOffice_Level1"/>
      <w:r>
        <w:rPr>
          <w:rFonts w:hint="eastAsia"/>
          <w:b/>
          <w:bCs/>
          <w:color w:val="auto"/>
          <w:sz w:val="36"/>
          <w:szCs w:val="36"/>
          <w:highlight w:val="none"/>
          <w:lang w:val="en-US" w:eastAsia="zh-CN"/>
        </w:rPr>
        <w:t>六、其他文件格式</w:t>
      </w:r>
      <w:bookmarkEnd w:id="533"/>
    </w:p>
    <w:p w14:paraId="3328B9B1">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p>
    <w:p w14:paraId="45E026C8">
      <w:pPr>
        <w:pStyle w:val="15"/>
        <w:rPr>
          <w:rFonts w:hint="eastAsia" w:ascii="宋体" w:hAnsi="宋体" w:eastAsia="宋体" w:cs="宋体"/>
          <w:color w:val="auto"/>
          <w:sz w:val="24"/>
          <w:szCs w:val="24"/>
          <w:highlight w:val="none"/>
        </w:rPr>
      </w:pPr>
    </w:p>
    <w:p w14:paraId="2039AA95">
      <w:pPr>
        <w:pStyle w:val="3"/>
        <w:bidi w:val="0"/>
        <w:jc w:val="center"/>
        <w:rPr>
          <w:rFonts w:hint="eastAsia" w:ascii="宋体" w:hAnsi="宋体" w:eastAsia="宋体" w:cs="宋体"/>
          <w:b/>
          <w:bCs/>
          <w:color w:val="auto"/>
          <w:sz w:val="30"/>
          <w:szCs w:val="30"/>
          <w:highlight w:val="none"/>
          <w:lang w:val="en-US" w:eastAsia="zh-CN"/>
        </w:rPr>
      </w:pPr>
      <w:r>
        <w:rPr>
          <w:rFonts w:hint="eastAsia" w:cs="宋体"/>
          <w:b/>
          <w:color w:val="auto"/>
          <w:kern w:val="0"/>
          <w:sz w:val="30"/>
          <w:szCs w:val="30"/>
          <w:highlight w:val="none"/>
          <w:lang w:val="en-US" w:eastAsia="zh-CN" w:bidi="zh-CN"/>
        </w:rPr>
        <w:t>6</w:t>
      </w:r>
      <w:r>
        <w:rPr>
          <w:rFonts w:hint="eastAsia" w:ascii="宋体" w:hAnsi="宋体" w:eastAsia="宋体" w:cs="宋体"/>
          <w:b/>
          <w:color w:val="auto"/>
          <w:kern w:val="0"/>
          <w:sz w:val="30"/>
          <w:szCs w:val="30"/>
          <w:highlight w:val="none"/>
          <w:lang w:val="en-US" w:eastAsia="zh-CN" w:bidi="zh-CN"/>
        </w:rPr>
        <w:t>.</w:t>
      </w:r>
      <w:r>
        <w:rPr>
          <w:rFonts w:hint="eastAsia" w:cs="宋体"/>
          <w:b/>
          <w:color w:val="auto"/>
          <w:kern w:val="0"/>
          <w:sz w:val="30"/>
          <w:szCs w:val="30"/>
          <w:highlight w:val="none"/>
          <w:lang w:val="en-US" w:eastAsia="zh-CN" w:bidi="zh-CN"/>
        </w:rPr>
        <w:t>1</w:t>
      </w:r>
      <w:r>
        <w:rPr>
          <w:rFonts w:hint="eastAsia" w:ascii="宋体" w:hAnsi="宋体" w:eastAsia="宋体" w:cs="宋体"/>
          <w:b/>
          <w:color w:val="auto"/>
          <w:kern w:val="0"/>
          <w:sz w:val="30"/>
          <w:szCs w:val="30"/>
          <w:highlight w:val="none"/>
          <w:lang w:val="en-US" w:eastAsia="zh-CN" w:bidi="zh-CN"/>
        </w:rPr>
        <w:t xml:space="preserve"> 法定代表人授权委托书</w:t>
      </w:r>
      <w:r>
        <w:rPr>
          <w:rFonts w:hint="eastAsia" w:ascii="宋体" w:hAnsi="宋体" w:eastAsia="宋体" w:cs="宋体"/>
          <w:b/>
          <w:bCs/>
          <w:color w:val="auto"/>
          <w:sz w:val="30"/>
          <w:szCs w:val="30"/>
          <w:highlight w:val="none"/>
          <w:lang w:val="en-US" w:eastAsia="zh-CN"/>
        </w:rPr>
        <w:t xml:space="preserve"> </w:t>
      </w:r>
    </w:p>
    <w:p w14:paraId="680EE1C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00A243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本授权委托书声明：注册于</w:t>
      </w:r>
      <w:r>
        <w:rPr>
          <w:rFonts w:hint="eastAsia" w:ascii="宋体" w:hAnsi="宋体" w:eastAsia="宋体" w:cs="宋体"/>
          <w:color w:val="auto"/>
          <w:sz w:val="24"/>
          <w:szCs w:val="24"/>
          <w:highlight w:val="none"/>
          <w:u w:val="single"/>
        </w:rPr>
        <w:t xml:space="preserve"> （供应商地址） </w:t>
      </w:r>
      <w:r>
        <w:rPr>
          <w:rFonts w:hint="eastAsia" w:ascii="宋体" w:hAnsi="宋体" w:eastAsia="宋体" w:cs="宋体"/>
          <w:color w:val="auto"/>
          <w:sz w:val="24"/>
          <w:szCs w:val="24"/>
          <w:highlight w:val="none"/>
        </w:rPr>
        <w:t xml:space="preserve"> 的 </w:t>
      </w:r>
      <w:r>
        <w:rPr>
          <w:rFonts w:hint="eastAsia" w:ascii="宋体" w:hAnsi="宋体" w:eastAsia="宋体" w:cs="宋体"/>
          <w:color w:val="auto"/>
          <w:sz w:val="24"/>
          <w:szCs w:val="24"/>
          <w:highlight w:val="none"/>
          <w:u w:val="single"/>
        </w:rPr>
        <w:t xml:space="preserve"> （供应商名称）    </w:t>
      </w:r>
      <w:r>
        <w:rPr>
          <w:rFonts w:hint="eastAsia" w:ascii="宋体" w:hAnsi="宋体" w:eastAsia="宋体" w:cs="宋体"/>
          <w:color w:val="auto"/>
          <w:sz w:val="24"/>
          <w:szCs w:val="24"/>
          <w:highlight w:val="none"/>
        </w:rPr>
        <w:t>在下面签名的（</w:t>
      </w:r>
      <w:r>
        <w:rPr>
          <w:rFonts w:hint="eastAsia" w:ascii="宋体" w:hAnsi="宋体" w:eastAsia="宋体" w:cs="宋体"/>
          <w:color w:val="auto"/>
          <w:sz w:val="24"/>
          <w:szCs w:val="24"/>
          <w:highlight w:val="none"/>
          <w:u w:val="single"/>
        </w:rPr>
        <w:t>法定代表人姓名、职务</w:t>
      </w:r>
      <w:r>
        <w:rPr>
          <w:rFonts w:hint="eastAsia" w:ascii="宋体" w:hAnsi="宋体" w:eastAsia="宋体" w:cs="宋体"/>
          <w:color w:val="auto"/>
          <w:sz w:val="24"/>
          <w:szCs w:val="24"/>
          <w:highlight w:val="none"/>
        </w:rPr>
        <w:t>），现任我单位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职务，为法定代表人。在此授权（</w:t>
      </w:r>
      <w:r>
        <w:rPr>
          <w:rFonts w:hint="eastAsia" w:ascii="宋体" w:hAnsi="宋体" w:eastAsia="宋体" w:cs="宋体"/>
          <w:color w:val="auto"/>
          <w:sz w:val="24"/>
          <w:szCs w:val="24"/>
          <w:highlight w:val="none"/>
          <w:u w:val="single"/>
        </w:rPr>
        <w:t>被授权人姓名、职务</w:t>
      </w:r>
      <w:r>
        <w:rPr>
          <w:rFonts w:hint="eastAsia" w:ascii="宋体" w:hAnsi="宋体" w:eastAsia="宋体" w:cs="宋体"/>
          <w:color w:val="auto"/>
          <w:sz w:val="24"/>
          <w:szCs w:val="24"/>
          <w:highlight w:val="none"/>
        </w:rPr>
        <w:t>）作为我公司的合法代理人，就（</w:t>
      </w:r>
      <w:r>
        <w:rPr>
          <w:rFonts w:hint="eastAsia" w:ascii="宋体" w:hAnsi="宋体" w:eastAsia="宋体" w:cs="宋体"/>
          <w:color w:val="auto"/>
          <w:sz w:val="24"/>
          <w:szCs w:val="24"/>
          <w:highlight w:val="none"/>
          <w:u w:val="single"/>
        </w:rPr>
        <w:t>采购项目名称、采购项目编号</w:t>
      </w:r>
      <w:r>
        <w:rPr>
          <w:rFonts w:hint="eastAsia" w:ascii="宋体" w:hAnsi="宋体" w:eastAsia="宋体" w:cs="宋体"/>
          <w:color w:val="auto"/>
          <w:sz w:val="24"/>
          <w:szCs w:val="24"/>
          <w:highlight w:val="none"/>
        </w:rPr>
        <w:t>）采购活动相关的响应、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 xml:space="preserve">、合同执行，以我公司的名义处理一切与之有关的事务。 </w:t>
      </w:r>
    </w:p>
    <w:p w14:paraId="55218D0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被授权人（供应商授权代表）无转委托权限。 </w:t>
      </w:r>
    </w:p>
    <w:p w14:paraId="7D6FD71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0288" behindDoc="1" locked="0" layoutInCell="1" allowOverlap="1">
                <wp:simplePos x="0" y="0"/>
                <wp:positionH relativeFrom="page">
                  <wp:posOffset>1252855</wp:posOffset>
                </wp:positionH>
                <wp:positionV relativeFrom="paragraph">
                  <wp:posOffset>662940</wp:posOffset>
                </wp:positionV>
                <wp:extent cx="67310" cy="13462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67310" cy="134620"/>
                        </a:xfrm>
                        <a:prstGeom prst="rect">
                          <a:avLst/>
                        </a:prstGeom>
                        <a:noFill/>
                        <a:ln>
                          <a:noFill/>
                        </a:ln>
                      </wps:spPr>
                      <wps:txbx>
                        <w:txbxContent>
                          <w:p w14:paraId="69D293B8">
                            <w:pPr>
                              <w:pStyle w:val="8"/>
                              <w:spacing w:line="211" w:lineRule="exact"/>
                            </w:pPr>
                            <w:r>
                              <w:rPr>
                                <w:w w:val="100"/>
                              </w:rPr>
                              <w:t xml:space="preserve"> </w:t>
                            </w:r>
                          </w:p>
                        </w:txbxContent>
                      </wps:txbx>
                      <wps:bodyPr lIns="0" tIns="0" rIns="0" bIns="0" upright="1"/>
                    </wps:wsp>
                  </a:graphicData>
                </a:graphic>
              </wp:anchor>
            </w:drawing>
          </mc:Choice>
          <mc:Fallback>
            <w:pict>
              <v:shape id="_x0000_s1026" o:spid="_x0000_s1026" o:spt="202" type="#_x0000_t202" style="position:absolute;left:0pt;margin-left:98.65pt;margin-top:52.2pt;height:10.6pt;width:5.3pt;mso-position-horizontal-relative:page;z-index:-251656192;mso-width-relative:page;mso-height-relative:page;" filled="f" stroked="f" coordsize="21600,21600" o:gfxdata="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RQMvo2QAAAAsBAAAPAAAAAAAAAAEAIAAAACIAAABkcnMvZG93bnJldi54bWxQSwEC&#10;FAAUAAAACACHTuJAR+xR1LoBAAByAwAADgAAAAAAAAABACAAAAAoAQAAZHJzL2Uyb0RvYy54bWxQ&#10;SwUGAAAAAAYABgBZAQAAVAUAAAAA&#10;">
                <v:fill on="f" focussize="0,0"/>
                <v:stroke on="f"/>
                <v:imagedata o:title=""/>
                <o:lock v:ext="edit" aspectratio="f"/>
                <v:textbox inset="0mm,0mm,0mm,0mm">
                  <w:txbxContent>
                    <w:p w14:paraId="69D293B8">
                      <w:pPr>
                        <w:pStyle w:val="8"/>
                        <w:spacing w:line="211" w:lineRule="exact"/>
                      </w:pPr>
                      <w:r>
                        <w:rPr>
                          <w:w w:val="100"/>
                        </w:rPr>
                        <w:t xml:space="preserve"> </w:t>
                      </w:r>
                    </w:p>
                  </w:txbxContent>
                </v:textbox>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3360" behindDoc="1" locked="0" layoutInCell="1" allowOverlap="1">
                <wp:simplePos x="0" y="0"/>
                <wp:positionH relativeFrom="page">
                  <wp:posOffset>3604895</wp:posOffset>
                </wp:positionH>
                <wp:positionV relativeFrom="paragraph">
                  <wp:posOffset>568960</wp:posOffset>
                </wp:positionV>
                <wp:extent cx="2723515" cy="1511300"/>
                <wp:effectExtent l="4445" t="4445" r="15240" b="8255"/>
                <wp:wrapNone/>
                <wp:docPr id="26" name="文本框 26"/>
                <wp:cNvGraphicFramePr/>
                <a:graphic xmlns:a="http://schemas.openxmlformats.org/drawingml/2006/main">
                  <a:graphicData uri="http://schemas.microsoft.com/office/word/2010/wordprocessingShape">
                    <wps:wsp>
                      <wps:cNvSpPr txBox="1"/>
                      <wps:spPr>
                        <a:xfrm>
                          <a:off x="0" y="0"/>
                          <a:ext cx="2723515" cy="1511300"/>
                        </a:xfrm>
                        <a:prstGeom prst="rect">
                          <a:avLst/>
                        </a:prstGeom>
                        <a:noFill/>
                        <a:ln w="9525" cap="flat" cmpd="sng">
                          <a:solidFill>
                            <a:srgbClr val="000000"/>
                          </a:solidFill>
                          <a:prstDash val="solid"/>
                          <a:miter/>
                          <a:headEnd type="none" w="med" len="med"/>
                          <a:tailEnd type="none" w="med" len="med"/>
                        </a:ln>
                      </wps:spPr>
                      <wps:txbx>
                        <w:txbxContent>
                          <w:p w14:paraId="126ACE3E">
                            <w:pPr>
                              <w:pStyle w:val="8"/>
                              <w:rPr>
                                <w:sz w:val="20"/>
                              </w:rPr>
                            </w:pPr>
                          </w:p>
                          <w:p w14:paraId="7D941862">
                            <w:pPr>
                              <w:pStyle w:val="8"/>
                              <w:rPr>
                                <w:sz w:val="20"/>
                              </w:rPr>
                            </w:pPr>
                          </w:p>
                          <w:p w14:paraId="114ED667">
                            <w:pPr>
                              <w:pStyle w:val="8"/>
                              <w:spacing w:before="1"/>
                              <w:rPr>
                                <w:sz w:val="16"/>
                              </w:rPr>
                            </w:pPr>
                          </w:p>
                          <w:p w14:paraId="040E651D">
                            <w:pPr>
                              <w:pStyle w:val="8"/>
                              <w:spacing w:line="278" w:lineRule="auto"/>
                              <w:ind w:left="1091" w:right="1498" w:firstLine="314"/>
                            </w:pPr>
                            <w:r>
                              <w:rPr>
                                <w:spacing w:val="-1"/>
                              </w:rPr>
                              <w:t xml:space="preserve">法定代表人  </w:t>
                            </w:r>
                            <w:r>
                              <w:rPr>
                                <w:spacing w:val="-5"/>
                              </w:rPr>
                              <w:t>居民身份证复印件</w:t>
                            </w:r>
                          </w:p>
                          <w:p w14:paraId="13BAE7E4">
                            <w:pPr>
                              <w:pStyle w:val="8"/>
                              <w:spacing w:before="4"/>
                              <w:rPr>
                                <w:sz w:val="24"/>
                              </w:rPr>
                            </w:pPr>
                          </w:p>
                          <w:p w14:paraId="5B29944B">
                            <w:pPr>
                              <w:pStyle w:val="8"/>
                              <w:spacing w:before="1"/>
                              <w:ind w:left="1405"/>
                            </w:pPr>
                            <w:r>
                              <w:t>（反面）</w:t>
                            </w:r>
                          </w:p>
                        </w:txbxContent>
                      </wps:txbx>
                      <wps:bodyPr lIns="0" tIns="0" rIns="0" bIns="0" upright="1"/>
                    </wps:wsp>
                  </a:graphicData>
                </a:graphic>
              </wp:anchor>
            </w:drawing>
          </mc:Choice>
          <mc:Fallback>
            <w:pict>
              <v:shape id="_x0000_s1026" o:spid="_x0000_s1026" o:spt="202" type="#_x0000_t202" style="position:absolute;left:0pt;margin-left:283.85pt;margin-top:44.8pt;height:119pt;width:214.45pt;mso-position-horizontal-relative:page;z-index:-251653120;mso-width-relative:page;mso-height-relative:page;" filled="f" stroked="t" coordsize="21600,21600" o:gfxdata="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1UC1l2gAAAAoBAAAP&#10;AAAAAAAAAAEAIAAAACIAAABkcnMvZG93bnJldi54bWxQSwECFAAUAAAACACHTuJA5GGz7hYCAAA0&#10;BAAADgAAAAAAAAABACAAAAApAQAAZHJzL2Uyb0RvYy54bWxQSwUGAAAAAAYABgBZAQAAsQUAAAAA&#10;">
                <v:fill on="f" focussize="0,0"/>
                <v:stroke color="#000000" joinstyle="miter"/>
                <v:imagedata o:title=""/>
                <o:lock v:ext="edit" aspectratio="f"/>
                <v:textbox inset="0mm,0mm,0mm,0mm">
                  <w:txbxContent>
                    <w:p w14:paraId="126ACE3E">
                      <w:pPr>
                        <w:pStyle w:val="8"/>
                        <w:rPr>
                          <w:sz w:val="20"/>
                        </w:rPr>
                      </w:pPr>
                    </w:p>
                    <w:p w14:paraId="7D941862">
                      <w:pPr>
                        <w:pStyle w:val="8"/>
                        <w:rPr>
                          <w:sz w:val="20"/>
                        </w:rPr>
                      </w:pPr>
                    </w:p>
                    <w:p w14:paraId="114ED667">
                      <w:pPr>
                        <w:pStyle w:val="8"/>
                        <w:spacing w:before="1"/>
                        <w:rPr>
                          <w:sz w:val="16"/>
                        </w:rPr>
                      </w:pPr>
                    </w:p>
                    <w:p w14:paraId="040E651D">
                      <w:pPr>
                        <w:pStyle w:val="8"/>
                        <w:spacing w:line="278" w:lineRule="auto"/>
                        <w:ind w:left="1091" w:right="1498" w:firstLine="314"/>
                      </w:pPr>
                      <w:r>
                        <w:rPr>
                          <w:spacing w:val="-1"/>
                        </w:rPr>
                        <w:t xml:space="preserve">法定代表人  </w:t>
                      </w:r>
                      <w:r>
                        <w:rPr>
                          <w:spacing w:val="-5"/>
                        </w:rPr>
                        <w:t>居民身份证复印件</w:t>
                      </w:r>
                    </w:p>
                    <w:p w14:paraId="13BAE7E4">
                      <w:pPr>
                        <w:pStyle w:val="8"/>
                        <w:spacing w:before="4"/>
                        <w:rPr>
                          <w:sz w:val="24"/>
                        </w:rPr>
                      </w:pPr>
                    </w:p>
                    <w:p w14:paraId="5B29944B">
                      <w:pPr>
                        <w:pStyle w:val="8"/>
                        <w:spacing w:before="1"/>
                        <w:ind w:left="1405"/>
                      </w:pPr>
                      <w:r>
                        <w:t>（反面）</w:t>
                      </w:r>
                    </w:p>
                  </w:txbxContent>
                </v:textbox>
              </v:shape>
            </w:pict>
          </mc:Fallback>
        </mc:AlternateContent>
      </w:r>
      <w:r>
        <w:rPr>
          <w:rFonts w:hint="eastAsia" w:ascii="宋体" w:hAnsi="宋体" w:eastAsia="宋体" w:cs="宋体"/>
          <w:color w:val="auto"/>
          <w:sz w:val="24"/>
          <w:szCs w:val="24"/>
          <w:highlight w:val="none"/>
        </w:rPr>
        <w:t>本授权书自法定代表人签字之日起生效，特此声明。</w:t>
      </w:r>
    </w:p>
    <w:p w14:paraId="59B9BE2B">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g">
            <w:drawing>
              <wp:anchor distT="0" distB="0" distL="114300" distR="114300" simplePos="0" relativeHeight="251662336" behindDoc="1" locked="0" layoutInCell="1" allowOverlap="1">
                <wp:simplePos x="0" y="0"/>
                <wp:positionH relativeFrom="page">
                  <wp:posOffset>789940</wp:posOffset>
                </wp:positionH>
                <wp:positionV relativeFrom="paragraph">
                  <wp:posOffset>274955</wp:posOffset>
                </wp:positionV>
                <wp:extent cx="2724150" cy="1539240"/>
                <wp:effectExtent l="0" t="635" r="635" b="3175"/>
                <wp:wrapNone/>
                <wp:docPr id="10" name="组合 10"/>
                <wp:cNvGraphicFramePr/>
                <a:graphic xmlns:a="http://schemas.openxmlformats.org/drawingml/2006/main">
                  <a:graphicData uri="http://schemas.microsoft.com/office/word/2010/wordprocessingGroup">
                    <wpg:wgp>
                      <wpg:cNvGrpSpPr/>
                      <wpg:grpSpPr>
                        <a:xfrm>
                          <a:off x="0" y="0"/>
                          <a:ext cx="2724150" cy="1539240"/>
                          <a:chOff x="1214" y="889"/>
                          <a:chExt cx="4290" cy="2769"/>
                        </a:xfrm>
                      </wpg:grpSpPr>
                      <wps:wsp>
                        <wps:cNvPr id="8" name="矩形 8"/>
                        <wps:cNvSpPr/>
                        <wps:spPr>
                          <a:xfrm>
                            <a:off x="1222" y="896"/>
                            <a:ext cx="4275" cy="2754"/>
                          </a:xfrm>
                          <a:prstGeom prst="rect">
                            <a:avLst/>
                          </a:prstGeom>
                          <a:solidFill>
                            <a:srgbClr val="FFFFFF"/>
                          </a:solidFill>
                          <a:ln>
                            <a:noFill/>
                          </a:ln>
                        </wps:spPr>
                        <wps:bodyPr upright="1"/>
                      </wps:wsp>
                      <wps:wsp>
                        <wps:cNvPr id="9" name="文本框 9"/>
                        <wps:cNvSpPr txBox="1"/>
                        <wps:spPr>
                          <a:xfrm>
                            <a:off x="1222" y="896"/>
                            <a:ext cx="4275" cy="2754"/>
                          </a:xfrm>
                          <a:prstGeom prst="rect">
                            <a:avLst/>
                          </a:prstGeom>
                          <a:noFill/>
                          <a:ln w="9525" cap="flat" cmpd="sng">
                            <a:solidFill>
                              <a:srgbClr val="000000"/>
                            </a:solidFill>
                            <a:prstDash val="solid"/>
                            <a:miter/>
                            <a:headEnd type="none" w="med" len="med"/>
                            <a:tailEnd type="none" w="med" len="med"/>
                          </a:ln>
                        </wps:spPr>
                        <wps:txbx>
                          <w:txbxContent>
                            <w:p w14:paraId="5469E859">
                              <w:pPr>
                                <w:spacing w:before="0" w:line="240" w:lineRule="auto"/>
                                <w:rPr>
                                  <w:sz w:val="20"/>
                                </w:rPr>
                              </w:pPr>
                            </w:p>
                            <w:p w14:paraId="088E2B70">
                              <w:pPr>
                                <w:spacing w:before="0" w:line="240" w:lineRule="auto"/>
                                <w:rPr>
                                  <w:sz w:val="20"/>
                                </w:rPr>
                              </w:pPr>
                            </w:p>
                            <w:p w14:paraId="695300DA">
                              <w:pPr>
                                <w:spacing w:before="1" w:line="240" w:lineRule="auto"/>
                                <w:rPr>
                                  <w:sz w:val="16"/>
                                </w:rPr>
                              </w:pPr>
                            </w:p>
                            <w:p w14:paraId="07DF4F0D">
                              <w:pPr>
                                <w:spacing w:before="0" w:line="278" w:lineRule="auto"/>
                                <w:ind w:left="1194" w:right="1380" w:firstLine="314"/>
                                <w:jc w:val="left"/>
                                <w:rPr>
                                  <w:sz w:val="21"/>
                                </w:rPr>
                              </w:pPr>
                              <w:r>
                                <w:rPr>
                                  <w:spacing w:val="-1"/>
                                  <w:sz w:val="21"/>
                                </w:rPr>
                                <w:t xml:space="preserve">法定代表人  </w:t>
                              </w:r>
                              <w:r>
                                <w:rPr>
                                  <w:spacing w:val="-5"/>
                                  <w:sz w:val="21"/>
                                </w:rPr>
                                <w:t>居民身份证复印件</w:t>
                              </w:r>
                            </w:p>
                            <w:p w14:paraId="4E1C90A3">
                              <w:pPr>
                                <w:spacing w:before="4" w:line="240" w:lineRule="auto"/>
                                <w:rPr>
                                  <w:sz w:val="24"/>
                                </w:rPr>
                              </w:pPr>
                            </w:p>
                            <w:p w14:paraId="7993E60A">
                              <w:pPr>
                                <w:spacing w:before="1"/>
                                <w:ind w:left="1491" w:right="1888" w:firstLine="0"/>
                                <w:jc w:val="center"/>
                                <w:rPr>
                                  <w:sz w:val="21"/>
                                </w:rPr>
                              </w:pPr>
                              <w:r>
                                <w:rPr>
                                  <w:sz w:val="21"/>
                                </w:rPr>
                                <w:t>（</w:t>
                              </w:r>
                              <w:r>
                                <w:rPr>
                                  <w:spacing w:val="-2"/>
                                  <w:sz w:val="21"/>
                                </w:rPr>
                                <w:t>正面</w:t>
                              </w:r>
                              <w:r>
                                <w:rPr>
                                  <w:sz w:val="21"/>
                                </w:rPr>
                                <w:t>）</w:t>
                              </w:r>
                            </w:p>
                          </w:txbxContent>
                        </wps:txbx>
                        <wps:bodyPr lIns="0" tIns="0" rIns="0" bIns="0" upright="1"/>
                      </wps:wsp>
                    </wpg:wgp>
                  </a:graphicData>
                </a:graphic>
              </wp:anchor>
            </w:drawing>
          </mc:Choice>
          <mc:Fallback>
            <w:pict>
              <v:group id="_x0000_s1026" o:spid="_x0000_s1026" o:spt="203" style="position:absolute;left:0pt;margin-left:62.2pt;margin-top:21.65pt;height:121.2pt;width:214.5pt;mso-position-horizontal-relative:page;z-index:-251654144;mso-width-relative:page;mso-height-relative:page;" coordorigin="1214,889" coordsize="4290,2769" o:gfxdata="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">
                <o:lock v:ext="edit" aspectratio="f"/>
                <v:rect id="_x0000_s1026" o:spid="_x0000_s1026" o:spt="1" style="position:absolute;left:1222;top:896;height:2754;width:4275;" fillcolor="#FFFFFF" filled="t" stroked="f" coordsize="21600,21600" o:gfxdata="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5217+5AAAA2gAA&#10;AA8AAAAAAAAAAQAgAAAAIgAAAGRycy9kb3ducmV2LnhtbFBLAQIUABQAAAAIAIdO4kAzLwWeOwAA&#10;ADkAAAAQAAAAAAAAAAEAIAAAAAgBAABkcnMvc2hhcGV4bWwueG1sUEsFBgAAAAAGAAYAWwEAALID&#10;AAAAAA==&#10;">
                  <v:fill on="t" focussize="0,0"/>
                  <v:stroke on="f"/>
                  <v:imagedata o:title=""/>
                  <o:lock v:ext="edit" aspectratio="f"/>
                </v:rect>
                <v:shape id="_x0000_s1026" o:spid="_x0000_s1026" o:spt="202" type="#_x0000_t202" style="position:absolute;left:1222;top:896;height:2754;width:4275;" filled="f" stroked="t" coordsize="21600,21600" o:gfxdata="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5nmXu8AAAA&#10;2gAAAA8AAAAAAAAAAQAgAAAAIgAAAGRycy9kb3ducmV2LnhtbFBLAQIUABQAAAAIAIdO4kAzLwWe&#10;OwAAADkAAAAQAAAAAAAAAAEAIAAAAAsBAABkcnMvc2hhcGV4bWwueG1sUEsFBgAAAAAGAAYAWwEA&#10;ALUDAAAAAA==&#10;">
                  <v:fill on="f" focussize="0,0"/>
                  <v:stroke color="#000000" joinstyle="miter"/>
                  <v:imagedata o:title=""/>
                  <o:lock v:ext="edit" aspectratio="f"/>
                  <v:textbox inset="0mm,0mm,0mm,0mm">
                    <w:txbxContent>
                      <w:p w14:paraId="5469E859">
                        <w:pPr>
                          <w:spacing w:before="0" w:line="240" w:lineRule="auto"/>
                          <w:rPr>
                            <w:sz w:val="20"/>
                          </w:rPr>
                        </w:pPr>
                      </w:p>
                      <w:p w14:paraId="088E2B70">
                        <w:pPr>
                          <w:spacing w:before="0" w:line="240" w:lineRule="auto"/>
                          <w:rPr>
                            <w:sz w:val="20"/>
                          </w:rPr>
                        </w:pPr>
                      </w:p>
                      <w:p w14:paraId="695300DA">
                        <w:pPr>
                          <w:spacing w:before="1" w:line="240" w:lineRule="auto"/>
                          <w:rPr>
                            <w:sz w:val="16"/>
                          </w:rPr>
                        </w:pPr>
                      </w:p>
                      <w:p w14:paraId="07DF4F0D">
                        <w:pPr>
                          <w:spacing w:before="0" w:line="278" w:lineRule="auto"/>
                          <w:ind w:left="1194" w:right="1380" w:firstLine="314"/>
                          <w:jc w:val="left"/>
                          <w:rPr>
                            <w:sz w:val="21"/>
                          </w:rPr>
                        </w:pPr>
                        <w:r>
                          <w:rPr>
                            <w:spacing w:val="-1"/>
                            <w:sz w:val="21"/>
                          </w:rPr>
                          <w:t xml:space="preserve">法定代表人  </w:t>
                        </w:r>
                        <w:r>
                          <w:rPr>
                            <w:spacing w:val="-5"/>
                            <w:sz w:val="21"/>
                          </w:rPr>
                          <w:t>居民身份证复印件</w:t>
                        </w:r>
                      </w:p>
                      <w:p w14:paraId="4E1C90A3">
                        <w:pPr>
                          <w:spacing w:before="4" w:line="240" w:lineRule="auto"/>
                          <w:rPr>
                            <w:sz w:val="24"/>
                          </w:rPr>
                        </w:pPr>
                      </w:p>
                      <w:p w14:paraId="7993E60A">
                        <w:pPr>
                          <w:spacing w:before="1"/>
                          <w:ind w:left="1491" w:right="1888" w:firstLine="0"/>
                          <w:jc w:val="center"/>
                          <w:rPr>
                            <w:sz w:val="21"/>
                          </w:rPr>
                        </w:pPr>
                        <w:r>
                          <w:rPr>
                            <w:sz w:val="21"/>
                          </w:rPr>
                          <w:t>（</w:t>
                        </w:r>
                        <w:r>
                          <w:rPr>
                            <w:spacing w:val="-2"/>
                            <w:sz w:val="21"/>
                          </w:rPr>
                          <w:t>正面</w:t>
                        </w:r>
                        <w:r>
                          <w:rPr>
                            <w:sz w:val="21"/>
                          </w:rPr>
                          <w:t>）</w:t>
                        </w:r>
                      </w:p>
                    </w:txbxContent>
                  </v:textbox>
                </v:shape>
              </v:group>
            </w:pict>
          </mc:Fallback>
        </mc:AlternateContent>
      </w:r>
      <w:r>
        <w:rPr>
          <w:rFonts w:hint="eastAsia" w:ascii="宋体" w:hAnsi="宋体" w:eastAsia="宋体" w:cs="宋体"/>
          <w:b/>
          <w:bCs/>
          <w:color w:val="auto"/>
          <w:sz w:val="24"/>
          <w:szCs w:val="24"/>
          <w:highlight w:val="none"/>
        </w:rPr>
        <w:t>附：法定代表人身份证复印件</w:t>
      </w:r>
      <w:r>
        <w:rPr>
          <w:rFonts w:hint="eastAsia" w:ascii="宋体" w:hAnsi="宋体" w:eastAsia="宋体" w:cs="宋体"/>
          <w:color w:val="auto"/>
          <w:sz w:val="24"/>
          <w:szCs w:val="24"/>
          <w:highlight w:val="none"/>
        </w:rPr>
        <w:t xml:space="preserve"> </w:t>
      </w:r>
    </w:p>
    <w:p w14:paraId="73E0D32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F3F89D0">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15EDFB0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7C03446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C554BF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C7E47D3">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p>
    <w:p w14:paraId="22E1A07A">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g">
            <w:drawing>
              <wp:anchor distT="0" distB="0" distL="114300" distR="114300" simplePos="0" relativeHeight="251668480" behindDoc="1" locked="0" layoutInCell="1" allowOverlap="1">
                <wp:simplePos x="0" y="0"/>
                <wp:positionH relativeFrom="page">
                  <wp:posOffset>695960</wp:posOffset>
                </wp:positionH>
                <wp:positionV relativeFrom="paragraph">
                  <wp:posOffset>293370</wp:posOffset>
                </wp:positionV>
                <wp:extent cx="2834005" cy="1572260"/>
                <wp:effectExtent l="635" t="635" r="3810" b="8255"/>
                <wp:wrapTopAndBottom/>
                <wp:docPr id="13" name="组合 13"/>
                <wp:cNvGraphicFramePr/>
                <a:graphic xmlns:a="http://schemas.openxmlformats.org/drawingml/2006/main">
                  <a:graphicData uri="http://schemas.microsoft.com/office/word/2010/wordprocessingGroup">
                    <wpg:wgp>
                      <wpg:cNvGrpSpPr/>
                      <wpg:grpSpPr>
                        <a:xfrm>
                          <a:off x="0" y="0"/>
                          <a:ext cx="2834005" cy="1572260"/>
                          <a:chOff x="1097" y="462"/>
                          <a:chExt cx="4463" cy="2790"/>
                        </a:xfrm>
                      </wpg:grpSpPr>
                      <wps:wsp>
                        <wps:cNvPr id="11" name="矩形 11"/>
                        <wps:cNvSpPr/>
                        <wps:spPr>
                          <a:xfrm>
                            <a:off x="1104" y="469"/>
                            <a:ext cx="4448" cy="2775"/>
                          </a:xfrm>
                          <a:prstGeom prst="rect">
                            <a:avLst/>
                          </a:prstGeom>
                          <a:solidFill>
                            <a:srgbClr val="FFFFFF"/>
                          </a:solidFill>
                          <a:ln>
                            <a:noFill/>
                          </a:ln>
                        </wps:spPr>
                        <wps:bodyPr upright="1"/>
                      </wps:wsp>
                      <wps:wsp>
                        <wps:cNvPr id="12" name="文本框 12"/>
                        <wps:cNvSpPr txBox="1"/>
                        <wps:spPr>
                          <a:xfrm>
                            <a:off x="1104" y="469"/>
                            <a:ext cx="4448" cy="2775"/>
                          </a:xfrm>
                          <a:prstGeom prst="rect">
                            <a:avLst/>
                          </a:prstGeom>
                          <a:noFill/>
                          <a:ln w="9525" cap="flat" cmpd="sng">
                            <a:solidFill>
                              <a:srgbClr val="000000"/>
                            </a:solidFill>
                            <a:prstDash val="solid"/>
                            <a:miter/>
                            <a:headEnd type="none" w="med" len="med"/>
                            <a:tailEnd type="none" w="med" len="med"/>
                          </a:ln>
                        </wps:spPr>
                        <wps:txbx>
                          <w:txbxContent>
                            <w:p w14:paraId="49E67486">
                              <w:pPr>
                                <w:spacing w:before="0" w:line="240" w:lineRule="auto"/>
                                <w:rPr>
                                  <w:rFonts w:ascii="微软雅黑"/>
                                  <w:b/>
                                  <w:sz w:val="20"/>
                                </w:rPr>
                              </w:pPr>
                            </w:p>
                            <w:p w14:paraId="6D80EE3F">
                              <w:pPr>
                                <w:spacing w:before="1" w:line="240" w:lineRule="auto"/>
                                <w:rPr>
                                  <w:rFonts w:ascii="微软雅黑"/>
                                  <w:b/>
                                  <w:sz w:val="19"/>
                                </w:rPr>
                              </w:pPr>
                            </w:p>
                            <w:p w14:paraId="28EF255E">
                              <w:pPr>
                                <w:spacing w:before="0" w:line="278" w:lineRule="auto"/>
                                <w:ind w:left="1166" w:right="1161" w:firstLine="0"/>
                                <w:jc w:val="center"/>
                                <w:rPr>
                                  <w:sz w:val="21"/>
                                </w:rPr>
                              </w:pPr>
                              <w:r>
                                <w:rPr>
                                  <w:sz w:val="21"/>
                                </w:rPr>
                                <w:t>被授权人（授权代表） 居民身份证复印件</w:t>
                              </w:r>
                            </w:p>
                            <w:p w14:paraId="0DE6E62D">
                              <w:pPr>
                                <w:spacing w:before="16" w:line="240" w:lineRule="auto"/>
                                <w:rPr>
                                  <w:rFonts w:ascii="微软雅黑"/>
                                  <w:b/>
                                  <w:sz w:val="16"/>
                                </w:rPr>
                              </w:pPr>
                            </w:p>
                            <w:p w14:paraId="08947DCB">
                              <w:pPr>
                                <w:spacing w:before="1"/>
                                <w:ind w:left="1161" w:right="1161" w:firstLine="0"/>
                                <w:jc w:val="center"/>
                                <w:rPr>
                                  <w:sz w:val="21"/>
                                </w:rPr>
                              </w:pPr>
                              <w:r>
                                <w:rPr>
                                  <w:sz w:val="21"/>
                                </w:rPr>
                                <w:t>（正面）</w:t>
                              </w:r>
                            </w:p>
                          </w:txbxContent>
                        </wps:txbx>
                        <wps:bodyPr lIns="0" tIns="0" rIns="0" bIns="0" upright="1"/>
                      </wps:wsp>
                    </wpg:wgp>
                  </a:graphicData>
                </a:graphic>
              </wp:anchor>
            </w:drawing>
          </mc:Choice>
          <mc:Fallback>
            <w:pict>
              <v:group id="_x0000_s1026" o:spid="_x0000_s1026" o:spt="203" style="position:absolute;left:0pt;margin-left:54.8pt;margin-top:23.1pt;height:123.8pt;width:223.15pt;mso-position-horizontal-relative:page;mso-wrap-distance-bottom:0pt;mso-wrap-distance-top:0pt;z-index:-251648000;mso-width-relative:page;mso-height-relative:page;" coordorigin="1097,462" coordsize="4463,2790" o:gfxdata="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">
                <o:lock v:ext="edit" aspectratio="f"/>
                <v:rect id="_x0000_s1026" o:spid="_x0000_s1026" o:spt="1" style="position:absolute;left:1104;top:469;height:2775;width:4448;" fillcolor="#FFFFFF" filled="t" stroked="f" coordsize="21600,21600" o:gfxdata="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ZdtsrsAAADb&#10;AAAADwAAAAAAAAABACAAAAAiAAAAZHJzL2Rvd25yZXYueG1sUEsBAhQAFAAAAAgAh07iQDMvBZ47&#10;AAAAOQAAABAAAAAAAAAAAQAgAAAACgEAAGRycy9zaGFwZXhtbC54bWxQSwUGAAAAAAYABgBbAQAA&#10;tAMAAAAA&#10;">
                  <v:fill on="t" focussize="0,0"/>
                  <v:stroke on="f"/>
                  <v:imagedata o:title=""/>
                  <o:lock v:ext="edit" aspectratio="f"/>
                </v:rect>
                <v:shape id="_x0000_s1026" o:spid="_x0000_s1026" o:spt="202" type="#_x0000_t202" style="position:absolute;left:1104;top:469;height:2775;width:4448;" filled="f" stroked="t" coordsize="21600,21600" o:gfxdata="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cXfOugAAANs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49E67486">
                        <w:pPr>
                          <w:spacing w:before="0" w:line="240" w:lineRule="auto"/>
                          <w:rPr>
                            <w:rFonts w:ascii="微软雅黑"/>
                            <w:b/>
                            <w:sz w:val="20"/>
                          </w:rPr>
                        </w:pPr>
                      </w:p>
                      <w:p w14:paraId="6D80EE3F">
                        <w:pPr>
                          <w:spacing w:before="1" w:line="240" w:lineRule="auto"/>
                          <w:rPr>
                            <w:rFonts w:ascii="微软雅黑"/>
                            <w:b/>
                            <w:sz w:val="19"/>
                          </w:rPr>
                        </w:pPr>
                      </w:p>
                      <w:p w14:paraId="28EF255E">
                        <w:pPr>
                          <w:spacing w:before="0" w:line="278" w:lineRule="auto"/>
                          <w:ind w:left="1166" w:right="1161" w:firstLine="0"/>
                          <w:jc w:val="center"/>
                          <w:rPr>
                            <w:sz w:val="21"/>
                          </w:rPr>
                        </w:pPr>
                        <w:r>
                          <w:rPr>
                            <w:sz w:val="21"/>
                          </w:rPr>
                          <w:t>被授权人（授权代表） 居民身份证复印件</w:t>
                        </w:r>
                      </w:p>
                      <w:p w14:paraId="0DE6E62D">
                        <w:pPr>
                          <w:spacing w:before="16" w:line="240" w:lineRule="auto"/>
                          <w:rPr>
                            <w:rFonts w:ascii="微软雅黑"/>
                            <w:b/>
                            <w:sz w:val="16"/>
                          </w:rPr>
                        </w:pPr>
                      </w:p>
                      <w:p w14:paraId="08947DCB">
                        <w:pPr>
                          <w:spacing w:before="1"/>
                          <w:ind w:left="1161" w:right="1161" w:firstLine="0"/>
                          <w:jc w:val="center"/>
                          <w:rPr>
                            <w:sz w:val="21"/>
                          </w:rPr>
                        </w:pPr>
                        <w:r>
                          <w:rPr>
                            <w:sz w:val="21"/>
                          </w:rPr>
                          <w:t>（正面）</w:t>
                        </w:r>
                      </w:p>
                    </w:txbxContent>
                  </v:textbox>
                </v:shape>
                <w10:wrap type="topAndBottom"/>
              </v:group>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9504" behindDoc="1" locked="0" layoutInCell="1" allowOverlap="1">
                <wp:simplePos x="0" y="0"/>
                <wp:positionH relativeFrom="page">
                  <wp:posOffset>3603625</wp:posOffset>
                </wp:positionH>
                <wp:positionV relativeFrom="paragraph">
                  <wp:posOffset>297815</wp:posOffset>
                </wp:positionV>
                <wp:extent cx="2824480" cy="1591310"/>
                <wp:effectExtent l="4445" t="4445" r="9525" b="23495"/>
                <wp:wrapTopAndBottom/>
                <wp:docPr id="23" name="文本框 23"/>
                <wp:cNvGraphicFramePr/>
                <a:graphic xmlns:a="http://schemas.openxmlformats.org/drawingml/2006/main">
                  <a:graphicData uri="http://schemas.microsoft.com/office/word/2010/wordprocessingShape">
                    <wps:wsp>
                      <wps:cNvSpPr txBox="1"/>
                      <wps:spPr>
                        <a:xfrm>
                          <a:off x="0" y="0"/>
                          <a:ext cx="2824480" cy="1591310"/>
                        </a:xfrm>
                        <a:prstGeom prst="rect">
                          <a:avLst/>
                        </a:prstGeom>
                        <a:noFill/>
                        <a:ln w="9525" cap="flat" cmpd="sng">
                          <a:solidFill>
                            <a:srgbClr val="000000"/>
                          </a:solidFill>
                          <a:prstDash val="solid"/>
                          <a:miter/>
                          <a:headEnd type="none" w="med" len="med"/>
                          <a:tailEnd type="none" w="med" len="med"/>
                        </a:ln>
                      </wps:spPr>
                      <wps:txbx>
                        <w:txbxContent>
                          <w:p w14:paraId="255A6F10">
                            <w:pPr>
                              <w:pStyle w:val="8"/>
                              <w:rPr>
                                <w:rFonts w:ascii="微软雅黑"/>
                                <w:b/>
                                <w:sz w:val="20"/>
                              </w:rPr>
                            </w:pPr>
                          </w:p>
                          <w:p w14:paraId="6806FD79">
                            <w:pPr>
                              <w:pStyle w:val="8"/>
                              <w:spacing w:before="1"/>
                              <w:rPr>
                                <w:rFonts w:ascii="微软雅黑"/>
                                <w:b/>
                                <w:sz w:val="19"/>
                              </w:rPr>
                            </w:pPr>
                          </w:p>
                          <w:p w14:paraId="6536B9D8">
                            <w:pPr>
                              <w:pStyle w:val="8"/>
                              <w:spacing w:line="278" w:lineRule="auto"/>
                              <w:ind w:left="1168" w:right="1159"/>
                              <w:jc w:val="center"/>
                            </w:pPr>
                            <w:r>
                              <w:t>被授权人（授权代表） 居民身份证复印件</w:t>
                            </w:r>
                          </w:p>
                          <w:p w14:paraId="12070B9E">
                            <w:pPr>
                              <w:pStyle w:val="8"/>
                              <w:spacing w:before="16"/>
                              <w:rPr>
                                <w:rFonts w:ascii="微软雅黑"/>
                                <w:b/>
                                <w:sz w:val="16"/>
                              </w:rPr>
                            </w:pPr>
                          </w:p>
                          <w:p w14:paraId="2FC62FA1">
                            <w:pPr>
                              <w:pStyle w:val="8"/>
                              <w:spacing w:before="1"/>
                              <w:ind w:left="1165" w:right="1161"/>
                              <w:jc w:val="center"/>
                            </w:pPr>
                            <w:r>
                              <w:t>（反面）</w:t>
                            </w:r>
                          </w:p>
                        </w:txbxContent>
                      </wps:txbx>
                      <wps:bodyPr lIns="0" tIns="0" rIns="0" bIns="0" upright="1"/>
                    </wps:wsp>
                  </a:graphicData>
                </a:graphic>
              </wp:anchor>
            </w:drawing>
          </mc:Choice>
          <mc:Fallback>
            <w:pict>
              <v:shape id="_x0000_s1026" o:spid="_x0000_s1026" o:spt="202" type="#_x0000_t202" style="position:absolute;left:0pt;margin-left:283.75pt;margin-top:23.45pt;height:125.3pt;width:222.4pt;mso-position-horizontal-relative:page;mso-wrap-distance-bottom:0pt;mso-wrap-distance-top:0pt;z-index:-251646976;mso-width-relative:page;mso-height-relative:page;" filled="f" stroked="t" coordsize="21600,21600" o:gfxdata="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ecGnDbAAAACwEA&#10;AA8AAAAAAAAAAQAgAAAAIgAAAGRycy9kb3ducmV2LnhtbFBLAQIUABQAAAAIAIdO4kDS/2uYFwIA&#10;ADQEAAAOAAAAAAAAAAEAIAAAACoBAABkcnMvZTJvRG9jLnhtbFBLBQYAAAAABgAGAFkBAACzBQAA&#10;AAA=&#10;">
                <v:fill on="f" focussize="0,0"/>
                <v:stroke color="#000000" joinstyle="miter"/>
                <v:imagedata o:title=""/>
                <o:lock v:ext="edit" aspectratio="f"/>
                <v:textbox inset="0mm,0mm,0mm,0mm">
                  <w:txbxContent>
                    <w:p w14:paraId="255A6F10">
                      <w:pPr>
                        <w:pStyle w:val="8"/>
                        <w:rPr>
                          <w:rFonts w:ascii="微软雅黑"/>
                          <w:b/>
                          <w:sz w:val="20"/>
                        </w:rPr>
                      </w:pPr>
                    </w:p>
                    <w:p w14:paraId="6806FD79">
                      <w:pPr>
                        <w:pStyle w:val="8"/>
                        <w:spacing w:before="1"/>
                        <w:rPr>
                          <w:rFonts w:ascii="微软雅黑"/>
                          <w:b/>
                          <w:sz w:val="19"/>
                        </w:rPr>
                      </w:pPr>
                    </w:p>
                    <w:p w14:paraId="6536B9D8">
                      <w:pPr>
                        <w:pStyle w:val="8"/>
                        <w:spacing w:line="278" w:lineRule="auto"/>
                        <w:ind w:left="1168" w:right="1159"/>
                        <w:jc w:val="center"/>
                      </w:pPr>
                      <w:r>
                        <w:t>被授权人（授权代表） 居民身份证复印件</w:t>
                      </w:r>
                    </w:p>
                    <w:p w14:paraId="12070B9E">
                      <w:pPr>
                        <w:pStyle w:val="8"/>
                        <w:spacing w:before="16"/>
                        <w:rPr>
                          <w:rFonts w:ascii="微软雅黑"/>
                          <w:b/>
                          <w:sz w:val="16"/>
                        </w:rPr>
                      </w:pPr>
                    </w:p>
                    <w:p w14:paraId="2FC62FA1">
                      <w:pPr>
                        <w:pStyle w:val="8"/>
                        <w:spacing w:before="1"/>
                        <w:ind w:left="1165" w:right="1161"/>
                        <w:jc w:val="center"/>
                      </w:pPr>
                      <w:r>
                        <w:t>（反面）</w:t>
                      </w:r>
                    </w:p>
                  </w:txbxContent>
                </v:textbox>
                <w10:wrap type="topAndBottom"/>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1312" behindDoc="1" locked="0" layoutInCell="1" allowOverlap="1">
                <wp:simplePos x="0" y="0"/>
                <wp:positionH relativeFrom="page">
                  <wp:posOffset>718820</wp:posOffset>
                </wp:positionH>
                <wp:positionV relativeFrom="paragraph">
                  <wp:posOffset>360680</wp:posOffset>
                </wp:positionV>
                <wp:extent cx="67310" cy="162052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67310" cy="1620520"/>
                        </a:xfrm>
                        <a:prstGeom prst="rect">
                          <a:avLst/>
                        </a:prstGeom>
                        <a:noFill/>
                        <a:ln>
                          <a:noFill/>
                        </a:ln>
                      </wps:spPr>
                      <wps:txbx>
                        <w:txbxContent>
                          <w:p w14:paraId="51304615">
                            <w:pPr>
                              <w:pStyle w:val="8"/>
                              <w:spacing w:line="241" w:lineRule="exact"/>
                            </w:pPr>
                            <w:r>
                              <w:rPr>
                                <w:w w:val="100"/>
                              </w:rPr>
                              <w:t xml:space="preserve"> </w:t>
                            </w:r>
                          </w:p>
                          <w:p w14:paraId="21461EF3">
                            <w:pPr>
                              <w:pStyle w:val="8"/>
                              <w:spacing w:before="6"/>
                              <w:rPr>
                                <w:sz w:val="15"/>
                              </w:rPr>
                            </w:pPr>
                          </w:p>
                          <w:p w14:paraId="47ECF93A">
                            <w:pPr>
                              <w:pStyle w:val="8"/>
                            </w:pPr>
                            <w:r>
                              <w:rPr>
                                <w:w w:val="100"/>
                              </w:rPr>
                              <w:t xml:space="preserve"> </w:t>
                            </w:r>
                          </w:p>
                          <w:p w14:paraId="04E0CDE0">
                            <w:pPr>
                              <w:pStyle w:val="8"/>
                              <w:spacing w:before="7"/>
                              <w:rPr>
                                <w:sz w:val="15"/>
                              </w:rPr>
                            </w:pPr>
                          </w:p>
                          <w:p w14:paraId="7FFEE848">
                            <w:pPr>
                              <w:pStyle w:val="8"/>
                            </w:pPr>
                            <w:r>
                              <w:rPr>
                                <w:w w:val="100"/>
                              </w:rPr>
                              <w:t xml:space="preserve"> </w:t>
                            </w:r>
                          </w:p>
                          <w:p w14:paraId="6F309BE4">
                            <w:pPr>
                              <w:pStyle w:val="8"/>
                              <w:spacing w:before="7"/>
                              <w:rPr>
                                <w:sz w:val="15"/>
                              </w:rPr>
                            </w:pPr>
                          </w:p>
                          <w:p w14:paraId="5AA2775D">
                            <w:pPr>
                              <w:pStyle w:val="8"/>
                            </w:pPr>
                            <w:r>
                              <w:rPr>
                                <w:w w:val="100"/>
                              </w:rPr>
                              <w:t xml:space="preserve"> </w:t>
                            </w:r>
                          </w:p>
                          <w:p w14:paraId="058D6FB8">
                            <w:pPr>
                              <w:pStyle w:val="8"/>
                              <w:spacing w:before="7"/>
                              <w:rPr>
                                <w:sz w:val="15"/>
                              </w:rPr>
                            </w:pPr>
                          </w:p>
                          <w:p w14:paraId="085DDECD">
                            <w:pPr>
                              <w:pStyle w:val="8"/>
                            </w:pPr>
                            <w:r>
                              <w:rPr>
                                <w:w w:val="100"/>
                              </w:rPr>
                              <w:t xml:space="preserve"> </w:t>
                            </w:r>
                          </w:p>
                          <w:p w14:paraId="42E23067">
                            <w:pPr>
                              <w:pStyle w:val="8"/>
                              <w:spacing w:before="6"/>
                              <w:rPr>
                                <w:sz w:val="15"/>
                              </w:rPr>
                            </w:pPr>
                          </w:p>
                          <w:p w14:paraId="40874BFA">
                            <w:pPr>
                              <w:pStyle w:val="8"/>
                              <w:spacing w:line="240" w:lineRule="exact"/>
                            </w:pPr>
                            <w:r>
                              <w:rPr>
                                <w:w w:val="100"/>
                              </w:rPr>
                              <w:t xml:space="preserve"> </w:t>
                            </w:r>
                          </w:p>
                        </w:txbxContent>
                      </wps:txbx>
                      <wps:bodyPr lIns="0" tIns="0" rIns="0" bIns="0" upright="1"/>
                    </wps:wsp>
                  </a:graphicData>
                </a:graphic>
              </wp:anchor>
            </w:drawing>
          </mc:Choice>
          <mc:Fallback>
            <w:pict>
              <v:shape id="_x0000_s1026" o:spid="_x0000_s1026" o:spt="202" type="#_x0000_t202" style="position:absolute;left:0pt;margin-left:56.6pt;margin-top:28.4pt;height:127.6pt;width:5.3pt;mso-position-horizontal-relative:page;z-index:-251655168;mso-width-relative:page;mso-height-relative:page;" filled="f" stroked="f" coordsize="21600,21600" o:gfxdata="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Z5VDH1wAAAAoBAAAPAAAAAAAAAAEAIAAAACIAAABkcnMvZG93bnJldi54bWxQSwECFAAU&#10;AAAACACHTuJAygahZbkBAABzAwAADgAAAAAAAAABACAAAAAmAQAAZHJzL2Uyb0RvYy54bWxQSwUG&#10;AAAAAAYABgBZAQAAUQUAAAAA&#10;">
                <v:fill on="f" focussize="0,0"/>
                <v:stroke on="f"/>
                <v:imagedata o:title=""/>
                <o:lock v:ext="edit" aspectratio="f"/>
                <v:textbox inset="0mm,0mm,0mm,0mm">
                  <w:txbxContent>
                    <w:p w14:paraId="51304615">
                      <w:pPr>
                        <w:pStyle w:val="8"/>
                        <w:spacing w:line="241" w:lineRule="exact"/>
                      </w:pPr>
                      <w:r>
                        <w:rPr>
                          <w:w w:val="100"/>
                        </w:rPr>
                        <w:t xml:space="preserve"> </w:t>
                      </w:r>
                    </w:p>
                    <w:p w14:paraId="21461EF3">
                      <w:pPr>
                        <w:pStyle w:val="8"/>
                        <w:spacing w:before="6"/>
                        <w:rPr>
                          <w:sz w:val="15"/>
                        </w:rPr>
                      </w:pPr>
                    </w:p>
                    <w:p w14:paraId="47ECF93A">
                      <w:pPr>
                        <w:pStyle w:val="8"/>
                      </w:pPr>
                      <w:r>
                        <w:rPr>
                          <w:w w:val="100"/>
                        </w:rPr>
                        <w:t xml:space="preserve"> </w:t>
                      </w:r>
                    </w:p>
                    <w:p w14:paraId="04E0CDE0">
                      <w:pPr>
                        <w:pStyle w:val="8"/>
                        <w:spacing w:before="7"/>
                        <w:rPr>
                          <w:sz w:val="15"/>
                        </w:rPr>
                      </w:pPr>
                    </w:p>
                    <w:p w14:paraId="7FFEE848">
                      <w:pPr>
                        <w:pStyle w:val="8"/>
                      </w:pPr>
                      <w:r>
                        <w:rPr>
                          <w:w w:val="100"/>
                        </w:rPr>
                        <w:t xml:space="preserve"> </w:t>
                      </w:r>
                    </w:p>
                    <w:p w14:paraId="6F309BE4">
                      <w:pPr>
                        <w:pStyle w:val="8"/>
                        <w:spacing w:before="7"/>
                        <w:rPr>
                          <w:sz w:val="15"/>
                        </w:rPr>
                      </w:pPr>
                    </w:p>
                    <w:p w14:paraId="5AA2775D">
                      <w:pPr>
                        <w:pStyle w:val="8"/>
                      </w:pPr>
                      <w:r>
                        <w:rPr>
                          <w:w w:val="100"/>
                        </w:rPr>
                        <w:t xml:space="preserve"> </w:t>
                      </w:r>
                    </w:p>
                    <w:p w14:paraId="058D6FB8">
                      <w:pPr>
                        <w:pStyle w:val="8"/>
                        <w:spacing w:before="7"/>
                        <w:rPr>
                          <w:sz w:val="15"/>
                        </w:rPr>
                      </w:pPr>
                    </w:p>
                    <w:p w14:paraId="085DDECD">
                      <w:pPr>
                        <w:pStyle w:val="8"/>
                      </w:pPr>
                      <w:r>
                        <w:rPr>
                          <w:w w:val="100"/>
                        </w:rPr>
                        <w:t xml:space="preserve"> </w:t>
                      </w:r>
                    </w:p>
                    <w:p w14:paraId="42E23067">
                      <w:pPr>
                        <w:pStyle w:val="8"/>
                        <w:spacing w:before="6"/>
                        <w:rPr>
                          <w:sz w:val="15"/>
                        </w:rPr>
                      </w:pPr>
                    </w:p>
                    <w:p w14:paraId="40874BFA">
                      <w:pPr>
                        <w:pStyle w:val="8"/>
                        <w:spacing w:line="240" w:lineRule="exact"/>
                      </w:pPr>
                      <w:r>
                        <w:rPr>
                          <w:w w:val="100"/>
                        </w:rPr>
                        <w:t xml:space="preserve"> </w:t>
                      </w:r>
                    </w:p>
                  </w:txbxContent>
                </v:textbox>
              </v:shape>
            </w:pict>
          </mc:Fallback>
        </mc:AlternateContent>
      </w:r>
      <w:r>
        <w:rPr>
          <w:rFonts w:hint="eastAsia" w:ascii="宋体" w:hAnsi="宋体" w:eastAsia="宋体" w:cs="宋体"/>
          <w:color w:val="auto"/>
          <w:sz w:val="24"/>
          <w:szCs w:val="24"/>
          <w:highlight w:val="none"/>
        </w:rPr>
        <w:t xml:space="preserve">附：被授权代表人身份证复印件 </w:t>
      </w:r>
    </w:p>
    <w:p w14:paraId="7BEC8B9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5B65B45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法定代表人（签名或盖章）：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职务：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52D9581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4FADEDF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供应商名称（单位盖公章）：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74D909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5AF338A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sectPr>
          <w:headerReference r:id="rId24" w:type="default"/>
          <w:pgSz w:w="11910" w:h="16840"/>
          <w:pgMar w:top="1984" w:right="1531" w:bottom="2098" w:left="1531" w:header="670" w:footer="1041" w:gutter="0"/>
          <w:pgNumType w:fmt="decimal"/>
          <w:cols w:space="720" w:num="1"/>
          <w:rtlGutter w:val="0"/>
          <w:docGrid w:linePitch="1" w:charSpace="0"/>
        </w:sectPr>
      </w:pPr>
    </w:p>
    <w:p w14:paraId="1BA0A768">
      <w:pPr>
        <w:pStyle w:val="15"/>
        <w:rPr>
          <w:rFonts w:hint="eastAsia" w:ascii="宋体" w:hAnsi="宋体" w:eastAsia="宋体" w:cs="宋体"/>
          <w:color w:val="auto"/>
          <w:sz w:val="24"/>
          <w:szCs w:val="24"/>
          <w:highlight w:val="none"/>
        </w:rPr>
      </w:pPr>
    </w:p>
    <w:p w14:paraId="72443539">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b/>
          <w:bCs/>
          <w:color w:val="auto"/>
          <w:sz w:val="30"/>
          <w:szCs w:val="30"/>
          <w:highlight w:val="none"/>
          <w:lang w:val="en-US" w:eastAsia="zh-CN"/>
        </w:rPr>
      </w:pPr>
      <w:r>
        <w:rPr>
          <w:rFonts w:hint="eastAsia" w:cs="宋体"/>
          <w:b/>
          <w:bCs/>
          <w:color w:val="auto"/>
          <w:sz w:val="30"/>
          <w:szCs w:val="30"/>
          <w:highlight w:val="none"/>
          <w:lang w:val="en-US" w:eastAsia="zh-CN"/>
        </w:rPr>
        <w:t>6.2 供应商</w:t>
      </w:r>
      <w:r>
        <w:rPr>
          <w:rFonts w:hint="eastAsia" w:ascii="宋体" w:hAnsi="宋体" w:eastAsia="宋体" w:cs="宋体"/>
          <w:b/>
          <w:bCs/>
          <w:color w:val="auto"/>
          <w:sz w:val="30"/>
          <w:szCs w:val="30"/>
          <w:highlight w:val="none"/>
          <w:lang w:val="en-US" w:eastAsia="zh-CN"/>
        </w:rPr>
        <w:t>资格声明函</w:t>
      </w:r>
    </w:p>
    <w:p w14:paraId="198434A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02456B09">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新疆华域天恒工程管理有限公司</w:t>
      </w:r>
      <w:r>
        <w:rPr>
          <w:rFonts w:hint="eastAsia" w:ascii="宋体" w:hAnsi="宋体" w:eastAsia="宋体" w:cs="宋体"/>
          <w:color w:val="auto"/>
          <w:sz w:val="24"/>
          <w:szCs w:val="24"/>
          <w:highlight w:val="none"/>
        </w:rPr>
        <w:t xml:space="preserve">： </w:t>
      </w:r>
    </w:p>
    <w:p w14:paraId="31F51E1E">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关于贵公司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日发布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采购项目编号：</w:t>
      </w:r>
      <w:r>
        <w:rPr>
          <w:rFonts w:hint="eastAsia" w:ascii="宋体" w:hAnsi="宋体" w:eastAsia="宋体" w:cs="宋体"/>
          <w:color w:val="auto"/>
          <w:sz w:val="24"/>
          <w:szCs w:val="24"/>
          <w:highlight w:val="none"/>
        </w:rPr>
        <w:t xml:space="preserve">）的磋商公告，本公司（企业）愿意参加磋商，并声明： </w:t>
      </w:r>
    </w:p>
    <w:p w14:paraId="41F08E97">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本公司（企业）具备下列《中华人民共和国政府采购法》第二十二条资格条件，并已清楚磋商文件的要求及有关文件规定。 </w:t>
      </w:r>
    </w:p>
    <w:p w14:paraId="3B5AC59B">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（一）具有独立承担民事责任的能力； </w:t>
      </w:r>
    </w:p>
    <w:p w14:paraId="04AEE0E7">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（二）具有良好的商业信誉和健全的财务会计制度； </w:t>
      </w:r>
    </w:p>
    <w:p w14:paraId="42ACF790">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（三）具有履行合同所必需的设备和专业技术能力； </w:t>
      </w:r>
    </w:p>
    <w:p w14:paraId="1DAEF80F">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（四）有依法缴纳税收和社会保障资金的良好记录； </w:t>
      </w:r>
    </w:p>
    <w:p w14:paraId="692C8541">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（五）参加政府采购活动前三年内，在经营活动中没有重大违法记录； </w:t>
      </w:r>
    </w:p>
    <w:p w14:paraId="419AC63D">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（六）法律、行政法规规定的其他条件。 </w:t>
      </w:r>
    </w:p>
    <w:p w14:paraId="57DE53F1">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本公司（企业）已清楚磋商文件的要求及有关文件规定。 </w:t>
      </w:r>
    </w:p>
    <w:p w14:paraId="0DEA5511">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本公司（企业）的法定代表人或单位负责人与本项目其他供应商的法定代表人或单位负责人不为同一人且与其他供应商之间不存在直接控股、管理关系。 </w:t>
      </w:r>
    </w:p>
    <w:p w14:paraId="11ACE0DE">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本公司（企业）承诺：若为本采购项目提供整体设计、规范编制或者项目管理、监理、检测等服务的供应商，将不再参加该采购项目的其他采购活动。 </w:t>
      </w:r>
    </w:p>
    <w:p w14:paraId="0E4DC7D0">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本公司（企业）承诺：参加本次采购活动前 3 年内，我公司（企业）在经营活动中没有重大违法记录。本公司（企业）承诺：本项目标的的所有权和该作品的使用权归采购人所有，知识产权（含该作品的著作权及版权）或专利归作者我公司（企业）所有。本项目我公司（企业）所提供的服务不侵犯任何第三方的专利、商标或版权。否则，我公司（企业）承担对第三方的知识产权（含该作品的著作权及版权）或专利的侵权责任，以及由此产生的后果由我司负责。 </w:t>
      </w:r>
    </w:p>
    <w:p w14:paraId="4FCD12D9">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本公司（企业）承诺在本次采购活动中，如有违法、违规、弄虚作假行为，所造成的损失、不良后果及法律责任，一律由我公司（企业）承担。 </w:t>
      </w:r>
    </w:p>
    <w:p w14:paraId="328FA0A2">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特此声明！ </w:t>
      </w:r>
    </w:p>
    <w:p w14:paraId="285A74AD">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供应商名称（单位盖公章）：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5C15BCF">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492F8CF">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u w:val="single"/>
        </w:rPr>
        <w:t xml:space="preserve">         </w:t>
      </w:r>
    </w:p>
    <w:p w14:paraId="02902B0F">
      <w:pPr>
        <w:pStyle w:val="4"/>
        <w:ind w:firstLine="0"/>
        <w:jc w:val="center"/>
        <w:rPr>
          <w:rFonts w:hint="eastAsia" w:ascii="黑体" w:hAnsi="宋体" w:eastAsia="黑体"/>
          <w:b/>
          <w:bCs/>
          <w:color w:val="auto"/>
          <w:sz w:val="30"/>
          <w:szCs w:val="30"/>
          <w:highlight w:val="none"/>
        </w:rPr>
      </w:pPr>
      <w:r>
        <w:rPr>
          <w:rFonts w:hint="eastAsia" w:cs="宋体"/>
          <w:b/>
          <w:bCs/>
          <w:color w:val="auto"/>
          <w:sz w:val="30"/>
          <w:szCs w:val="30"/>
          <w:highlight w:val="none"/>
          <w:lang w:val="en-US" w:eastAsia="zh-CN"/>
        </w:rPr>
        <w:t xml:space="preserve">6.3 </w:t>
      </w:r>
      <w:r>
        <w:rPr>
          <w:rFonts w:hint="eastAsia" w:ascii="黑体" w:hAnsi="宋体" w:eastAsia="黑体"/>
          <w:b/>
          <w:bCs/>
          <w:color w:val="auto"/>
          <w:sz w:val="30"/>
          <w:szCs w:val="30"/>
          <w:highlight w:val="none"/>
        </w:rPr>
        <w:t>具备履行合同所必需的设备和专业技术能力的书面声明</w:t>
      </w:r>
    </w:p>
    <w:p w14:paraId="2312B634">
      <w:pPr>
        <w:pStyle w:val="4"/>
        <w:ind w:firstLine="0"/>
        <w:jc w:val="center"/>
        <w:rPr>
          <w:rFonts w:hint="eastAsia" w:ascii="黑体" w:hAnsi="宋体" w:eastAsia="黑体"/>
          <w:b/>
          <w:bCs/>
          <w:color w:val="auto"/>
          <w:sz w:val="30"/>
          <w:szCs w:val="30"/>
          <w:highlight w:val="none"/>
        </w:rPr>
      </w:pPr>
    </w:p>
    <w:p w14:paraId="1C024605">
      <w:pPr>
        <w:spacing w:before="145" w:beforeLines="50" w:after="145" w:afterLines="50" w:line="300" w:lineRule="auto"/>
        <w:ind w:firstLine="492"/>
        <w:rPr>
          <w:rFonts w:hint="eastAsia" w:ascii="宋体" w:hAnsi="宋体"/>
          <w:bCs/>
          <w:color w:val="auto"/>
          <w:sz w:val="24"/>
          <w:highlight w:val="none"/>
        </w:rPr>
      </w:pPr>
      <w:r>
        <w:rPr>
          <w:rFonts w:hint="eastAsia" w:ascii="宋体" w:hAnsi="宋体"/>
          <w:bCs/>
          <w:color w:val="auto"/>
          <w:sz w:val="24"/>
          <w:highlight w:val="none"/>
        </w:rPr>
        <w:t>我单位郑重声明：我单位具备履行本项采购合同所必需的设备和专业技术能力，为履行本项采购合同我公司具备如下主要设备和主要专业技术能力：</w:t>
      </w:r>
    </w:p>
    <w:p w14:paraId="1B57EB9E">
      <w:pPr>
        <w:spacing w:before="145" w:beforeLines="50" w:after="145" w:afterLines="50" w:line="300" w:lineRule="auto"/>
        <w:ind w:firstLine="492"/>
        <w:rPr>
          <w:rFonts w:hint="eastAsia" w:ascii="宋体" w:hAnsi="宋体"/>
          <w:bCs/>
          <w:color w:val="auto"/>
          <w:sz w:val="24"/>
          <w:highlight w:val="none"/>
        </w:rPr>
      </w:pPr>
      <w:r>
        <w:rPr>
          <w:rFonts w:hint="eastAsia" w:ascii="宋体" w:hAnsi="宋体"/>
          <w:bCs/>
          <w:color w:val="auto"/>
          <w:sz w:val="24"/>
          <w:highlight w:val="none"/>
        </w:rPr>
        <w:t>主要设备有：</w:t>
      </w:r>
      <w:r>
        <w:rPr>
          <w:rFonts w:hint="eastAsia" w:ascii="宋体" w:hAnsi="宋体"/>
          <w:bCs/>
          <w:color w:val="auto"/>
          <w:sz w:val="24"/>
          <w:highlight w:val="none"/>
          <w:u w:val="single"/>
        </w:rPr>
        <w:t xml:space="preserve">                                                    </w:t>
      </w:r>
      <w:r>
        <w:rPr>
          <w:rFonts w:hint="eastAsia" w:ascii="宋体" w:hAnsi="宋体"/>
          <w:bCs/>
          <w:color w:val="auto"/>
          <w:sz w:val="24"/>
          <w:highlight w:val="none"/>
        </w:rPr>
        <w:t>。</w:t>
      </w:r>
    </w:p>
    <w:p w14:paraId="1B6163AC">
      <w:pPr>
        <w:spacing w:before="145" w:beforeLines="50" w:after="145" w:afterLines="50" w:line="300" w:lineRule="auto"/>
        <w:ind w:firstLine="492"/>
        <w:rPr>
          <w:rFonts w:hint="eastAsia" w:ascii="宋体" w:hAnsi="宋体"/>
          <w:bCs/>
          <w:color w:val="auto"/>
          <w:sz w:val="24"/>
          <w:highlight w:val="none"/>
        </w:rPr>
      </w:pPr>
      <w:r>
        <w:rPr>
          <w:rFonts w:hint="eastAsia" w:ascii="宋体" w:hAnsi="宋体"/>
          <w:bCs/>
          <w:color w:val="auto"/>
          <w:sz w:val="24"/>
          <w:highlight w:val="none"/>
        </w:rPr>
        <w:t>主要专业技术能力有：</w:t>
      </w:r>
      <w:r>
        <w:rPr>
          <w:rFonts w:hint="eastAsia" w:ascii="宋体" w:hAnsi="宋体"/>
          <w:bCs/>
          <w:color w:val="auto"/>
          <w:sz w:val="24"/>
          <w:highlight w:val="none"/>
          <w:u w:val="single"/>
        </w:rPr>
        <w:t xml:space="preserve">                                            </w:t>
      </w:r>
      <w:r>
        <w:rPr>
          <w:rFonts w:hint="eastAsia" w:ascii="宋体" w:hAnsi="宋体"/>
          <w:bCs/>
          <w:color w:val="auto"/>
          <w:sz w:val="24"/>
          <w:highlight w:val="none"/>
        </w:rPr>
        <w:t>。</w:t>
      </w:r>
    </w:p>
    <w:p w14:paraId="2FA9D14D">
      <w:pPr>
        <w:pStyle w:val="36"/>
        <w:spacing w:before="145" w:beforeLines="50" w:after="145" w:afterLines="50" w:line="300" w:lineRule="auto"/>
        <w:ind w:left="6000" w:leftChars="2400" w:hanging="720" w:hangingChars="300"/>
        <w:rPr>
          <w:rFonts w:hint="eastAsia" w:ascii="宋体" w:hAnsi="宋体"/>
          <w:color w:val="auto"/>
          <w:kern w:val="2"/>
          <w:szCs w:val="21"/>
          <w:highlight w:val="none"/>
        </w:rPr>
      </w:pPr>
      <w:r>
        <w:rPr>
          <w:rFonts w:hint="eastAsia" w:ascii="宋体" w:hAnsi="宋体"/>
          <w:bCs/>
          <w:color w:val="auto"/>
          <w:highlight w:val="none"/>
        </w:rPr>
        <w:t xml:space="preserve">                                     </w:t>
      </w:r>
      <w:r>
        <w:rPr>
          <w:rFonts w:hint="eastAsia" w:ascii="宋体" w:hAnsi="宋体"/>
          <w:color w:val="auto"/>
          <w:kern w:val="2"/>
          <w:szCs w:val="21"/>
          <w:highlight w:val="none"/>
        </w:rPr>
        <w:t xml:space="preserve">投标人名称（盖章）： </w:t>
      </w:r>
    </w:p>
    <w:p w14:paraId="6B239120">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color w:val="auto"/>
          <w:highlight w:val="none"/>
        </w:rPr>
      </w:pPr>
      <w:r>
        <w:rPr>
          <w:rFonts w:hint="eastAsia"/>
          <w:color w:val="auto"/>
          <w:highlight w:val="none"/>
          <w:lang w:val="en-US" w:eastAsia="zh-CN"/>
        </w:rPr>
        <w:t xml:space="preserve">                                             </w:t>
      </w:r>
      <w:r>
        <w:rPr>
          <w:rFonts w:hint="eastAsia" w:ascii="宋体" w:hAnsi="宋体"/>
          <w:color w:val="auto"/>
          <w:highlight w:val="none"/>
        </w:rPr>
        <w:t>______年____月____日</w:t>
      </w:r>
    </w:p>
    <w:p w14:paraId="0AFF0103">
      <w:pPr>
        <w:pStyle w:val="7"/>
        <w:rPr>
          <w:rFonts w:hint="eastAsia" w:ascii="宋体" w:hAnsi="宋体"/>
          <w:color w:val="auto"/>
          <w:highlight w:val="none"/>
        </w:rPr>
      </w:pPr>
    </w:p>
    <w:p w14:paraId="5EE8E017">
      <w:pPr>
        <w:rPr>
          <w:rFonts w:hint="eastAsia" w:ascii="宋体" w:hAnsi="宋体"/>
          <w:color w:val="auto"/>
          <w:highlight w:val="none"/>
        </w:rPr>
      </w:pPr>
    </w:p>
    <w:p w14:paraId="06BE36D7">
      <w:pPr>
        <w:pStyle w:val="7"/>
        <w:rPr>
          <w:rFonts w:hint="eastAsia" w:ascii="宋体" w:hAnsi="宋体"/>
          <w:color w:val="auto"/>
          <w:highlight w:val="none"/>
        </w:rPr>
      </w:pPr>
    </w:p>
    <w:p w14:paraId="19AEBC9E">
      <w:pPr>
        <w:rPr>
          <w:rFonts w:hint="eastAsia" w:ascii="宋体" w:hAnsi="宋体"/>
          <w:color w:val="auto"/>
          <w:highlight w:val="none"/>
        </w:rPr>
      </w:pPr>
    </w:p>
    <w:p w14:paraId="68FA4E99">
      <w:pPr>
        <w:pStyle w:val="7"/>
        <w:rPr>
          <w:rFonts w:hint="eastAsia" w:ascii="宋体" w:hAnsi="宋体"/>
          <w:color w:val="auto"/>
          <w:highlight w:val="none"/>
        </w:rPr>
      </w:pPr>
    </w:p>
    <w:p w14:paraId="1A424991">
      <w:pPr>
        <w:rPr>
          <w:rFonts w:hint="eastAsia" w:ascii="宋体" w:hAnsi="宋体"/>
          <w:color w:val="auto"/>
          <w:highlight w:val="none"/>
        </w:rPr>
      </w:pPr>
    </w:p>
    <w:p w14:paraId="710619E9">
      <w:pPr>
        <w:pStyle w:val="7"/>
        <w:rPr>
          <w:rFonts w:hint="eastAsia" w:ascii="宋体" w:hAnsi="宋体"/>
          <w:color w:val="auto"/>
          <w:highlight w:val="none"/>
        </w:rPr>
      </w:pPr>
    </w:p>
    <w:p w14:paraId="426A7540">
      <w:pPr>
        <w:rPr>
          <w:rFonts w:hint="eastAsia" w:ascii="宋体" w:hAnsi="宋体"/>
          <w:color w:val="auto"/>
          <w:highlight w:val="none"/>
        </w:rPr>
      </w:pPr>
    </w:p>
    <w:p w14:paraId="4C650515">
      <w:pPr>
        <w:pStyle w:val="7"/>
        <w:rPr>
          <w:rFonts w:hint="eastAsia" w:ascii="宋体" w:hAnsi="宋体"/>
          <w:color w:val="auto"/>
          <w:highlight w:val="none"/>
        </w:rPr>
      </w:pPr>
    </w:p>
    <w:p w14:paraId="197BE870">
      <w:pPr>
        <w:rPr>
          <w:rFonts w:hint="eastAsia" w:ascii="宋体" w:hAnsi="宋体"/>
          <w:color w:val="auto"/>
          <w:highlight w:val="none"/>
        </w:rPr>
      </w:pPr>
    </w:p>
    <w:p w14:paraId="78A4676A">
      <w:pPr>
        <w:pStyle w:val="7"/>
        <w:rPr>
          <w:rFonts w:hint="eastAsia" w:ascii="宋体" w:hAnsi="宋体"/>
          <w:color w:val="auto"/>
          <w:highlight w:val="none"/>
        </w:rPr>
      </w:pPr>
    </w:p>
    <w:p w14:paraId="54C78AE4">
      <w:pPr>
        <w:rPr>
          <w:rFonts w:hint="eastAsia" w:ascii="宋体" w:hAnsi="宋体"/>
          <w:color w:val="auto"/>
          <w:highlight w:val="none"/>
        </w:rPr>
      </w:pPr>
    </w:p>
    <w:p w14:paraId="3F67EC25">
      <w:pPr>
        <w:pStyle w:val="7"/>
        <w:rPr>
          <w:rFonts w:hint="eastAsia" w:ascii="宋体" w:hAnsi="宋体"/>
          <w:color w:val="auto"/>
          <w:highlight w:val="none"/>
        </w:rPr>
      </w:pPr>
    </w:p>
    <w:p w14:paraId="232BF60C">
      <w:pPr>
        <w:rPr>
          <w:rFonts w:hint="eastAsia" w:ascii="宋体" w:hAnsi="宋体"/>
          <w:color w:val="auto"/>
          <w:highlight w:val="none"/>
        </w:rPr>
      </w:pPr>
    </w:p>
    <w:p w14:paraId="48DA9699">
      <w:pPr>
        <w:pStyle w:val="7"/>
        <w:rPr>
          <w:rFonts w:hint="eastAsia" w:ascii="宋体" w:hAnsi="宋体"/>
          <w:color w:val="auto"/>
          <w:highlight w:val="none"/>
        </w:rPr>
      </w:pPr>
    </w:p>
    <w:p w14:paraId="2CBCEA34">
      <w:pPr>
        <w:rPr>
          <w:rFonts w:hint="eastAsia" w:ascii="宋体" w:hAnsi="宋体"/>
          <w:color w:val="auto"/>
          <w:highlight w:val="none"/>
        </w:rPr>
      </w:pPr>
    </w:p>
    <w:p w14:paraId="6EB11A4F">
      <w:pPr>
        <w:pStyle w:val="7"/>
        <w:rPr>
          <w:rFonts w:hint="eastAsia" w:ascii="宋体" w:hAnsi="宋体"/>
          <w:color w:val="auto"/>
          <w:highlight w:val="none"/>
        </w:rPr>
      </w:pPr>
    </w:p>
    <w:p w14:paraId="452E0B85">
      <w:pPr>
        <w:rPr>
          <w:rFonts w:hint="eastAsia" w:ascii="宋体" w:hAnsi="宋体"/>
          <w:color w:val="auto"/>
          <w:highlight w:val="none"/>
        </w:rPr>
      </w:pPr>
    </w:p>
    <w:p w14:paraId="65426E55">
      <w:pPr>
        <w:pStyle w:val="7"/>
        <w:rPr>
          <w:rFonts w:hint="eastAsia" w:ascii="宋体" w:hAnsi="宋体"/>
          <w:color w:val="auto"/>
          <w:highlight w:val="none"/>
        </w:rPr>
      </w:pPr>
    </w:p>
    <w:p w14:paraId="0A11059C">
      <w:pPr>
        <w:rPr>
          <w:rFonts w:hint="eastAsia" w:ascii="宋体" w:hAnsi="宋体"/>
          <w:color w:val="auto"/>
          <w:highlight w:val="none"/>
        </w:rPr>
      </w:pPr>
    </w:p>
    <w:p w14:paraId="0D527EAA">
      <w:pPr>
        <w:pStyle w:val="7"/>
        <w:rPr>
          <w:rFonts w:hint="eastAsia" w:ascii="宋体" w:hAnsi="宋体"/>
          <w:color w:val="auto"/>
          <w:highlight w:val="none"/>
        </w:rPr>
      </w:pPr>
    </w:p>
    <w:p w14:paraId="7E5C276E">
      <w:pPr>
        <w:rPr>
          <w:rFonts w:hint="eastAsia" w:ascii="宋体" w:hAnsi="宋体"/>
          <w:color w:val="auto"/>
          <w:highlight w:val="none"/>
        </w:rPr>
      </w:pPr>
    </w:p>
    <w:p w14:paraId="2ABF07F6">
      <w:pPr>
        <w:pStyle w:val="7"/>
        <w:rPr>
          <w:rFonts w:hint="eastAsia" w:ascii="宋体" w:hAnsi="宋体"/>
          <w:color w:val="auto"/>
          <w:highlight w:val="none"/>
        </w:rPr>
      </w:pPr>
    </w:p>
    <w:p w14:paraId="6A745496">
      <w:pPr>
        <w:rPr>
          <w:rFonts w:hint="eastAsia" w:ascii="宋体" w:hAnsi="宋体"/>
          <w:color w:val="auto"/>
          <w:highlight w:val="none"/>
        </w:rPr>
      </w:pPr>
    </w:p>
    <w:p w14:paraId="0E2B16B0">
      <w:pPr>
        <w:pStyle w:val="7"/>
        <w:rPr>
          <w:rFonts w:hint="eastAsia" w:ascii="宋体" w:hAnsi="宋体"/>
          <w:color w:val="auto"/>
          <w:highlight w:val="none"/>
        </w:rPr>
      </w:pPr>
    </w:p>
    <w:p w14:paraId="7E49EA9B">
      <w:pPr>
        <w:rPr>
          <w:rFonts w:hint="eastAsia" w:ascii="宋体" w:hAnsi="宋体"/>
          <w:color w:val="auto"/>
          <w:highlight w:val="none"/>
        </w:rPr>
      </w:pPr>
    </w:p>
    <w:p w14:paraId="7DFD232D">
      <w:pPr>
        <w:pStyle w:val="7"/>
        <w:rPr>
          <w:rFonts w:hint="eastAsia" w:ascii="宋体" w:hAnsi="宋体"/>
          <w:color w:val="auto"/>
          <w:highlight w:val="none"/>
        </w:rPr>
      </w:pPr>
    </w:p>
    <w:p w14:paraId="5180328F">
      <w:pPr>
        <w:rPr>
          <w:rFonts w:hint="eastAsia" w:ascii="宋体" w:hAnsi="宋体"/>
          <w:color w:val="auto"/>
          <w:highlight w:val="none"/>
        </w:rPr>
      </w:pPr>
    </w:p>
    <w:p w14:paraId="7D0516C2">
      <w:pPr>
        <w:pStyle w:val="7"/>
        <w:rPr>
          <w:rFonts w:hint="eastAsia"/>
          <w:color w:val="auto"/>
          <w:highlight w:val="none"/>
        </w:rPr>
      </w:pPr>
    </w:p>
    <w:p w14:paraId="72142C26">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b/>
          <w:bCs/>
          <w:color w:val="auto"/>
          <w:sz w:val="30"/>
          <w:szCs w:val="30"/>
          <w:highlight w:val="none"/>
          <w:lang w:val="en-US" w:eastAsia="zh-CN"/>
        </w:rPr>
      </w:pPr>
      <w:r>
        <w:rPr>
          <w:rFonts w:hint="eastAsia" w:cs="宋体"/>
          <w:b/>
          <w:bCs/>
          <w:color w:val="auto"/>
          <w:sz w:val="30"/>
          <w:szCs w:val="30"/>
          <w:highlight w:val="none"/>
          <w:lang w:val="en-US" w:eastAsia="zh-CN"/>
        </w:rPr>
        <w:t>6.4</w:t>
      </w:r>
      <w:r>
        <w:rPr>
          <w:rFonts w:hint="eastAsia" w:ascii="宋体" w:hAnsi="宋体" w:eastAsia="宋体" w:cs="宋体"/>
          <w:b/>
          <w:bCs/>
          <w:color w:val="auto"/>
          <w:sz w:val="30"/>
          <w:szCs w:val="30"/>
          <w:highlight w:val="none"/>
          <w:lang w:val="en-US" w:eastAsia="zh-CN"/>
        </w:rPr>
        <w:t xml:space="preserve"> 参加政府采购活动前 3 年内在经营活动中没有重大违法记录的书面声明</w:t>
      </w:r>
    </w:p>
    <w:p w14:paraId="2F29921F">
      <w:pPr>
        <w:pStyle w:val="8"/>
        <w:rPr>
          <w:rFonts w:hint="eastAsia"/>
          <w:color w:val="auto"/>
          <w:highlight w:val="none"/>
          <w:lang w:val="en-US" w:eastAsia="zh-CN"/>
        </w:rPr>
      </w:pPr>
    </w:p>
    <w:p w14:paraId="595D8E8F">
      <w:pPr>
        <w:spacing w:before="145" w:beforeLines="50" w:after="145" w:afterLines="50" w:line="300" w:lineRule="auto"/>
        <w:rPr>
          <w:rFonts w:hint="eastAsia" w:ascii="宋体" w:hAnsi="宋体"/>
          <w:bCs/>
          <w:color w:val="auto"/>
          <w:sz w:val="24"/>
          <w:highlight w:val="none"/>
        </w:rPr>
      </w:pPr>
      <w:r>
        <w:rPr>
          <w:rFonts w:hint="eastAsia" w:ascii="宋体" w:hAnsi="宋体"/>
          <w:b/>
          <w:bCs/>
          <w:color w:val="auto"/>
          <w:sz w:val="24"/>
          <w:highlight w:val="none"/>
        </w:rPr>
        <w:t xml:space="preserve">    </w:t>
      </w:r>
      <w:r>
        <w:rPr>
          <w:rFonts w:hint="eastAsia" w:ascii="宋体" w:hAnsi="宋体"/>
          <w:bCs/>
          <w:color w:val="auto"/>
          <w:sz w:val="24"/>
          <w:highlight w:val="none"/>
        </w:rPr>
        <w:t>我单位郑重声明：参加本次政府采购活动前 3 年内，我单位在经营活动中没有因违法经营受到刑事处罚或者责令停产停业、吊销许可证或者执照、较大数额罚款等行政处罚。</w:t>
      </w:r>
    </w:p>
    <w:p w14:paraId="73E41D2F">
      <w:pPr>
        <w:spacing w:before="145" w:beforeLines="50" w:after="145" w:afterLines="50" w:line="300" w:lineRule="auto"/>
        <w:rPr>
          <w:rFonts w:hint="eastAsia" w:ascii="宋体" w:hAnsi="宋体"/>
          <w:bCs/>
          <w:color w:val="auto"/>
          <w:sz w:val="24"/>
          <w:highlight w:val="none"/>
        </w:rPr>
      </w:pPr>
    </w:p>
    <w:p w14:paraId="1D25A6EE">
      <w:pPr>
        <w:pStyle w:val="36"/>
        <w:spacing w:before="145" w:beforeLines="50" w:after="145" w:afterLines="50" w:line="300" w:lineRule="auto"/>
        <w:ind w:left="440" w:leftChars="200" w:firstLine="5280" w:firstLineChars="2200"/>
        <w:rPr>
          <w:rFonts w:hint="eastAsia" w:ascii="宋体" w:hAnsi="宋体"/>
          <w:color w:val="auto"/>
          <w:kern w:val="2"/>
          <w:szCs w:val="21"/>
          <w:highlight w:val="none"/>
        </w:rPr>
      </w:pPr>
      <w:r>
        <w:rPr>
          <w:rFonts w:hint="eastAsia" w:ascii="宋体" w:hAnsi="宋体"/>
          <w:color w:val="auto"/>
          <w:kern w:val="2"/>
          <w:szCs w:val="21"/>
          <w:highlight w:val="none"/>
        </w:rPr>
        <w:t xml:space="preserve">投标人名称（盖章）： </w:t>
      </w:r>
    </w:p>
    <w:p w14:paraId="254CA565">
      <w:pPr>
        <w:spacing w:before="145" w:beforeLines="50" w:after="145" w:afterLines="50" w:line="300" w:lineRule="auto"/>
        <w:ind w:firstLine="5720" w:firstLineChars="2600"/>
        <w:rPr>
          <w:rFonts w:hint="eastAsia" w:ascii="宋体" w:hAnsi="宋体"/>
          <w:bCs/>
          <w:color w:val="auto"/>
          <w:sz w:val="24"/>
          <w:highlight w:val="none"/>
        </w:rPr>
      </w:pPr>
      <w:r>
        <w:rPr>
          <w:rFonts w:hint="eastAsia" w:ascii="宋体" w:hAnsi="宋体"/>
          <w:color w:val="auto"/>
          <w:highlight w:val="none"/>
        </w:rPr>
        <w:t>______年____月____日</w:t>
      </w:r>
    </w:p>
    <w:p w14:paraId="1C3468A4">
      <w:pPr>
        <w:keepNext w:val="0"/>
        <w:keepLines w:val="0"/>
        <w:pageBreakBefore w:val="0"/>
        <w:widowControl w:val="0"/>
        <w:kinsoku/>
        <w:wordWrap/>
        <w:overflowPunct/>
        <w:topLinePunct w:val="0"/>
        <w:autoSpaceDE w:val="0"/>
        <w:autoSpaceDN w:val="0"/>
        <w:bidi w:val="0"/>
        <w:adjustRightInd/>
        <w:snapToGrid/>
        <w:spacing w:line="400" w:lineRule="exact"/>
        <w:ind w:firstLine="602" w:firstLineChars="200"/>
        <w:jc w:val="center"/>
        <w:textAlignment w:val="auto"/>
        <w:rPr>
          <w:rFonts w:hint="eastAsia" w:ascii="宋体" w:hAnsi="宋体" w:eastAsia="宋体" w:cs="宋体"/>
          <w:b/>
          <w:bCs/>
          <w:color w:val="auto"/>
          <w:sz w:val="30"/>
          <w:szCs w:val="30"/>
          <w:highlight w:val="none"/>
          <w:lang w:val="en-US" w:eastAsia="zh-CN"/>
        </w:rPr>
      </w:pPr>
    </w:p>
    <w:p w14:paraId="1058C855">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宋体" w:hAnsi="宋体" w:eastAsia="宋体" w:cs="宋体"/>
          <w:color w:val="auto"/>
          <w:sz w:val="24"/>
          <w:szCs w:val="24"/>
          <w:highlight w:val="none"/>
        </w:rPr>
      </w:pPr>
    </w:p>
    <w:p w14:paraId="6333E9AA">
      <w:pPr>
        <w:pStyle w:val="7"/>
        <w:rPr>
          <w:rFonts w:hint="eastAsia" w:ascii="宋体" w:hAnsi="宋体" w:eastAsia="宋体" w:cs="宋体"/>
          <w:color w:val="auto"/>
          <w:sz w:val="24"/>
          <w:szCs w:val="24"/>
          <w:highlight w:val="none"/>
        </w:rPr>
      </w:pPr>
    </w:p>
    <w:p w14:paraId="72236D50">
      <w:pPr>
        <w:rPr>
          <w:rFonts w:hint="eastAsia" w:ascii="宋体" w:hAnsi="宋体" w:eastAsia="宋体" w:cs="宋体"/>
          <w:color w:val="auto"/>
          <w:sz w:val="24"/>
          <w:szCs w:val="24"/>
          <w:highlight w:val="none"/>
        </w:rPr>
      </w:pPr>
    </w:p>
    <w:p w14:paraId="4E1EAC04">
      <w:pPr>
        <w:pStyle w:val="7"/>
        <w:rPr>
          <w:rFonts w:hint="eastAsia" w:ascii="宋体" w:hAnsi="宋体" w:eastAsia="宋体" w:cs="宋体"/>
          <w:color w:val="auto"/>
          <w:sz w:val="24"/>
          <w:szCs w:val="24"/>
          <w:highlight w:val="none"/>
        </w:rPr>
      </w:pPr>
    </w:p>
    <w:p w14:paraId="738AC67D">
      <w:pPr>
        <w:rPr>
          <w:rFonts w:hint="eastAsia" w:ascii="宋体" w:hAnsi="宋体" w:eastAsia="宋体" w:cs="宋体"/>
          <w:color w:val="auto"/>
          <w:sz w:val="24"/>
          <w:szCs w:val="24"/>
          <w:highlight w:val="none"/>
        </w:rPr>
      </w:pPr>
    </w:p>
    <w:p w14:paraId="6AE84C24">
      <w:pPr>
        <w:pStyle w:val="7"/>
        <w:rPr>
          <w:rFonts w:hint="eastAsia" w:ascii="宋体" w:hAnsi="宋体" w:eastAsia="宋体" w:cs="宋体"/>
          <w:color w:val="auto"/>
          <w:sz w:val="24"/>
          <w:szCs w:val="24"/>
          <w:highlight w:val="none"/>
        </w:rPr>
      </w:pPr>
    </w:p>
    <w:p w14:paraId="402EDE1B">
      <w:pPr>
        <w:rPr>
          <w:rFonts w:hint="eastAsia" w:ascii="宋体" w:hAnsi="宋体" w:eastAsia="宋体" w:cs="宋体"/>
          <w:color w:val="auto"/>
          <w:sz w:val="24"/>
          <w:szCs w:val="24"/>
          <w:highlight w:val="none"/>
        </w:rPr>
      </w:pPr>
    </w:p>
    <w:p w14:paraId="3A0F4CF6">
      <w:pPr>
        <w:pStyle w:val="7"/>
        <w:rPr>
          <w:rFonts w:hint="eastAsia" w:ascii="宋体" w:hAnsi="宋体" w:eastAsia="宋体" w:cs="宋体"/>
          <w:color w:val="auto"/>
          <w:sz w:val="24"/>
          <w:szCs w:val="24"/>
          <w:highlight w:val="none"/>
        </w:rPr>
      </w:pPr>
    </w:p>
    <w:p w14:paraId="22874DE2">
      <w:pPr>
        <w:rPr>
          <w:rFonts w:hint="eastAsia" w:ascii="宋体" w:hAnsi="宋体" w:eastAsia="宋体" w:cs="宋体"/>
          <w:color w:val="auto"/>
          <w:sz w:val="24"/>
          <w:szCs w:val="24"/>
          <w:highlight w:val="none"/>
        </w:rPr>
      </w:pPr>
    </w:p>
    <w:p w14:paraId="4A71C1A7">
      <w:pPr>
        <w:pStyle w:val="7"/>
        <w:rPr>
          <w:rFonts w:hint="eastAsia" w:ascii="宋体" w:hAnsi="宋体" w:eastAsia="宋体" w:cs="宋体"/>
          <w:color w:val="auto"/>
          <w:sz w:val="24"/>
          <w:szCs w:val="24"/>
          <w:highlight w:val="none"/>
        </w:rPr>
      </w:pPr>
    </w:p>
    <w:p w14:paraId="4FD89000">
      <w:pPr>
        <w:rPr>
          <w:rFonts w:hint="eastAsia" w:ascii="宋体" w:hAnsi="宋体" w:eastAsia="宋体" w:cs="宋体"/>
          <w:color w:val="auto"/>
          <w:sz w:val="24"/>
          <w:szCs w:val="24"/>
          <w:highlight w:val="none"/>
        </w:rPr>
      </w:pPr>
    </w:p>
    <w:p w14:paraId="044E9819">
      <w:pPr>
        <w:pStyle w:val="7"/>
        <w:rPr>
          <w:rFonts w:hint="eastAsia" w:ascii="宋体" w:hAnsi="宋体" w:eastAsia="宋体" w:cs="宋体"/>
          <w:color w:val="auto"/>
          <w:sz w:val="24"/>
          <w:szCs w:val="24"/>
          <w:highlight w:val="none"/>
        </w:rPr>
      </w:pPr>
    </w:p>
    <w:p w14:paraId="17875EC7">
      <w:pPr>
        <w:rPr>
          <w:rFonts w:hint="eastAsia" w:ascii="宋体" w:hAnsi="宋体" w:eastAsia="宋体" w:cs="宋体"/>
          <w:color w:val="auto"/>
          <w:sz w:val="24"/>
          <w:szCs w:val="24"/>
          <w:highlight w:val="none"/>
        </w:rPr>
      </w:pPr>
    </w:p>
    <w:p w14:paraId="7B9D8E91">
      <w:pPr>
        <w:pStyle w:val="7"/>
        <w:rPr>
          <w:rFonts w:hint="eastAsia" w:ascii="宋体" w:hAnsi="宋体" w:eastAsia="宋体" w:cs="宋体"/>
          <w:color w:val="auto"/>
          <w:sz w:val="24"/>
          <w:szCs w:val="24"/>
          <w:highlight w:val="none"/>
        </w:rPr>
      </w:pPr>
    </w:p>
    <w:p w14:paraId="4F51DE1F">
      <w:pPr>
        <w:rPr>
          <w:rFonts w:hint="eastAsia" w:ascii="宋体" w:hAnsi="宋体" w:eastAsia="宋体" w:cs="宋体"/>
          <w:color w:val="auto"/>
          <w:sz w:val="24"/>
          <w:szCs w:val="24"/>
          <w:highlight w:val="none"/>
        </w:rPr>
      </w:pPr>
    </w:p>
    <w:p w14:paraId="4FA9BAB1">
      <w:pPr>
        <w:pStyle w:val="7"/>
        <w:rPr>
          <w:rFonts w:hint="eastAsia" w:ascii="宋体" w:hAnsi="宋体" w:eastAsia="宋体" w:cs="宋体"/>
          <w:color w:val="auto"/>
          <w:sz w:val="24"/>
          <w:szCs w:val="24"/>
          <w:highlight w:val="none"/>
        </w:rPr>
      </w:pPr>
    </w:p>
    <w:p w14:paraId="635DCB8E">
      <w:pPr>
        <w:rPr>
          <w:rFonts w:hint="eastAsia" w:ascii="宋体" w:hAnsi="宋体" w:eastAsia="宋体" w:cs="宋体"/>
          <w:color w:val="auto"/>
          <w:sz w:val="24"/>
          <w:szCs w:val="24"/>
          <w:highlight w:val="none"/>
        </w:rPr>
      </w:pPr>
    </w:p>
    <w:p w14:paraId="06951040">
      <w:pPr>
        <w:pStyle w:val="7"/>
        <w:rPr>
          <w:rFonts w:hint="eastAsia" w:ascii="宋体" w:hAnsi="宋体" w:eastAsia="宋体" w:cs="宋体"/>
          <w:color w:val="auto"/>
          <w:sz w:val="24"/>
          <w:szCs w:val="24"/>
          <w:highlight w:val="none"/>
        </w:rPr>
      </w:pPr>
    </w:p>
    <w:p w14:paraId="24FB6144">
      <w:pPr>
        <w:rPr>
          <w:rFonts w:hint="eastAsia" w:ascii="宋体" w:hAnsi="宋体" w:eastAsia="宋体" w:cs="宋体"/>
          <w:color w:val="auto"/>
          <w:sz w:val="24"/>
          <w:szCs w:val="24"/>
          <w:highlight w:val="none"/>
        </w:rPr>
      </w:pPr>
    </w:p>
    <w:p w14:paraId="5768A74C">
      <w:pPr>
        <w:pStyle w:val="7"/>
        <w:rPr>
          <w:rFonts w:hint="eastAsia" w:ascii="宋体" w:hAnsi="宋体" w:eastAsia="宋体" w:cs="宋体"/>
          <w:color w:val="auto"/>
          <w:sz w:val="24"/>
          <w:szCs w:val="24"/>
          <w:highlight w:val="none"/>
        </w:rPr>
      </w:pPr>
    </w:p>
    <w:p w14:paraId="454B0F37">
      <w:pPr>
        <w:rPr>
          <w:rFonts w:hint="eastAsia" w:ascii="宋体" w:hAnsi="宋体" w:eastAsia="宋体" w:cs="宋体"/>
          <w:color w:val="auto"/>
          <w:sz w:val="24"/>
          <w:szCs w:val="24"/>
          <w:highlight w:val="none"/>
        </w:rPr>
      </w:pPr>
    </w:p>
    <w:p w14:paraId="70FD95FE">
      <w:pPr>
        <w:pStyle w:val="7"/>
        <w:rPr>
          <w:rFonts w:hint="eastAsia" w:ascii="宋体" w:hAnsi="宋体" w:eastAsia="宋体" w:cs="宋体"/>
          <w:color w:val="auto"/>
          <w:sz w:val="24"/>
          <w:szCs w:val="24"/>
          <w:highlight w:val="none"/>
        </w:rPr>
      </w:pPr>
    </w:p>
    <w:p w14:paraId="6DA9F736">
      <w:pPr>
        <w:rPr>
          <w:rFonts w:hint="eastAsia" w:ascii="宋体" w:hAnsi="宋体" w:eastAsia="宋体" w:cs="宋体"/>
          <w:color w:val="auto"/>
          <w:sz w:val="24"/>
          <w:szCs w:val="24"/>
          <w:highlight w:val="none"/>
        </w:rPr>
      </w:pPr>
    </w:p>
    <w:p w14:paraId="754480CF">
      <w:pPr>
        <w:pStyle w:val="7"/>
        <w:rPr>
          <w:rFonts w:hint="eastAsia" w:ascii="宋体" w:hAnsi="宋体" w:eastAsia="宋体" w:cs="宋体"/>
          <w:color w:val="auto"/>
          <w:sz w:val="24"/>
          <w:szCs w:val="24"/>
          <w:highlight w:val="none"/>
        </w:rPr>
      </w:pPr>
    </w:p>
    <w:p w14:paraId="2692D9D6">
      <w:pPr>
        <w:rPr>
          <w:rFonts w:hint="eastAsia" w:ascii="宋体" w:hAnsi="宋体" w:eastAsia="宋体" w:cs="宋体"/>
          <w:color w:val="auto"/>
          <w:sz w:val="24"/>
          <w:szCs w:val="24"/>
          <w:highlight w:val="none"/>
        </w:rPr>
      </w:pPr>
    </w:p>
    <w:p w14:paraId="6C4AFDA0">
      <w:pPr>
        <w:pStyle w:val="7"/>
        <w:rPr>
          <w:rFonts w:hint="eastAsia" w:ascii="宋体" w:hAnsi="宋体" w:eastAsia="宋体" w:cs="宋体"/>
          <w:color w:val="auto"/>
          <w:sz w:val="24"/>
          <w:szCs w:val="24"/>
          <w:highlight w:val="none"/>
        </w:rPr>
      </w:pPr>
    </w:p>
    <w:p w14:paraId="16273FB7">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方正小标宋简体" w:cs="宋体"/>
          <w:i w:val="0"/>
          <w:iCs w:val="0"/>
          <w:caps w:val="0"/>
          <w:color w:val="auto"/>
          <w:spacing w:val="0"/>
          <w:sz w:val="21"/>
          <w:szCs w:val="21"/>
          <w:highlight w:val="none"/>
          <w:lang w:val="en-US" w:eastAsia="zh-CN"/>
        </w:rPr>
      </w:pPr>
      <w:r>
        <w:rPr>
          <w:rFonts w:hint="eastAsia" w:ascii="宋体" w:hAnsi="宋体" w:eastAsia="宋体" w:cs="宋体"/>
          <w:b/>
          <w:bCs/>
          <w:color w:val="auto"/>
          <w:sz w:val="30"/>
          <w:szCs w:val="30"/>
          <w:highlight w:val="none"/>
          <w:lang w:val="en-US" w:eastAsia="zh-CN"/>
        </w:rPr>
        <w:t>6.</w:t>
      </w:r>
      <w:r>
        <w:rPr>
          <w:rFonts w:hint="eastAsia" w:cs="宋体"/>
          <w:b/>
          <w:bCs/>
          <w:color w:val="auto"/>
          <w:sz w:val="30"/>
          <w:szCs w:val="30"/>
          <w:highlight w:val="none"/>
          <w:lang w:val="en-US" w:eastAsia="zh-CN"/>
        </w:rPr>
        <w:t>5</w:t>
      </w:r>
      <w:r>
        <w:rPr>
          <w:rFonts w:hint="eastAsia" w:ascii="宋体" w:hAnsi="宋体" w:eastAsia="宋体" w:cs="宋体"/>
          <w:b/>
          <w:bCs/>
          <w:color w:val="auto"/>
          <w:sz w:val="30"/>
          <w:szCs w:val="30"/>
          <w:highlight w:val="none"/>
          <w:lang w:val="en-US" w:eastAsia="zh-CN"/>
        </w:rPr>
        <w:t xml:space="preserve"> 政府采购供应商质疑函范本</w:t>
      </w:r>
    </w:p>
    <w:tbl>
      <w:tblPr>
        <w:tblStyle w:val="20"/>
        <w:tblW w:w="90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83"/>
        <w:gridCol w:w="1215"/>
        <w:gridCol w:w="687"/>
        <w:gridCol w:w="1388"/>
        <w:gridCol w:w="2163"/>
        <w:gridCol w:w="1196"/>
        <w:gridCol w:w="1526"/>
      </w:tblGrid>
      <w:tr w14:paraId="64F89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83"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D79793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ascii="方正仿宋简体" w:hAnsi="方正仿宋简体" w:eastAsia="方正仿宋简体" w:cs="方正仿宋简体"/>
                <w:i w:val="0"/>
                <w:iCs w:val="0"/>
                <w:caps w:val="0"/>
                <w:color w:val="auto"/>
                <w:spacing w:val="0"/>
                <w:sz w:val="21"/>
                <w:szCs w:val="21"/>
                <w:highlight w:val="none"/>
              </w:rPr>
              <w:t>质疑项目</w:t>
            </w:r>
          </w:p>
          <w:p w14:paraId="58BAEC0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基本情况</w:t>
            </w: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840E3C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项目名称</w:t>
            </w:r>
          </w:p>
        </w:tc>
        <w:tc>
          <w:tcPr>
            <w:tcW w:w="207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DF8CB0B">
            <w:pPr>
              <w:rPr>
                <w:rFonts w:hint="eastAsia" w:ascii="宋体" w:hAnsi="宋体" w:eastAsia="宋体" w:cs="宋体"/>
                <w:i w:val="0"/>
                <w:iCs w:val="0"/>
                <w:caps w:val="0"/>
                <w:color w:val="auto"/>
                <w:spacing w:val="0"/>
                <w:sz w:val="21"/>
                <w:szCs w:val="21"/>
                <w:highlight w:val="none"/>
              </w:rPr>
            </w:pPr>
          </w:p>
        </w:tc>
        <w:tc>
          <w:tcPr>
            <w:tcW w:w="335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94A58D4">
            <w:pPr>
              <w:rPr>
                <w:rFonts w:hint="eastAsia" w:ascii="宋体" w:hAnsi="宋体" w:eastAsia="宋体" w:cs="宋体"/>
                <w:i w:val="0"/>
                <w:iCs w:val="0"/>
                <w:caps w:val="0"/>
                <w:color w:val="auto"/>
                <w:spacing w:val="0"/>
                <w:sz w:val="21"/>
                <w:szCs w:val="21"/>
                <w:highlight w:val="none"/>
              </w:rPr>
            </w:pPr>
          </w:p>
        </w:tc>
        <w:tc>
          <w:tcPr>
            <w:tcW w:w="152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3C72913">
            <w:pPr>
              <w:rPr>
                <w:rFonts w:hint="eastAsia" w:ascii="宋体" w:hAnsi="宋体" w:eastAsia="宋体" w:cs="宋体"/>
                <w:i w:val="0"/>
                <w:iCs w:val="0"/>
                <w:caps w:val="0"/>
                <w:color w:val="auto"/>
                <w:spacing w:val="0"/>
                <w:sz w:val="21"/>
                <w:szCs w:val="21"/>
                <w:highlight w:val="none"/>
              </w:rPr>
            </w:pPr>
          </w:p>
        </w:tc>
      </w:tr>
      <w:tr w14:paraId="3A3A7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B251FD6">
            <w:pPr>
              <w:rPr>
                <w:rFonts w:hint="eastAsia" w:ascii="宋体" w:hAnsi="宋体" w:eastAsia="宋体" w:cs="宋体"/>
                <w:i w:val="0"/>
                <w:iCs w:val="0"/>
                <w:caps w:val="0"/>
                <w:color w:val="auto"/>
                <w:spacing w:val="0"/>
                <w:sz w:val="21"/>
                <w:szCs w:val="21"/>
                <w:highlight w:val="none"/>
              </w:rPr>
            </w:pP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75514C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项目编号</w:t>
            </w:r>
          </w:p>
        </w:tc>
        <w:tc>
          <w:tcPr>
            <w:tcW w:w="207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0E02AA9">
            <w:pPr>
              <w:rPr>
                <w:rFonts w:hint="eastAsia" w:ascii="宋体" w:hAnsi="宋体" w:eastAsia="宋体" w:cs="宋体"/>
                <w:i w:val="0"/>
                <w:iCs w:val="0"/>
                <w:caps w:val="0"/>
                <w:color w:val="auto"/>
                <w:spacing w:val="0"/>
                <w:sz w:val="21"/>
                <w:szCs w:val="21"/>
                <w:highlight w:val="none"/>
              </w:rPr>
            </w:pPr>
          </w:p>
        </w:tc>
        <w:tc>
          <w:tcPr>
            <w:tcW w:w="335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ECE3CD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包  号</w:t>
            </w:r>
          </w:p>
        </w:tc>
        <w:tc>
          <w:tcPr>
            <w:tcW w:w="152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A0807A4">
            <w:pPr>
              <w:rPr>
                <w:rFonts w:hint="eastAsia" w:ascii="宋体" w:hAnsi="宋体" w:eastAsia="宋体" w:cs="宋体"/>
                <w:i w:val="0"/>
                <w:iCs w:val="0"/>
                <w:caps w:val="0"/>
                <w:color w:val="auto"/>
                <w:spacing w:val="0"/>
                <w:sz w:val="21"/>
                <w:szCs w:val="21"/>
                <w:highlight w:val="none"/>
              </w:rPr>
            </w:pPr>
          </w:p>
        </w:tc>
      </w:tr>
      <w:tr w14:paraId="5A0D3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43653C4">
            <w:pPr>
              <w:rPr>
                <w:rFonts w:hint="eastAsia" w:ascii="宋体" w:hAnsi="宋体" w:eastAsia="宋体" w:cs="宋体"/>
                <w:i w:val="0"/>
                <w:iCs w:val="0"/>
                <w:caps w:val="0"/>
                <w:color w:val="auto"/>
                <w:spacing w:val="0"/>
                <w:sz w:val="21"/>
                <w:szCs w:val="21"/>
                <w:highlight w:val="none"/>
              </w:rPr>
            </w:pP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BB3CB1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采购人名称</w:t>
            </w:r>
          </w:p>
        </w:tc>
        <w:tc>
          <w:tcPr>
            <w:tcW w:w="6960"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53C8C73">
            <w:pPr>
              <w:rPr>
                <w:rFonts w:hint="eastAsia" w:ascii="宋体" w:hAnsi="宋体" w:eastAsia="宋体" w:cs="宋体"/>
                <w:i w:val="0"/>
                <w:iCs w:val="0"/>
                <w:caps w:val="0"/>
                <w:color w:val="auto"/>
                <w:spacing w:val="0"/>
                <w:sz w:val="21"/>
                <w:szCs w:val="21"/>
                <w:highlight w:val="none"/>
              </w:rPr>
            </w:pPr>
          </w:p>
        </w:tc>
      </w:tr>
      <w:tr w14:paraId="195A8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AE9D2AB">
            <w:pPr>
              <w:rPr>
                <w:rFonts w:hint="eastAsia" w:ascii="宋体" w:hAnsi="宋体" w:eastAsia="宋体" w:cs="宋体"/>
                <w:i w:val="0"/>
                <w:iCs w:val="0"/>
                <w:caps w:val="0"/>
                <w:color w:val="auto"/>
                <w:spacing w:val="0"/>
                <w:sz w:val="21"/>
                <w:szCs w:val="21"/>
                <w:highlight w:val="none"/>
              </w:rPr>
            </w:pP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60DEC1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采购公告时间</w:t>
            </w:r>
          </w:p>
        </w:tc>
        <w:tc>
          <w:tcPr>
            <w:tcW w:w="207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BAB1D7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年</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月</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日</w:t>
            </w:r>
          </w:p>
        </w:tc>
        <w:tc>
          <w:tcPr>
            <w:tcW w:w="335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ECD483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中标（成交）公告时间</w:t>
            </w:r>
          </w:p>
        </w:tc>
        <w:tc>
          <w:tcPr>
            <w:tcW w:w="152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A0CE8E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年</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月</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日</w:t>
            </w:r>
          </w:p>
        </w:tc>
      </w:tr>
      <w:tr w14:paraId="45986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11A20DA">
            <w:pPr>
              <w:rPr>
                <w:rFonts w:hint="eastAsia" w:ascii="宋体" w:hAnsi="宋体" w:eastAsia="宋体" w:cs="宋体"/>
                <w:i w:val="0"/>
                <w:iCs w:val="0"/>
                <w:caps w:val="0"/>
                <w:color w:val="auto"/>
                <w:spacing w:val="0"/>
                <w:sz w:val="21"/>
                <w:szCs w:val="21"/>
                <w:highlight w:val="none"/>
              </w:rPr>
            </w:pP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AFBF2C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更正公告时间</w:t>
            </w:r>
          </w:p>
          <w:p w14:paraId="2268320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（包含采购文件和采购结果更正公告）</w:t>
            </w:r>
          </w:p>
        </w:tc>
        <w:tc>
          <w:tcPr>
            <w:tcW w:w="207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F04CAF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年</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月</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日</w:t>
            </w:r>
          </w:p>
        </w:tc>
        <w:tc>
          <w:tcPr>
            <w:tcW w:w="335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8D5CFE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终止公告时间（包含废标和采购任务取消）</w:t>
            </w:r>
          </w:p>
        </w:tc>
        <w:tc>
          <w:tcPr>
            <w:tcW w:w="152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937E68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年</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月</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日</w:t>
            </w:r>
          </w:p>
        </w:tc>
      </w:tr>
      <w:tr w14:paraId="6EEEC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83"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9AE359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质疑供应商基本信息</w:t>
            </w: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83BD84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单位名称</w:t>
            </w:r>
          </w:p>
        </w:tc>
        <w:tc>
          <w:tcPr>
            <w:tcW w:w="6960"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9A07E5E">
            <w:pPr>
              <w:rPr>
                <w:rFonts w:hint="eastAsia" w:ascii="宋体" w:hAnsi="宋体" w:eastAsia="宋体" w:cs="宋体"/>
                <w:i w:val="0"/>
                <w:iCs w:val="0"/>
                <w:caps w:val="0"/>
                <w:color w:val="auto"/>
                <w:spacing w:val="0"/>
                <w:sz w:val="21"/>
                <w:szCs w:val="21"/>
                <w:highlight w:val="none"/>
              </w:rPr>
            </w:pPr>
          </w:p>
        </w:tc>
      </w:tr>
      <w:tr w14:paraId="768EC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9511EA4">
            <w:pPr>
              <w:rPr>
                <w:rFonts w:hint="eastAsia" w:ascii="宋体" w:hAnsi="宋体" w:eastAsia="宋体" w:cs="宋体"/>
                <w:i w:val="0"/>
                <w:iCs w:val="0"/>
                <w:caps w:val="0"/>
                <w:color w:val="auto"/>
                <w:spacing w:val="0"/>
                <w:sz w:val="21"/>
                <w:szCs w:val="21"/>
                <w:highlight w:val="none"/>
              </w:rPr>
            </w:pP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6E8922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地址</w:t>
            </w:r>
          </w:p>
        </w:tc>
        <w:tc>
          <w:tcPr>
            <w:tcW w:w="207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B9739A3">
            <w:pPr>
              <w:rPr>
                <w:rFonts w:hint="eastAsia" w:ascii="宋体" w:hAnsi="宋体" w:eastAsia="宋体" w:cs="宋体"/>
                <w:i w:val="0"/>
                <w:iCs w:val="0"/>
                <w:caps w:val="0"/>
                <w:color w:val="auto"/>
                <w:spacing w:val="0"/>
                <w:sz w:val="21"/>
                <w:szCs w:val="21"/>
                <w:highlight w:val="none"/>
              </w:rPr>
            </w:pPr>
          </w:p>
        </w:tc>
        <w:tc>
          <w:tcPr>
            <w:tcW w:w="335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592890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邮编</w:t>
            </w:r>
          </w:p>
        </w:tc>
        <w:tc>
          <w:tcPr>
            <w:tcW w:w="152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C26DB11">
            <w:pPr>
              <w:rPr>
                <w:rFonts w:hint="eastAsia" w:ascii="宋体" w:hAnsi="宋体" w:eastAsia="宋体" w:cs="宋体"/>
                <w:i w:val="0"/>
                <w:iCs w:val="0"/>
                <w:caps w:val="0"/>
                <w:color w:val="auto"/>
                <w:spacing w:val="0"/>
                <w:sz w:val="21"/>
                <w:szCs w:val="21"/>
                <w:highlight w:val="none"/>
              </w:rPr>
            </w:pPr>
          </w:p>
        </w:tc>
      </w:tr>
      <w:tr w14:paraId="6B7AE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616DB9F">
            <w:pPr>
              <w:rPr>
                <w:rFonts w:hint="eastAsia" w:ascii="宋体" w:hAnsi="宋体" w:eastAsia="宋体" w:cs="宋体"/>
                <w:i w:val="0"/>
                <w:iCs w:val="0"/>
                <w:caps w:val="0"/>
                <w:color w:val="auto"/>
                <w:spacing w:val="0"/>
                <w:sz w:val="21"/>
                <w:szCs w:val="21"/>
                <w:highlight w:val="none"/>
              </w:rPr>
            </w:pP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8D5BDB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联系人</w:t>
            </w:r>
          </w:p>
        </w:tc>
        <w:tc>
          <w:tcPr>
            <w:tcW w:w="207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5F4EFBA">
            <w:pPr>
              <w:rPr>
                <w:rFonts w:hint="eastAsia" w:ascii="宋体" w:hAnsi="宋体" w:eastAsia="宋体" w:cs="宋体"/>
                <w:i w:val="0"/>
                <w:iCs w:val="0"/>
                <w:caps w:val="0"/>
                <w:color w:val="auto"/>
                <w:spacing w:val="0"/>
                <w:sz w:val="21"/>
                <w:szCs w:val="21"/>
                <w:highlight w:val="none"/>
              </w:rPr>
            </w:pPr>
          </w:p>
        </w:tc>
        <w:tc>
          <w:tcPr>
            <w:tcW w:w="335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4C14E90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联系电话</w:t>
            </w:r>
          </w:p>
        </w:tc>
        <w:tc>
          <w:tcPr>
            <w:tcW w:w="152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5FF1EC0">
            <w:pPr>
              <w:rPr>
                <w:rFonts w:hint="eastAsia" w:ascii="宋体" w:hAnsi="宋体" w:eastAsia="宋体" w:cs="宋体"/>
                <w:i w:val="0"/>
                <w:iCs w:val="0"/>
                <w:caps w:val="0"/>
                <w:color w:val="auto"/>
                <w:spacing w:val="0"/>
                <w:sz w:val="21"/>
                <w:szCs w:val="21"/>
                <w:highlight w:val="none"/>
              </w:rPr>
            </w:pPr>
          </w:p>
        </w:tc>
      </w:tr>
      <w:tr w14:paraId="19BCF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ACDF24C">
            <w:pPr>
              <w:rPr>
                <w:rFonts w:hint="eastAsia" w:ascii="宋体" w:hAnsi="宋体" w:eastAsia="宋体" w:cs="宋体"/>
                <w:i w:val="0"/>
                <w:iCs w:val="0"/>
                <w:caps w:val="0"/>
                <w:color w:val="auto"/>
                <w:spacing w:val="0"/>
                <w:sz w:val="21"/>
                <w:szCs w:val="21"/>
                <w:highlight w:val="none"/>
              </w:rPr>
            </w:pP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A88C8F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授权代表</w:t>
            </w:r>
          </w:p>
        </w:tc>
        <w:tc>
          <w:tcPr>
            <w:tcW w:w="207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8CDE0D7">
            <w:pPr>
              <w:rPr>
                <w:rFonts w:hint="eastAsia" w:ascii="宋体" w:hAnsi="宋体" w:eastAsia="宋体" w:cs="宋体"/>
                <w:i w:val="0"/>
                <w:iCs w:val="0"/>
                <w:caps w:val="0"/>
                <w:color w:val="auto"/>
                <w:spacing w:val="0"/>
                <w:sz w:val="21"/>
                <w:szCs w:val="21"/>
                <w:highlight w:val="none"/>
              </w:rPr>
            </w:pPr>
          </w:p>
        </w:tc>
        <w:tc>
          <w:tcPr>
            <w:tcW w:w="335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5ECAE0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联系电话</w:t>
            </w:r>
          </w:p>
        </w:tc>
        <w:tc>
          <w:tcPr>
            <w:tcW w:w="152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3FC9D8F">
            <w:pPr>
              <w:rPr>
                <w:rFonts w:hint="eastAsia" w:ascii="宋体" w:hAnsi="宋体" w:eastAsia="宋体" w:cs="宋体"/>
                <w:i w:val="0"/>
                <w:iCs w:val="0"/>
                <w:caps w:val="0"/>
                <w:color w:val="auto"/>
                <w:spacing w:val="0"/>
                <w:sz w:val="21"/>
                <w:szCs w:val="21"/>
                <w:highlight w:val="none"/>
              </w:rPr>
            </w:pPr>
          </w:p>
        </w:tc>
      </w:tr>
      <w:tr w14:paraId="1A796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83"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181549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质疑事项及相关请求（纸张不够另附）</w:t>
            </w: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317357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分    类</w:t>
            </w:r>
          </w:p>
        </w:tc>
        <w:tc>
          <w:tcPr>
            <w:tcW w:w="6960"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14:paraId="3209920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 采购文件 □ 采购过程 □ 中标或成交结果</w:t>
            </w:r>
          </w:p>
        </w:tc>
      </w:tr>
      <w:tr w14:paraId="0FAF6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5"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102166A">
            <w:pPr>
              <w:rPr>
                <w:rFonts w:hint="eastAsia" w:ascii="宋体" w:hAnsi="宋体" w:eastAsia="宋体" w:cs="宋体"/>
                <w:i w:val="0"/>
                <w:iCs w:val="0"/>
                <w:caps w:val="0"/>
                <w:color w:val="auto"/>
                <w:spacing w:val="0"/>
                <w:sz w:val="21"/>
                <w:szCs w:val="21"/>
                <w:highlight w:val="none"/>
              </w:rPr>
            </w:pPr>
          </w:p>
        </w:tc>
        <w:tc>
          <w:tcPr>
            <w:tcW w:w="8175" w:type="dxa"/>
            <w:gridSpan w:val="6"/>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14:paraId="6A5E3BC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请逐条列明质疑事项、事实依据和法律依据，并提供必要的证明材料。</w:t>
            </w:r>
          </w:p>
          <w:p w14:paraId="67A1F58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质疑事项</w:t>
            </w:r>
            <w:r>
              <w:rPr>
                <w:rFonts w:hint="eastAsia" w:ascii="宋体" w:hAnsi="宋体" w:eastAsia="宋体" w:cs="宋体"/>
                <w:i w:val="0"/>
                <w:iCs w:val="0"/>
                <w:caps w:val="0"/>
                <w:color w:val="auto"/>
                <w:spacing w:val="0"/>
                <w:sz w:val="21"/>
                <w:szCs w:val="21"/>
                <w:highlight w:val="none"/>
              </w:rPr>
              <w:t>1</w:t>
            </w:r>
            <w:r>
              <w:rPr>
                <w:rFonts w:hint="default" w:ascii="方正仿宋简体" w:hAnsi="方正仿宋简体" w:eastAsia="方正仿宋简体" w:cs="方正仿宋简体"/>
                <w:i w:val="0"/>
                <w:iCs w:val="0"/>
                <w:caps w:val="0"/>
                <w:color w:val="auto"/>
                <w:spacing w:val="0"/>
                <w:sz w:val="21"/>
                <w:szCs w:val="21"/>
                <w:highlight w:val="none"/>
              </w:rPr>
              <w:t>：</w:t>
            </w:r>
          </w:p>
          <w:p w14:paraId="434726C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事实依据：</w:t>
            </w:r>
          </w:p>
          <w:p w14:paraId="2ABCC9D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法律依据：</w:t>
            </w:r>
          </w:p>
          <w:p w14:paraId="0F6777A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相关请求：</w:t>
            </w:r>
          </w:p>
          <w:p w14:paraId="041B135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质疑事项</w:t>
            </w:r>
            <w:r>
              <w:rPr>
                <w:rFonts w:hint="eastAsia" w:ascii="宋体" w:hAnsi="宋体" w:eastAsia="宋体" w:cs="宋体"/>
                <w:i w:val="0"/>
                <w:iCs w:val="0"/>
                <w:caps w:val="0"/>
                <w:color w:val="auto"/>
                <w:spacing w:val="0"/>
                <w:sz w:val="21"/>
                <w:szCs w:val="21"/>
                <w:highlight w:val="none"/>
              </w:rPr>
              <w:t>2</w:t>
            </w:r>
          </w:p>
          <w:p w14:paraId="7605E1E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w:t>
            </w:r>
          </w:p>
        </w:tc>
      </w:tr>
      <w:tr w14:paraId="09B3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883"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75186B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签字</w:t>
            </w:r>
          </w:p>
          <w:p w14:paraId="7D05117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或盖人名章</w:t>
            </w:r>
          </w:p>
        </w:tc>
        <w:tc>
          <w:tcPr>
            <w:tcW w:w="1902" w:type="dxa"/>
            <w:gridSpan w:val="2"/>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41A6579">
            <w:pPr>
              <w:rPr>
                <w:rFonts w:hint="eastAsia" w:ascii="宋体" w:hAnsi="宋体" w:eastAsia="宋体" w:cs="宋体"/>
                <w:i w:val="0"/>
                <w:iCs w:val="0"/>
                <w:caps w:val="0"/>
                <w:color w:val="auto"/>
                <w:spacing w:val="0"/>
                <w:sz w:val="21"/>
                <w:szCs w:val="21"/>
                <w:highlight w:val="none"/>
              </w:rPr>
            </w:pPr>
          </w:p>
        </w:tc>
        <w:tc>
          <w:tcPr>
            <w:tcW w:w="3551"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5E7000E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公章</w:t>
            </w:r>
          </w:p>
        </w:tc>
        <w:tc>
          <w:tcPr>
            <w:tcW w:w="2722"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14:paraId="4DE0CBB7">
            <w:pPr>
              <w:rPr>
                <w:rFonts w:hint="eastAsia" w:ascii="宋体" w:hAnsi="宋体" w:eastAsia="宋体" w:cs="宋体"/>
                <w:i w:val="0"/>
                <w:iCs w:val="0"/>
                <w:caps w:val="0"/>
                <w:color w:val="auto"/>
                <w:spacing w:val="0"/>
                <w:sz w:val="21"/>
                <w:szCs w:val="21"/>
                <w:highlight w:val="none"/>
              </w:rPr>
            </w:pPr>
          </w:p>
        </w:tc>
      </w:tr>
      <w:tr w14:paraId="421D7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AE21E4C">
            <w:pPr>
              <w:rPr>
                <w:rFonts w:hint="eastAsia" w:ascii="宋体" w:hAnsi="宋体" w:eastAsia="宋体" w:cs="宋体"/>
                <w:i w:val="0"/>
                <w:iCs w:val="0"/>
                <w:caps w:val="0"/>
                <w:color w:val="auto"/>
                <w:spacing w:val="0"/>
                <w:sz w:val="21"/>
                <w:szCs w:val="21"/>
                <w:highlight w:val="none"/>
              </w:rPr>
            </w:pPr>
          </w:p>
        </w:tc>
        <w:tc>
          <w:tcPr>
            <w:tcW w:w="1902" w:type="dxa"/>
            <w:gridSpan w:val="2"/>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4CE1F43">
            <w:pPr>
              <w:rPr>
                <w:rFonts w:hint="eastAsia" w:ascii="宋体" w:hAnsi="宋体" w:eastAsia="宋体" w:cs="宋体"/>
                <w:i w:val="0"/>
                <w:iCs w:val="0"/>
                <w:caps w:val="0"/>
                <w:color w:val="auto"/>
                <w:spacing w:val="0"/>
                <w:sz w:val="21"/>
                <w:szCs w:val="21"/>
                <w:highlight w:val="none"/>
              </w:rPr>
            </w:pPr>
          </w:p>
        </w:tc>
        <w:tc>
          <w:tcPr>
            <w:tcW w:w="3551"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BB0C3B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日期</w:t>
            </w:r>
          </w:p>
        </w:tc>
        <w:tc>
          <w:tcPr>
            <w:tcW w:w="2722"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F62E4F0">
            <w:pPr>
              <w:rPr>
                <w:rFonts w:hint="eastAsia" w:ascii="宋体" w:hAnsi="宋体" w:eastAsia="宋体" w:cs="宋体"/>
                <w:i w:val="0"/>
                <w:iCs w:val="0"/>
                <w:caps w:val="0"/>
                <w:color w:val="auto"/>
                <w:spacing w:val="0"/>
                <w:sz w:val="21"/>
                <w:szCs w:val="21"/>
                <w:highlight w:val="none"/>
              </w:rPr>
            </w:pPr>
          </w:p>
        </w:tc>
      </w:tr>
      <w:tr w14:paraId="03E6A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058" w:type="dxa"/>
            <w:gridSpan w:val="7"/>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9206E7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质疑函制作说明：</w:t>
            </w:r>
          </w:p>
          <w:p w14:paraId="634B8BF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auto"/>
                <w:spacing w:val="0"/>
                <w:sz w:val="21"/>
                <w:szCs w:val="21"/>
                <w:highlight w:val="none"/>
                <w:lang w:val="en-US" w:eastAsia="zh-CN"/>
              </w:rPr>
            </w:pPr>
            <w:r>
              <w:rPr>
                <w:rFonts w:hint="eastAsia" w:ascii="方正仿宋简体" w:hAnsi="方正仿宋简体" w:eastAsia="方正仿宋简体" w:cs="方正仿宋简体"/>
                <w:i w:val="0"/>
                <w:iCs w:val="0"/>
                <w:caps w:val="0"/>
                <w:color w:val="auto"/>
                <w:spacing w:val="0"/>
                <w:sz w:val="21"/>
                <w:szCs w:val="21"/>
                <w:highlight w:val="none"/>
                <w:lang w:val="en-US" w:eastAsia="zh-CN"/>
              </w:rPr>
              <w:t>1.</w:t>
            </w:r>
            <w:r>
              <w:rPr>
                <w:rFonts w:hint="default" w:ascii="方正仿宋简体" w:hAnsi="方正仿宋简体" w:eastAsia="方正仿宋简体" w:cs="方正仿宋简体"/>
                <w:i w:val="0"/>
                <w:iCs w:val="0"/>
                <w:caps w:val="0"/>
                <w:color w:val="auto"/>
                <w:spacing w:val="0"/>
                <w:sz w:val="21"/>
                <w:szCs w:val="21"/>
                <w:highlight w:val="none"/>
                <w:lang w:val="en-US" w:eastAsia="zh-CN"/>
              </w:rPr>
              <w:t>供应商提出质疑时，应提交质疑函和必要的证明材料</w:t>
            </w:r>
            <w:r>
              <w:rPr>
                <w:rFonts w:hint="eastAsia" w:ascii="方正仿宋简体" w:hAnsi="方正仿宋简体" w:eastAsia="方正仿宋简体" w:cs="方正仿宋简体"/>
                <w:i w:val="0"/>
                <w:iCs w:val="0"/>
                <w:caps w:val="0"/>
                <w:color w:val="auto"/>
                <w:spacing w:val="0"/>
                <w:sz w:val="21"/>
                <w:szCs w:val="21"/>
                <w:highlight w:val="none"/>
                <w:lang w:eastAsia="zh-CN"/>
              </w:rPr>
              <w:t>或有效线索</w:t>
            </w:r>
            <w:r>
              <w:rPr>
                <w:rFonts w:hint="default" w:ascii="方正仿宋简体" w:hAnsi="方正仿宋简体" w:eastAsia="方正仿宋简体" w:cs="方正仿宋简体"/>
                <w:i w:val="0"/>
                <w:iCs w:val="0"/>
                <w:caps w:val="0"/>
                <w:color w:val="auto"/>
                <w:spacing w:val="0"/>
                <w:sz w:val="21"/>
                <w:szCs w:val="21"/>
                <w:highlight w:val="none"/>
                <w:lang w:val="en-US" w:eastAsia="zh-CN"/>
              </w:rPr>
              <w:t>；质疑函存在《</w:t>
            </w:r>
            <w:r>
              <w:rPr>
                <w:rFonts w:hint="eastAsia" w:ascii="方正仿宋简体" w:hAnsi="方正仿宋简体" w:eastAsia="方正仿宋简体" w:cs="方正仿宋简体"/>
                <w:i w:val="0"/>
                <w:iCs w:val="0"/>
                <w:caps w:val="0"/>
                <w:color w:val="auto"/>
                <w:spacing w:val="0"/>
                <w:sz w:val="21"/>
                <w:szCs w:val="21"/>
                <w:highlight w:val="none"/>
                <w:lang w:val="en-US" w:eastAsia="zh-CN"/>
              </w:rPr>
              <w:t>质疑异议投诉举报处理实施细则</w:t>
            </w:r>
            <w:r>
              <w:rPr>
                <w:rFonts w:hint="default" w:ascii="方正仿宋简体" w:hAnsi="方正仿宋简体" w:eastAsia="方正仿宋简体" w:cs="方正仿宋简体"/>
                <w:i w:val="0"/>
                <w:iCs w:val="0"/>
                <w:caps w:val="0"/>
                <w:color w:val="auto"/>
                <w:spacing w:val="0"/>
                <w:sz w:val="21"/>
                <w:szCs w:val="21"/>
                <w:highlight w:val="none"/>
                <w:lang w:val="en-US" w:eastAsia="zh-CN"/>
              </w:rPr>
              <w:t>》（新政资内发〔202</w:t>
            </w:r>
            <w:r>
              <w:rPr>
                <w:rFonts w:hint="eastAsia" w:ascii="方正仿宋简体" w:hAnsi="方正仿宋简体" w:eastAsia="方正仿宋简体" w:cs="方正仿宋简体"/>
                <w:i w:val="0"/>
                <w:iCs w:val="0"/>
                <w:caps w:val="0"/>
                <w:color w:val="auto"/>
                <w:spacing w:val="0"/>
                <w:sz w:val="21"/>
                <w:szCs w:val="21"/>
                <w:highlight w:val="none"/>
                <w:lang w:val="en-US" w:eastAsia="zh-CN"/>
              </w:rPr>
              <w:t>2</w:t>
            </w:r>
            <w:r>
              <w:rPr>
                <w:rFonts w:hint="default" w:ascii="方正仿宋简体" w:hAnsi="方正仿宋简体" w:eastAsia="方正仿宋简体" w:cs="方正仿宋简体"/>
                <w:i w:val="0"/>
                <w:iCs w:val="0"/>
                <w:caps w:val="0"/>
                <w:color w:val="auto"/>
                <w:spacing w:val="0"/>
                <w:sz w:val="21"/>
                <w:szCs w:val="21"/>
                <w:highlight w:val="none"/>
                <w:lang w:val="en-US" w:eastAsia="zh-CN"/>
              </w:rPr>
              <w:t>〕</w:t>
            </w:r>
            <w:r>
              <w:rPr>
                <w:rFonts w:hint="eastAsia" w:ascii="方正仿宋简体" w:hAnsi="方正仿宋简体" w:eastAsia="方正仿宋简体" w:cs="方正仿宋简体"/>
                <w:i w:val="0"/>
                <w:iCs w:val="0"/>
                <w:caps w:val="0"/>
                <w:color w:val="auto"/>
                <w:spacing w:val="0"/>
                <w:sz w:val="21"/>
                <w:szCs w:val="21"/>
                <w:highlight w:val="none"/>
                <w:lang w:val="en-US" w:eastAsia="zh-CN"/>
              </w:rPr>
              <w:t>12</w:t>
            </w:r>
            <w:r>
              <w:rPr>
                <w:rFonts w:hint="default" w:ascii="方正仿宋简体" w:hAnsi="方正仿宋简体" w:eastAsia="方正仿宋简体" w:cs="方正仿宋简体"/>
                <w:i w:val="0"/>
                <w:iCs w:val="0"/>
                <w:caps w:val="0"/>
                <w:color w:val="auto"/>
                <w:spacing w:val="0"/>
                <w:sz w:val="21"/>
                <w:szCs w:val="21"/>
                <w:highlight w:val="none"/>
                <w:lang w:val="en-US" w:eastAsia="zh-CN"/>
              </w:rPr>
              <w:t>号）第十七条所列情形的，</w:t>
            </w:r>
            <w:r>
              <w:rPr>
                <w:rFonts w:hint="eastAsia" w:ascii="方正仿宋简体" w:hAnsi="方正仿宋简体" w:eastAsia="方正仿宋简体" w:cs="方正仿宋简体"/>
                <w:i w:val="0"/>
                <w:iCs w:val="0"/>
                <w:caps w:val="0"/>
                <w:color w:val="auto"/>
                <w:spacing w:val="0"/>
                <w:sz w:val="21"/>
                <w:szCs w:val="21"/>
                <w:highlight w:val="none"/>
                <w:lang w:val="en-US" w:eastAsia="zh-CN"/>
              </w:rPr>
              <w:t>招标代理</w:t>
            </w:r>
            <w:r>
              <w:rPr>
                <w:rFonts w:hint="default" w:ascii="方正仿宋简体" w:hAnsi="方正仿宋简体" w:eastAsia="方正仿宋简体" w:cs="方正仿宋简体"/>
                <w:i w:val="0"/>
                <w:iCs w:val="0"/>
                <w:caps w:val="0"/>
                <w:color w:val="auto"/>
                <w:spacing w:val="0"/>
                <w:sz w:val="21"/>
                <w:szCs w:val="21"/>
                <w:highlight w:val="none"/>
                <w:lang w:val="en-US" w:eastAsia="zh-CN"/>
              </w:rPr>
              <w:t>不予受理。</w:t>
            </w:r>
          </w:p>
          <w:p w14:paraId="6FC48C0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firstLine="420" w:firstLineChars="200"/>
              <w:jc w:val="both"/>
              <w:textAlignment w:val="auto"/>
              <w:rPr>
                <w:rFonts w:hint="eastAsia" w:ascii="方正仿宋简体" w:hAnsi="方正仿宋简体" w:eastAsia="方正仿宋简体" w:cs="方正仿宋简体"/>
                <w:i w:val="0"/>
                <w:iCs w:val="0"/>
                <w:caps w:val="0"/>
                <w:color w:val="auto"/>
                <w:spacing w:val="0"/>
                <w:sz w:val="21"/>
                <w:szCs w:val="21"/>
                <w:highlight w:val="none"/>
                <w:lang w:eastAsia="zh-CN"/>
              </w:rPr>
            </w:pPr>
            <w:r>
              <w:rPr>
                <w:rFonts w:hint="eastAsia" w:ascii="方正仿宋简体" w:hAnsi="方正仿宋简体" w:eastAsia="方正仿宋简体" w:cs="方正仿宋简体"/>
                <w:i w:val="0"/>
                <w:iCs w:val="0"/>
                <w:caps w:val="0"/>
                <w:color w:val="auto"/>
                <w:spacing w:val="0"/>
                <w:sz w:val="21"/>
                <w:szCs w:val="21"/>
                <w:highlight w:val="none"/>
              </w:rPr>
              <w:t>2.</w:t>
            </w:r>
            <w:r>
              <w:rPr>
                <w:rFonts w:hint="default" w:ascii="方正仿宋简体" w:hAnsi="方正仿宋简体" w:eastAsia="方正仿宋简体" w:cs="方正仿宋简体"/>
                <w:i w:val="0"/>
                <w:iCs w:val="0"/>
                <w:caps w:val="0"/>
                <w:color w:val="auto"/>
                <w:spacing w:val="0"/>
                <w:sz w:val="21"/>
                <w:szCs w:val="21"/>
                <w:highlight w:val="none"/>
              </w:rPr>
              <w:t>质疑函的质疑事项应具体、明确，并有必要的事实依据和法律依据</w:t>
            </w:r>
            <w:r>
              <w:rPr>
                <w:rFonts w:hint="eastAsia" w:ascii="方正仿宋简体" w:hAnsi="方正仿宋简体" w:eastAsia="方正仿宋简体" w:cs="方正仿宋简体"/>
                <w:i w:val="0"/>
                <w:iCs w:val="0"/>
                <w:caps w:val="0"/>
                <w:color w:val="auto"/>
                <w:spacing w:val="0"/>
                <w:sz w:val="21"/>
                <w:szCs w:val="21"/>
                <w:highlight w:val="none"/>
                <w:lang w:eastAsia="zh-CN"/>
              </w:rPr>
              <w:t>。</w:t>
            </w:r>
          </w:p>
          <w:p w14:paraId="08192F9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auto"/>
                <w:spacing w:val="0"/>
                <w:sz w:val="21"/>
                <w:szCs w:val="21"/>
                <w:highlight w:val="none"/>
              </w:rPr>
            </w:pPr>
            <w:r>
              <w:rPr>
                <w:rFonts w:hint="eastAsia" w:ascii="方正仿宋简体" w:hAnsi="方正仿宋简体" w:eastAsia="方正仿宋简体" w:cs="方正仿宋简体"/>
                <w:i w:val="0"/>
                <w:iCs w:val="0"/>
                <w:caps w:val="0"/>
                <w:color w:val="auto"/>
                <w:spacing w:val="0"/>
                <w:sz w:val="21"/>
                <w:szCs w:val="21"/>
                <w:highlight w:val="none"/>
                <w:lang w:val="en-US" w:eastAsia="zh-CN"/>
              </w:rPr>
              <w:t>3.</w:t>
            </w:r>
            <w:r>
              <w:rPr>
                <w:rFonts w:hint="default" w:ascii="方正仿宋简体" w:hAnsi="方正仿宋简体" w:eastAsia="方正仿宋简体" w:cs="方正仿宋简体"/>
                <w:i w:val="0"/>
                <w:iCs w:val="0"/>
                <w:caps w:val="0"/>
                <w:color w:val="auto"/>
                <w:spacing w:val="0"/>
                <w:sz w:val="21"/>
                <w:szCs w:val="21"/>
                <w:highlight w:val="none"/>
              </w:rPr>
              <w:t>质疑函的质疑请求应与质疑事项相关。</w:t>
            </w:r>
          </w:p>
          <w:p w14:paraId="72532C1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auto"/>
                <w:spacing w:val="0"/>
                <w:sz w:val="21"/>
                <w:szCs w:val="21"/>
                <w:highlight w:val="none"/>
              </w:rPr>
            </w:pPr>
            <w:r>
              <w:rPr>
                <w:rFonts w:hint="eastAsia" w:ascii="方正仿宋简体" w:hAnsi="方正仿宋简体" w:eastAsia="方正仿宋简体" w:cs="方正仿宋简体"/>
                <w:i w:val="0"/>
                <w:iCs w:val="0"/>
                <w:caps w:val="0"/>
                <w:color w:val="auto"/>
                <w:spacing w:val="0"/>
                <w:sz w:val="21"/>
                <w:szCs w:val="21"/>
                <w:highlight w:val="none"/>
                <w:lang w:val="en-US" w:eastAsia="zh-CN"/>
              </w:rPr>
              <w:t>4</w:t>
            </w:r>
            <w:r>
              <w:rPr>
                <w:rFonts w:hint="eastAsia" w:ascii="方正仿宋简体" w:hAnsi="方正仿宋简体" w:eastAsia="方正仿宋简体" w:cs="方正仿宋简体"/>
                <w:i w:val="0"/>
                <w:iCs w:val="0"/>
                <w:caps w:val="0"/>
                <w:color w:val="auto"/>
                <w:spacing w:val="0"/>
                <w:sz w:val="21"/>
                <w:szCs w:val="21"/>
                <w:highlight w:val="none"/>
              </w:rPr>
              <w:t>.</w:t>
            </w:r>
            <w:r>
              <w:rPr>
                <w:rFonts w:hint="eastAsia" w:ascii="方正仿宋简体" w:hAnsi="方正仿宋简体" w:eastAsia="方正仿宋简体" w:cs="方正仿宋简体"/>
                <w:i w:val="0"/>
                <w:iCs w:val="0"/>
                <w:caps w:val="0"/>
                <w:color w:val="auto"/>
                <w:spacing w:val="0"/>
                <w:sz w:val="21"/>
                <w:szCs w:val="21"/>
                <w:highlight w:val="none"/>
                <w:lang w:eastAsia="zh-CN"/>
              </w:rPr>
              <w:t>一份质疑函只能针对一个项目提出质疑，且针对同一</w:t>
            </w:r>
            <w:r>
              <w:rPr>
                <w:rFonts w:hint="eastAsia" w:ascii="方正仿宋简体" w:hAnsi="方正仿宋简体" w:eastAsia="方正仿宋简体" w:cs="方正仿宋简体"/>
                <w:i w:val="0"/>
                <w:iCs w:val="0"/>
                <w:caps w:val="0"/>
                <w:color w:val="auto"/>
                <w:spacing w:val="0"/>
                <w:sz w:val="21"/>
                <w:szCs w:val="21"/>
                <w:highlight w:val="none"/>
                <w:lang w:val="en-US" w:eastAsia="zh-CN"/>
              </w:rPr>
              <w:t>交易</w:t>
            </w:r>
            <w:r>
              <w:rPr>
                <w:rFonts w:hint="eastAsia" w:ascii="方正仿宋简体" w:hAnsi="方正仿宋简体" w:eastAsia="方正仿宋简体" w:cs="方正仿宋简体"/>
                <w:i w:val="0"/>
                <w:iCs w:val="0"/>
                <w:caps w:val="0"/>
                <w:color w:val="auto"/>
                <w:spacing w:val="0"/>
                <w:sz w:val="21"/>
                <w:szCs w:val="21"/>
                <w:highlight w:val="none"/>
                <w:lang w:eastAsia="zh-CN"/>
              </w:rPr>
              <w:t>程序环节的质疑应当一次性提出。</w:t>
            </w:r>
            <w:r>
              <w:rPr>
                <w:rFonts w:hint="eastAsia" w:ascii="方正仿宋简体" w:hAnsi="方正仿宋简体" w:eastAsia="方正仿宋简体" w:cs="方正仿宋简体"/>
                <w:i w:val="0"/>
                <w:iCs w:val="0"/>
                <w:caps w:val="0"/>
                <w:color w:val="auto"/>
                <w:spacing w:val="0"/>
                <w:sz w:val="21"/>
                <w:szCs w:val="21"/>
                <w:highlight w:val="none"/>
              </w:rPr>
              <w:t>质疑对一个项目的不同包提出质疑的</w:t>
            </w:r>
            <w:r>
              <w:rPr>
                <w:rFonts w:hint="eastAsia" w:ascii="方正仿宋简体" w:hAnsi="方正仿宋简体" w:eastAsia="方正仿宋简体" w:cs="方正仿宋简体"/>
                <w:i w:val="0"/>
                <w:iCs w:val="0"/>
                <w:caps w:val="0"/>
                <w:color w:val="auto"/>
                <w:spacing w:val="0"/>
                <w:sz w:val="21"/>
                <w:szCs w:val="21"/>
                <w:highlight w:val="none"/>
                <w:lang w:eastAsia="zh-CN"/>
              </w:rPr>
              <w:t>，</w:t>
            </w:r>
            <w:r>
              <w:rPr>
                <w:rFonts w:hint="eastAsia" w:ascii="方正仿宋简体" w:hAnsi="方正仿宋简体" w:eastAsia="方正仿宋简体" w:cs="方正仿宋简体"/>
                <w:i w:val="0"/>
                <w:iCs w:val="0"/>
                <w:caps w:val="0"/>
                <w:color w:val="auto"/>
                <w:spacing w:val="0"/>
                <w:sz w:val="21"/>
                <w:szCs w:val="21"/>
                <w:highlight w:val="none"/>
              </w:rPr>
              <w:t>应当将各包质疑</w:t>
            </w:r>
            <w:r>
              <w:rPr>
                <w:rFonts w:hint="eastAsia" w:ascii="方正仿宋简体" w:hAnsi="方正仿宋简体" w:eastAsia="方正仿宋简体" w:cs="方正仿宋简体"/>
                <w:i w:val="0"/>
                <w:iCs w:val="0"/>
                <w:caps w:val="0"/>
                <w:color w:val="auto"/>
                <w:spacing w:val="0"/>
                <w:sz w:val="21"/>
                <w:szCs w:val="21"/>
                <w:highlight w:val="none"/>
                <w:lang w:eastAsia="zh-CN"/>
              </w:rPr>
              <w:t>、</w:t>
            </w:r>
            <w:r>
              <w:rPr>
                <w:rFonts w:hint="eastAsia" w:ascii="方正仿宋简体" w:hAnsi="方正仿宋简体" w:eastAsia="方正仿宋简体" w:cs="方正仿宋简体"/>
                <w:i w:val="0"/>
                <w:iCs w:val="0"/>
                <w:caps w:val="0"/>
                <w:color w:val="auto"/>
                <w:spacing w:val="0"/>
                <w:sz w:val="21"/>
                <w:szCs w:val="21"/>
                <w:highlight w:val="none"/>
                <w:lang w:val="en-US" w:eastAsia="zh-CN"/>
              </w:rPr>
              <w:t>异议</w:t>
            </w:r>
            <w:r>
              <w:rPr>
                <w:rFonts w:hint="eastAsia" w:ascii="方正仿宋简体" w:hAnsi="方正仿宋简体" w:eastAsia="方正仿宋简体" w:cs="方正仿宋简体"/>
                <w:i w:val="0"/>
                <w:iCs w:val="0"/>
                <w:caps w:val="0"/>
                <w:color w:val="auto"/>
                <w:spacing w:val="0"/>
                <w:sz w:val="21"/>
                <w:szCs w:val="21"/>
                <w:highlight w:val="none"/>
              </w:rPr>
              <w:t>事项集中在一份质疑函中提出</w:t>
            </w:r>
            <w:r>
              <w:rPr>
                <w:rFonts w:hint="eastAsia" w:ascii="方正仿宋简体" w:hAnsi="方正仿宋简体" w:eastAsia="方正仿宋简体" w:cs="方正仿宋简体"/>
                <w:i w:val="0"/>
                <w:iCs w:val="0"/>
                <w:caps w:val="0"/>
                <w:color w:val="auto"/>
                <w:spacing w:val="0"/>
                <w:sz w:val="21"/>
                <w:szCs w:val="21"/>
                <w:highlight w:val="none"/>
                <w:lang w:eastAsia="zh-CN"/>
              </w:rPr>
              <w:t>，</w:t>
            </w:r>
            <w:r>
              <w:rPr>
                <w:rFonts w:hint="eastAsia" w:ascii="方正仿宋简体" w:hAnsi="方正仿宋简体" w:eastAsia="方正仿宋简体" w:cs="方正仿宋简体"/>
                <w:i w:val="0"/>
                <w:iCs w:val="0"/>
                <w:caps w:val="0"/>
                <w:color w:val="auto"/>
                <w:spacing w:val="0"/>
                <w:sz w:val="21"/>
                <w:szCs w:val="21"/>
                <w:highlight w:val="none"/>
                <w:lang w:val="en-US" w:eastAsia="zh-CN"/>
              </w:rPr>
              <w:t>并在</w:t>
            </w:r>
            <w:r>
              <w:rPr>
                <w:rFonts w:hint="eastAsia" w:ascii="方正仿宋简体" w:hAnsi="方正仿宋简体" w:eastAsia="方正仿宋简体" w:cs="方正仿宋简体"/>
                <w:i w:val="0"/>
                <w:iCs w:val="0"/>
                <w:caps w:val="0"/>
                <w:color w:val="auto"/>
                <w:spacing w:val="0"/>
                <w:sz w:val="21"/>
                <w:szCs w:val="21"/>
                <w:highlight w:val="none"/>
              </w:rPr>
              <w:t>质疑函中列明具体分包号。</w:t>
            </w:r>
          </w:p>
          <w:p w14:paraId="606A27E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auto"/>
                <w:spacing w:val="0"/>
                <w:sz w:val="21"/>
                <w:szCs w:val="21"/>
                <w:highlight w:val="none"/>
              </w:rPr>
            </w:pPr>
            <w:r>
              <w:rPr>
                <w:rFonts w:hint="eastAsia" w:ascii="方正仿宋简体" w:hAnsi="方正仿宋简体" w:eastAsia="方正仿宋简体" w:cs="方正仿宋简体"/>
                <w:i w:val="0"/>
                <w:iCs w:val="0"/>
                <w:caps w:val="0"/>
                <w:color w:val="auto"/>
                <w:spacing w:val="0"/>
                <w:sz w:val="21"/>
                <w:szCs w:val="21"/>
                <w:highlight w:val="none"/>
                <w:lang w:val="en-US" w:eastAsia="zh-CN"/>
              </w:rPr>
              <w:t>5</w:t>
            </w:r>
            <w:r>
              <w:rPr>
                <w:rFonts w:hint="eastAsia" w:ascii="方正仿宋简体" w:hAnsi="方正仿宋简体" w:eastAsia="方正仿宋简体" w:cs="方正仿宋简体"/>
                <w:i w:val="0"/>
                <w:iCs w:val="0"/>
                <w:caps w:val="0"/>
                <w:color w:val="auto"/>
                <w:spacing w:val="0"/>
                <w:sz w:val="21"/>
                <w:szCs w:val="21"/>
                <w:highlight w:val="none"/>
              </w:rPr>
              <w:t>.</w:t>
            </w:r>
            <w:r>
              <w:rPr>
                <w:rFonts w:hint="default" w:ascii="方正仿宋简体" w:hAnsi="方正仿宋简体" w:eastAsia="方正仿宋简体" w:cs="方正仿宋简体"/>
                <w:i w:val="0"/>
                <w:iCs w:val="0"/>
                <w:caps w:val="0"/>
                <w:color w:val="auto"/>
                <w:spacing w:val="0"/>
                <w:sz w:val="21"/>
                <w:szCs w:val="21"/>
                <w:highlight w:val="none"/>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846235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auto"/>
                <w:spacing w:val="0"/>
                <w:sz w:val="21"/>
                <w:szCs w:val="21"/>
                <w:highlight w:val="none"/>
              </w:rPr>
            </w:pPr>
            <w:r>
              <w:rPr>
                <w:rFonts w:hint="eastAsia" w:eastAsia="宋体" w:cs="宋体"/>
                <w:i w:val="0"/>
                <w:iCs w:val="0"/>
                <w:caps w:val="0"/>
                <w:color w:val="auto"/>
                <w:spacing w:val="0"/>
                <w:sz w:val="21"/>
                <w:szCs w:val="21"/>
                <w:highlight w:val="none"/>
                <w:lang w:val="en-US" w:eastAsia="zh-CN"/>
              </w:rPr>
              <w:t>6</w:t>
            </w:r>
            <w:r>
              <w:rPr>
                <w:rFonts w:hint="eastAsia" w:ascii="宋体" w:hAnsi="宋体" w:eastAsia="宋体" w:cs="宋体"/>
                <w:i w:val="0"/>
                <w:iCs w:val="0"/>
                <w:caps w:val="0"/>
                <w:color w:val="auto"/>
                <w:spacing w:val="0"/>
                <w:sz w:val="21"/>
                <w:szCs w:val="21"/>
                <w:highlight w:val="none"/>
              </w:rPr>
              <w:t>.</w:t>
            </w:r>
            <w:r>
              <w:rPr>
                <w:rFonts w:hint="default" w:ascii="方正仿宋简体" w:hAnsi="方正仿宋简体" w:eastAsia="方正仿宋简体" w:cs="方正仿宋简体"/>
                <w:i w:val="0"/>
                <w:iCs w:val="0"/>
                <w:caps w:val="0"/>
                <w:color w:val="auto"/>
                <w:spacing w:val="0"/>
                <w:sz w:val="21"/>
                <w:szCs w:val="21"/>
                <w:highlight w:val="none"/>
              </w:rPr>
              <w:t>质疑供应商为自然人的，质疑函应由本人签字</w:t>
            </w:r>
            <w:r>
              <w:rPr>
                <w:rFonts w:hint="eastAsia" w:ascii="方正仿宋简体" w:hAnsi="方正仿宋简体" w:eastAsia="方正仿宋简体" w:cs="方正仿宋简体"/>
                <w:i w:val="0"/>
                <w:iCs w:val="0"/>
                <w:caps w:val="0"/>
                <w:color w:val="auto"/>
                <w:spacing w:val="0"/>
                <w:sz w:val="21"/>
                <w:szCs w:val="21"/>
                <w:highlight w:val="none"/>
                <w:lang w:eastAsia="zh-CN"/>
              </w:rPr>
              <w:t>，</w:t>
            </w:r>
            <w:r>
              <w:rPr>
                <w:rFonts w:hint="eastAsia" w:ascii="方正仿宋简体" w:hAnsi="方正仿宋简体" w:eastAsia="方正仿宋简体" w:cs="方正仿宋简体"/>
                <w:i w:val="0"/>
                <w:iCs w:val="0"/>
                <w:caps w:val="0"/>
                <w:color w:val="auto"/>
                <w:spacing w:val="0"/>
                <w:sz w:val="21"/>
                <w:szCs w:val="21"/>
                <w:highlight w:val="none"/>
                <w:lang w:val="en-US" w:eastAsia="zh-CN"/>
              </w:rPr>
              <w:t>提供本人及代理人身份证复印件，并在复印件上签字</w:t>
            </w:r>
            <w:r>
              <w:rPr>
                <w:rFonts w:hint="default" w:ascii="方正仿宋简体" w:hAnsi="方正仿宋简体" w:eastAsia="方正仿宋简体" w:cs="方正仿宋简体"/>
                <w:i w:val="0"/>
                <w:iCs w:val="0"/>
                <w:caps w:val="0"/>
                <w:color w:val="auto"/>
                <w:spacing w:val="0"/>
                <w:sz w:val="21"/>
                <w:szCs w:val="21"/>
                <w:highlight w:val="none"/>
              </w:rPr>
              <w:t>；质疑供应商为法人或者其他组织的，质疑函应由法定代表人、主要负责人，或者其授权代表签字或者盖章，并加盖公章</w:t>
            </w:r>
            <w:r>
              <w:rPr>
                <w:rFonts w:hint="eastAsia" w:ascii="方正仿宋简体" w:hAnsi="方正仿宋简体" w:eastAsia="方正仿宋简体" w:cs="方正仿宋简体"/>
                <w:i w:val="0"/>
                <w:iCs w:val="0"/>
                <w:caps w:val="0"/>
                <w:color w:val="auto"/>
                <w:spacing w:val="0"/>
                <w:sz w:val="21"/>
                <w:szCs w:val="21"/>
                <w:highlight w:val="none"/>
                <w:lang w:eastAsia="zh-CN"/>
              </w:rPr>
              <w:t>，</w:t>
            </w:r>
            <w:r>
              <w:rPr>
                <w:rFonts w:hint="eastAsia" w:ascii="方正仿宋简体" w:hAnsi="方正仿宋简体" w:eastAsia="方正仿宋简体" w:cs="方正仿宋简体"/>
                <w:i w:val="0"/>
                <w:iCs w:val="0"/>
                <w:caps w:val="0"/>
                <w:color w:val="auto"/>
                <w:spacing w:val="0"/>
                <w:sz w:val="21"/>
                <w:szCs w:val="21"/>
                <w:highlight w:val="none"/>
                <w:lang w:val="en-US" w:eastAsia="zh-CN"/>
              </w:rPr>
              <w:t>同时提供法人证书复印件、代理人身份证复印件并加盖法人公章</w:t>
            </w:r>
            <w:r>
              <w:rPr>
                <w:rFonts w:hint="default" w:ascii="方正仿宋简体" w:hAnsi="方正仿宋简体" w:eastAsia="方正仿宋简体" w:cs="方正仿宋简体"/>
                <w:i w:val="0"/>
                <w:iCs w:val="0"/>
                <w:caps w:val="0"/>
                <w:color w:val="auto"/>
                <w:spacing w:val="0"/>
                <w:sz w:val="21"/>
                <w:szCs w:val="21"/>
                <w:highlight w:val="none"/>
              </w:rPr>
              <w:t>。</w:t>
            </w:r>
          </w:p>
          <w:p w14:paraId="1976F2BA">
            <w:pPr>
              <w:widowControl/>
              <w:spacing w:line="400" w:lineRule="exact"/>
              <w:ind w:firstLine="420" w:firstLineChars="200"/>
              <w:jc w:val="left"/>
              <w:rPr>
                <w:rFonts w:hint="default" w:ascii="方正仿宋简体" w:hAnsi="方正仿宋简体" w:eastAsia="方正仿宋简体" w:cs="方正仿宋简体"/>
                <w:i w:val="0"/>
                <w:iCs w:val="0"/>
                <w:caps w:val="0"/>
                <w:color w:val="auto"/>
                <w:spacing w:val="0"/>
                <w:sz w:val="21"/>
                <w:szCs w:val="21"/>
                <w:highlight w:val="none"/>
                <w:lang w:val="en-US" w:eastAsia="zh-CN"/>
              </w:rPr>
            </w:pPr>
            <w:r>
              <w:rPr>
                <w:rFonts w:hint="eastAsia" w:ascii="方正仿宋简体" w:hAnsi="方正仿宋简体" w:eastAsia="方正仿宋简体" w:cs="方正仿宋简体"/>
                <w:b/>
                <w:bCs/>
                <w:i w:val="0"/>
                <w:iCs w:val="0"/>
                <w:caps w:val="0"/>
                <w:color w:val="auto"/>
                <w:spacing w:val="0"/>
                <w:kern w:val="0"/>
                <w:sz w:val="21"/>
                <w:szCs w:val="21"/>
                <w:highlight w:val="none"/>
                <w:lang w:val="en-US" w:eastAsia="zh-CN" w:bidi="ar-SA"/>
              </w:rPr>
              <w:t>7.质疑函份数要求：一式四份</w:t>
            </w:r>
            <w:r>
              <w:rPr>
                <w:rFonts w:hint="eastAsia" w:ascii="方正仿宋简体" w:hAnsi="方正仿宋简体" w:eastAsia="方正仿宋简体" w:cs="方正仿宋简体"/>
                <w:i w:val="0"/>
                <w:iCs w:val="0"/>
                <w:caps w:val="0"/>
                <w:color w:val="auto"/>
                <w:spacing w:val="0"/>
                <w:kern w:val="0"/>
                <w:sz w:val="21"/>
                <w:szCs w:val="21"/>
                <w:highlight w:val="none"/>
                <w:lang w:val="en-US" w:eastAsia="zh-CN" w:bidi="ar-SA"/>
              </w:rPr>
              <w:t>。</w:t>
            </w:r>
          </w:p>
        </w:tc>
      </w:tr>
    </w:tbl>
    <w:p w14:paraId="1092F152">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rPr>
          <w:rFonts w:hint="eastAsia" w:ascii="宋体" w:hAnsi="宋体" w:eastAsia="宋体" w:cs="宋体"/>
          <w:i w:val="0"/>
          <w:iCs w:val="0"/>
          <w:caps w:val="0"/>
          <w:color w:val="auto"/>
          <w:spacing w:val="0"/>
          <w:sz w:val="21"/>
          <w:szCs w:val="21"/>
          <w:highlight w:val="none"/>
        </w:rPr>
      </w:pPr>
      <w:r>
        <w:rPr>
          <w:rFonts w:ascii="方正黑体简体" w:hAnsi="方正黑体简体" w:eastAsia="方正黑体简体" w:cs="方正黑体简体"/>
          <w:i w:val="0"/>
          <w:iCs w:val="0"/>
          <w:caps w:val="0"/>
          <w:color w:val="auto"/>
          <w:spacing w:val="0"/>
          <w:sz w:val="31"/>
          <w:szCs w:val="31"/>
          <w:highlight w:val="none"/>
          <w:shd w:val="clear" w:color="auto" w:fill="FFFFFF"/>
        </w:rPr>
        <w:t> </w:t>
      </w:r>
    </w:p>
    <w:p w14:paraId="6F6637ED">
      <w:pPr>
        <w:jc w:val="center"/>
        <w:rPr>
          <w:rFonts w:hint="eastAsia" w:ascii="宋体" w:hAnsi="宋体" w:cs="仿宋"/>
          <w:b/>
          <w:bCs/>
          <w:color w:val="auto"/>
          <w:sz w:val="32"/>
          <w:szCs w:val="32"/>
          <w:highlight w:val="none"/>
        </w:rPr>
      </w:pPr>
    </w:p>
    <w:p w14:paraId="6E7E4D44">
      <w:pPr>
        <w:jc w:val="center"/>
        <w:rPr>
          <w:rFonts w:hint="eastAsia" w:ascii="宋体" w:hAnsi="宋体" w:cs="仿宋"/>
          <w:b/>
          <w:bCs/>
          <w:color w:val="auto"/>
          <w:sz w:val="32"/>
          <w:szCs w:val="32"/>
          <w:highlight w:val="none"/>
        </w:rPr>
      </w:pPr>
    </w:p>
    <w:p w14:paraId="74488602">
      <w:pPr>
        <w:keepNext w:val="0"/>
        <w:keepLines w:val="0"/>
        <w:pageBreakBefore w:val="0"/>
        <w:widowControl w:val="0"/>
        <w:kinsoku/>
        <w:wordWrap/>
        <w:overflowPunct/>
        <w:topLinePunct w:val="0"/>
        <w:autoSpaceDE w:val="0"/>
        <w:autoSpaceDN w:val="0"/>
        <w:bidi w:val="0"/>
        <w:adjustRightInd/>
        <w:snapToGrid/>
        <w:spacing w:line="440" w:lineRule="exact"/>
        <w:ind w:firstLine="643" w:firstLineChars="200"/>
        <w:jc w:val="center"/>
        <w:textAlignment w:val="auto"/>
        <w:rPr>
          <w:rFonts w:hint="eastAsia" w:ascii="宋体" w:hAnsi="宋体" w:eastAsia="宋体" w:cs="宋体"/>
          <w:b/>
          <w:bCs/>
          <w:color w:val="auto"/>
          <w:sz w:val="32"/>
          <w:szCs w:val="32"/>
          <w:highlight w:val="none"/>
          <w:lang w:val="en-US" w:eastAsia="zh-CN"/>
        </w:rPr>
      </w:pPr>
    </w:p>
    <w:p w14:paraId="1525D50D">
      <w:pPr>
        <w:pStyle w:val="18"/>
        <w:rPr>
          <w:rFonts w:hint="eastAsia" w:ascii="宋体" w:hAnsi="宋体" w:eastAsia="宋体" w:cs="宋体"/>
          <w:b/>
          <w:bCs/>
          <w:color w:val="auto"/>
          <w:sz w:val="32"/>
          <w:szCs w:val="32"/>
          <w:highlight w:val="none"/>
          <w:lang w:val="en-US" w:eastAsia="zh-CN"/>
        </w:rPr>
      </w:pPr>
    </w:p>
    <w:p w14:paraId="7DE26559">
      <w:pPr>
        <w:pStyle w:val="18"/>
        <w:rPr>
          <w:rFonts w:hint="eastAsia" w:ascii="宋体" w:hAnsi="宋体" w:eastAsia="宋体" w:cs="宋体"/>
          <w:b/>
          <w:bCs/>
          <w:color w:val="auto"/>
          <w:sz w:val="32"/>
          <w:szCs w:val="32"/>
          <w:highlight w:val="none"/>
          <w:lang w:val="en-US" w:eastAsia="zh-CN"/>
        </w:rPr>
      </w:pPr>
    </w:p>
    <w:p w14:paraId="662313FF">
      <w:pPr>
        <w:pStyle w:val="18"/>
        <w:rPr>
          <w:rFonts w:hint="eastAsia" w:ascii="宋体" w:hAnsi="宋体" w:eastAsia="宋体" w:cs="宋体"/>
          <w:b/>
          <w:bCs/>
          <w:color w:val="auto"/>
          <w:sz w:val="32"/>
          <w:szCs w:val="32"/>
          <w:highlight w:val="none"/>
          <w:lang w:val="en-US" w:eastAsia="zh-CN"/>
        </w:rPr>
      </w:pPr>
    </w:p>
    <w:p w14:paraId="0B8C2E7A">
      <w:pPr>
        <w:pStyle w:val="18"/>
        <w:rPr>
          <w:rFonts w:hint="eastAsia" w:ascii="宋体" w:hAnsi="宋体" w:eastAsia="宋体" w:cs="宋体"/>
          <w:b/>
          <w:bCs/>
          <w:color w:val="auto"/>
          <w:sz w:val="32"/>
          <w:szCs w:val="32"/>
          <w:highlight w:val="none"/>
          <w:lang w:val="en-US" w:eastAsia="zh-CN"/>
        </w:rPr>
      </w:pPr>
    </w:p>
    <w:p w14:paraId="593B1694">
      <w:pPr>
        <w:pStyle w:val="18"/>
        <w:rPr>
          <w:rFonts w:hint="eastAsia" w:ascii="宋体" w:hAnsi="宋体" w:eastAsia="宋体" w:cs="宋体"/>
          <w:b/>
          <w:bCs/>
          <w:color w:val="auto"/>
          <w:sz w:val="32"/>
          <w:szCs w:val="32"/>
          <w:highlight w:val="none"/>
          <w:lang w:val="en-US" w:eastAsia="zh-CN"/>
        </w:rPr>
      </w:pPr>
    </w:p>
    <w:p w14:paraId="2B226E8D">
      <w:pPr>
        <w:pStyle w:val="18"/>
        <w:rPr>
          <w:rFonts w:hint="eastAsia" w:ascii="宋体" w:hAnsi="宋体" w:eastAsia="宋体" w:cs="宋体"/>
          <w:b/>
          <w:bCs/>
          <w:color w:val="auto"/>
          <w:sz w:val="32"/>
          <w:szCs w:val="32"/>
          <w:highlight w:val="none"/>
          <w:lang w:val="en-US" w:eastAsia="zh-CN"/>
        </w:rPr>
      </w:pPr>
    </w:p>
    <w:p w14:paraId="6E1E9F71">
      <w:pPr>
        <w:pStyle w:val="18"/>
        <w:rPr>
          <w:rFonts w:hint="eastAsia" w:ascii="宋体" w:hAnsi="宋体" w:eastAsia="宋体" w:cs="宋体"/>
          <w:b/>
          <w:bCs/>
          <w:color w:val="auto"/>
          <w:sz w:val="32"/>
          <w:szCs w:val="32"/>
          <w:highlight w:val="none"/>
          <w:lang w:val="en-US" w:eastAsia="zh-CN"/>
        </w:rPr>
      </w:pPr>
    </w:p>
    <w:p w14:paraId="5BA7F285">
      <w:pPr>
        <w:pStyle w:val="18"/>
        <w:rPr>
          <w:rFonts w:hint="eastAsia" w:ascii="宋体" w:hAnsi="宋体" w:eastAsia="宋体" w:cs="宋体"/>
          <w:b/>
          <w:bCs/>
          <w:color w:val="auto"/>
          <w:sz w:val="32"/>
          <w:szCs w:val="32"/>
          <w:highlight w:val="none"/>
          <w:lang w:val="en-US" w:eastAsia="zh-CN"/>
        </w:rPr>
      </w:pPr>
    </w:p>
    <w:p w14:paraId="453DA435">
      <w:pPr>
        <w:pStyle w:val="18"/>
        <w:rPr>
          <w:rFonts w:hint="eastAsia" w:ascii="宋体" w:hAnsi="宋体" w:eastAsia="宋体" w:cs="宋体"/>
          <w:b/>
          <w:bCs/>
          <w:color w:val="auto"/>
          <w:sz w:val="32"/>
          <w:szCs w:val="32"/>
          <w:highlight w:val="none"/>
          <w:lang w:val="en-US" w:eastAsia="zh-CN"/>
        </w:rPr>
      </w:pPr>
    </w:p>
    <w:p w14:paraId="49B09B38"/>
    <w:sectPr>
      <w:headerReference r:id="rId25" w:type="default"/>
      <w:pgSz w:w="11910" w:h="16840"/>
      <w:pgMar w:top="1984" w:right="1531" w:bottom="2098" w:left="1531" w:header="670" w:footer="1041" w:gutter="0"/>
      <w:pgNumType w:fmt="decimal"/>
      <w:cols w:space="720" w:num="1"/>
      <w:rtlGutter w:val="0"/>
      <w:docGrid w:linePitch="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90D464F-9899-4544-BB77-05E233FEE1A3}"/>
  </w:font>
  <w:font w:name="黑体">
    <w:panose1 w:val="02010609060101010101"/>
    <w:charset w:val="86"/>
    <w:family w:val="auto"/>
    <w:pitch w:val="default"/>
    <w:sig w:usb0="800002BF" w:usb1="38CF7CFA" w:usb2="00000016" w:usb3="00000000" w:csb0="00040001" w:csb1="00000000"/>
    <w:embedRegular r:id="rId2" w:fontKey="{4CEBAECB-D9C8-4F0D-991D-43479A3A126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001967E6-E1CD-4B9C-A0B9-D195AE24D254}"/>
  </w:font>
  <w:font w:name="微软雅黑">
    <w:panose1 w:val="020B0503020204020204"/>
    <w:charset w:val="86"/>
    <w:family w:val="swiss"/>
    <w:pitch w:val="default"/>
    <w:sig w:usb0="80000287" w:usb1="2ACF3C50" w:usb2="00000016" w:usb3="00000000" w:csb0="0004001F" w:csb1="00000000"/>
    <w:embedRegular r:id="rId4" w:fontKey="{D343491E-C801-4CBC-9E81-57F46C766673}"/>
  </w:font>
  <w:font w:name="Garamond">
    <w:panose1 w:val="02020502050306020203"/>
    <w:charset w:val="00"/>
    <w:family w:val="roman"/>
    <w:pitch w:val="default"/>
    <w:sig w:usb0="00000000" w:usb1="00000000" w:usb2="00000000" w:usb3="00000000" w:csb0="00000000"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auto"/>
    <w:pitch w:val="default"/>
    <w:sig w:usb0="00000001" w:usb1="080E0000" w:usb2="00000000" w:usb3="00000000" w:csb0="00040000" w:csb1="00000000"/>
    <w:embedRegular r:id="rId5" w:fontKey="{D08B37E2-087E-4399-AAEB-B979D47E9815}"/>
  </w:font>
  <w:font w:name="Courier">
    <w:panose1 w:val="02060409020205020404"/>
    <w:charset w:val="00"/>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embedRegular r:id="rId6" w:fontKey="{2144B535-0F5A-486C-81D9-EEC43656AD7E}"/>
  </w:font>
  <w:font w:name="Adobe 仿宋 Std R">
    <w:altName w:val="微软雅黑"/>
    <w:panose1 w:val="00000000000000000000"/>
    <w:charset w:val="7A"/>
    <w:family w:val="roman"/>
    <w:pitch w:val="default"/>
    <w:sig w:usb0="00000000" w:usb1="00000000" w:usb2="00000016" w:usb3="00000000" w:csb0="00060007" w:csb1="00000000"/>
  </w:font>
  <w:font w:name="方正小标宋简体">
    <w:panose1 w:val="02000000000000000000"/>
    <w:charset w:val="86"/>
    <w:family w:val="auto"/>
    <w:pitch w:val="default"/>
    <w:sig w:usb0="00000001" w:usb1="08000000" w:usb2="00000000" w:usb3="00000000" w:csb0="00040000" w:csb1="00000000"/>
    <w:embedRegular r:id="rId7" w:fontKey="{DBC21915-3535-4E99-8974-D8D6D759791B}"/>
  </w:font>
  <w:font w:name="方正仿宋简体">
    <w:altName w:val="微软雅黑"/>
    <w:panose1 w:val="02010601030101010101"/>
    <w:charset w:val="86"/>
    <w:family w:val="auto"/>
    <w:pitch w:val="default"/>
    <w:sig w:usb0="00000000" w:usb1="00000000" w:usb2="00000000" w:usb3="00000000" w:csb0="00040000" w:csb1="00000000"/>
    <w:embedRegular r:id="rId8" w:fontKey="{A612CDD2-7E83-44D1-AF63-1DC8975A2A7D}"/>
  </w:font>
  <w:font w:name="方正黑体简体">
    <w:altName w:val="微软雅黑"/>
    <w:panose1 w:val="00000000000000000000"/>
    <w:charset w:val="00"/>
    <w:family w:val="auto"/>
    <w:pitch w:val="default"/>
    <w:sig w:usb0="00000000" w:usb1="00000000" w:usb2="00000000" w:usb3="00000000" w:csb0="00040001" w:csb1="00000000"/>
    <w:embedRegular r:id="rId9" w:fontKey="{6930D2BA-E270-49A1-8544-D579A21EBF66}"/>
  </w:font>
  <w:font w:name="KSOF025BBAAE">
    <w:panose1 w:val="020B0503020204020204"/>
    <w:charset w:val="86"/>
    <w:family w:val="auto"/>
    <w:pitch w:val="default"/>
    <w:sig w:usb0="00000001" w:usb1="00000000" w:usb2="00000000" w:usb3="00000000" w:csb0="00040001" w:csb1="00000000"/>
  </w:font>
  <w:font w:name="KSOF0410934D">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99BE1">
    <w:pPr>
      <w:pStyle w:val="13"/>
      <w:ind w:right="360"/>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C8BD7D">
                          <w:pPr>
                            <w:pStyle w:val="1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34C8BD7D">
                    <w:pPr>
                      <w:pStyle w:val="13"/>
                    </w:pPr>
                    <w:r>
                      <w:fldChar w:fldCharType="begin"/>
                    </w:r>
                    <w:r>
                      <w:instrText xml:space="preserve"> PAGE  \* MERGEFORMAT </w:instrText>
                    </w:r>
                    <w:r>
                      <w:fldChar w:fldCharType="separate"/>
                    </w:r>
                    <w:r>
                      <w:t>0</w:t>
                    </w:r>
                    <w:r>
                      <w:fldChar w:fldCharType="end"/>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margin">
                <wp:posOffset>2535555</wp:posOffset>
              </wp:positionH>
              <wp:positionV relativeFrom="paragraph">
                <wp:posOffset>0</wp:posOffset>
              </wp:positionV>
              <wp:extent cx="114935" cy="153035"/>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w="15875">
                        <a:noFill/>
                      </a:ln>
                    </wps:spPr>
                    <wps:txbx>
                      <w:txbxContent>
                        <w:p w14:paraId="55A9534F"/>
                      </w:txbxContent>
                    </wps:txbx>
                    <wps:bodyPr wrap="none" lIns="0" tIns="0" rIns="0" bIns="0" upright="1">
                      <a:spAutoFit/>
                    </wps:bodyPr>
                  </wps:wsp>
                </a:graphicData>
              </a:graphic>
            </wp:anchor>
          </w:drawing>
        </mc:Choice>
        <mc:Fallback>
          <w:pict>
            <v:shape id="_x0000_s1026" o:spid="_x0000_s1026" o:spt="202" type="#_x0000_t202" style="position:absolute;left:0pt;margin-left:199.65pt;margin-top:0pt;height:12.05pt;width:9.05pt;mso-position-horizontal-relative:margin;mso-wrap-style:none;z-index:251671552;mso-width-relative:page;mso-height-relative:page;" filled="f" stroked="f" coordsize="21600,21600" o:gfxdata="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BKzybXAAAABwEAAA8AAAAAAAAAAQAg&#10;AAAAIgAAAGRycy9kb3ducmV2LnhtbFBLAQIUABQAAAAIAIdO4kBWvlH41gEAAKMDAAAOAAAAAAAA&#10;AAEAIAAAACYBAABkcnMvZTJvRG9jLnhtbFBLBQYAAAAABgAGAFkBAABuBQAAAAA=&#10;">
              <v:fill on="f" focussize="0,0"/>
              <v:stroke on="f" weight="1.25pt"/>
              <v:imagedata o:title=""/>
              <o:lock v:ext="edit" aspectratio="f"/>
              <v:textbox inset="0mm,0mm,0mm,0mm" style="mso-fit-shape-to-text:t;">
                <w:txbxContent>
                  <w:p w14:paraId="55A9534F"/>
                </w:txbxContent>
              </v:textbox>
            </v:shape>
          </w:pict>
        </mc:Fallback>
      </mc:AlternateContent>
    </w: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BF0AE1">
                          <w:pPr>
                            <w:pStyle w:val="13"/>
                            <w:rPr>
                              <w:rFonts w:hint="default" w:eastAsia="宋体"/>
                              <w:lang w:val="en-US" w:eastAsia="zh-CN"/>
                            </w:rPr>
                          </w:pPr>
                          <w:r>
                            <w:rPr>
                              <w:rFonts w:hint="eastAsia"/>
                              <w:lang w:val="en-US" w:eastAsia="zh-CN"/>
                            </w:rPr>
                            <w:t>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4BBF0AE1">
                    <w:pPr>
                      <w:pStyle w:val="13"/>
                      <w:rPr>
                        <w:rFonts w:hint="default" w:eastAsia="宋体"/>
                        <w:lang w:val="en-US" w:eastAsia="zh-CN"/>
                      </w:rPr>
                    </w:pPr>
                    <w:r>
                      <w:rPr>
                        <w:rFonts w:hint="eastAsia"/>
                        <w:lang w:val="en-US" w:eastAsia="zh-CN"/>
                      </w:rPr>
                      <w:t>1</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9B301">
    <w:pPr>
      <w:pStyle w:val="13"/>
      <w:framePr w:wrap="around" w:vAnchor="text" w:hAnchor="margin" w:xAlign="center" w:y="1"/>
      <w:rPr>
        <w:rStyle w:val="24"/>
      </w:rPr>
    </w:pPr>
    <w:r>
      <w:fldChar w:fldCharType="begin"/>
    </w:r>
    <w:r>
      <w:rPr>
        <w:rStyle w:val="24"/>
      </w:rPr>
      <w:instrText xml:space="preserve">PAGE  </w:instrText>
    </w:r>
    <w:r>
      <w:fldChar w:fldCharType="end"/>
    </w:r>
  </w:p>
  <w:p w14:paraId="7E29AF90">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488B7">
    <w:pPr>
      <w:pStyle w:val="13"/>
      <w:tabs>
        <w:tab w:val="center" w:pos="4479"/>
        <w:tab w:val="clear" w:pos="4153"/>
      </w:tabs>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DFABFA">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6CDFABFA">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C7E89C">
                          <w:pPr>
                            <w:pStyle w:val="13"/>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42C7E89C">
                    <w:pPr>
                      <w:pStyle w:val="13"/>
                      <w:rPr>
                        <w:rFonts w:hint="default" w:eastAsia="宋体"/>
                        <w:lang w:val="en-US" w:eastAsia="zh-CN"/>
                      </w:rPr>
                    </w:pP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14935" cy="153035"/>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w="15875">
                        <a:noFill/>
                      </a:ln>
                    </wps:spPr>
                    <wps:txbx>
                      <w:txbxContent>
                        <w:p w14:paraId="1A5DD4AC"/>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9.05pt;mso-position-horizontal:center;mso-position-horizontal-relative:margin;mso-wrap-style:none;z-index:251672576;mso-width-relative:page;mso-height-relative:page;" filled="f" stroked="f" coordsize="21600,21600" o:gfxdata="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rs9lPUAAAAAwEAAA8AAAAAAAAAAQAgAAAA&#10;IgAAAGRycy9kb3ducmV2LnhtbFBLAQIUABQAAAAIAIdO4kAYy/2Z1gEAAKMDAAAOAAAAAAAAAAEA&#10;IAAAACMBAABkcnMvZTJvRG9jLnhtbFBLBQYAAAAABgAGAFkBAABrBQAAAAA=&#10;">
              <v:fill on="f" focussize="0,0"/>
              <v:stroke on="f" weight="1.25pt"/>
              <v:imagedata o:title=""/>
              <o:lock v:ext="edit" aspectratio="f"/>
              <v:textbox inset="0mm,0mm,0mm,0mm" style="mso-fit-shape-to-text:t;">
                <w:txbxContent>
                  <w:p w14:paraId="1A5DD4AC"/>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E61DA">
    <w:pPr>
      <w:pStyle w:val="8"/>
      <w:spacing w:line="14" w:lineRule="auto"/>
      <w:rPr>
        <w:sz w:val="20"/>
      </w:rPr>
    </w:pPr>
    <w:r>
      <w:rPr>
        <w:sz w:val="21"/>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335A7D">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7335A7D">
                    <w:pPr>
                      <w:pStyle w:val="13"/>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72576" behindDoc="1" locked="0" layoutInCell="1" allowOverlap="1">
              <wp:simplePos x="0" y="0"/>
              <wp:positionH relativeFrom="page">
                <wp:posOffset>3236595</wp:posOffset>
              </wp:positionH>
              <wp:positionV relativeFrom="page">
                <wp:posOffset>9891395</wp:posOffset>
              </wp:positionV>
              <wp:extent cx="1088390" cy="1524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088390" cy="152400"/>
                      </a:xfrm>
                      <a:prstGeom prst="rect">
                        <a:avLst/>
                      </a:prstGeom>
                      <a:noFill/>
                      <a:ln>
                        <a:noFill/>
                      </a:ln>
                    </wps:spPr>
                    <wps:txbx>
                      <w:txbxContent>
                        <w:p w14:paraId="18AD1F3E"/>
                      </w:txbxContent>
                    </wps:txbx>
                    <wps:bodyPr lIns="0" tIns="0" rIns="0" bIns="0" upright="1"/>
                  </wps:wsp>
                </a:graphicData>
              </a:graphic>
            </wp:anchor>
          </w:drawing>
        </mc:Choice>
        <mc:Fallback>
          <w:pict>
            <v:shape id="_x0000_s1026" o:spid="_x0000_s1026" o:spt="202" type="#_x0000_t202" style="position:absolute;left:0pt;margin-left:254.85pt;margin-top:778.85pt;height:12pt;width:85.7pt;mso-position-horizontal-relative:page;mso-position-vertical-relative:page;z-index:-251643904;mso-width-relative:page;mso-height-relative:page;" filled="f" stroked="f" coordsize="21600,21600" o:gfxdata="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067VQ2gAAAA0BAAAPAAAAAAAAAAEAIAAAACIAAABkcnMvZG93bnJldi54bWxQ&#10;SwECFAAUAAAACACHTuJANoP5ELwBAAB0AwAADgAAAAAAAAABACAAAAApAQAAZHJzL2Uyb0RvYy54&#10;bWxQSwUGAAAAAAYABgBZAQAAVwUAAAAA&#10;">
              <v:fill on="f" focussize="0,0"/>
              <v:stroke on="f"/>
              <v:imagedata o:title=""/>
              <o:lock v:ext="edit" aspectratio="f"/>
              <v:textbox inset="0mm,0mm,0mm,0mm">
                <w:txbxContent>
                  <w:p w14:paraId="18AD1F3E"/>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D7048">
    <w:pPr>
      <w:spacing w:line="176" w:lineRule="auto"/>
      <w:ind w:left="48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6156AE">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726156AE">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16895">
    <w:pPr>
      <w:pStyle w:val="13"/>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78860D">
                          <w:pPr>
                            <w:pStyle w:val="13"/>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6978860D">
                    <w:pPr>
                      <w:pStyle w:val="13"/>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48334">
    <w:pPr>
      <w:pStyle w:val="13"/>
      <w:jc w:val="cente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C51CE2">
                          <w:pPr>
                            <w:pStyle w:val="13"/>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1AC51CE2">
                    <w:pPr>
                      <w:pStyle w:val="13"/>
                    </w:pPr>
                    <w:r>
                      <w:fldChar w:fldCharType="begin"/>
                    </w:r>
                    <w:r>
                      <w:instrText xml:space="preserve"> PAGE  \* MERGEFORMAT </w:instrText>
                    </w:r>
                    <w:r>
                      <w:fldChar w:fldCharType="separate"/>
                    </w:r>
                    <w:r>
                      <w:t>56</w:t>
                    </w:r>
                    <w:r>
                      <w:fldChar w:fldCharType="end"/>
                    </w:r>
                  </w:p>
                </w:txbxContent>
              </v:textbox>
            </v:shape>
          </w:pict>
        </mc:Fallback>
      </mc:AlternateContent>
    </w:r>
  </w:p>
  <w:p w14:paraId="658208CF">
    <w:pPr>
      <w:pStyle w:val="13"/>
      <w:jc w:val="center"/>
      <w:rPr>
        <w:rFonts w:ascii="宋体"/>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BFB81">
    <w:pPr>
      <w:pStyle w:val="13"/>
      <w:jc w:val="cente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9C480B">
                          <w:pPr>
                            <w:pStyle w:val="13"/>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319C480B">
                    <w:pPr>
                      <w:pStyle w:val="13"/>
                    </w:pPr>
                    <w:r>
                      <w:fldChar w:fldCharType="begin"/>
                    </w:r>
                    <w:r>
                      <w:instrText xml:space="preserve"> PAGE  \* MERGEFORMAT </w:instrText>
                    </w:r>
                    <w:r>
                      <w:fldChar w:fldCharType="separate"/>
                    </w:r>
                    <w:r>
                      <w:t>62</w:t>
                    </w:r>
                    <w:r>
                      <w:fldChar w:fldCharType="end"/>
                    </w:r>
                  </w:p>
                </w:txbxContent>
              </v:textbox>
            </v:shape>
          </w:pict>
        </mc:Fallback>
      </mc:AlternateContent>
    </w:r>
  </w:p>
  <w:p w14:paraId="08E2AB6A">
    <w:pPr>
      <w:pStyle w:val="13"/>
      <w:jc w:val="center"/>
      <w:rPr>
        <w:rFonts w:ascii="宋体"/>
        <w:sz w:val="28"/>
        <w:szCs w:val="2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DD4C6">
    <w:pPr>
      <w:pStyle w:val="13"/>
      <w:framePr w:wrap="around" w:vAnchor="text" w:hAnchor="margin" w:xAlign="center" w:y="1"/>
      <w:rPr>
        <w:rStyle w:val="24"/>
      </w:rPr>
    </w:pPr>
    <w:r>
      <w:fldChar w:fldCharType="begin"/>
    </w:r>
    <w:r>
      <w:rPr>
        <w:rStyle w:val="24"/>
      </w:rPr>
      <w:instrText xml:space="preserve"> PAGE </w:instrText>
    </w:r>
    <w:r>
      <w:fldChar w:fldCharType="end"/>
    </w:r>
  </w:p>
  <w:p w14:paraId="78EAB4A7">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F68E7">
    <w:pPr>
      <w:pStyle w:val="14"/>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2D82">
    <w:pPr>
      <w:pStyle w:val="8"/>
      <w:spacing w:line="14" w:lineRule="auto"/>
      <w:rPr>
        <w:sz w:val="20"/>
      </w:rPr>
    </w:pPr>
    <w:r>
      <mc:AlternateContent>
        <mc:Choice Requires="wps">
          <w:drawing>
            <wp:anchor distT="0" distB="0" distL="114300" distR="114300" simplePos="0" relativeHeight="251666432"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3C5DE13A"/>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0048;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dqHs52AAAAAkBAAAPAAAAAAAAAAEAIAAAACIAAABkcnMvZG93bnJldi54bWxQSwEC&#10;FAAUAAAACACHTuJAeuJOH7sBAAB0AwAADgAAAAAAAAABACAAAAAnAQAAZHJzL2Uyb0RvYy54bWxQ&#10;SwUGAAAAAAYABgBZAQAAVAUAAAAA&#10;">
              <v:fill on="f" focussize="0,0"/>
              <v:stroke on="f"/>
              <v:imagedata o:title=""/>
              <o:lock v:ext="edit" aspectratio="f"/>
              <v:textbox inset="0mm,0mm,0mm,0mm">
                <w:txbxContent>
                  <w:p w14:paraId="3C5DE13A"/>
                </w:txbxContent>
              </v:textbox>
            </v:shape>
          </w:pict>
        </mc:Fallback>
      </mc:AlternateContent>
    </w:r>
    <w:r>
      <mc:AlternateContent>
        <mc:Choice Requires="wps">
          <w:drawing>
            <wp:anchor distT="0" distB="0" distL="114300" distR="114300" simplePos="0" relativeHeight="251667456"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14:paraId="509E9D8D"/>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49024;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KrmlA2AAAAAoBAAAPAAAAAAAAAAEAIAAAACIAAABkcnMvZG93bnJldi54bWxQSwEC&#10;FAAUAAAACACHTuJAE0bsMLsBAAB0AwAADgAAAAAAAAABACAAAAAnAQAAZHJzL2Uyb0RvYy54bWxQ&#10;SwUGAAAAAAYABgBZAQAAVAUAAAAA&#10;">
              <v:fill on="f" focussize="0,0"/>
              <v:stroke on="f"/>
              <v:imagedata o:title=""/>
              <o:lock v:ext="edit" aspectratio="f"/>
              <v:textbox inset="0mm,0mm,0mm,0mm">
                <w:txbxContent>
                  <w:p w14:paraId="509E9D8D"/>
                </w:txbxContent>
              </v:textbox>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95D8F">
    <w:pPr>
      <w:pStyle w:val="8"/>
      <w:spacing w:line="14" w:lineRule="auto"/>
      <w:rPr>
        <w:sz w:val="20"/>
      </w:rPr>
    </w:pPr>
    <w:r>
      <mc:AlternateContent>
        <mc:Choice Requires="wps">
          <w:drawing>
            <wp:anchor distT="0" distB="0" distL="114300" distR="114300" simplePos="0" relativeHeight="251668480"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6CE212FB"/>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48000;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dqHs52AAAAAkBAAAPAAAAAAAAAAEAIAAAACIAAABkcnMvZG93bnJldi54bWxQSwEC&#10;FAAUAAAACACHTuJA/vxF+LsBAAB0AwAADgAAAAAAAAABACAAAAAnAQAAZHJzL2Uyb0RvYy54bWxQ&#10;SwUGAAAAAAYABgBZAQAAVAUAAAAA&#10;">
              <v:fill on="f" focussize="0,0"/>
              <v:stroke on="f"/>
              <v:imagedata o:title=""/>
              <o:lock v:ext="edit" aspectratio="f"/>
              <v:textbox inset="0mm,0mm,0mm,0mm">
                <w:txbxContent>
                  <w:p w14:paraId="6CE212FB"/>
                </w:txbxContent>
              </v:textbox>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CF011">
    <w:pPr>
      <w:pStyle w:val="8"/>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6E413B35">
                          <w:pPr>
                            <w:rPr>
                              <w:rFonts w:hint="eastAsia"/>
                              <w:lang w:eastAsia="zh-CN"/>
                            </w:rPr>
                          </w:pPr>
                        </w:p>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2096;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3ah7OdgAAAAJAQAADwAAAAAAAAABACAAAAAiAAAAZHJzL2Rvd25yZXYueG1sUEsB&#10;AhQAFAAAAAgAh07iQDPZKQq8AQAAdAMAAA4AAAAAAAAAAQAgAAAAJwEAAGRycy9lMm9Eb2MueG1s&#10;UEsFBgAAAAAGAAYAWQEAAFUFAAAAAA==&#10;">
              <v:fill on="f" focussize="0,0"/>
              <v:stroke on="f"/>
              <v:imagedata o:title=""/>
              <o:lock v:ext="edit" aspectratio="f"/>
              <v:textbox inset="0mm,0mm,0mm,0mm">
                <w:txbxContent>
                  <w:p w14:paraId="6E413B35">
                    <w:pPr>
                      <w:rPr>
                        <w:rFonts w:hint="eastAsia"/>
                        <w:lang w:eastAsia="zh-CN"/>
                      </w:rPr>
                    </w:pPr>
                  </w:p>
                </w:txbxContent>
              </v:textbox>
            </v:shape>
          </w:pict>
        </mc:Fallback>
      </mc:AlternateContent>
    </w:r>
    <w:r>
      <mc:AlternateContent>
        <mc:Choice Requires="wps">
          <w:drawing>
            <wp:anchor distT="0" distB="0" distL="114300" distR="114300" simplePos="0" relativeHeight="251665408"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14:paraId="6352DCC0">
                          <w:pPr>
                            <w:pStyle w:val="8"/>
                            <w:spacing w:line="251" w:lineRule="exact"/>
                            <w:ind w:left="20"/>
                          </w:pPr>
                        </w:p>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51072;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KrmlA2AAAAAoBAAAPAAAAAAAAAAEAIAAAACIAAABkcnMvZG93bnJldi54bWxQSwEC&#10;FAAUAAAACACHTuJApnwQ8LsBAAB0AwAADgAAAAAAAAABACAAAAAnAQAAZHJzL2Uyb0RvYy54bWxQ&#10;SwUGAAAAAAYABgBZAQAAVAUAAAAA&#10;">
              <v:fill on="f" focussize="0,0"/>
              <v:stroke on="f"/>
              <v:imagedata o:title=""/>
              <o:lock v:ext="edit" aspectratio="f"/>
              <v:textbox inset="0mm,0mm,0mm,0mm">
                <w:txbxContent>
                  <w:p w14:paraId="6352DCC0">
                    <w:pPr>
                      <w:pStyle w:val="8"/>
                      <w:spacing w:line="251" w:lineRule="exact"/>
                      <w:ind w:left="20"/>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C5AA9">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68584">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2CFCA">
    <w:pPr>
      <w:pStyle w:val="8"/>
      <w:spacing w:line="14" w:lineRule="auto"/>
      <w:rPr>
        <w:sz w:val="20"/>
      </w:rPr>
    </w:pPr>
    <w:r>
      <mc:AlternateContent>
        <mc:Choice Requires="wps">
          <w:drawing>
            <wp:anchor distT="0" distB="0" distL="114300" distR="114300" simplePos="0" relativeHeight="251671552"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2FD5BB51"/>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44928;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dqHs52AAAAAkBAAAPAAAAAAAAAAEAIAAAACIAAABkcnMvZG93bnJldi54bWxQSwEC&#10;FAAUAAAACACHTuJAnzKt/LsBAAB0AwAADgAAAAAAAAABACAAAAAnAQAAZHJzL2Uyb0RvYy54bWxQ&#10;SwUGAAAAAAYABgBZAQAAVAUAAAAA&#10;">
              <v:fill on="f" focussize="0,0"/>
              <v:stroke on="f"/>
              <v:imagedata o:title=""/>
              <o:lock v:ext="edit" aspectratio="f"/>
              <v:textbox inset="0mm,0mm,0mm,0mm">
                <w:txbxContent>
                  <w:p w14:paraId="2FD5BB51"/>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F11BF">
    <w:pPr>
      <w:pStyle w:val="8"/>
      <w:spacing w:line="14" w:lineRule="auto"/>
      <w:rPr>
        <w:sz w:val="20"/>
      </w:rPr>
    </w:pPr>
    <w:r>
      <mc:AlternateContent>
        <mc:Choice Requires="wps">
          <w:drawing>
            <wp:anchor distT="0" distB="0" distL="114300" distR="114300" simplePos="0" relativeHeight="251669504"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a:effectLst/>
                    </wps:spPr>
                    <wps:txbx>
                      <w:txbxContent>
                        <w:p w14:paraId="33B5D5A7">
                          <w:pPr>
                            <w:rPr>
                              <w:rFonts w:hint="eastAsia"/>
                              <w:lang w:eastAsia="zh-CN"/>
                            </w:rPr>
                          </w:pPr>
                        </w:p>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46976;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dqHs52AAAAAkBAAAPAAAAAAAAAAEAIAAAACIAAABkcnMvZG93bnJldi54bWxQ&#10;SwECFAAUAAAACACHTuJAgbVPxL4BAACCAwAADgAAAAAAAAABACAAAAAnAQAAZHJzL2Uyb0RvYy54&#10;bWxQSwUGAAAAAAYABgBZAQAAVwUAAAAA&#10;">
              <v:fill on="f" focussize="0,0"/>
              <v:stroke on="f"/>
              <v:imagedata o:title=""/>
              <o:lock v:ext="edit" aspectratio="f"/>
              <v:textbox inset="0mm,0mm,0mm,0mm">
                <w:txbxContent>
                  <w:p w14:paraId="33B5D5A7">
                    <w:pPr>
                      <w:rPr>
                        <w:rFonts w:hint="eastAsia"/>
                        <w:lang w:eastAsia="zh-CN"/>
                      </w:rPr>
                    </w:pPr>
                  </w:p>
                </w:txbxContent>
              </v:textbox>
            </v:shape>
          </w:pict>
        </mc:Fallback>
      </mc:AlternateContent>
    </w:r>
    <w:r>
      <mc:AlternateContent>
        <mc:Choice Requires="wps">
          <w:drawing>
            <wp:anchor distT="0" distB="0" distL="114300" distR="114300" simplePos="0" relativeHeight="251670528"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a:effectLst/>
                    </wps:spPr>
                    <wps:txbx>
                      <w:txbxContent>
                        <w:p w14:paraId="44205FB5"/>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45952;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KrmlA2AAAAAoBAAAPAAAAAAAAAAEAIAAAACIAAABkcnMvZG93bnJldi54bWxQ&#10;SwECFAAUAAAACACHTuJAzDwivr4BAACCAwAADgAAAAAAAAABACAAAAAnAQAAZHJzL2Uyb0RvYy54&#10;bWxQSwUGAAAAAAYABgBZAQAAVwUAAAAA&#10;">
              <v:fill on="f" focussize="0,0"/>
              <v:stroke on="f"/>
              <v:imagedata o:title=""/>
              <o:lock v:ext="edit" aspectratio="f"/>
              <v:textbox inset="0mm,0mm,0mm,0mm">
                <w:txbxContent>
                  <w:p w14:paraId="44205FB5"/>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1A02E">
    <w:pPr>
      <w:pStyle w:val="8"/>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14:paraId="3CCCC24E"/>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55168;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KrmlA2AAAAAoBAAAPAAAAAAAAAAEAIAAAACIAAABkcnMvZG93bnJldi54bWxQSwEC&#10;FAAUAAAACACHTuJARib/FrsBAAB0AwAADgAAAAAAAAABACAAAAAnAQAAZHJzL2Uyb0RvYy54bWxQ&#10;SwUGAAAAAAYABgBZAQAAVAUAAAAA&#10;">
              <v:fill on="f" focussize="0,0"/>
              <v:stroke on="f"/>
              <v:imagedata o:title=""/>
              <o:lock v:ext="edit" aspectratio="f"/>
              <v:textbox inset="0mm,0mm,0mm,0mm">
                <w:txbxContent>
                  <w:p w14:paraId="3CCCC24E"/>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5E351">
    <w:pPr>
      <w:pStyle w:val="8"/>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07F119E3">
                          <w:pPr>
                            <w:rPr>
                              <w:rFonts w:hint="eastAsia"/>
                              <w:lang w:eastAsia="zh-CN"/>
                            </w:rPr>
                          </w:pPr>
                        </w:p>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4144;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2oeznYAAAACQEAAA8AAAAAAAAAAQAgAAAAIgAAAGRycy9kb3ducmV2LnhtbFBLAQIU&#10;ABQAAAAIAIdO4kBdrnz1ugEAAHQDAAAOAAAAAAAAAAEAIAAAACcBAABkcnMvZTJvRG9jLnhtbFBL&#10;BQYAAAAABgAGAFkBAABTBQAAAAA=&#10;">
              <v:fill on="f" focussize="0,0"/>
              <v:stroke on="f"/>
              <v:imagedata o:title=""/>
              <o:lock v:ext="edit" aspectratio="f"/>
              <v:textbox inset="0mm,0mm,0mm,0mm">
                <w:txbxContent>
                  <w:p w14:paraId="07F119E3">
                    <w:pPr>
                      <w:rPr>
                        <w:rFonts w:hint="eastAsia"/>
                        <w:lang w:eastAsia="zh-CN"/>
                      </w:rPr>
                    </w:pP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14:paraId="79A99479"/>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53120;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iq5pQNgAAAAKAQAADwAAAAAAAAABACAAAAAiAAAAZHJzL2Rvd25yZXYueG1sUEsB&#10;AhQAFAAAAAgAh07iQM2BSQq8AQAAdAMAAA4AAAAAAAAAAQAgAAAAJwEAAGRycy9lMm9Eb2MueG1s&#10;UEsFBgAAAAAGAAYAWQEAAFUFAAAAAA==&#10;">
              <v:fill on="f" focussize="0,0"/>
              <v:stroke on="f"/>
              <v:imagedata o:title=""/>
              <o:lock v:ext="edit" aspectratio="f"/>
              <v:textbox inset="0mm,0mm,0mm,0mm">
                <w:txbxContent>
                  <w:p w14:paraId="79A99479"/>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20720">
    <w:pPr>
      <w:pStyle w:val="14"/>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183E5">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E1102"/>
    <w:multiLevelType w:val="singleLevel"/>
    <w:tmpl w:val="968E1102"/>
    <w:lvl w:ilvl="0" w:tentative="0">
      <w:start w:val="2"/>
      <w:numFmt w:val="chineseCounting"/>
      <w:suff w:val="nothing"/>
      <w:lvlText w:val="（%1）"/>
      <w:lvlJc w:val="left"/>
      <w:rPr>
        <w:rFonts w:hint="eastAsia"/>
      </w:rPr>
    </w:lvl>
  </w:abstractNum>
  <w:abstractNum w:abstractNumId="1">
    <w:nsid w:val="C00C9C33"/>
    <w:multiLevelType w:val="singleLevel"/>
    <w:tmpl w:val="C00C9C33"/>
    <w:lvl w:ilvl="0" w:tentative="0">
      <w:start w:val="1"/>
      <w:numFmt w:val="chineseCounting"/>
      <w:suff w:val="nothing"/>
      <w:lvlText w:val="%1、"/>
      <w:lvlJc w:val="left"/>
      <w:rPr>
        <w:rFonts w:hint="eastAsia"/>
      </w:rPr>
    </w:lvl>
  </w:abstractNum>
  <w:abstractNum w:abstractNumId="2">
    <w:nsid w:val="10078ABF"/>
    <w:multiLevelType w:val="singleLevel"/>
    <w:tmpl w:val="10078ABF"/>
    <w:lvl w:ilvl="0" w:tentative="0">
      <w:start w:val="4"/>
      <w:numFmt w:val="chineseCounting"/>
      <w:suff w:val="space"/>
      <w:lvlText w:val="第%1部分"/>
      <w:lvlJc w:val="left"/>
      <w:rPr>
        <w:rFonts w:hint="eastAsia"/>
      </w:rPr>
    </w:lvl>
  </w:abstractNum>
  <w:abstractNum w:abstractNumId="3">
    <w:nsid w:val="166B6D96"/>
    <w:multiLevelType w:val="singleLevel"/>
    <w:tmpl w:val="166B6D96"/>
    <w:lvl w:ilvl="0" w:tentative="0">
      <w:start w:val="1"/>
      <w:numFmt w:val="chineseCounting"/>
      <w:suff w:val="nothing"/>
      <w:lvlText w:val="（%1）"/>
      <w:lvlJc w:val="left"/>
      <w:rPr>
        <w:rFonts w:hint="eastAsia"/>
      </w:rPr>
    </w:lvl>
  </w:abstractNum>
  <w:abstractNum w:abstractNumId="4">
    <w:nsid w:val="2E16D48F"/>
    <w:multiLevelType w:val="singleLevel"/>
    <w:tmpl w:val="2E16D48F"/>
    <w:lvl w:ilvl="0" w:tentative="0">
      <w:start w:val="2"/>
      <w:numFmt w:val="decimal"/>
      <w:suff w:val="nothing"/>
      <w:lvlText w:val="（%1）"/>
      <w:lvlJc w:val="left"/>
    </w:lvl>
  </w:abstractNum>
  <w:abstractNum w:abstractNumId="5">
    <w:nsid w:val="3D55D76B"/>
    <w:multiLevelType w:val="singleLevel"/>
    <w:tmpl w:val="3D55D76B"/>
    <w:lvl w:ilvl="0" w:tentative="0">
      <w:start w:val="1"/>
      <w:numFmt w:val="chineseCounting"/>
      <w:suff w:val="space"/>
      <w:lvlText w:val="第%1章"/>
      <w:lvlJc w:val="left"/>
      <w:rPr>
        <w:rFonts w:hint="eastAsia"/>
      </w:rPr>
    </w:lvl>
  </w:abstractNum>
  <w:abstractNum w:abstractNumId="6">
    <w:nsid w:val="68FC6059"/>
    <w:multiLevelType w:val="singleLevel"/>
    <w:tmpl w:val="68FC6059"/>
    <w:lvl w:ilvl="0" w:tentative="0">
      <w:start w:val="5"/>
      <w:numFmt w:val="chineseCounting"/>
      <w:suff w:val="space"/>
      <w:lvlText w:val="%1、"/>
      <w:lvlJc w:val="left"/>
      <w:rPr>
        <w:rFonts w:hint="eastAsia"/>
      </w:rPr>
    </w:lvl>
  </w:abstractNum>
  <w:num w:numId="1">
    <w:abstractNumId w:val="5"/>
  </w:num>
  <w:num w:numId="2">
    <w:abstractNumId w:val="3"/>
  </w:num>
  <w:num w:numId="3">
    <w:abstractNumId w:val="4"/>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YzUzMWQ4OWI0YzBkYjYzMDRhZTY5ZjZkYmFmYTgifQ=="/>
  </w:docVars>
  <w:rsids>
    <w:rsidRoot w:val="00000000"/>
    <w:rsid w:val="00082185"/>
    <w:rsid w:val="00092509"/>
    <w:rsid w:val="000B7DB2"/>
    <w:rsid w:val="001D6501"/>
    <w:rsid w:val="002235CA"/>
    <w:rsid w:val="00265E98"/>
    <w:rsid w:val="00286F66"/>
    <w:rsid w:val="00294959"/>
    <w:rsid w:val="00311532"/>
    <w:rsid w:val="003D0404"/>
    <w:rsid w:val="00460EDD"/>
    <w:rsid w:val="004E773E"/>
    <w:rsid w:val="00584EE4"/>
    <w:rsid w:val="005B0870"/>
    <w:rsid w:val="005D6E36"/>
    <w:rsid w:val="00655C7F"/>
    <w:rsid w:val="007E6F92"/>
    <w:rsid w:val="00906967"/>
    <w:rsid w:val="00A21A66"/>
    <w:rsid w:val="00A81D22"/>
    <w:rsid w:val="00AD7338"/>
    <w:rsid w:val="00B24BB6"/>
    <w:rsid w:val="00B52D29"/>
    <w:rsid w:val="00B62819"/>
    <w:rsid w:val="00BF186E"/>
    <w:rsid w:val="00C91C98"/>
    <w:rsid w:val="00D168D6"/>
    <w:rsid w:val="00D5688F"/>
    <w:rsid w:val="00DA4B91"/>
    <w:rsid w:val="00DC19CB"/>
    <w:rsid w:val="00E02D21"/>
    <w:rsid w:val="00E87B6C"/>
    <w:rsid w:val="00F26BE8"/>
    <w:rsid w:val="00F8365B"/>
    <w:rsid w:val="00FC10C9"/>
    <w:rsid w:val="00FC206D"/>
    <w:rsid w:val="01052BEB"/>
    <w:rsid w:val="010F4EFF"/>
    <w:rsid w:val="01140146"/>
    <w:rsid w:val="01177872"/>
    <w:rsid w:val="01192C1F"/>
    <w:rsid w:val="01347A59"/>
    <w:rsid w:val="013B0DE8"/>
    <w:rsid w:val="015A57AA"/>
    <w:rsid w:val="01657CDA"/>
    <w:rsid w:val="01802C9E"/>
    <w:rsid w:val="0199766D"/>
    <w:rsid w:val="019F0A8C"/>
    <w:rsid w:val="01A72B23"/>
    <w:rsid w:val="01A97D30"/>
    <w:rsid w:val="01AD0BB8"/>
    <w:rsid w:val="01B237A8"/>
    <w:rsid w:val="01BC39A2"/>
    <w:rsid w:val="01C25065"/>
    <w:rsid w:val="01C42B8B"/>
    <w:rsid w:val="01C63438"/>
    <w:rsid w:val="01C7267B"/>
    <w:rsid w:val="01DB6127"/>
    <w:rsid w:val="01DB7ED5"/>
    <w:rsid w:val="01DE409E"/>
    <w:rsid w:val="01E21263"/>
    <w:rsid w:val="01E46D89"/>
    <w:rsid w:val="01E65414"/>
    <w:rsid w:val="01F3521E"/>
    <w:rsid w:val="01F65FA9"/>
    <w:rsid w:val="01FF3C6A"/>
    <w:rsid w:val="02012E78"/>
    <w:rsid w:val="02070CCA"/>
    <w:rsid w:val="02076F1C"/>
    <w:rsid w:val="021A2CC9"/>
    <w:rsid w:val="02277B3E"/>
    <w:rsid w:val="022B679A"/>
    <w:rsid w:val="02380E83"/>
    <w:rsid w:val="02397C41"/>
    <w:rsid w:val="023A6EAE"/>
    <w:rsid w:val="02476461"/>
    <w:rsid w:val="025018CE"/>
    <w:rsid w:val="0255083C"/>
    <w:rsid w:val="02693733"/>
    <w:rsid w:val="026F56AC"/>
    <w:rsid w:val="027E6E6D"/>
    <w:rsid w:val="027F2F56"/>
    <w:rsid w:val="028429F3"/>
    <w:rsid w:val="02913644"/>
    <w:rsid w:val="02922A98"/>
    <w:rsid w:val="029E2AB3"/>
    <w:rsid w:val="029F4A63"/>
    <w:rsid w:val="02AA5533"/>
    <w:rsid w:val="02B32C00"/>
    <w:rsid w:val="02BA21E0"/>
    <w:rsid w:val="02BC2F91"/>
    <w:rsid w:val="02C44E0D"/>
    <w:rsid w:val="02C6389C"/>
    <w:rsid w:val="02C80459"/>
    <w:rsid w:val="02CC480C"/>
    <w:rsid w:val="02DC5CB3"/>
    <w:rsid w:val="0303579F"/>
    <w:rsid w:val="0307783A"/>
    <w:rsid w:val="031D766C"/>
    <w:rsid w:val="03314FB5"/>
    <w:rsid w:val="03345B70"/>
    <w:rsid w:val="03411FB9"/>
    <w:rsid w:val="034D4D51"/>
    <w:rsid w:val="03521CBA"/>
    <w:rsid w:val="035531F3"/>
    <w:rsid w:val="03600EDC"/>
    <w:rsid w:val="036068E4"/>
    <w:rsid w:val="037264B7"/>
    <w:rsid w:val="0374413D"/>
    <w:rsid w:val="03874574"/>
    <w:rsid w:val="038A7E04"/>
    <w:rsid w:val="039736D3"/>
    <w:rsid w:val="03AA4CBA"/>
    <w:rsid w:val="03BD3D36"/>
    <w:rsid w:val="03D177E1"/>
    <w:rsid w:val="03E272F9"/>
    <w:rsid w:val="03F139E0"/>
    <w:rsid w:val="03F15374"/>
    <w:rsid w:val="040A2E36"/>
    <w:rsid w:val="040D6B8B"/>
    <w:rsid w:val="041E22FB"/>
    <w:rsid w:val="041F28ED"/>
    <w:rsid w:val="042E1A95"/>
    <w:rsid w:val="0433526B"/>
    <w:rsid w:val="04390031"/>
    <w:rsid w:val="043D74D7"/>
    <w:rsid w:val="04477832"/>
    <w:rsid w:val="04486DF4"/>
    <w:rsid w:val="0458580D"/>
    <w:rsid w:val="045905E0"/>
    <w:rsid w:val="045F4DED"/>
    <w:rsid w:val="04711F5E"/>
    <w:rsid w:val="04781A0B"/>
    <w:rsid w:val="047E0F77"/>
    <w:rsid w:val="047F723D"/>
    <w:rsid w:val="04854128"/>
    <w:rsid w:val="048C5A1D"/>
    <w:rsid w:val="049031F8"/>
    <w:rsid w:val="04A077F1"/>
    <w:rsid w:val="04A171B4"/>
    <w:rsid w:val="04AB0032"/>
    <w:rsid w:val="04AC145E"/>
    <w:rsid w:val="04B36EE7"/>
    <w:rsid w:val="04B862AB"/>
    <w:rsid w:val="04BC2297"/>
    <w:rsid w:val="04C66C1A"/>
    <w:rsid w:val="04CF2673"/>
    <w:rsid w:val="04D550AF"/>
    <w:rsid w:val="04D94D69"/>
    <w:rsid w:val="04DC0AA0"/>
    <w:rsid w:val="04DC34A1"/>
    <w:rsid w:val="04E34662"/>
    <w:rsid w:val="04E62E18"/>
    <w:rsid w:val="04EB5A6E"/>
    <w:rsid w:val="04F16EF3"/>
    <w:rsid w:val="05151950"/>
    <w:rsid w:val="051D19FB"/>
    <w:rsid w:val="052B1173"/>
    <w:rsid w:val="05346DD3"/>
    <w:rsid w:val="053E79FB"/>
    <w:rsid w:val="055F1D2B"/>
    <w:rsid w:val="05634C69"/>
    <w:rsid w:val="05654685"/>
    <w:rsid w:val="05691B27"/>
    <w:rsid w:val="05757C03"/>
    <w:rsid w:val="05A351AD"/>
    <w:rsid w:val="05A502AD"/>
    <w:rsid w:val="05A50F26"/>
    <w:rsid w:val="05B23DFE"/>
    <w:rsid w:val="05B57C30"/>
    <w:rsid w:val="05B90175"/>
    <w:rsid w:val="05BB1A9E"/>
    <w:rsid w:val="05BD4F8F"/>
    <w:rsid w:val="05C1471D"/>
    <w:rsid w:val="05DA380E"/>
    <w:rsid w:val="05E00652"/>
    <w:rsid w:val="05EA6F2B"/>
    <w:rsid w:val="05F20275"/>
    <w:rsid w:val="05F6195E"/>
    <w:rsid w:val="05FB58E4"/>
    <w:rsid w:val="06060AA7"/>
    <w:rsid w:val="061906A3"/>
    <w:rsid w:val="061A14F7"/>
    <w:rsid w:val="062260D2"/>
    <w:rsid w:val="06233BF8"/>
    <w:rsid w:val="063539E9"/>
    <w:rsid w:val="0639341C"/>
    <w:rsid w:val="063B7B7F"/>
    <w:rsid w:val="063D115E"/>
    <w:rsid w:val="064A2E72"/>
    <w:rsid w:val="06533D67"/>
    <w:rsid w:val="06546E1C"/>
    <w:rsid w:val="065564A8"/>
    <w:rsid w:val="06595D01"/>
    <w:rsid w:val="06707752"/>
    <w:rsid w:val="06707908"/>
    <w:rsid w:val="06735AF3"/>
    <w:rsid w:val="06764670"/>
    <w:rsid w:val="06774D69"/>
    <w:rsid w:val="068A6A28"/>
    <w:rsid w:val="068C109B"/>
    <w:rsid w:val="068D6BD2"/>
    <w:rsid w:val="06A64F55"/>
    <w:rsid w:val="06B01054"/>
    <w:rsid w:val="06B059B1"/>
    <w:rsid w:val="06B225CD"/>
    <w:rsid w:val="06B56F46"/>
    <w:rsid w:val="06B66DD1"/>
    <w:rsid w:val="06C70A28"/>
    <w:rsid w:val="06CC603E"/>
    <w:rsid w:val="06D10F0F"/>
    <w:rsid w:val="06D60267"/>
    <w:rsid w:val="06E174A3"/>
    <w:rsid w:val="06E45A7E"/>
    <w:rsid w:val="06EB2968"/>
    <w:rsid w:val="06F35C7C"/>
    <w:rsid w:val="06F8666A"/>
    <w:rsid w:val="06FC0970"/>
    <w:rsid w:val="0701092B"/>
    <w:rsid w:val="070C0865"/>
    <w:rsid w:val="071271C7"/>
    <w:rsid w:val="07267E44"/>
    <w:rsid w:val="07354E8A"/>
    <w:rsid w:val="07397B77"/>
    <w:rsid w:val="073B2573"/>
    <w:rsid w:val="073D5C7F"/>
    <w:rsid w:val="073E6F3C"/>
    <w:rsid w:val="07401BC0"/>
    <w:rsid w:val="07585B24"/>
    <w:rsid w:val="075A0111"/>
    <w:rsid w:val="076512BF"/>
    <w:rsid w:val="076B041E"/>
    <w:rsid w:val="077237F0"/>
    <w:rsid w:val="07726BE5"/>
    <w:rsid w:val="077946F5"/>
    <w:rsid w:val="07964D17"/>
    <w:rsid w:val="07967E0E"/>
    <w:rsid w:val="079923C4"/>
    <w:rsid w:val="079C0106"/>
    <w:rsid w:val="07A86AAB"/>
    <w:rsid w:val="07B13BB2"/>
    <w:rsid w:val="07B6484E"/>
    <w:rsid w:val="07BB5CE1"/>
    <w:rsid w:val="07C63AEF"/>
    <w:rsid w:val="07C92C47"/>
    <w:rsid w:val="07D36C9F"/>
    <w:rsid w:val="07DD49A7"/>
    <w:rsid w:val="07F12200"/>
    <w:rsid w:val="07F7156F"/>
    <w:rsid w:val="07F910B5"/>
    <w:rsid w:val="07F95559"/>
    <w:rsid w:val="07FC7C73"/>
    <w:rsid w:val="08057A5A"/>
    <w:rsid w:val="08122176"/>
    <w:rsid w:val="082750D8"/>
    <w:rsid w:val="08332819"/>
    <w:rsid w:val="083802A9"/>
    <w:rsid w:val="08391C14"/>
    <w:rsid w:val="083D5469"/>
    <w:rsid w:val="083E11BD"/>
    <w:rsid w:val="083E7A3A"/>
    <w:rsid w:val="0840356C"/>
    <w:rsid w:val="08406CE4"/>
    <w:rsid w:val="08465CCC"/>
    <w:rsid w:val="08510EF1"/>
    <w:rsid w:val="085414A0"/>
    <w:rsid w:val="085D27D6"/>
    <w:rsid w:val="085E716A"/>
    <w:rsid w:val="08607386"/>
    <w:rsid w:val="086A3D60"/>
    <w:rsid w:val="087370B9"/>
    <w:rsid w:val="08761107"/>
    <w:rsid w:val="087A1D48"/>
    <w:rsid w:val="08823A87"/>
    <w:rsid w:val="088A61B1"/>
    <w:rsid w:val="08996CD2"/>
    <w:rsid w:val="089D3FDB"/>
    <w:rsid w:val="089F76E9"/>
    <w:rsid w:val="08A07782"/>
    <w:rsid w:val="08A220F9"/>
    <w:rsid w:val="08A917A9"/>
    <w:rsid w:val="08AE6343"/>
    <w:rsid w:val="08B65A87"/>
    <w:rsid w:val="08BA0970"/>
    <w:rsid w:val="08C77405"/>
    <w:rsid w:val="08D03166"/>
    <w:rsid w:val="08D2262C"/>
    <w:rsid w:val="08DF64FD"/>
    <w:rsid w:val="08E75201"/>
    <w:rsid w:val="08EC5921"/>
    <w:rsid w:val="08F0070A"/>
    <w:rsid w:val="08FA3336"/>
    <w:rsid w:val="08FD4BD5"/>
    <w:rsid w:val="08FF201E"/>
    <w:rsid w:val="090709EE"/>
    <w:rsid w:val="09072556"/>
    <w:rsid w:val="09160835"/>
    <w:rsid w:val="091627B4"/>
    <w:rsid w:val="09175C96"/>
    <w:rsid w:val="091F0FEF"/>
    <w:rsid w:val="093525C0"/>
    <w:rsid w:val="096168DE"/>
    <w:rsid w:val="09664528"/>
    <w:rsid w:val="097A7FD3"/>
    <w:rsid w:val="098E4DDC"/>
    <w:rsid w:val="09A06F3D"/>
    <w:rsid w:val="09A45050"/>
    <w:rsid w:val="09B31CB9"/>
    <w:rsid w:val="09CF6571"/>
    <w:rsid w:val="09DE5F99"/>
    <w:rsid w:val="09E0585C"/>
    <w:rsid w:val="09E11DB2"/>
    <w:rsid w:val="09E71B0D"/>
    <w:rsid w:val="09E97995"/>
    <w:rsid w:val="09EA2C3B"/>
    <w:rsid w:val="09EC23D5"/>
    <w:rsid w:val="09EC6100"/>
    <w:rsid w:val="09F47D86"/>
    <w:rsid w:val="0A133CD2"/>
    <w:rsid w:val="0A157CFC"/>
    <w:rsid w:val="0A182626"/>
    <w:rsid w:val="0A1A760F"/>
    <w:rsid w:val="0A2A37A7"/>
    <w:rsid w:val="0A3F06D3"/>
    <w:rsid w:val="0A436837"/>
    <w:rsid w:val="0A48619C"/>
    <w:rsid w:val="0A4C5E14"/>
    <w:rsid w:val="0A540824"/>
    <w:rsid w:val="0A5627EE"/>
    <w:rsid w:val="0A690FE3"/>
    <w:rsid w:val="0A6B1C9E"/>
    <w:rsid w:val="0A6F38B0"/>
    <w:rsid w:val="0A7333A0"/>
    <w:rsid w:val="0A93759F"/>
    <w:rsid w:val="0AA34D2A"/>
    <w:rsid w:val="0AAA44D8"/>
    <w:rsid w:val="0AAC78F4"/>
    <w:rsid w:val="0AB5060E"/>
    <w:rsid w:val="0AB6458C"/>
    <w:rsid w:val="0AC63129"/>
    <w:rsid w:val="0ACA66C8"/>
    <w:rsid w:val="0AD33E3F"/>
    <w:rsid w:val="0AD7590D"/>
    <w:rsid w:val="0ADA1283"/>
    <w:rsid w:val="0AE04FBF"/>
    <w:rsid w:val="0AE147AE"/>
    <w:rsid w:val="0AE4173B"/>
    <w:rsid w:val="0AE41BA8"/>
    <w:rsid w:val="0AEC344C"/>
    <w:rsid w:val="0AED7401"/>
    <w:rsid w:val="0B006B17"/>
    <w:rsid w:val="0B043FF8"/>
    <w:rsid w:val="0B0E0664"/>
    <w:rsid w:val="0B0F299D"/>
    <w:rsid w:val="0B386398"/>
    <w:rsid w:val="0B387E5F"/>
    <w:rsid w:val="0B397676"/>
    <w:rsid w:val="0B40739E"/>
    <w:rsid w:val="0B460A68"/>
    <w:rsid w:val="0B482EAB"/>
    <w:rsid w:val="0B4B7B71"/>
    <w:rsid w:val="0B561090"/>
    <w:rsid w:val="0B5A084B"/>
    <w:rsid w:val="0B5F3925"/>
    <w:rsid w:val="0B64718D"/>
    <w:rsid w:val="0B667E81"/>
    <w:rsid w:val="0B721DFD"/>
    <w:rsid w:val="0B73741B"/>
    <w:rsid w:val="0B7476CC"/>
    <w:rsid w:val="0B7D4C0D"/>
    <w:rsid w:val="0B84338B"/>
    <w:rsid w:val="0B851AE6"/>
    <w:rsid w:val="0B971310"/>
    <w:rsid w:val="0B996E37"/>
    <w:rsid w:val="0BAB2C6B"/>
    <w:rsid w:val="0BAF1538"/>
    <w:rsid w:val="0BB01070"/>
    <w:rsid w:val="0BB11ECA"/>
    <w:rsid w:val="0BBB2B6B"/>
    <w:rsid w:val="0BC76569"/>
    <w:rsid w:val="0BD55995"/>
    <w:rsid w:val="0BD6109F"/>
    <w:rsid w:val="0BED0F30"/>
    <w:rsid w:val="0BED7182"/>
    <w:rsid w:val="0BF91683"/>
    <w:rsid w:val="0BFA003D"/>
    <w:rsid w:val="0C0128F7"/>
    <w:rsid w:val="0C142961"/>
    <w:rsid w:val="0C1E0271"/>
    <w:rsid w:val="0C1E5797"/>
    <w:rsid w:val="0C2B15D0"/>
    <w:rsid w:val="0C2E444A"/>
    <w:rsid w:val="0C392E6B"/>
    <w:rsid w:val="0C646F22"/>
    <w:rsid w:val="0C684A5B"/>
    <w:rsid w:val="0C6A5728"/>
    <w:rsid w:val="0C733E10"/>
    <w:rsid w:val="0C752CF5"/>
    <w:rsid w:val="0C990DB5"/>
    <w:rsid w:val="0C9A3825"/>
    <w:rsid w:val="0CA43CE5"/>
    <w:rsid w:val="0CAA7342"/>
    <w:rsid w:val="0CAE6912"/>
    <w:rsid w:val="0CAF4438"/>
    <w:rsid w:val="0CB16402"/>
    <w:rsid w:val="0CB97065"/>
    <w:rsid w:val="0CBB4B8B"/>
    <w:rsid w:val="0CC25F19"/>
    <w:rsid w:val="0CC31C91"/>
    <w:rsid w:val="0CC53C5B"/>
    <w:rsid w:val="0CD01864"/>
    <w:rsid w:val="0CD36378"/>
    <w:rsid w:val="0CD520F0"/>
    <w:rsid w:val="0CDB522D"/>
    <w:rsid w:val="0CE42333"/>
    <w:rsid w:val="0CE560AB"/>
    <w:rsid w:val="0CF462EF"/>
    <w:rsid w:val="0CFF587E"/>
    <w:rsid w:val="0D115134"/>
    <w:rsid w:val="0D19439F"/>
    <w:rsid w:val="0D197199"/>
    <w:rsid w:val="0D1F524B"/>
    <w:rsid w:val="0D200E92"/>
    <w:rsid w:val="0D29243C"/>
    <w:rsid w:val="0D31309F"/>
    <w:rsid w:val="0D3A01A5"/>
    <w:rsid w:val="0D3A1F53"/>
    <w:rsid w:val="0D5509C8"/>
    <w:rsid w:val="0D646FD0"/>
    <w:rsid w:val="0D741A71"/>
    <w:rsid w:val="0D742730"/>
    <w:rsid w:val="0D755621"/>
    <w:rsid w:val="0D8038E0"/>
    <w:rsid w:val="0D883FB7"/>
    <w:rsid w:val="0D8933C0"/>
    <w:rsid w:val="0D957835"/>
    <w:rsid w:val="0D993335"/>
    <w:rsid w:val="0DA1474E"/>
    <w:rsid w:val="0DB53CD0"/>
    <w:rsid w:val="0DB80411"/>
    <w:rsid w:val="0DC2517F"/>
    <w:rsid w:val="0DC702B4"/>
    <w:rsid w:val="0DD164B1"/>
    <w:rsid w:val="0DD208C8"/>
    <w:rsid w:val="0DD664A8"/>
    <w:rsid w:val="0DDB6EB4"/>
    <w:rsid w:val="0DDD3F20"/>
    <w:rsid w:val="0DDE0C5B"/>
    <w:rsid w:val="0DE105E0"/>
    <w:rsid w:val="0DEA1BCB"/>
    <w:rsid w:val="0DED346A"/>
    <w:rsid w:val="0DEE649A"/>
    <w:rsid w:val="0DEF5BD8"/>
    <w:rsid w:val="0DFA5954"/>
    <w:rsid w:val="0DFA5C3C"/>
    <w:rsid w:val="0DFC07C5"/>
    <w:rsid w:val="0DFE11D3"/>
    <w:rsid w:val="0E056A05"/>
    <w:rsid w:val="0E0C044D"/>
    <w:rsid w:val="0E1B6F89"/>
    <w:rsid w:val="0E2622F8"/>
    <w:rsid w:val="0E3A76D7"/>
    <w:rsid w:val="0E461AE8"/>
    <w:rsid w:val="0E4B0190"/>
    <w:rsid w:val="0E555731"/>
    <w:rsid w:val="0E5700C1"/>
    <w:rsid w:val="0E6360AE"/>
    <w:rsid w:val="0E682AF0"/>
    <w:rsid w:val="0E6B438E"/>
    <w:rsid w:val="0E975183"/>
    <w:rsid w:val="0EA87BA9"/>
    <w:rsid w:val="0EAB73B7"/>
    <w:rsid w:val="0EC06C77"/>
    <w:rsid w:val="0EC57542"/>
    <w:rsid w:val="0ECC307F"/>
    <w:rsid w:val="0ECF1BBF"/>
    <w:rsid w:val="0EDB32C2"/>
    <w:rsid w:val="0EDE2DB2"/>
    <w:rsid w:val="0EDF6FFF"/>
    <w:rsid w:val="0EE81337"/>
    <w:rsid w:val="0EE934BB"/>
    <w:rsid w:val="0EF63DBF"/>
    <w:rsid w:val="0EF8535A"/>
    <w:rsid w:val="0F056591"/>
    <w:rsid w:val="0F1756DE"/>
    <w:rsid w:val="0F182B40"/>
    <w:rsid w:val="0F246858"/>
    <w:rsid w:val="0F331350"/>
    <w:rsid w:val="0F3330FE"/>
    <w:rsid w:val="0F340C24"/>
    <w:rsid w:val="0F360E40"/>
    <w:rsid w:val="0F476BAA"/>
    <w:rsid w:val="0F5B3692"/>
    <w:rsid w:val="0F683902"/>
    <w:rsid w:val="0F7202A9"/>
    <w:rsid w:val="0F7A3F46"/>
    <w:rsid w:val="0F873B4A"/>
    <w:rsid w:val="0F8A773F"/>
    <w:rsid w:val="0FA26AF6"/>
    <w:rsid w:val="0FA44814"/>
    <w:rsid w:val="0FA65982"/>
    <w:rsid w:val="0FA7589A"/>
    <w:rsid w:val="0FB002FE"/>
    <w:rsid w:val="0FBE77CA"/>
    <w:rsid w:val="0FC06652"/>
    <w:rsid w:val="0FC14EC7"/>
    <w:rsid w:val="0FC30926"/>
    <w:rsid w:val="0FC36648"/>
    <w:rsid w:val="0FCD238F"/>
    <w:rsid w:val="0FD32213"/>
    <w:rsid w:val="0FD665BD"/>
    <w:rsid w:val="0FD947AA"/>
    <w:rsid w:val="0FDE750E"/>
    <w:rsid w:val="0FEA33CD"/>
    <w:rsid w:val="0FF00514"/>
    <w:rsid w:val="0FF40AC1"/>
    <w:rsid w:val="0FFD54BA"/>
    <w:rsid w:val="10044A9B"/>
    <w:rsid w:val="100B407B"/>
    <w:rsid w:val="10125409"/>
    <w:rsid w:val="10130B2C"/>
    <w:rsid w:val="101744CC"/>
    <w:rsid w:val="101918CB"/>
    <w:rsid w:val="10196798"/>
    <w:rsid w:val="101A42BE"/>
    <w:rsid w:val="101F063D"/>
    <w:rsid w:val="103210BF"/>
    <w:rsid w:val="1033518C"/>
    <w:rsid w:val="10390BE8"/>
    <w:rsid w:val="103B1BF6"/>
    <w:rsid w:val="104322BF"/>
    <w:rsid w:val="10452AC2"/>
    <w:rsid w:val="104C66F9"/>
    <w:rsid w:val="10651960"/>
    <w:rsid w:val="1066305F"/>
    <w:rsid w:val="10675755"/>
    <w:rsid w:val="106D43EE"/>
    <w:rsid w:val="10725EA8"/>
    <w:rsid w:val="10832CF8"/>
    <w:rsid w:val="108D208B"/>
    <w:rsid w:val="10A057E3"/>
    <w:rsid w:val="10A63015"/>
    <w:rsid w:val="10A87B1C"/>
    <w:rsid w:val="10B14C22"/>
    <w:rsid w:val="10C009C2"/>
    <w:rsid w:val="10C304B2"/>
    <w:rsid w:val="10C97BB0"/>
    <w:rsid w:val="10DE52EC"/>
    <w:rsid w:val="10E16B8A"/>
    <w:rsid w:val="10ED61CF"/>
    <w:rsid w:val="10F350A1"/>
    <w:rsid w:val="10F867B5"/>
    <w:rsid w:val="11041F12"/>
    <w:rsid w:val="110E0877"/>
    <w:rsid w:val="111D4CDB"/>
    <w:rsid w:val="113349F9"/>
    <w:rsid w:val="1134315E"/>
    <w:rsid w:val="114535BD"/>
    <w:rsid w:val="1146319E"/>
    <w:rsid w:val="11567578"/>
    <w:rsid w:val="11712F94"/>
    <w:rsid w:val="117874EE"/>
    <w:rsid w:val="117973F2"/>
    <w:rsid w:val="118045F5"/>
    <w:rsid w:val="1182211B"/>
    <w:rsid w:val="11844488"/>
    <w:rsid w:val="11867E5D"/>
    <w:rsid w:val="118F2EA3"/>
    <w:rsid w:val="11AD363C"/>
    <w:rsid w:val="11B438D4"/>
    <w:rsid w:val="11C42512"/>
    <w:rsid w:val="11C664AC"/>
    <w:rsid w:val="11CE451F"/>
    <w:rsid w:val="11CF5C40"/>
    <w:rsid w:val="11D17C89"/>
    <w:rsid w:val="11D24983"/>
    <w:rsid w:val="11E60D6E"/>
    <w:rsid w:val="11F34CE7"/>
    <w:rsid w:val="11F744EE"/>
    <w:rsid w:val="120668A8"/>
    <w:rsid w:val="120951C1"/>
    <w:rsid w:val="12183532"/>
    <w:rsid w:val="122961D3"/>
    <w:rsid w:val="122B3CDA"/>
    <w:rsid w:val="122B6A2F"/>
    <w:rsid w:val="123A016F"/>
    <w:rsid w:val="12413D84"/>
    <w:rsid w:val="12425DA3"/>
    <w:rsid w:val="124318AA"/>
    <w:rsid w:val="124473D0"/>
    <w:rsid w:val="124A70DD"/>
    <w:rsid w:val="124D7FD1"/>
    <w:rsid w:val="125406D3"/>
    <w:rsid w:val="12564F25"/>
    <w:rsid w:val="126006AE"/>
    <w:rsid w:val="126164D5"/>
    <w:rsid w:val="126179CF"/>
    <w:rsid w:val="12704669"/>
    <w:rsid w:val="12746430"/>
    <w:rsid w:val="127B4131"/>
    <w:rsid w:val="12942106"/>
    <w:rsid w:val="12973749"/>
    <w:rsid w:val="129F0AAB"/>
    <w:rsid w:val="12A21CDF"/>
    <w:rsid w:val="12A51D70"/>
    <w:rsid w:val="12A7253B"/>
    <w:rsid w:val="12A90848"/>
    <w:rsid w:val="12B44556"/>
    <w:rsid w:val="12B46304"/>
    <w:rsid w:val="12D47D70"/>
    <w:rsid w:val="12DB7D35"/>
    <w:rsid w:val="12E319F0"/>
    <w:rsid w:val="12E45CE5"/>
    <w:rsid w:val="12E6610F"/>
    <w:rsid w:val="12F947F6"/>
    <w:rsid w:val="12FC7CAB"/>
    <w:rsid w:val="1306003F"/>
    <w:rsid w:val="131814E4"/>
    <w:rsid w:val="131D2882"/>
    <w:rsid w:val="132F4B0D"/>
    <w:rsid w:val="13370CE3"/>
    <w:rsid w:val="133B47E7"/>
    <w:rsid w:val="133C2C8E"/>
    <w:rsid w:val="1343350F"/>
    <w:rsid w:val="13586E4A"/>
    <w:rsid w:val="13637D2A"/>
    <w:rsid w:val="13655850"/>
    <w:rsid w:val="13665051"/>
    <w:rsid w:val="13782D35"/>
    <w:rsid w:val="13830445"/>
    <w:rsid w:val="138A5483"/>
    <w:rsid w:val="13983317"/>
    <w:rsid w:val="139E0D62"/>
    <w:rsid w:val="13A04ADA"/>
    <w:rsid w:val="13A41DB9"/>
    <w:rsid w:val="13A50343"/>
    <w:rsid w:val="13A8055F"/>
    <w:rsid w:val="13A947E6"/>
    <w:rsid w:val="13B127AE"/>
    <w:rsid w:val="13B32A60"/>
    <w:rsid w:val="13D604FC"/>
    <w:rsid w:val="13DC21E9"/>
    <w:rsid w:val="13E636CA"/>
    <w:rsid w:val="13EE4B21"/>
    <w:rsid w:val="13EE5846"/>
    <w:rsid w:val="13F55502"/>
    <w:rsid w:val="13F56BD4"/>
    <w:rsid w:val="13FB5FCE"/>
    <w:rsid w:val="14013E3D"/>
    <w:rsid w:val="1403612A"/>
    <w:rsid w:val="14045069"/>
    <w:rsid w:val="140D5ACB"/>
    <w:rsid w:val="141310A4"/>
    <w:rsid w:val="142859F2"/>
    <w:rsid w:val="14302302"/>
    <w:rsid w:val="1455586C"/>
    <w:rsid w:val="146143A3"/>
    <w:rsid w:val="147409B1"/>
    <w:rsid w:val="148D3668"/>
    <w:rsid w:val="149B4E68"/>
    <w:rsid w:val="149C7998"/>
    <w:rsid w:val="149D24D2"/>
    <w:rsid w:val="14BC3B96"/>
    <w:rsid w:val="14C50C9C"/>
    <w:rsid w:val="14DE3B0C"/>
    <w:rsid w:val="14EB3016"/>
    <w:rsid w:val="150177FB"/>
    <w:rsid w:val="150D43F1"/>
    <w:rsid w:val="15101EBC"/>
    <w:rsid w:val="1516245E"/>
    <w:rsid w:val="151B1DC7"/>
    <w:rsid w:val="15214850"/>
    <w:rsid w:val="152F63E2"/>
    <w:rsid w:val="153876C0"/>
    <w:rsid w:val="153B4ABB"/>
    <w:rsid w:val="15455939"/>
    <w:rsid w:val="154F4A0A"/>
    <w:rsid w:val="15525150"/>
    <w:rsid w:val="155D7127"/>
    <w:rsid w:val="155E2E9F"/>
    <w:rsid w:val="156E3637"/>
    <w:rsid w:val="15791F29"/>
    <w:rsid w:val="157B6A9C"/>
    <w:rsid w:val="157E709D"/>
    <w:rsid w:val="15806971"/>
    <w:rsid w:val="158C1DA8"/>
    <w:rsid w:val="158E72E0"/>
    <w:rsid w:val="159324ED"/>
    <w:rsid w:val="15995C85"/>
    <w:rsid w:val="15A20FDE"/>
    <w:rsid w:val="15A21D2D"/>
    <w:rsid w:val="15C22611"/>
    <w:rsid w:val="15C70A44"/>
    <w:rsid w:val="15D44723"/>
    <w:rsid w:val="15D53161"/>
    <w:rsid w:val="15DB4978"/>
    <w:rsid w:val="15E960C6"/>
    <w:rsid w:val="15FD7867"/>
    <w:rsid w:val="16090798"/>
    <w:rsid w:val="160D6A7E"/>
    <w:rsid w:val="160E4620"/>
    <w:rsid w:val="162419F3"/>
    <w:rsid w:val="1626576B"/>
    <w:rsid w:val="162B6996"/>
    <w:rsid w:val="162C7FB8"/>
    <w:rsid w:val="163C1C7F"/>
    <w:rsid w:val="164976AB"/>
    <w:rsid w:val="164D0F49"/>
    <w:rsid w:val="164F5113"/>
    <w:rsid w:val="165703C5"/>
    <w:rsid w:val="165E67CE"/>
    <w:rsid w:val="16663DB9"/>
    <w:rsid w:val="16667696"/>
    <w:rsid w:val="16747C94"/>
    <w:rsid w:val="1675224E"/>
    <w:rsid w:val="167E55A7"/>
    <w:rsid w:val="16850115"/>
    <w:rsid w:val="168D7D9B"/>
    <w:rsid w:val="16A843D2"/>
    <w:rsid w:val="16B014D8"/>
    <w:rsid w:val="16B07251"/>
    <w:rsid w:val="16B70AB9"/>
    <w:rsid w:val="16BB694C"/>
    <w:rsid w:val="16C84A74"/>
    <w:rsid w:val="16CB3B19"/>
    <w:rsid w:val="16DA0303"/>
    <w:rsid w:val="16DB6903"/>
    <w:rsid w:val="16E573D4"/>
    <w:rsid w:val="16E96798"/>
    <w:rsid w:val="16EA144D"/>
    <w:rsid w:val="16F94C2D"/>
    <w:rsid w:val="1700420E"/>
    <w:rsid w:val="170E3E60"/>
    <w:rsid w:val="17107A6F"/>
    <w:rsid w:val="171563AC"/>
    <w:rsid w:val="17284B30"/>
    <w:rsid w:val="173018D4"/>
    <w:rsid w:val="173D75F4"/>
    <w:rsid w:val="17407CA5"/>
    <w:rsid w:val="174722BD"/>
    <w:rsid w:val="17475592"/>
    <w:rsid w:val="175207E1"/>
    <w:rsid w:val="17526B24"/>
    <w:rsid w:val="175B58E8"/>
    <w:rsid w:val="176906DA"/>
    <w:rsid w:val="177D360F"/>
    <w:rsid w:val="178D23B1"/>
    <w:rsid w:val="178D3846"/>
    <w:rsid w:val="17B96D57"/>
    <w:rsid w:val="17BC521D"/>
    <w:rsid w:val="17BF5E29"/>
    <w:rsid w:val="17C40390"/>
    <w:rsid w:val="17CF598E"/>
    <w:rsid w:val="17D336D0"/>
    <w:rsid w:val="17D529A7"/>
    <w:rsid w:val="17F36543"/>
    <w:rsid w:val="17F6116D"/>
    <w:rsid w:val="18023FB5"/>
    <w:rsid w:val="18175F69"/>
    <w:rsid w:val="182061EA"/>
    <w:rsid w:val="182201B4"/>
    <w:rsid w:val="183879D7"/>
    <w:rsid w:val="1839691D"/>
    <w:rsid w:val="183D3240"/>
    <w:rsid w:val="183F0D66"/>
    <w:rsid w:val="184867AE"/>
    <w:rsid w:val="18491BE4"/>
    <w:rsid w:val="185F4F64"/>
    <w:rsid w:val="18602A8A"/>
    <w:rsid w:val="18615A30"/>
    <w:rsid w:val="1869476C"/>
    <w:rsid w:val="186B1B5B"/>
    <w:rsid w:val="187F70FF"/>
    <w:rsid w:val="18803922"/>
    <w:rsid w:val="188067E8"/>
    <w:rsid w:val="1881312C"/>
    <w:rsid w:val="18876000"/>
    <w:rsid w:val="188B535B"/>
    <w:rsid w:val="188D7D23"/>
    <w:rsid w:val="188E5849"/>
    <w:rsid w:val="18932754"/>
    <w:rsid w:val="18A1557C"/>
    <w:rsid w:val="18A75CFC"/>
    <w:rsid w:val="18AD0A0F"/>
    <w:rsid w:val="18AF6F04"/>
    <w:rsid w:val="18C75010"/>
    <w:rsid w:val="18DA283C"/>
    <w:rsid w:val="18DB660E"/>
    <w:rsid w:val="18ED431E"/>
    <w:rsid w:val="18F27B86"/>
    <w:rsid w:val="18FD7E22"/>
    <w:rsid w:val="190F7A28"/>
    <w:rsid w:val="1912647A"/>
    <w:rsid w:val="191904C5"/>
    <w:rsid w:val="192A63E1"/>
    <w:rsid w:val="192D0BBE"/>
    <w:rsid w:val="19305C51"/>
    <w:rsid w:val="195025C6"/>
    <w:rsid w:val="19520625"/>
    <w:rsid w:val="19643CB5"/>
    <w:rsid w:val="196640D0"/>
    <w:rsid w:val="196B2ACF"/>
    <w:rsid w:val="196C71BF"/>
    <w:rsid w:val="197762DD"/>
    <w:rsid w:val="197902A7"/>
    <w:rsid w:val="19810F0A"/>
    <w:rsid w:val="199436A0"/>
    <w:rsid w:val="19A1335A"/>
    <w:rsid w:val="19AB6542"/>
    <w:rsid w:val="19D35A3A"/>
    <w:rsid w:val="19D40979"/>
    <w:rsid w:val="19D674A8"/>
    <w:rsid w:val="19DD0836"/>
    <w:rsid w:val="19E241C1"/>
    <w:rsid w:val="19E27BFB"/>
    <w:rsid w:val="19E65789"/>
    <w:rsid w:val="19EE2A43"/>
    <w:rsid w:val="19F37AC0"/>
    <w:rsid w:val="19F45B80"/>
    <w:rsid w:val="19F90A68"/>
    <w:rsid w:val="19FC3D38"/>
    <w:rsid w:val="1A051B3B"/>
    <w:rsid w:val="1A0933D9"/>
    <w:rsid w:val="1A162D24"/>
    <w:rsid w:val="1A174BE2"/>
    <w:rsid w:val="1A2778AC"/>
    <w:rsid w:val="1A3266E5"/>
    <w:rsid w:val="1A457830"/>
    <w:rsid w:val="1A473F02"/>
    <w:rsid w:val="1A4E2B62"/>
    <w:rsid w:val="1A5F2FF9"/>
    <w:rsid w:val="1A6E76E0"/>
    <w:rsid w:val="1A7740EA"/>
    <w:rsid w:val="1A7D5B75"/>
    <w:rsid w:val="1A7F18ED"/>
    <w:rsid w:val="1A824F3A"/>
    <w:rsid w:val="1A963400"/>
    <w:rsid w:val="1A9D2F62"/>
    <w:rsid w:val="1AAA49AC"/>
    <w:rsid w:val="1AE45BF4"/>
    <w:rsid w:val="1AE84512"/>
    <w:rsid w:val="1AE87581"/>
    <w:rsid w:val="1AEB0D31"/>
    <w:rsid w:val="1AFF2903"/>
    <w:rsid w:val="1B135931"/>
    <w:rsid w:val="1B1805B2"/>
    <w:rsid w:val="1B1E5751"/>
    <w:rsid w:val="1B25202A"/>
    <w:rsid w:val="1B2A59D4"/>
    <w:rsid w:val="1B3741AC"/>
    <w:rsid w:val="1B401D7A"/>
    <w:rsid w:val="1B425BD7"/>
    <w:rsid w:val="1B462E07"/>
    <w:rsid w:val="1B4E4DE8"/>
    <w:rsid w:val="1B556F15"/>
    <w:rsid w:val="1B62397B"/>
    <w:rsid w:val="1B6D5BEA"/>
    <w:rsid w:val="1B7538EE"/>
    <w:rsid w:val="1B776A68"/>
    <w:rsid w:val="1BA333BA"/>
    <w:rsid w:val="1BA84E74"/>
    <w:rsid w:val="1BAF4735"/>
    <w:rsid w:val="1BBA0D32"/>
    <w:rsid w:val="1BCC17F9"/>
    <w:rsid w:val="1BD47A17"/>
    <w:rsid w:val="1BDE1D8E"/>
    <w:rsid w:val="1BE3448B"/>
    <w:rsid w:val="1BF34341"/>
    <w:rsid w:val="1C0F0A4F"/>
    <w:rsid w:val="1C255AA5"/>
    <w:rsid w:val="1C333A07"/>
    <w:rsid w:val="1C3E5C55"/>
    <w:rsid w:val="1C58705C"/>
    <w:rsid w:val="1C5E5533"/>
    <w:rsid w:val="1C782A98"/>
    <w:rsid w:val="1C821221"/>
    <w:rsid w:val="1C874A89"/>
    <w:rsid w:val="1C8A3CC9"/>
    <w:rsid w:val="1C8B50F3"/>
    <w:rsid w:val="1C8C20A0"/>
    <w:rsid w:val="1C9172AC"/>
    <w:rsid w:val="1C940F54"/>
    <w:rsid w:val="1C981374"/>
    <w:rsid w:val="1C9A47BD"/>
    <w:rsid w:val="1CAA6909"/>
    <w:rsid w:val="1CBC0BD7"/>
    <w:rsid w:val="1CBC49E7"/>
    <w:rsid w:val="1CBD04AB"/>
    <w:rsid w:val="1CBD34DD"/>
    <w:rsid w:val="1CBF36E0"/>
    <w:rsid w:val="1CC31397"/>
    <w:rsid w:val="1CC45CDD"/>
    <w:rsid w:val="1CCE4466"/>
    <w:rsid w:val="1CD35ABE"/>
    <w:rsid w:val="1CD50AFC"/>
    <w:rsid w:val="1CDD0B4D"/>
    <w:rsid w:val="1CF245F9"/>
    <w:rsid w:val="1CF827B6"/>
    <w:rsid w:val="1D0D3A6E"/>
    <w:rsid w:val="1D1722B1"/>
    <w:rsid w:val="1D2A34AD"/>
    <w:rsid w:val="1D3616DE"/>
    <w:rsid w:val="1D382FD7"/>
    <w:rsid w:val="1D3A341D"/>
    <w:rsid w:val="1D4604A0"/>
    <w:rsid w:val="1D4C1905"/>
    <w:rsid w:val="1D602818"/>
    <w:rsid w:val="1D615880"/>
    <w:rsid w:val="1D65063C"/>
    <w:rsid w:val="1D7A639C"/>
    <w:rsid w:val="1D7D6213"/>
    <w:rsid w:val="1D807D15"/>
    <w:rsid w:val="1D940A38"/>
    <w:rsid w:val="1DB251AA"/>
    <w:rsid w:val="1DB30D23"/>
    <w:rsid w:val="1DB414DB"/>
    <w:rsid w:val="1DBF2E37"/>
    <w:rsid w:val="1DC35F95"/>
    <w:rsid w:val="1DCB1624"/>
    <w:rsid w:val="1DCC0440"/>
    <w:rsid w:val="1DD005F3"/>
    <w:rsid w:val="1DE859FC"/>
    <w:rsid w:val="1DF32F8C"/>
    <w:rsid w:val="1E0D29FC"/>
    <w:rsid w:val="1E2A6014"/>
    <w:rsid w:val="1E4D0B27"/>
    <w:rsid w:val="1E54775C"/>
    <w:rsid w:val="1E5B152D"/>
    <w:rsid w:val="1E687019"/>
    <w:rsid w:val="1E6A3B55"/>
    <w:rsid w:val="1E754291"/>
    <w:rsid w:val="1E7558D1"/>
    <w:rsid w:val="1E7D6144"/>
    <w:rsid w:val="1E913EE8"/>
    <w:rsid w:val="1E9B67FD"/>
    <w:rsid w:val="1EB0458E"/>
    <w:rsid w:val="1EB53B30"/>
    <w:rsid w:val="1EC10726"/>
    <w:rsid w:val="1EC41FC5"/>
    <w:rsid w:val="1EDD6794"/>
    <w:rsid w:val="1EE52434"/>
    <w:rsid w:val="1EE52A42"/>
    <w:rsid w:val="1EE95587"/>
    <w:rsid w:val="1F0942B3"/>
    <w:rsid w:val="1F0960BD"/>
    <w:rsid w:val="1F0C4279"/>
    <w:rsid w:val="1F0F3C1E"/>
    <w:rsid w:val="1F1545CE"/>
    <w:rsid w:val="1F221709"/>
    <w:rsid w:val="1F242A63"/>
    <w:rsid w:val="1F35015D"/>
    <w:rsid w:val="1F3537A6"/>
    <w:rsid w:val="1F43738D"/>
    <w:rsid w:val="1F51312D"/>
    <w:rsid w:val="1F5A6485"/>
    <w:rsid w:val="1F5B4119"/>
    <w:rsid w:val="1F5C044F"/>
    <w:rsid w:val="1F602B3B"/>
    <w:rsid w:val="1F616A4A"/>
    <w:rsid w:val="1F775289"/>
    <w:rsid w:val="1F7E03C6"/>
    <w:rsid w:val="1F843502"/>
    <w:rsid w:val="1F8751BA"/>
    <w:rsid w:val="1F8F4381"/>
    <w:rsid w:val="1F9000F9"/>
    <w:rsid w:val="1F934DDE"/>
    <w:rsid w:val="1FA21DE0"/>
    <w:rsid w:val="1FAA11BB"/>
    <w:rsid w:val="1FB262C1"/>
    <w:rsid w:val="1FB45B95"/>
    <w:rsid w:val="1FBE0C9C"/>
    <w:rsid w:val="1FC5594A"/>
    <w:rsid w:val="1FC5779C"/>
    <w:rsid w:val="1FD224BF"/>
    <w:rsid w:val="1FDF6D29"/>
    <w:rsid w:val="1FE86AA5"/>
    <w:rsid w:val="201204B5"/>
    <w:rsid w:val="201C7BDE"/>
    <w:rsid w:val="2022125E"/>
    <w:rsid w:val="20250841"/>
    <w:rsid w:val="20295BFF"/>
    <w:rsid w:val="20384A18"/>
    <w:rsid w:val="203D583D"/>
    <w:rsid w:val="204204F5"/>
    <w:rsid w:val="20453D48"/>
    <w:rsid w:val="20476D9D"/>
    <w:rsid w:val="204E3AFA"/>
    <w:rsid w:val="20515FF4"/>
    <w:rsid w:val="20582A63"/>
    <w:rsid w:val="20597EB3"/>
    <w:rsid w:val="205B4263"/>
    <w:rsid w:val="2060784B"/>
    <w:rsid w:val="208A4B48"/>
    <w:rsid w:val="208A63D5"/>
    <w:rsid w:val="208D377B"/>
    <w:rsid w:val="209B0B03"/>
    <w:rsid w:val="20A268F0"/>
    <w:rsid w:val="20BA367F"/>
    <w:rsid w:val="20BE2B36"/>
    <w:rsid w:val="20C66F34"/>
    <w:rsid w:val="20D40166"/>
    <w:rsid w:val="20D93EFA"/>
    <w:rsid w:val="20F052F3"/>
    <w:rsid w:val="21027314"/>
    <w:rsid w:val="21042B4C"/>
    <w:rsid w:val="210743EB"/>
    <w:rsid w:val="211803A6"/>
    <w:rsid w:val="21191CC6"/>
    <w:rsid w:val="2120368E"/>
    <w:rsid w:val="21260D15"/>
    <w:rsid w:val="212B5596"/>
    <w:rsid w:val="213827F6"/>
    <w:rsid w:val="213845A4"/>
    <w:rsid w:val="2152200F"/>
    <w:rsid w:val="216A16BA"/>
    <w:rsid w:val="216D06F2"/>
    <w:rsid w:val="216D47FE"/>
    <w:rsid w:val="2178448A"/>
    <w:rsid w:val="218625F5"/>
    <w:rsid w:val="218847E3"/>
    <w:rsid w:val="218872DA"/>
    <w:rsid w:val="218A3047"/>
    <w:rsid w:val="218C5659"/>
    <w:rsid w:val="21917E66"/>
    <w:rsid w:val="21A729A7"/>
    <w:rsid w:val="21AC2EBA"/>
    <w:rsid w:val="21B11106"/>
    <w:rsid w:val="21B67509"/>
    <w:rsid w:val="21D569EF"/>
    <w:rsid w:val="21DC18CD"/>
    <w:rsid w:val="21E00BD6"/>
    <w:rsid w:val="21E94084"/>
    <w:rsid w:val="21F032CF"/>
    <w:rsid w:val="21F20677"/>
    <w:rsid w:val="220C594D"/>
    <w:rsid w:val="222521E6"/>
    <w:rsid w:val="222F0AD7"/>
    <w:rsid w:val="22353CCB"/>
    <w:rsid w:val="223905D4"/>
    <w:rsid w:val="22474DEB"/>
    <w:rsid w:val="224F0636"/>
    <w:rsid w:val="2250591D"/>
    <w:rsid w:val="225278E7"/>
    <w:rsid w:val="22563A79"/>
    <w:rsid w:val="225673D8"/>
    <w:rsid w:val="22604F03"/>
    <w:rsid w:val="22854F87"/>
    <w:rsid w:val="228850B7"/>
    <w:rsid w:val="228928AA"/>
    <w:rsid w:val="22A136A4"/>
    <w:rsid w:val="22A2109D"/>
    <w:rsid w:val="22A46395"/>
    <w:rsid w:val="22AA3E2A"/>
    <w:rsid w:val="22AD02C3"/>
    <w:rsid w:val="22AD2D70"/>
    <w:rsid w:val="22AD4C06"/>
    <w:rsid w:val="22B10AB2"/>
    <w:rsid w:val="22B934C3"/>
    <w:rsid w:val="22BF54A3"/>
    <w:rsid w:val="22C629FC"/>
    <w:rsid w:val="22CD4172"/>
    <w:rsid w:val="22D622C7"/>
    <w:rsid w:val="22D629CA"/>
    <w:rsid w:val="22D7047E"/>
    <w:rsid w:val="22D95913"/>
    <w:rsid w:val="22EC3898"/>
    <w:rsid w:val="23007343"/>
    <w:rsid w:val="23027505"/>
    <w:rsid w:val="230B683A"/>
    <w:rsid w:val="2322550C"/>
    <w:rsid w:val="23483118"/>
    <w:rsid w:val="23566FBD"/>
    <w:rsid w:val="2359387E"/>
    <w:rsid w:val="23612282"/>
    <w:rsid w:val="23677E76"/>
    <w:rsid w:val="23753F08"/>
    <w:rsid w:val="237A70F6"/>
    <w:rsid w:val="239406FE"/>
    <w:rsid w:val="23A57662"/>
    <w:rsid w:val="23A93537"/>
    <w:rsid w:val="23C16AD3"/>
    <w:rsid w:val="23CB5346"/>
    <w:rsid w:val="23CC6936"/>
    <w:rsid w:val="23DE5C34"/>
    <w:rsid w:val="23E66539"/>
    <w:rsid w:val="23E91248"/>
    <w:rsid w:val="23EA7531"/>
    <w:rsid w:val="23EB1259"/>
    <w:rsid w:val="23F46EA8"/>
    <w:rsid w:val="23F52C20"/>
    <w:rsid w:val="24174945"/>
    <w:rsid w:val="24262DDA"/>
    <w:rsid w:val="24303C58"/>
    <w:rsid w:val="243472A5"/>
    <w:rsid w:val="24440291"/>
    <w:rsid w:val="244D480A"/>
    <w:rsid w:val="24561810"/>
    <w:rsid w:val="245A2A83"/>
    <w:rsid w:val="245E3385"/>
    <w:rsid w:val="246519F2"/>
    <w:rsid w:val="24701892"/>
    <w:rsid w:val="24910720"/>
    <w:rsid w:val="24922AD7"/>
    <w:rsid w:val="24AD2733"/>
    <w:rsid w:val="24BD6CC4"/>
    <w:rsid w:val="24BE1264"/>
    <w:rsid w:val="24BE4D5C"/>
    <w:rsid w:val="24C6321B"/>
    <w:rsid w:val="24C77539"/>
    <w:rsid w:val="24C968FF"/>
    <w:rsid w:val="24CC0DB6"/>
    <w:rsid w:val="24CC4C52"/>
    <w:rsid w:val="24CD76F9"/>
    <w:rsid w:val="24D3074C"/>
    <w:rsid w:val="24D4056B"/>
    <w:rsid w:val="24D467CB"/>
    <w:rsid w:val="24D92020"/>
    <w:rsid w:val="24DC1868"/>
    <w:rsid w:val="24DD11D5"/>
    <w:rsid w:val="24E214E5"/>
    <w:rsid w:val="24E74595"/>
    <w:rsid w:val="2502577D"/>
    <w:rsid w:val="250B4FC2"/>
    <w:rsid w:val="251C753A"/>
    <w:rsid w:val="251E5686"/>
    <w:rsid w:val="252A06A8"/>
    <w:rsid w:val="25416C61"/>
    <w:rsid w:val="2549505A"/>
    <w:rsid w:val="25561959"/>
    <w:rsid w:val="257139A1"/>
    <w:rsid w:val="257629DE"/>
    <w:rsid w:val="258B4A59"/>
    <w:rsid w:val="258E50DA"/>
    <w:rsid w:val="25904372"/>
    <w:rsid w:val="25932412"/>
    <w:rsid w:val="25A14E0E"/>
    <w:rsid w:val="25A22934"/>
    <w:rsid w:val="25A92037"/>
    <w:rsid w:val="25AC4869"/>
    <w:rsid w:val="25AF7916"/>
    <w:rsid w:val="25B54415"/>
    <w:rsid w:val="25BB6185"/>
    <w:rsid w:val="25C40AFC"/>
    <w:rsid w:val="25C64874"/>
    <w:rsid w:val="25C805EC"/>
    <w:rsid w:val="25CB28DB"/>
    <w:rsid w:val="25D11374"/>
    <w:rsid w:val="25D246D4"/>
    <w:rsid w:val="25DA3E7C"/>
    <w:rsid w:val="25E35426"/>
    <w:rsid w:val="25E652E2"/>
    <w:rsid w:val="25F4209D"/>
    <w:rsid w:val="25FF3590"/>
    <w:rsid w:val="260357AC"/>
    <w:rsid w:val="260809E9"/>
    <w:rsid w:val="26105AEF"/>
    <w:rsid w:val="2610789E"/>
    <w:rsid w:val="26246161"/>
    <w:rsid w:val="26252385"/>
    <w:rsid w:val="263D0A01"/>
    <w:rsid w:val="26451C3D"/>
    <w:rsid w:val="264973C7"/>
    <w:rsid w:val="26535483"/>
    <w:rsid w:val="265C2AE3"/>
    <w:rsid w:val="26794CD9"/>
    <w:rsid w:val="267F0C45"/>
    <w:rsid w:val="26887D7C"/>
    <w:rsid w:val="268D0EEE"/>
    <w:rsid w:val="268E17FC"/>
    <w:rsid w:val="269C7383"/>
    <w:rsid w:val="26AC1C2D"/>
    <w:rsid w:val="26CF59AB"/>
    <w:rsid w:val="26D329F4"/>
    <w:rsid w:val="26D40F41"/>
    <w:rsid w:val="26DB7EAB"/>
    <w:rsid w:val="26E8614E"/>
    <w:rsid w:val="26EA6341"/>
    <w:rsid w:val="27001741"/>
    <w:rsid w:val="270F3FF9"/>
    <w:rsid w:val="270F69A1"/>
    <w:rsid w:val="2714160F"/>
    <w:rsid w:val="271D04C4"/>
    <w:rsid w:val="27204934"/>
    <w:rsid w:val="272A498F"/>
    <w:rsid w:val="27321A96"/>
    <w:rsid w:val="27363334"/>
    <w:rsid w:val="274C2C9A"/>
    <w:rsid w:val="274E2D73"/>
    <w:rsid w:val="277F1439"/>
    <w:rsid w:val="27820665"/>
    <w:rsid w:val="279810BC"/>
    <w:rsid w:val="279B38AB"/>
    <w:rsid w:val="279C2D49"/>
    <w:rsid w:val="27A95FEA"/>
    <w:rsid w:val="27AC6324"/>
    <w:rsid w:val="27AF22E7"/>
    <w:rsid w:val="27CF123F"/>
    <w:rsid w:val="27D019DA"/>
    <w:rsid w:val="27E35835"/>
    <w:rsid w:val="27E83FCC"/>
    <w:rsid w:val="27EC7E96"/>
    <w:rsid w:val="27F12988"/>
    <w:rsid w:val="28004179"/>
    <w:rsid w:val="280254F9"/>
    <w:rsid w:val="28063286"/>
    <w:rsid w:val="28100562"/>
    <w:rsid w:val="28123DA1"/>
    <w:rsid w:val="28132417"/>
    <w:rsid w:val="281A7247"/>
    <w:rsid w:val="28237D5C"/>
    <w:rsid w:val="282C4737"/>
    <w:rsid w:val="282D04C8"/>
    <w:rsid w:val="28334B09"/>
    <w:rsid w:val="28341F69"/>
    <w:rsid w:val="28342BC9"/>
    <w:rsid w:val="283D593F"/>
    <w:rsid w:val="283D6944"/>
    <w:rsid w:val="28426737"/>
    <w:rsid w:val="28702875"/>
    <w:rsid w:val="287C56BE"/>
    <w:rsid w:val="2884619D"/>
    <w:rsid w:val="288A3814"/>
    <w:rsid w:val="289C366A"/>
    <w:rsid w:val="28B616CA"/>
    <w:rsid w:val="28BA1D43"/>
    <w:rsid w:val="28C370BC"/>
    <w:rsid w:val="28C876FF"/>
    <w:rsid w:val="28CB21A2"/>
    <w:rsid w:val="28CF31F3"/>
    <w:rsid w:val="28EC2844"/>
    <w:rsid w:val="28EE6DC7"/>
    <w:rsid w:val="28EF5261"/>
    <w:rsid w:val="28F24ED1"/>
    <w:rsid w:val="28F341AD"/>
    <w:rsid w:val="28FA7D08"/>
    <w:rsid w:val="29000280"/>
    <w:rsid w:val="29080516"/>
    <w:rsid w:val="290A3CD5"/>
    <w:rsid w:val="291E69B1"/>
    <w:rsid w:val="29241437"/>
    <w:rsid w:val="2927562A"/>
    <w:rsid w:val="293F1838"/>
    <w:rsid w:val="294039D2"/>
    <w:rsid w:val="2940493E"/>
    <w:rsid w:val="294E705B"/>
    <w:rsid w:val="29567CBD"/>
    <w:rsid w:val="295C6C72"/>
    <w:rsid w:val="29655320"/>
    <w:rsid w:val="29670025"/>
    <w:rsid w:val="296E789C"/>
    <w:rsid w:val="297414A2"/>
    <w:rsid w:val="2977326A"/>
    <w:rsid w:val="297A76C4"/>
    <w:rsid w:val="2989519F"/>
    <w:rsid w:val="29932CBF"/>
    <w:rsid w:val="2996455E"/>
    <w:rsid w:val="29A15975"/>
    <w:rsid w:val="29A922F1"/>
    <w:rsid w:val="29BA010B"/>
    <w:rsid w:val="29BB5D72"/>
    <w:rsid w:val="29BF5862"/>
    <w:rsid w:val="29C76E0D"/>
    <w:rsid w:val="29C968BF"/>
    <w:rsid w:val="29CA4207"/>
    <w:rsid w:val="29D64538"/>
    <w:rsid w:val="29E55DC8"/>
    <w:rsid w:val="29E90B31"/>
    <w:rsid w:val="29F14AF4"/>
    <w:rsid w:val="29F770DD"/>
    <w:rsid w:val="29FC6AB7"/>
    <w:rsid w:val="2A045C55"/>
    <w:rsid w:val="2A141EEF"/>
    <w:rsid w:val="2A190AA4"/>
    <w:rsid w:val="2A1E2567"/>
    <w:rsid w:val="2A282DB1"/>
    <w:rsid w:val="2A375D41"/>
    <w:rsid w:val="2A3A313B"/>
    <w:rsid w:val="2A457487"/>
    <w:rsid w:val="2A4B5348"/>
    <w:rsid w:val="2A4E1E0C"/>
    <w:rsid w:val="2A64606A"/>
    <w:rsid w:val="2A677CA8"/>
    <w:rsid w:val="2A6D401C"/>
    <w:rsid w:val="2A7538D0"/>
    <w:rsid w:val="2A87476C"/>
    <w:rsid w:val="2A914EE7"/>
    <w:rsid w:val="2A96180B"/>
    <w:rsid w:val="2AA66B98"/>
    <w:rsid w:val="2AAD1B5F"/>
    <w:rsid w:val="2AAF1A65"/>
    <w:rsid w:val="2AB00660"/>
    <w:rsid w:val="2ABD4C84"/>
    <w:rsid w:val="2ABE3801"/>
    <w:rsid w:val="2AC85EFF"/>
    <w:rsid w:val="2AD96DF8"/>
    <w:rsid w:val="2ADA2CD5"/>
    <w:rsid w:val="2ADF3CE2"/>
    <w:rsid w:val="2AE00186"/>
    <w:rsid w:val="2AF12DEA"/>
    <w:rsid w:val="2AF8771E"/>
    <w:rsid w:val="2B0175C8"/>
    <w:rsid w:val="2B027BD8"/>
    <w:rsid w:val="2B0C0F7B"/>
    <w:rsid w:val="2B114BA4"/>
    <w:rsid w:val="2B12230A"/>
    <w:rsid w:val="2B2251B9"/>
    <w:rsid w:val="2B243C3F"/>
    <w:rsid w:val="2B2E419E"/>
    <w:rsid w:val="2B396C5B"/>
    <w:rsid w:val="2B3A5713"/>
    <w:rsid w:val="2B3B6C3E"/>
    <w:rsid w:val="2B3E553C"/>
    <w:rsid w:val="2B4C581C"/>
    <w:rsid w:val="2B5029F7"/>
    <w:rsid w:val="2B5215A8"/>
    <w:rsid w:val="2B54022C"/>
    <w:rsid w:val="2B5953D5"/>
    <w:rsid w:val="2B595843"/>
    <w:rsid w:val="2B5D1EB0"/>
    <w:rsid w:val="2B613648"/>
    <w:rsid w:val="2B620B9B"/>
    <w:rsid w:val="2B896C48"/>
    <w:rsid w:val="2B8C3E6A"/>
    <w:rsid w:val="2B97311C"/>
    <w:rsid w:val="2B9952AB"/>
    <w:rsid w:val="2B9B40AD"/>
    <w:rsid w:val="2B9C2452"/>
    <w:rsid w:val="2BA006EC"/>
    <w:rsid w:val="2BA21A80"/>
    <w:rsid w:val="2BA718D6"/>
    <w:rsid w:val="2BB12452"/>
    <w:rsid w:val="2BB14068"/>
    <w:rsid w:val="2BBD2276"/>
    <w:rsid w:val="2BC10346"/>
    <w:rsid w:val="2BC13F57"/>
    <w:rsid w:val="2BD96984"/>
    <w:rsid w:val="2BDB25BD"/>
    <w:rsid w:val="2BEF5160"/>
    <w:rsid w:val="2C056896"/>
    <w:rsid w:val="2C4934E1"/>
    <w:rsid w:val="2C4B71C7"/>
    <w:rsid w:val="2C5C366B"/>
    <w:rsid w:val="2C6426F1"/>
    <w:rsid w:val="2C671545"/>
    <w:rsid w:val="2C723BD5"/>
    <w:rsid w:val="2C78134A"/>
    <w:rsid w:val="2C7C109E"/>
    <w:rsid w:val="2C8044FE"/>
    <w:rsid w:val="2C8C3B52"/>
    <w:rsid w:val="2C8E776E"/>
    <w:rsid w:val="2C956D4E"/>
    <w:rsid w:val="2C9840B4"/>
    <w:rsid w:val="2CA72D41"/>
    <w:rsid w:val="2CB35427"/>
    <w:rsid w:val="2CB424B1"/>
    <w:rsid w:val="2CB46496"/>
    <w:rsid w:val="2CB9668D"/>
    <w:rsid w:val="2CBA4A07"/>
    <w:rsid w:val="2CC15482"/>
    <w:rsid w:val="2CC96292"/>
    <w:rsid w:val="2CD848D8"/>
    <w:rsid w:val="2CDC497D"/>
    <w:rsid w:val="2CEB696E"/>
    <w:rsid w:val="2CED0939"/>
    <w:rsid w:val="2CF3064F"/>
    <w:rsid w:val="2CF75313"/>
    <w:rsid w:val="2D1074CC"/>
    <w:rsid w:val="2D147D79"/>
    <w:rsid w:val="2D183F3B"/>
    <w:rsid w:val="2D1D47A5"/>
    <w:rsid w:val="2D3C773F"/>
    <w:rsid w:val="2D417641"/>
    <w:rsid w:val="2D486857"/>
    <w:rsid w:val="2D4C20AC"/>
    <w:rsid w:val="2D55028C"/>
    <w:rsid w:val="2D57771E"/>
    <w:rsid w:val="2D594220"/>
    <w:rsid w:val="2D5C786C"/>
    <w:rsid w:val="2D6173D3"/>
    <w:rsid w:val="2D6E52E4"/>
    <w:rsid w:val="2D8111E2"/>
    <w:rsid w:val="2D83304B"/>
    <w:rsid w:val="2D9D50A1"/>
    <w:rsid w:val="2DB56D45"/>
    <w:rsid w:val="2DB933F0"/>
    <w:rsid w:val="2DC25921"/>
    <w:rsid w:val="2DC662C7"/>
    <w:rsid w:val="2DCD054A"/>
    <w:rsid w:val="2DCD48CC"/>
    <w:rsid w:val="2DDC528E"/>
    <w:rsid w:val="2DE105B7"/>
    <w:rsid w:val="2DEC5BA7"/>
    <w:rsid w:val="2E165C6D"/>
    <w:rsid w:val="2E1F51D1"/>
    <w:rsid w:val="2E3B51C6"/>
    <w:rsid w:val="2E3D1B0D"/>
    <w:rsid w:val="2E5D564A"/>
    <w:rsid w:val="2E66596B"/>
    <w:rsid w:val="2E725599"/>
    <w:rsid w:val="2E764C99"/>
    <w:rsid w:val="2E8E2F84"/>
    <w:rsid w:val="2E94741A"/>
    <w:rsid w:val="2E975000"/>
    <w:rsid w:val="2E980D78"/>
    <w:rsid w:val="2EC55694"/>
    <w:rsid w:val="2EC90F31"/>
    <w:rsid w:val="2ECD6C74"/>
    <w:rsid w:val="2ED26038"/>
    <w:rsid w:val="2ED55B28"/>
    <w:rsid w:val="2EDA199F"/>
    <w:rsid w:val="2EDE3AB9"/>
    <w:rsid w:val="2EE541E3"/>
    <w:rsid w:val="2EE82738"/>
    <w:rsid w:val="2EEE0998"/>
    <w:rsid w:val="2EF20488"/>
    <w:rsid w:val="2EF6443C"/>
    <w:rsid w:val="2EF865E7"/>
    <w:rsid w:val="2EFA48E6"/>
    <w:rsid w:val="2F01691D"/>
    <w:rsid w:val="2F0245FB"/>
    <w:rsid w:val="2F062DC8"/>
    <w:rsid w:val="2F0F4084"/>
    <w:rsid w:val="2F1D70ED"/>
    <w:rsid w:val="2F210D6D"/>
    <w:rsid w:val="2F3F6EC9"/>
    <w:rsid w:val="2F460C75"/>
    <w:rsid w:val="2F462582"/>
    <w:rsid w:val="2F4B7B98"/>
    <w:rsid w:val="2F6166D8"/>
    <w:rsid w:val="2F6A2714"/>
    <w:rsid w:val="2F6F3887"/>
    <w:rsid w:val="2F7215C9"/>
    <w:rsid w:val="2F794B22"/>
    <w:rsid w:val="2F7A2842"/>
    <w:rsid w:val="2F7D1AFE"/>
    <w:rsid w:val="2F8A6913"/>
    <w:rsid w:val="2F990904"/>
    <w:rsid w:val="2F994DA8"/>
    <w:rsid w:val="2FA17D86"/>
    <w:rsid w:val="2FAE6B0C"/>
    <w:rsid w:val="2FB03F14"/>
    <w:rsid w:val="2FC531BC"/>
    <w:rsid w:val="2FCB323B"/>
    <w:rsid w:val="2FCC3367"/>
    <w:rsid w:val="2FCD67FF"/>
    <w:rsid w:val="301D6290"/>
    <w:rsid w:val="30226B4B"/>
    <w:rsid w:val="30240B15"/>
    <w:rsid w:val="30316D8E"/>
    <w:rsid w:val="30330D58"/>
    <w:rsid w:val="303F76FD"/>
    <w:rsid w:val="30466D45"/>
    <w:rsid w:val="30585BF6"/>
    <w:rsid w:val="305D7B83"/>
    <w:rsid w:val="30696528"/>
    <w:rsid w:val="306A63AC"/>
    <w:rsid w:val="30744ECD"/>
    <w:rsid w:val="307B7C0B"/>
    <w:rsid w:val="307E06D4"/>
    <w:rsid w:val="30AA49AD"/>
    <w:rsid w:val="30AF4D9B"/>
    <w:rsid w:val="30B04157"/>
    <w:rsid w:val="30B57CC4"/>
    <w:rsid w:val="30B604B5"/>
    <w:rsid w:val="30C164BB"/>
    <w:rsid w:val="30C5120B"/>
    <w:rsid w:val="30D009FB"/>
    <w:rsid w:val="30D05BE1"/>
    <w:rsid w:val="30D46A2B"/>
    <w:rsid w:val="30E3277E"/>
    <w:rsid w:val="30ED53AB"/>
    <w:rsid w:val="30EF6ABD"/>
    <w:rsid w:val="30F3703E"/>
    <w:rsid w:val="310B518B"/>
    <w:rsid w:val="310B6F5E"/>
    <w:rsid w:val="31197BCE"/>
    <w:rsid w:val="312863E3"/>
    <w:rsid w:val="31327BBC"/>
    <w:rsid w:val="313C1E8F"/>
    <w:rsid w:val="313F09DB"/>
    <w:rsid w:val="314A1D01"/>
    <w:rsid w:val="31531F49"/>
    <w:rsid w:val="316F4012"/>
    <w:rsid w:val="31725D63"/>
    <w:rsid w:val="317701A2"/>
    <w:rsid w:val="318C7F18"/>
    <w:rsid w:val="3193190E"/>
    <w:rsid w:val="31992E3D"/>
    <w:rsid w:val="319959BA"/>
    <w:rsid w:val="319C0B7F"/>
    <w:rsid w:val="31A1229A"/>
    <w:rsid w:val="31AB40A0"/>
    <w:rsid w:val="31B03840"/>
    <w:rsid w:val="31C3610C"/>
    <w:rsid w:val="31C6519A"/>
    <w:rsid w:val="31CA1248"/>
    <w:rsid w:val="31EA2753"/>
    <w:rsid w:val="31F35F89"/>
    <w:rsid w:val="31F36419"/>
    <w:rsid w:val="31F369F1"/>
    <w:rsid w:val="31F661EA"/>
    <w:rsid w:val="32086C90"/>
    <w:rsid w:val="32096434"/>
    <w:rsid w:val="32230959"/>
    <w:rsid w:val="32380BAE"/>
    <w:rsid w:val="326071AE"/>
    <w:rsid w:val="3268508C"/>
    <w:rsid w:val="32750DD6"/>
    <w:rsid w:val="32843928"/>
    <w:rsid w:val="32847649"/>
    <w:rsid w:val="32892EB1"/>
    <w:rsid w:val="328F3A80"/>
    <w:rsid w:val="32A060A9"/>
    <w:rsid w:val="32A25D21"/>
    <w:rsid w:val="32AD19F6"/>
    <w:rsid w:val="32BF4B25"/>
    <w:rsid w:val="32C1089D"/>
    <w:rsid w:val="32CD0517"/>
    <w:rsid w:val="32CD4003"/>
    <w:rsid w:val="32D44088"/>
    <w:rsid w:val="32D57EA5"/>
    <w:rsid w:val="32D63C1D"/>
    <w:rsid w:val="32DE2C7F"/>
    <w:rsid w:val="32DF2AD1"/>
    <w:rsid w:val="32E26351"/>
    <w:rsid w:val="32EB591A"/>
    <w:rsid w:val="32EF1395"/>
    <w:rsid w:val="33114C55"/>
    <w:rsid w:val="33146D34"/>
    <w:rsid w:val="331E5FDE"/>
    <w:rsid w:val="332D4643"/>
    <w:rsid w:val="333450F4"/>
    <w:rsid w:val="333948D8"/>
    <w:rsid w:val="333B38C4"/>
    <w:rsid w:val="334A7AF9"/>
    <w:rsid w:val="334B460B"/>
    <w:rsid w:val="334B63B9"/>
    <w:rsid w:val="335334BF"/>
    <w:rsid w:val="335E433E"/>
    <w:rsid w:val="33605869"/>
    <w:rsid w:val="33722D11"/>
    <w:rsid w:val="33780B7D"/>
    <w:rsid w:val="337C76E9"/>
    <w:rsid w:val="33841FF1"/>
    <w:rsid w:val="33927FA5"/>
    <w:rsid w:val="33A23C03"/>
    <w:rsid w:val="33A978E7"/>
    <w:rsid w:val="33AA0994"/>
    <w:rsid w:val="33B201E6"/>
    <w:rsid w:val="33BB77BD"/>
    <w:rsid w:val="33CF0D98"/>
    <w:rsid w:val="33D91C17"/>
    <w:rsid w:val="33DC1707"/>
    <w:rsid w:val="33DF4544"/>
    <w:rsid w:val="33F1366C"/>
    <w:rsid w:val="33F97BC3"/>
    <w:rsid w:val="33FC6915"/>
    <w:rsid w:val="34013C3D"/>
    <w:rsid w:val="3419350A"/>
    <w:rsid w:val="341A2462"/>
    <w:rsid w:val="341D5FA7"/>
    <w:rsid w:val="342A402B"/>
    <w:rsid w:val="34316F99"/>
    <w:rsid w:val="344057F2"/>
    <w:rsid w:val="344E1E9C"/>
    <w:rsid w:val="345319C9"/>
    <w:rsid w:val="34532913"/>
    <w:rsid w:val="34560914"/>
    <w:rsid w:val="345C31CC"/>
    <w:rsid w:val="34777446"/>
    <w:rsid w:val="347E7C30"/>
    <w:rsid w:val="348144F0"/>
    <w:rsid w:val="348953EB"/>
    <w:rsid w:val="348D3C27"/>
    <w:rsid w:val="348E2A01"/>
    <w:rsid w:val="349439BA"/>
    <w:rsid w:val="34A16844"/>
    <w:rsid w:val="34A2025B"/>
    <w:rsid w:val="34AE6BFF"/>
    <w:rsid w:val="34B17E94"/>
    <w:rsid w:val="34C5219B"/>
    <w:rsid w:val="34CC3529"/>
    <w:rsid w:val="34DC2B4A"/>
    <w:rsid w:val="34E1239D"/>
    <w:rsid w:val="350A7F97"/>
    <w:rsid w:val="350C1B78"/>
    <w:rsid w:val="3511718E"/>
    <w:rsid w:val="351D0610"/>
    <w:rsid w:val="35234E2B"/>
    <w:rsid w:val="352944D8"/>
    <w:rsid w:val="35364743"/>
    <w:rsid w:val="354E03E2"/>
    <w:rsid w:val="35505F08"/>
    <w:rsid w:val="3566572C"/>
    <w:rsid w:val="35671771"/>
    <w:rsid w:val="35735BFE"/>
    <w:rsid w:val="357D24BC"/>
    <w:rsid w:val="35832C49"/>
    <w:rsid w:val="358B5193"/>
    <w:rsid w:val="35960D13"/>
    <w:rsid w:val="35A428FB"/>
    <w:rsid w:val="35AF4BCA"/>
    <w:rsid w:val="35B31528"/>
    <w:rsid w:val="35BF6BEA"/>
    <w:rsid w:val="35C05896"/>
    <w:rsid w:val="35CE6467"/>
    <w:rsid w:val="35D408E8"/>
    <w:rsid w:val="35D74A1E"/>
    <w:rsid w:val="35DA1C76"/>
    <w:rsid w:val="35F03248"/>
    <w:rsid w:val="36017203"/>
    <w:rsid w:val="36054433"/>
    <w:rsid w:val="36146F36"/>
    <w:rsid w:val="36162CAE"/>
    <w:rsid w:val="362A5559"/>
    <w:rsid w:val="362C089A"/>
    <w:rsid w:val="362F1FC2"/>
    <w:rsid w:val="36356EAC"/>
    <w:rsid w:val="36394BEF"/>
    <w:rsid w:val="3639699D"/>
    <w:rsid w:val="36470B35"/>
    <w:rsid w:val="365979C0"/>
    <w:rsid w:val="366D4898"/>
    <w:rsid w:val="36783969"/>
    <w:rsid w:val="367E5B21"/>
    <w:rsid w:val="36835E6A"/>
    <w:rsid w:val="36873BAC"/>
    <w:rsid w:val="36A007CA"/>
    <w:rsid w:val="36A42101"/>
    <w:rsid w:val="36A93B22"/>
    <w:rsid w:val="36AA1648"/>
    <w:rsid w:val="36BD195D"/>
    <w:rsid w:val="36C50171"/>
    <w:rsid w:val="36C56376"/>
    <w:rsid w:val="36D16BD5"/>
    <w:rsid w:val="36DF0319"/>
    <w:rsid w:val="36DF7929"/>
    <w:rsid w:val="36EB6901"/>
    <w:rsid w:val="36FD79CA"/>
    <w:rsid w:val="370A0339"/>
    <w:rsid w:val="371177BA"/>
    <w:rsid w:val="3721531B"/>
    <w:rsid w:val="37294C63"/>
    <w:rsid w:val="372F7F47"/>
    <w:rsid w:val="373553B6"/>
    <w:rsid w:val="37384221"/>
    <w:rsid w:val="37386C54"/>
    <w:rsid w:val="374101FF"/>
    <w:rsid w:val="37465815"/>
    <w:rsid w:val="37466EB1"/>
    <w:rsid w:val="37476E97"/>
    <w:rsid w:val="374C4F01"/>
    <w:rsid w:val="375C6DE7"/>
    <w:rsid w:val="37637E81"/>
    <w:rsid w:val="37691503"/>
    <w:rsid w:val="376E1C50"/>
    <w:rsid w:val="377243F9"/>
    <w:rsid w:val="37751C56"/>
    <w:rsid w:val="37767A90"/>
    <w:rsid w:val="3778356C"/>
    <w:rsid w:val="377C7CB3"/>
    <w:rsid w:val="37865C12"/>
    <w:rsid w:val="37920A5A"/>
    <w:rsid w:val="37945CB7"/>
    <w:rsid w:val="37962D89"/>
    <w:rsid w:val="37A14A27"/>
    <w:rsid w:val="37A565BA"/>
    <w:rsid w:val="37B147FE"/>
    <w:rsid w:val="37BA43A1"/>
    <w:rsid w:val="37BB3CBF"/>
    <w:rsid w:val="37CB7AC8"/>
    <w:rsid w:val="37CD3E53"/>
    <w:rsid w:val="37D44BCF"/>
    <w:rsid w:val="37D72911"/>
    <w:rsid w:val="37DE77C3"/>
    <w:rsid w:val="37EA5A2E"/>
    <w:rsid w:val="37F25055"/>
    <w:rsid w:val="37FC4126"/>
    <w:rsid w:val="3800556D"/>
    <w:rsid w:val="3801798E"/>
    <w:rsid w:val="3805122C"/>
    <w:rsid w:val="38305B7D"/>
    <w:rsid w:val="383250E7"/>
    <w:rsid w:val="38342FC3"/>
    <w:rsid w:val="38482EC7"/>
    <w:rsid w:val="38602906"/>
    <w:rsid w:val="38675A43"/>
    <w:rsid w:val="38684865"/>
    <w:rsid w:val="38690043"/>
    <w:rsid w:val="386A72E1"/>
    <w:rsid w:val="386F33DE"/>
    <w:rsid w:val="387E56CB"/>
    <w:rsid w:val="388C54AA"/>
    <w:rsid w:val="38A72689"/>
    <w:rsid w:val="38C34BB0"/>
    <w:rsid w:val="38C93326"/>
    <w:rsid w:val="38CC0810"/>
    <w:rsid w:val="38CD3EB4"/>
    <w:rsid w:val="38D1259E"/>
    <w:rsid w:val="38F27A29"/>
    <w:rsid w:val="390607A4"/>
    <w:rsid w:val="390E5946"/>
    <w:rsid w:val="391478AF"/>
    <w:rsid w:val="391E1E7A"/>
    <w:rsid w:val="392751D2"/>
    <w:rsid w:val="39283E9C"/>
    <w:rsid w:val="392C3443"/>
    <w:rsid w:val="39307BB7"/>
    <w:rsid w:val="39322AC2"/>
    <w:rsid w:val="39395293"/>
    <w:rsid w:val="39423DBA"/>
    <w:rsid w:val="395E172B"/>
    <w:rsid w:val="395E6A65"/>
    <w:rsid w:val="397321C6"/>
    <w:rsid w:val="39783C80"/>
    <w:rsid w:val="39810D86"/>
    <w:rsid w:val="39A405D1"/>
    <w:rsid w:val="39A42A1E"/>
    <w:rsid w:val="39A95F2D"/>
    <w:rsid w:val="39AB2FFD"/>
    <w:rsid w:val="39AE6F4B"/>
    <w:rsid w:val="39CB4271"/>
    <w:rsid w:val="39D445BF"/>
    <w:rsid w:val="39D93FBE"/>
    <w:rsid w:val="39E03BCC"/>
    <w:rsid w:val="39F01A68"/>
    <w:rsid w:val="39F96B6F"/>
    <w:rsid w:val="3A071B65"/>
    <w:rsid w:val="3A1922C0"/>
    <w:rsid w:val="3A1F234D"/>
    <w:rsid w:val="3A2E4DC8"/>
    <w:rsid w:val="3A386EB0"/>
    <w:rsid w:val="3A405B16"/>
    <w:rsid w:val="3A48135C"/>
    <w:rsid w:val="3A5706CA"/>
    <w:rsid w:val="3A704957"/>
    <w:rsid w:val="3A8242BD"/>
    <w:rsid w:val="3A8C79E3"/>
    <w:rsid w:val="3AA97735"/>
    <w:rsid w:val="3AB26D1E"/>
    <w:rsid w:val="3AB72586"/>
    <w:rsid w:val="3AD66EB0"/>
    <w:rsid w:val="3ADE3FB6"/>
    <w:rsid w:val="3AE7148B"/>
    <w:rsid w:val="3AFD4A0A"/>
    <w:rsid w:val="3B0A1D66"/>
    <w:rsid w:val="3B1D430B"/>
    <w:rsid w:val="3B1F0465"/>
    <w:rsid w:val="3B3D33BB"/>
    <w:rsid w:val="3B3E51B9"/>
    <w:rsid w:val="3B412635"/>
    <w:rsid w:val="3B497BE3"/>
    <w:rsid w:val="3B587CED"/>
    <w:rsid w:val="3B7D31C1"/>
    <w:rsid w:val="3B8E1539"/>
    <w:rsid w:val="3B9017EB"/>
    <w:rsid w:val="3BA174BE"/>
    <w:rsid w:val="3BAB3438"/>
    <w:rsid w:val="3BAC19BF"/>
    <w:rsid w:val="3BB4439D"/>
    <w:rsid w:val="3BB536CB"/>
    <w:rsid w:val="3BC36E9D"/>
    <w:rsid w:val="3BC60A9D"/>
    <w:rsid w:val="3BCE5DD9"/>
    <w:rsid w:val="3BD86C58"/>
    <w:rsid w:val="3BDB6E6E"/>
    <w:rsid w:val="3BE7032B"/>
    <w:rsid w:val="3BE759A6"/>
    <w:rsid w:val="3BEE0229"/>
    <w:rsid w:val="3BF50822"/>
    <w:rsid w:val="3BFD56A0"/>
    <w:rsid w:val="3C045F61"/>
    <w:rsid w:val="3C08753D"/>
    <w:rsid w:val="3C167BDD"/>
    <w:rsid w:val="3C1A2B8D"/>
    <w:rsid w:val="3C1E1CA2"/>
    <w:rsid w:val="3C236125"/>
    <w:rsid w:val="3C291261"/>
    <w:rsid w:val="3C2A75C0"/>
    <w:rsid w:val="3C3A346E"/>
    <w:rsid w:val="3C557447"/>
    <w:rsid w:val="3C6373B8"/>
    <w:rsid w:val="3C6F136A"/>
    <w:rsid w:val="3C8D359E"/>
    <w:rsid w:val="3C926889"/>
    <w:rsid w:val="3C9506A5"/>
    <w:rsid w:val="3CA02CAD"/>
    <w:rsid w:val="3CA31014"/>
    <w:rsid w:val="3CA52FDE"/>
    <w:rsid w:val="3CA87FC1"/>
    <w:rsid w:val="3CB27B2D"/>
    <w:rsid w:val="3CBE0051"/>
    <w:rsid w:val="3CC35212"/>
    <w:rsid w:val="3CCA7E7E"/>
    <w:rsid w:val="3CD230C6"/>
    <w:rsid w:val="3CEB09D4"/>
    <w:rsid w:val="3CEC5F7B"/>
    <w:rsid w:val="3CF0423F"/>
    <w:rsid w:val="3D115F7D"/>
    <w:rsid w:val="3D197C5D"/>
    <w:rsid w:val="3D321D80"/>
    <w:rsid w:val="3D347271"/>
    <w:rsid w:val="3D53179E"/>
    <w:rsid w:val="3D6327DD"/>
    <w:rsid w:val="3D803103"/>
    <w:rsid w:val="3D806841"/>
    <w:rsid w:val="3D842BF3"/>
    <w:rsid w:val="3D995500"/>
    <w:rsid w:val="3D9B4727"/>
    <w:rsid w:val="3D9F17DB"/>
    <w:rsid w:val="3DA838FF"/>
    <w:rsid w:val="3DB57251"/>
    <w:rsid w:val="3DB83FC5"/>
    <w:rsid w:val="3DC46238"/>
    <w:rsid w:val="3DC65D7B"/>
    <w:rsid w:val="3DCB25D0"/>
    <w:rsid w:val="3DD31485"/>
    <w:rsid w:val="3DD42C95"/>
    <w:rsid w:val="3DEB0EC4"/>
    <w:rsid w:val="3DFB62D0"/>
    <w:rsid w:val="3E023DB1"/>
    <w:rsid w:val="3E0D0E3B"/>
    <w:rsid w:val="3E104AC7"/>
    <w:rsid w:val="3E144ED2"/>
    <w:rsid w:val="3E233163"/>
    <w:rsid w:val="3E344619"/>
    <w:rsid w:val="3E497595"/>
    <w:rsid w:val="3E546A69"/>
    <w:rsid w:val="3E547794"/>
    <w:rsid w:val="3E617929"/>
    <w:rsid w:val="3E8433D8"/>
    <w:rsid w:val="3E9A6FAE"/>
    <w:rsid w:val="3EAC674E"/>
    <w:rsid w:val="3EB047EF"/>
    <w:rsid w:val="3EC534C3"/>
    <w:rsid w:val="3EC764A6"/>
    <w:rsid w:val="3ED01E68"/>
    <w:rsid w:val="3EDE4585"/>
    <w:rsid w:val="3EE33FDE"/>
    <w:rsid w:val="3EE64576"/>
    <w:rsid w:val="3EE67CEA"/>
    <w:rsid w:val="3EEE50D8"/>
    <w:rsid w:val="3EF26D09"/>
    <w:rsid w:val="3EF8323F"/>
    <w:rsid w:val="3EFA14EE"/>
    <w:rsid w:val="3F004999"/>
    <w:rsid w:val="3F083E58"/>
    <w:rsid w:val="3F09733F"/>
    <w:rsid w:val="3F0C1EF1"/>
    <w:rsid w:val="3F112089"/>
    <w:rsid w:val="3F12422F"/>
    <w:rsid w:val="3F155427"/>
    <w:rsid w:val="3F253F62"/>
    <w:rsid w:val="3F2B709E"/>
    <w:rsid w:val="3F4635A2"/>
    <w:rsid w:val="3F475F7D"/>
    <w:rsid w:val="3F4F5483"/>
    <w:rsid w:val="3F5F313B"/>
    <w:rsid w:val="3F713B15"/>
    <w:rsid w:val="3F7D5B4C"/>
    <w:rsid w:val="3F836EDA"/>
    <w:rsid w:val="3F872CE1"/>
    <w:rsid w:val="3F8E57DE"/>
    <w:rsid w:val="3F955D9F"/>
    <w:rsid w:val="3FAE21A9"/>
    <w:rsid w:val="3FB84EEE"/>
    <w:rsid w:val="3FBA0DAF"/>
    <w:rsid w:val="3FC37237"/>
    <w:rsid w:val="3FC65AEC"/>
    <w:rsid w:val="3FCE0156"/>
    <w:rsid w:val="3FF322B2"/>
    <w:rsid w:val="40070A53"/>
    <w:rsid w:val="40175665"/>
    <w:rsid w:val="40377B31"/>
    <w:rsid w:val="403B42BF"/>
    <w:rsid w:val="404623E2"/>
    <w:rsid w:val="40491ED2"/>
    <w:rsid w:val="406B3BF6"/>
    <w:rsid w:val="407451A1"/>
    <w:rsid w:val="407D65A6"/>
    <w:rsid w:val="40825072"/>
    <w:rsid w:val="40890521"/>
    <w:rsid w:val="40956EC5"/>
    <w:rsid w:val="409B3943"/>
    <w:rsid w:val="40A3710B"/>
    <w:rsid w:val="40AC39CF"/>
    <w:rsid w:val="40B76E3C"/>
    <w:rsid w:val="40C854ED"/>
    <w:rsid w:val="40D84324"/>
    <w:rsid w:val="40EA5463"/>
    <w:rsid w:val="40EE65D6"/>
    <w:rsid w:val="40F8759F"/>
    <w:rsid w:val="41095CC0"/>
    <w:rsid w:val="411570A6"/>
    <w:rsid w:val="41163E57"/>
    <w:rsid w:val="411F7A6D"/>
    <w:rsid w:val="412D35A2"/>
    <w:rsid w:val="41306BEE"/>
    <w:rsid w:val="413260C8"/>
    <w:rsid w:val="413967CE"/>
    <w:rsid w:val="414601C0"/>
    <w:rsid w:val="4148394F"/>
    <w:rsid w:val="4155536A"/>
    <w:rsid w:val="41572C26"/>
    <w:rsid w:val="416D399E"/>
    <w:rsid w:val="417337A3"/>
    <w:rsid w:val="41734511"/>
    <w:rsid w:val="41756760"/>
    <w:rsid w:val="41795897"/>
    <w:rsid w:val="41881862"/>
    <w:rsid w:val="41884265"/>
    <w:rsid w:val="418D3932"/>
    <w:rsid w:val="419A2DBD"/>
    <w:rsid w:val="41A25E91"/>
    <w:rsid w:val="41B415CD"/>
    <w:rsid w:val="41B94E35"/>
    <w:rsid w:val="41BC45CF"/>
    <w:rsid w:val="41D35EF7"/>
    <w:rsid w:val="41D7745E"/>
    <w:rsid w:val="41DE4E43"/>
    <w:rsid w:val="41DE664A"/>
    <w:rsid w:val="41EC59B9"/>
    <w:rsid w:val="41F40B49"/>
    <w:rsid w:val="42002A64"/>
    <w:rsid w:val="420F2CA7"/>
    <w:rsid w:val="42134767"/>
    <w:rsid w:val="42176B1E"/>
    <w:rsid w:val="42187DAE"/>
    <w:rsid w:val="422C3859"/>
    <w:rsid w:val="423E1303"/>
    <w:rsid w:val="424A292D"/>
    <w:rsid w:val="424C3C39"/>
    <w:rsid w:val="42530DE6"/>
    <w:rsid w:val="42703746"/>
    <w:rsid w:val="42733236"/>
    <w:rsid w:val="428D254A"/>
    <w:rsid w:val="4294732F"/>
    <w:rsid w:val="429A07C3"/>
    <w:rsid w:val="429A5DEF"/>
    <w:rsid w:val="42AD3612"/>
    <w:rsid w:val="42B6123C"/>
    <w:rsid w:val="42B71375"/>
    <w:rsid w:val="42B86E9B"/>
    <w:rsid w:val="42BB2E6C"/>
    <w:rsid w:val="42BE6BA7"/>
    <w:rsid w:val="42C9430A"/>
    <w:rsid w:val="42CF2B62"/>
    <w:rsid w:val="42E068D9"/>
    <w:rsid w:val="42E102FD"/>
    <w:rsid w:val="42E14644"/>
    <w:rsid w:val="42E40883"/>
    <w:rsid w:val="42F01311"/>
    <w:rsid w:val="42FC5EFD"/>
    <w:rsid w:val="430218B4"/>
    <w:rsid w:val="43087A30"/>
    <w:rsid w:val="430E701E"/>
    <w:rsid w:val="431E7670"/>
    <w:rsid w:val="432B35CB"/>
    <w:rsid w:val="432D6C45"/>
    <w:rsid w:val="432F2A9F"/>
    <w:rsid w:val="433E035F"/>
    <w:rsid w:val="43515CE6"/>
    <w:rsid w:val="436037BB"/>
    <w:rsid w:val="43663CEB"/>
    <w:rsid w:val="43664B49"/>
    <w:rsid w:val="43853221"/>
    <w:rsid w:val="43975501"/>
    <w:rsid w:val="439E0787"/>
    <w:rsid w:val="43A075B7"/>
    <w:rsid w:val="43A13C0B"/>
    <w:rsid w:val="43AB10E1"/>
    <w:rsid w:val="43B14016"/>
    <w:rsid w:val="43B65AD0"/>
    <w:rsid w:val="43B835F7"/>
    <w:rsid w:val="43BC023E"/>
    <w:rsid w:val="43BC275F"/>
    <w:rsid w:val="43CA157C"/>
    <w:rsid w:val="43CD4BC8"/>
    <w:rsid w:val="43DE1C6F"/>
    <w:rsid w:val="43E06BC0"/>
    <w:rsid w:val="43F400B3"/>
    <w:rsid w:val="44022AC4"/>
    <w:rsid w:val="44041B52"/>
    <w:rsid w:val="440709DF"/>
    <w:rsid w:val="44071A17"/>
    <w:rsid w:val="440F3111"/>
    <w:rsid w:val="44143923"/>
    <w:rsid w:val="441E3989"/>
    <w:rsid w:val="441F3676"/>
    <w:rsid w:val="44483D85"/>
    <w:rsid w:val="445F529F"/>
    <w:rsid w:val="447A3488"/>
    <w:rsid w:val="44882599"/>
    <w:rsid w:val="44900E56"/>
    <w:rsid w:val="44953938"/>
    <w:rsid w:val="44A57770"/>
    <w:rsid w:val="44A7469E"/>
    <w:rsid w:val="44B53A55"/>
    <w:rsid w:val="44BA514C"/>
    <w:rsid w:val="44BC2C73"/>
    <w:rsid w:val="44C028D3"/>
    <w:rsid w:val="44DB6E6E"/>
    <w:rsid w:val="44DF1057"/>
    <w:rsid w:val="44E35950"/>
    <w:rsid w:val="44E421C9"/>
    <w:rsid w:val="44EA3A8A"/>
    <w:rsid w:val="44EC33B6"/>
    <w:rsid w:val="44ED5522"/>
    <w:rsid w:val="44FC46D8"/>
    <w:rsid w:val="44FF0DF9"/>
    <w:rsid w:val="450534B4"/>
    <w:rsid w:val="45142781"/>
    <w:rsid w:val="45234EE5"/>
    <w:rsid w:val="45280575"/>
    <w:rsid w:val="453F5652"/>
    <w:rsid w:val="4540575D"/>
    <w:rsid w:val="454A2AF9"/>
    <w:rsid w:val="455E66DB"/>
    <w:rsid w:val="455F57C9"/>
    <w:rsid w:val="456559F2"/>
    <w:rsid w:val="456B4E17"/>
    <w:rsid w:val="45796B3B"/>
    <w:rsid w:val="457A11A2"/>
    <w:rsid w:val="458A316C"/>
    <w:rsid w:val="45934E1E"/>
    <w:rsid w:val="45941E41"/>
    <w:rsid w:val="459675FB"/>
    <w:rsid w:val="45990EFA"/>
    <w:rsid w:val="45AB3E07"/>
    <w:rsid w:val="45CA3FB8"/>
    <w:rsid w:val="45CE5353"/>
    <w:rsid w:val="45D64EE0"/>
    <w:rsid w:val="45E71F71"/>
    <w:rsid w:val="45EF7078"/>
    <w:rsid w:val="4606307C"/>
    <w:rsid w:val="46101FCC"/>
    <w:rsid w:val="4614088C"/>
    <w:rsid w:val="462036D5"/>
    <w:rsid w:val="46256F3D"/>
    <w:rsid w:val="462A06D3"/>
    <w:rsid w:val="462A6302"/>
    <w:rsid w:val="463A4797"/>
    <w:rsid w:val="463B050F"/>
    <w:rsid w:val="464A3F40"/>
    <w:rsid w:val="464C0026"/>
    <w:rsid w:val="465B5DCE"/>
    <w:rsid w:val="467A1461"/>
    <w:rsid w:val="467A2DE5"/>
    <w:rsid w:val="467E386E"/>
    <w:rsid w:val="46841EB6"/>
    <w:rsid w:val="468E4AE3"/>
    <w:rsid w:val="469556DD"/>
    <w:rsid w:val="46957C1F"/>
    <w:rsid w:val="469D4D26"/>
    <w:rsid w:val="46A77952"/>
    <w:rsid w:val="46B34549"/>
    <w:rsid w:val="46CC1167"/>
    <w:rsid w:val="46D834D4"/>
    <w:rsid w:val="46DF52CB"/>
    <w:rsid w:val="46F14C34"/>
    <w:rsid w:val="46F5246C"/>
    <w:rsid w:val="46FB7DC6"/>
    <w:rsid w:val="47013507"/>
    <w:rsid w:val="47297420"/>
    <w:rsid w:val="472A1390"/>
    <w:rsid w:val="47482EE3"/>
    <w:rsid w:val="47490A0A"/>
    <w:rsid w:val="47507FEA"/>
    <w:rsid w:val="475E752D"/>
    <w:rsid w:val="47621D4A"/>
    <w:rsid w:val="47633879"/>
    <w:rsid w:val="47655843"/>
    <w:rsid w:val="477C0DDF"/>
    <w:rsid w:val="47860E2F"/>
    <w:rsid w:val="47953C4F"/>
    <w:rsid w:val="47981849"/>
    <w:rsid w:val="47A03D38"/>
    <w:rsid w:val="47AF4D11"/>
    <w:rsid w:val="47B93D6C"/>
    <w:rsid w:val="47CC58C3"/>
    <w:rsid w:val="47CD5197"/>
    <w:rsid w:val="47D26C51"/>
    <w:rsid w:val="47D50476"/>
    <w:rsid w:val="47DE0E2A"/>
    <w:rsid w:val="47DF3D79"/>
    <w:rsid w:val="47E2206A"/>
    <w:rsid w:val="47F40975"/>
    <w:rsid w:val="47FE76D7"/>
    <w:rsid w:val="48254FD3"/>
    <w:rsid w:val="482B7039"/>
    <w:rsid w:val="482C45B3"/>
    <w:rsid w:val="4833327D"/>
    <w:rsid w:val="483D2F80"/>
    <w:rsid w:val="48403BBB"/>
    <w:rsid w:val="484E7138"/>
    <w:rsid w:val="485805A6"/>
    <w:rsid w:val="48693111"/>
    <w:rsid w:val="48713324"/>
    <w:rsid w:val="48724537"/>
    <w:rsid w:val="4878361E"/>
    <w:rsid w:val="487C1E4D"/>
    <w:rsid w:val="48802209"/>
    <w:rsid w:val="489F5472"/>
    <w:rsid w:val="48AE6D76"/>
    <w:rsid w:val="48B62DBE"/>
    <w:rsid w:val="48C95384"/>
    <w:rsid w:val="48CE7418"/>
    <w:rsid w:val="48D204B0"/>
    <w:rsid w:val="48E45D61"/>
    <w:rsid w:val="48F1069A"/>
    <w:rsid w:val="4900165A"/>
    <w:rsid w:val="49047674"/>
    <w:rsid w:val="49060F7A"/>
    <w:rsid w:val="49097142"/>
    <w:rsid w:val="490B115C"/>
    <w:rsid w:val="491357D2"/>
    <w:rsid w:val="49303C2F"/>
    <w:rsid w:val="49311755"/>
    <w:rsid w:val="49377BA2"/>
    <w:rsid w:val="493D5006"/>
    <w:rsid w:val="495C4A24"/>
    <w:rsid w:val="495D72B2"/>
    <w:rsid w:val="496B110B"/>
    <w:rsid w:val="497E1814"/>
    <w:rsid w:val="498C0651"/>
    <w:rsid w:val="49920446"/>
    <w:rsid w:val="499D49C4"/>
    <w:rsid w:val="49A5461D"/>
    <w:rsid w:val="49AB775A"/>
    <w:rsid w:val="49AD62D6"/>
    <w:rsid w:val="49B52386"/>
    <w:rsid w:val="49C32CF5"/>
    <w:rsid w:val="49C8030C"/>
    <w:rsid w:val="49C83A47"/>
    <w:rsid w:val="49C9141A"/>
    <w:rsid w:val="49DE7F41"/>
    <w:rsid w:val="49E84E4C"/>
    <w:rsid w:val="49F05721"/>
    <w:rsid w:val="4A1C05B0"/>
    <w:rsid w:val="4A323C2B"/>
    <w:rsid w:val="4A392FB7"/>
    <w:rsid w:val="4A4215A5"/>
    <w:rsid w:val="4A4A5D6B"/>
    <w:rsid w:val="4A510301"/>
    <w:rsid w:val="4A5D56A3"/>
    <w:rsid w:val="4A6242BC"/>
    <w:rsid w:val="4A694FB8"/>
    <w:rsid w:val="4A772A2A"/>
    <w:rsid w:val="4A7E749E"/>
    <w:rsid w:val="4A8A1057"/>
    <w:rsid w:val="4A8D13EF"/>
    <w:rsid w:val="4A8E4F9A"/>
    <w:rsid w:val="4A946146"/>
    <w:rsid w:val="4A993A56"/>
    <w:rsid w:val="4AA76173"/>
    <w:rsid w:val="4AB10DA0"/>
    <w:rsid w:val="4AB332C5"/>
    <w:rsid w:val="4AC52021"/>
    <w:rsid w:val="4AD54A8E"/>
    <w:rsid w:val="4AE20F59"/>
    <w:rsid w:val="4AE61A22"/>
    <w:rsid w:val="4AEE3DA2"/>
    <w:rsid w:val="4AF60EA8"/>
    <w:rsid w:val="4B01056E"/>
    <w:rsid w:val="4B047121"/>
    <w:rsid w:val="4B054C48"/>
    <w:rsid w:val="4B166E55"/>
    <w:rsid w:val="4B1A6E45"/>
    <w:rsid w:val="4B233370"/>
    <w:rsid w:val="4B2E2886"/>
    <w:rsid w:val="4B344C74"/>
    <w:rsid w:val="4B34650C"/>
    <w:rsid w:val="4B4340EE"/>
    <w:rsid w:val="4B491DE2"/>
    <w:rsid w:val="4B4C2876"/>
    <w:rsid w:val="4B4E2A92"/>
    <w:rsid w:val="4B505EBD"/>
    <w:rsid w:val="4B5300A9"/>
    <w:rsid w:val="4B581FEE"/>
    <w:rsid w:val="4B5B0D64"/>
    <w:rsid w:val="4B5D4A84"/>
    <w:rsid w:val="4B645E12"/>
    <w:rsid w:val="4B6469EB"/>
    <w:rsid w:val="4B6936F9"/>
    <w:rsid w:val="4B8B15F1"/>
    <w:rsid w:val="4B923F4B"/>
    <w:rsid w:val="4BB513C0"/>
    <w:rsid w:val="4BC71DDA"/>
    <w:rsid w:val="4BCE14DD"/>
    <w:rsid w:val="4BD623FF"/>
    <w:rsid w:val="4BD765E4"/>
    <w:rsid w:val="4BDD6412"/>
    <w:rsid w:val="4BEB540D"/>
    <w:rsid w:val="4BF76373"/>
    <w:rsid w:val="4BF944CE"/>
    <w:rsid w:val="4BFA737C"/>
    <w:rsid w:val="4C001587"/>
    <w:rsid w:val="4C0118B3"/>
    <w:rsid w:val="4C0B2731"/>
    <w:rsid w:val="4C101AF6"/>
    <w:rsid w:val="4C2D2F51"/>
    <w:rsid w:val="4C371B6A"/>
    <w:rsid w:val="4C455C43"/>
    <w:rsid w:val="4C716A38"/>
    <w:rsid w:val="4C802EE8"/>
    <w:rsid w:val="4C94384C"/>
    <w:rsid w:val="4C975D73"/>
    <w:rsid w:val="4C9D15DC"/>
    <w:rsid w:val="4CB16E35"/>
    <w:rsid w:val="4CBD1C7E"/>
    <w:rsid w:val="4CC36B68"/>
    <w:rsid w:val="4CD43BFB"/>
    <w:rsid w:val="4CDD5E7C"/>
    <w:rsid w:val="4CDE6982"/>
    <w:rsid w:val="4CE30926"/>
    <w:rsid w:val="4CE629A2"/>
    <w:rsid w:val="4CE85D46"/>
    <w:rsid w:val="4CE90CC5"/>
    <w:rsid w:val="4CEF5BAF"/>
    <w:rsid w:val="4CF029F8"/>
    <w:rsid w:val="4CF46F71"/>
    <w:rsid w:val="4D0C31CE"/>
    <w:rsid w:val="4D0F224C"/>
    <w:rsid w:val="4D1D2513"/>
    <w:rsid w:val="4D1F09C9"/>
    <w:rsid w:val="4D2461B3"/>
    <w:rsid w:val="4D2515D1"/>
    <w:rsid w:val="4D2970E7"/>
    <w:rsid w:val="4D437429"/>
    <w:rsid w:val="4D471771"/>
    <w:rsid w:val="4D4B1874"/>
    <w:rsid w:val="4D613EB0"/>
    <w:rsid w:val="4D7165FB"/>
    <w:rsid w:val="4D7D140D"/>
    <w:rsid w:val="4D8A7823"/>
    <w:rsid w:val="4D8F5636"/>
    <w:rsid w:val="4D986247"/>
    <w:rsid w:val="4DA1334D"/>
    <w:rsid w:val="4DB6336C"/>
    <w:rsid w:val="4DC71A91"/>
    <w:rsid w:val="4DCC30F3"/>
    <w:rsid w:val="4DD43D1E"/>
    <w:rsid w:val="4DD5524B"/>
    <w:rsid w:val="4DD728CB"/>
    <w:rsid w:val="4DD97D0D"/>
    <w:rsid w:val="4DDB7025"/>
    <w:rsid w:val="4DDE62FD"/>
    <w:rsid w:val="4DDF7E5A"/>
    <w:rsid w:val="4DF10658"/>
    <w:rsid w:val="4DF50769"/>
    <w:rsid w:val="4DF62F44"/>
    <w:rsid w:val="4DFC4A28"/>
    <w:rsid w:val="4E035269"/>
    <w:rsid w:val="4E235B10"/>
    <w:rsid w:val="4E2448D3"/>
    <w:rsid w:val="4E3D7DA9"/>
    <w:rsid w:val="4E490870"/>
    <w:rsid w:val="4E4B537E"/>
    <w:rsid w:val="4E4D5283"/>
    <w:rsid w:val="4E534F9B"/>
    <w:rsid w:val="4E57517D"/>
    <w:rsid w:val="4E821D07"/>
    <w:rsid w:val="4E8D6674"/>
    <w:rsid w:val="4E947510"/>
    <w:rsid w:val="4E96204B"/>
    <w:rsid w:val="4EA12ED9"/>
    <w:rsid w:val="4EA330F5"/>
    <w:rsid w:val="4EAB5EB9"/>
    <w:rsid w:val="4EAB740D"/>
    <w:rsid w:val="4EAD5D22"/>
    <w:rsid w:val="4EB5120D"/>
    <w:rsid w:val="4EC049F7"/>
    <w:rsid w:val="4EC15329"/>
    <w:rsid w:val="4EC24D34"/>
    <w:rsid w:val="4ECA68D4"/>
    <w:rsid w:val="4EDB0584"/>
    <w:rsid w:val="4EE03A01"/>
    <w:rsid w:val="4EE638C8"/>
    <w:rsid w:val="4EF460F6"/>
    <w:rsid w:val="4EF676C9"/>
    <w:rsid w:val="4EFB0B2C"/>
    <w:rsid w:val="4EFD45B3"/>
    <w:rsid w:val="4EFD4C50"/>
    <w:rsid w:val="4F02606E"/>
    <w:rsid w:val="4F073684"/>
    <w:rsid w:val="4F0A1380"/>
    <w:rsid w:val="4F0D33ED"/>
    <w:rsid w:val="4F1277CD"/>
    <w:rsid w:val="4F1D6A04"/>
    <w:rsid w:val="4F2149B4"/>
    <w:rsid w:val="4F22401A"/>
    <w:rsid w:val="4F224B62"/>
    <w:rsid w:val="4F261C03"/>
    <w:rsid w:val="4F2A2ECF"/>
    <w:rsid w:val="4F2A522D"/>
    <w:rsid w:val="4F2C30EB"/>
    <w:rsid w:val="4F337FD5"/>
    <w:rsid w:val="4F344CB1"/>
    <w:rsid w:val="4F351F9F"/>
    <w:rsid w:val="4F4C50C9"/>
    <w:rsid w:val="4F587A3C"/>
    <w:rsid w:val="4F7725B8"/>
    <w:rsid w:val="4F792398"/>
    <w:rsid w:val="4F7A5C04"/>
    <w:rsid w:val="4F7D7C5D"/>
    <w:rsid w:val="4F890E35"/>
    <w:rsid w:val="4F8E75F4"/>
    <w:rsid w:val="4F8F375E"/>
    <w:rsid w:val="4FA16E5C"/>
    <w:rsid w:val="4FA17635"/>
    <w:rsid w:val="4FB76E58"/>
    <w:rsid w:val="4FBD67D3"/>
    <w:rsid w:val="4FBF7ABB"/>
    <w:rsid w:val="4FC10DCD"/>
    <w:rsid w:val="4FD316E2"/>
    <w:rsid w:val="4FDC68BF"/>
    <w:rsid w:val="4FDD43E5"/>
    <w:rsid w:val="4FDD5236"/>
    <w:rsid w:val="4FDE2637"/>
    <w:rsid w:val="4FFE26B9"/>
    <w:rsid w:val="50001490"/>
    <w:rsid w:val="50003DB9"/>
    <w:rsid w:val="50020B50"/>
    <w:rsid w:val="500A2BAF"/>
    <w:rsid w:val="500C68AE"/>
    <w:rsid w:val="500D49E0"/>
    <w:rsid w:val="50210776"/>
    <w:rsid w:val="5024194A"/>
    <w:rsid w:val="50292D83"/>
    <w:rsid w:val="50355FCF"/>
    <w:rsid w:val="503E65F8"/>
    <w:rsid w:val="504D156B"/>
    <w:rsid w:val="50502E09"/>
    <w:rsid w:val="50586D12"/>
    <w:rsid w:val="506F328F"/>
    <w:rsid w:val="5075461D"/>
    <w:rsid w:val="507879EC"/>
    <w:rsid w:val="508A1DA5"/>
    <w:rsid w:val="508C1F90"/>
    <w:rsid w:val="50966A6E"/>
    <w:rsid w:val="50976EA9"/>
    <w:rsid w:val="50A55251"/>
    <w:rsid w:val="50AA2C30"/>
    <w:rsid w:val="50AF18DD"/>
    <w:rsid w:val="50AF5D81"/>
    <w:rsid w:val="50BB24F7"/>
    <w:rsid w:val="50C13E5A"/>
    <w:rsid w:val="50C22140"/>
    <w:rsid w:val="50C85885"/>
    <w:rsid w:val="50D50B7A"/>
    <w:rsid w:val="50D91537"/>
    <w:rsid w:val="50E45AA3"/>
    <w:rsid w:val="50E6470E"/>
    <w:rsid w:val="50FE67E5"/>
    <w:rsid w:val="5113532F"/>
    <w:rsid w:val="51145BE4"/>
    <w:rsid w:val="51183927"/>
    <w:rsid w:val="512A6844"/>
    <w:rsid w:val="512E3501"/>
    <w:rsid w:val="5133250E"/>
    <w:rsid w:val="51363DAD"/>
    <w:rsid w:val="51401D53"/>
    <w:rsid w:val="51453FF0"/>
    <w:rsid w:val="5147420C"/>
    <w:rsid w:val="514D7E89"/>
    <w:rsid w:val="51502B40"/>
    <w:rsid w:val="516052FD"/>
    <w:rsid w:val="517143AC"/>
    <w:rsid w:val="5182785D"/>
    <w:rsid w:val="518C1C1F"/>
    <w:rsid w:val="518D03E1"/>
    <w:rsid w:val="518E3BE9"/>
    <w:rsid w:val="51987CBC"/>
    <w:rsid w:val="519D5616"/>
    <w:rsid w:val="51A927D1"/>
    <w:rsid w:val="51CD67EE"/>
    <w:rsid w:val="51D31ABF"/>
    <w:rsid w:val="51D47AA9"/>
    <w:rsid w:val="51E23E3F"/>
    <w:rsid w:val="51E43809"/>
    <w:rsid w:val="51E46461"/>
    <w:rsid w:val="51E87E4E"/>
    <w:rsid w:val="51EC063D"/>
    <w:rsid w:val="51EF2D6D"/>
    <w:rsid w:val="51F2795F"/>
    <w:rsid w:val="51F779E0"/>
    <w:rsid w:val="51F85506"/>
    <w:rsid w:val="52075B24"/>
    <w:rsid w:val="520D445E"/>
    <w:rsid w:val="521045FE"/>
    <w:rsid w:val="522105B9"/>
    <w:rsid w:val="5221680B"/>
    <w:rsid w:val="52245A09"/>
    <w:rsid w:val="52284795"/>
    <w:rsid w:val="52305AAC"/>
    <w:rsid w:val="523816F1"/>
    <w:rsid w:val="52447E05"/>
    <w:rsid w:val="52475700"/>
    <w:rsid w:val="52490CB4"/>
    <w:rsid w:val="524A1396"/>
    <w:rsid w:val="5252421B"/>
    <w:rsid w:val="525272B0"/>
    <w:rsid w:val="5253098E"/>
    <w:rsid w:val="526E6E3E"/>
    <w:rsid w:val="5273095F"/>
    <w:rsid w:val="527A6550"/>
    <w:rsid w:val="527C2294"/>
    <w:rsid w:val="527E3FC2"/>
    <w:rsid w:val="52860582"/>
    <w:rsid w:val="528B1ED6"/>
    <w:rsid w:val="528E48AC"/>
    <w:rsid w:val="529D3EE4"/>
    <w:rsid w:val="529F214D"/>
    <w:rsid w:val="52AD2D5C"/>
    <w:rsid w:val="52B61649"/>
    <w:rsid w:val="52BA4AFD"/>
    <w:rsid w:val="52C33D66"/>
    <w:rsid w:val="52C76A5D"/>
    <w:rsid w:val="52C7716E"/>
    <w:rsid w:val="52D46648"/>
    <w:rsid w:val="52D90E94"/>
    <w:rsid w:val="52E30ED8"/>
    <w:rsid w:val="52E359E2"/>
    <w:rsid w:val="52E87329"/>
    <w:rsid w:val="52ED0DE3"/>
    <w:rsid w:val="52EF1C4A"/>
    <w:rsid w:val="52F6132D"/>
    <w:rsid w:val="5303259D"/>
    <w:rsid w:val="530E3233"/>
    <w:rsid w:val="5311062D"/>
    <w:rsid w:val="53242390"/>
    <w:rsid w:val="533B3627"/>
    <w:rsid w:val="536212FA"/>
    <w:rsid w:val="536A5F90"/>
    <w:rsid w:val="537266F4"/>
    <w:rsid w:val="53777E6D"/>
    <w:rsid w:val="538F45EA"/>
    <w:rsid w:val="539F3E8B"/>
    <w:rsid w:val="53AA020A"/>
    <w:rsid w:val="53AC050C"/>
    <w:rsid w:val="53BC50A8"/>
    <w:rsid w:val="53C265C7"/>
    <w:rsid w:val="53CB1FF1"/>
    <w:rsid w:val="53D22156"/>
    <w:rsid w:val="53DA223D"/>
    <w:rsid w:val="53DF5431"/>
    <w:rsid w:val="53E90A53"/>
    <w:rsid w:val="53EA064B"/>
    <w:rsid w:val="53EB4926"/>
    <w:rsid w:val="53EF7B49"/>
    <w:rsid w:val="53FD7AB8"/>
    <w:rsid w:val="54065CB8"/>
    <w:rsid w:val="540A502D"/>
    <w:rsid w:val="540D6224"/>
    <w:rsid w:val="54105BC6"/>
    <w:rsid w:val="54135959"/>
    <w:rsid w:val="54181E8F"/>
    <w:rsid w:val="5429409D"/>
    <w:rsid w:val="542B571F"/>
    <w:rsid w:val="542E4D21"/>
    <w:rsid w:val="542E5629"/>
    <w:rsid w:val="5430022A"/>
    <w:rsid w:val="543625A5"/>
    <w:rsid w:val="54363A17"/>
    <w:rsid w:val="54370568"/>
    <w:rsid w:val="543C792C"/>
    <w:rsid w:val="544225A6"/>
    <w:rsid w:val="54482775"/>
    <w:rsid w:val="544C5423"/>
    <w:rsid w:val="544D1B39"/>
    <w:rsid w:val="544D6010"/>
    <w:rsid w:val="54546517"/>
    <w:rsid w:val="54560490"/>
    <w:rsid w:val="54582A29"/>
    <w:rsid w:val="545D7674"/>
    <w:rsid w:val="547C0E3C"/>
    <w:rsid w:val="547E4657"/>
    <w:rsid w:val="54817A35"/>
    <w:rsid w:val="54845F1A"/>
    <w:rsid w:val="548C0A01"/>
    <w:rsid w:val="54920A3C"/>
    <w:rsid w:val="54A11E85"/>
    <w:rsid w:val="54A327AC"/>
    <w:rsid w:val="54AA3A11"/>
    <w:rsid w:val="54C73CC3"/>
    <w:rsid w:val="54D00729"/>
    <w:rsid w:val="54D45DB6"/>
    <w:rsid w:val="54D8352B"/>
    <w:rsid w:val="54F549BE"/>
    <w:rsid w:val="54F63162"/>
    <w:rsid w:val="55020B76"/>
    <w:rsid w:val="550F7668"/>
    <w:rsid w:val="55137725"/>
    <w:rsid w:val="551720FD"/>
    <w:rsid w:val="55173EF5"/>
    <w:rsid w:val="551E5284"/>
    <w:rsid w:val="55255AC7"/>
    <w:rsid w:val="553F71DB"/>
    <w:rsid w:val="55432F3C"/>
    <w:rsid w:val="554972D9"/>
    <w:rsid w:val="554C24E5"/>
    <w:rsid w:val="5553279E"/>
    <w:rsid w:val="55652EB2"/>
    <w:rsid w:val="556D1D67"/>
    <w:rsid w:val="558A3956"/>
    <w:rsid w:val="55962A27"/>
    <w:rsid w:val="559D43FA"/>
    <w:rsid w:val="55B26DA9"/>
    <w:rsid w:val="55B856D8"/>
    <w:rsid w:val="55B86AF9"/>
    <w:rsid w:val="55C24453"/>
    <w:rsid w:val="55C83395"/>
    <w:rsid w:val="55CB540B"/>
    <w:rsid w:val="55D80A2A"/>
    <w:rsid w:val="55E24503"/>
    <w:rsid w:val="56155ACB"/>
    <w:rsid w:val="56191A4F"/>
    <w:rsid w:val="562543F0"/>
    <w:rsid w:val="56363D8F"/>
    <w:rsid w:val="56382375"/>
    <w:rsid w:val="564451BE"/>
    <w:rsid w:val="564778C3"/>
    <w:rsid w:val="564C7744"/>
    <w:rsid w:val="565151E5"/>
    <w:rsid w:val="567325C1"/>
    <w:rsid w:val="567B1855"/>
    <w:rsid w:val="568339A9"/>
    <w:rsid w:val="56842490"/>
    <w:rsid w:val="568D645B"/>
    <w:rsid w:val="56A46172"/>
    <w:rsid w:val="56C046D1"/>
    <w:rsid w:val="56C124E0"/>
    <w:rsid w:val="56CF2CD9"/>
    <w:rsid w:val="56D06A51"/>
    <w:rsid w:val="56D36C29"/>
    <w:rsid w:val="56D95906"/>
    <w:rsid w:val="56F27015"/>
    <w:rsid w:val="56F5488D"/>
    <w:rsid w:val="570F633F"/>
    <w:rsid w:val="571132F2"/>
    <w:rsid w:val="57123422"/>
    <w:rsid w:val="571701DC"/>
    <w:rsid w:val="571B7CCD"/>
    <w:rsid w:val="572D17AE"/>
    <w:rsid w:val="572D5C52"/>
    <w:rsid w:val="573408D3"/>
    <w:rsid w:val="57371D02"/>
    <w:rsid w:val="573E7F16"/>
    <w:rsid w:val="574E5B20"/>
    <w:rsid w:val="57525C4F"/>
    <w:rsid w:val="575D4693"/>
    <w:rsid w:val="575E405D"/>
    <w:rsid w:val="57623B4D"/>
    <w:rsid w:val="576E06D8"/>
    <w:rsid w:val="578F2469"/>
    <w:rsid w:val="57910D30"/>
    <w:rsid w:val="57911D3D"/>
    <w:rsid w:val="57914578"/>
    <w:rsid w:val="579B09E0"/>
    <w:rsid w:val="57A4224B"/>
    <w:rsid w:val="57AE0B41"/>
    <w:rsid w:val="57BD26CF"/>
    <w:rsid w:val="57BD54F1"/>
    <w:rsid w:val="57DA0331"/>
    <w:rsid w:val="57DA7C2C"/>
    <w:rsid w:val="57DE0CFA"/>
    <w:rsid w:val="57E30A7D"/>
    <w:rsid w:val="57F871FF"/>
    <w:rsid w:val="57F92A7C"/>
    <w:rsid w:val="57F95B34"/>
    <w:rsid w:val="58044368"/>
    <w:rsid w:val="580B4A9B"/>
    <w:rsid w:val="580C03E7"/>
    <w:rsid w:val="5810617A"/>
    <w:rsid w:val="58124FC9"/>
    <w:rsid w:val="58136BF6"/>
    <w:rsid w:val="581B1814"/>
    <w:rsid w:val="582232DD"/>
    <w:rsid w:val="58274A78"/>
    <w:rsid w:val="583A23D4"/>
    <w:rsid w:val="583D1EC5"/>
    <w:rsid w:val="584274DB"/>
    <w:rsid w:val="58604841"/>
    <w:rsid w:val="58636BCC"/>
    <w:rsid w:val="586E2E86"/>
    <w:rsid w:val="586F2AEE"/>
    <w:rsid w:val="58752858"/>
    <w:rsid w:val="58814A90"/>
    <w:rsid w:val="58911202"/>
    <w:rsid w:val="58A73CBE"/>
    <w:rsid w:val="58A81A34"/>
    <w:rsid w:val="58B71C77"/>
    <w:rsid w:val="58BA547C"/>
    <w:rsid w:val="58BC07AC"/>
    <w:rsid w:val="58BD4DB3"/>
    <w:rsid w:val="58CD52E6"/>
    <w:rsid w:val="58D45880"/>
    <w:rsid w:val="58D70726"/>
    <w:rsid w:val="58DE20CD"/>
    <w:rsid w:val="58DF121D"/>
    <w:rsid w:val="58E3481A"/>
    <w:rsid w:val="58E95BA9"/>
    <w:rsid w:val="58EA204C"/>
    <w:rsid w:val="58FA064D"/>
    <w:rsid w:val="590029F6"/>
    <w:rsid w:val="59117203"/>
    <w:rsid w:val="591250FF"/>
    <w:rsid w:val="591C5F7E"/>
    <w:rsid w:val="5920039B"/>
    <w:rsid w:val="59231D05"/>
    <w:rsid w:val="59305585"/>
    <w:rsid w:val="59417793"/>
    <w:rsid w:val="59457D91"/>
    <w:rsid w:val="595474C6"/>
    <w:rsid w:val="59573C3D"/>
    <w:rsid w:val="59726422"/>
    <w:rsid w:val="598B02F4"/>
    <w:rsid w:val="59943D66"/>
    <w:rsid w:val="59993190"/>
    <w:rsid w:val="59A26483"/>
    <w:rsid w:val="59A87812"/>
    <w:rsid w:val="59B91ACE"/>
    <w:rsid w:val="59BA0072"/>
    <w:rsid w:val="59BB73DF"/>
    <w:rsid w:val="59C068BE"/>
    <w:rsid w:val="59CA7788"/>
    <w:rsid w:val="59D0163F"/>
    <w:rsid w:val="59E92BD6"/>
    <w:rsid w:val="59F1740B"/>
    <w:rsid w:val="59F369A8"/>
    <w:rsid w:val="5A027D02"/>
    <w:rsid w:val="5A0377E1"/>
    <w:rsid w:val="5A0F6BEE"/>
    <w:rsid w:val="5A184997"/>
    <w:rsid w:val="5A316666"/>
    <w:rsid w:val="5A33202B"/>
    <w:rsid w:val="5A37459D"/>
    <w:rsid w:val="5A44578C"/>
    <w:rsid w:val="5A453A57"/>
    <w:rsid w:val="5A4A001E"/>
    <w:rsid w:val="5A4B3D7D"/>
    <w:rsid w:val="5A597F3B"/>
    <w:rsid w:val="5A5A108A"/>
    <w:rsid w:val="5A5D05FC"/>
    <w:rsid w:val="5A5D684E"/>
    <w:rsid w:val="5A670EED"/>
    <w:rsid w:val="5A6A4D3D"/>
    <w:rsid w:val="5A832292"/>
    <w:rsid w:val="5A8F0385"/>
    <w:rsid w:val="5A9D5E48"/>
    <w:rsid w:val="5AAF5D14"/>
    <w:rsid w:val="5AB7282E"/>
    <w:rsid w:val="5AB741B0"/>
    <w:rsid w:val="5AB75F5E"/>
    <w:rsid w:val="5AD02AFD"/>
    <w:rsid w:val="5ADC379C"/>
    <w:rsid w:val="5AF076C2"/>
    <w:rsid w:val="5AF34ABD"/>
    <w:rsid w:val="5AF97116"/>
    <w:rsid w:val="5AFF7905"/>
    <w:rsid w:val="5B265E74"/>
    <w:rsid w:val="5B4075E1"/>
    <w:rsid w:val="5B44356A"/>
    <w:rsid w:val="5B5B6D1A"/>
    <w:rsid w:val="5B712E03"/>
    <w:rsid w:val="5B89568B"/>
    <w:rsid w:val="5B8F6B42"/>
    <w:rsid w:val="5B9774A3"/>
    <w:rsid w:val="5B993E74"/>
    <w:rsid w:val="5BA01302"/>
    <w:rsid w:val="5BA5225B"/>
    <w:rsid w:val="5BA65FD3"/>
    <w:rsid w:val="5BBE43E7"/>
    <w:rsid w:val="5BC30933"/>
    <w:rsid w:val="5BD57899"/>
    <w:rsid w:val="5BDC12DF"/>
    <w:rsid w:val="5BED3C02"/>
    <w:rsid w:val="5BF13B3F"/>
    <w:rsid w:val="5BF8682E"/>
    <w:rsid w:val="5BFC2FEE"/>
    <w:rsid w:val="5BFF3E21"/>
    <w:rsid w:val="5C3637FE"/>
    <w:rsid w:val="5C4A2E02"/>
    <w:rsid w:val="5C4D08B6"/>
    <w:rsid w:val="5C531CB7"/>
    <w:rsid w:val="5C56756F"/>
    <w:rsid w:val="5C5910DD"/>
    <w:rsid w:val="5C67342A"/>
    <w:rsid w:val="5C6A7000"/>
    <w:rsid w:val="5C6B0C96"/>
    <w:rsid w:val="5C6B5F84"/>
    <w:rsid w:val="5C757E7F"/>
    <w:rsid w:val="5C7C054B"/>
    <w:rsid w:val="5C86208C"/>
    <w:rsid w:val="5C9522CF"/>
    <w:rsid w:val="5C98591B"/>
    <w:rsid w:val="5CA50CC0"/>
    <w:rsid w:val="5CBB7EA9"/>
    <w:rsid w:val="5CBF40FC"/>
    <w:rsid w:val="5CBF734C"/>
    <w:rsid w:val="5CC6692D"/>
    <w:rsid w:val="5CCB51D1"/>
    <w:rsid w:val="5CCE30DB"/>
    <w:rsid w:val="5CDA46C6"/>
    <w:rsid w:val="5CDC1CAC"/>
    <w:rsid w:val="5CE50C85"/>
    <w:rsid w:val="5CEE53C4"/>
    <w:rsid w:val="5CEF60E5"/>
    <w:rsid w:val="5CF80AB0"/>
    <w:rsid w:val="5CFA2018"/>
    <w:rsid w:val="5D046552"/>
    <w:rsid w:val="5D07484F"/>
    <w:rsid w:val="5D086ED8"/>
    <w:rsid w:val="5D0E2082"/>
    <w:rsid w:val="5D174567"/>
    <w:rsid w:val="5D1778D7"/>
    <w:rsid w:val="5D1D78B2"/>
    <w:rsid w:val="5D245401"/>
    <w:rsid w:val="5D283143"/>
    <w:rsid w:val="5D2B49E2"/>
    <w:rsid w:val="5D2E002E"/>
    <w:rsid w:val="5D32527B"/>
    <w:rsid w:val="5D3A2E77"/>
    <w:rsid w:val="5D414205"/>
    <w:rsid w:val="5D4646B0"/>
    <w:rsid w:val="5D5A63AF"/>
    <w:rsid w:val="5D5B019B"/>
    <w:rsid w:val="5D5C0FB3"/>
    <w:rsid w:val="5D640AF7"/>
    <w:rsid w:val="5D665A1A"/>
    <w:rsid w:val="5D714752"/>
    <w:rsid w:val="5D740137"/>
    <w:rsid w:val="5D78456B"/>
    <w:rsid w:val="5D784B93"/>
    <w:rsid w:val="5D79399F"/>
    <w:rsid w:val="5D7D676A"/>
    <w:rsid w:val="5D881E34"/>
    <w:rsid w:val="5DA402F0"/>
    <w:rsid w:val="5DAD189A"/>
    <w:rsid w:val="5DB20C5F"/>
    <w:rsid w:val="5DB34C90"/>
    <w:rsid w:val="5DCD7847"/>
    <w:rsid w:val="5DD136AD"/>
    <w:rsid w:val="5DD575E7"/>
    <w:rsid w:val="5DE132F2"/>
    <w:rsid w:val="5DE4431B"/>
    <w:rsid w:val="5DEC36B0"/>
    <w:rsid w:val="5DF12E7C"/>
    <w:rsid w:val="5DF37348"/>
    <w:rsid w:val="5DF83001"/>
    <w:rsid w:val="5DFD7092"/>
    <w:rsid w:val="5DFD7C17"/>
    <w:rsid w:val="5E1E66E4"/>
    <w:rsid w:val="5E265FEF"/>
    <w:rsid w:val="5E545D2E"/>
    <w:rsid w:val="5E5835B4"/>
    <w:rsid w:val="5E79177D"/>
    <w:rsid w:val="5E7E6D93"/>
    <w:rsid w:val="5E9860A7"/>
    <w:rsid w:val="5EB90E7C"/>
    <w:rsid w:val="5EC65F91"/>
    <w:rsid w:val="5ECA57A0"/>
    <w:rsid w:val="5ED47F94"/>
    <w:rsid w:val="5EDD1D0C"/>
    <w:rsid w:val="5EE969FF"/>
    <w:rsid w:val="5EED6B4B"/>
    <w:rsid w:val="5EF64B7B"/>
    <w:rsid w:val="5F0E7C89"/>
    <w:rsid w:val="5F122981"/>
    <w:rsid w:val="5F13572D"/>
    <w:rsid w:val="5F161E55"/>
    <w:rsid w:val="5F1871E8"/>
    <w:rsid w:val="5F1C0A86"/>
    <w:rsid w:val="5F2D2C93"/>
    <w:rsid w:val="5F307A57"/>
    <w:rsid w:val="5F313E05"/>
    <w:rsid w:val="5F341670"/>
    <w:rsid w:val="5F38751B"/>
    <w:rsid w:val="5F3C5F70"/>
    <w:rsid w:val="5F443B39"/>
    <w:rsid w:val="5F56089F"/>
    <w:rsid w:val="5F5E44B8"/>
    <w:rsid w:val="5F7740DD"/>
    <w:rsid w:val="5FA10F8B"/>
    <w:rsid w:val="5FA55D1D"/>
    <w:rsid w:val="5FAF0B65"/>
    <w:rsid w:val="5FB46F10"/>
    <w:rsid w:val="5FB663DC"/>
    <w:rsid w:val="5FB94527"/>
    <w:rsid w:val="5FB97F54"/>
    <w:rsid w:val="5FCB1F0B"/>
    <w:rsid w:val="5FCC2AA9"/>
    <w:rsid w:val="5FD142F6"/>
    <w:rsid w:val="5FDE2AE5"/>
    <w:rsid w:val="5FDF06DF"/>
    <w:rsid w:val="5FEB2206"/>
    <w:rsid w:val="5FF67529"/>
    <w:rsid w:val="5FF67F8B"/>
    <w:rsid w:val="5FFE1F39"/>
    <w:rsid w:val="6005151A"/>
    <w:rsid w:val="60121E89"/>
    <w:rsid w:val="60140FB0"/>
    <w:rsid w:val="602C1457"/>
    <w:rsid w:val="602D281F"/>
    <w:rsid w:val="602E618A"/>
    <w:rsid w:val="60403315"/>
    <w:rsid w:val="6060660E"/>
    <w:rsid w:val="608A66C7"/>
    <w:rsid w:val="60927E40"/>
    <w:rsid w:val="60995CEB"/>
    <w:rsid w:val="609D3550"/>
    <w:rsid w:val="609E04DD"/>
    <w:rsid w:val="609E54CA"/>
    <w:rsid w:val="60A25B71"/>
    <w:rsid w:val="60B335DE"/>
    <w:rsid w:val="60C27AD9"/>
    <w:rsid w:val="60CC2038"/>
    <w:rsid w:val="60D27E15"/>
    <w:rsid w:val="60DC7DF6"/>
    <w:rsid w:val="60EF3731"/>
    <w:rsid w:val="60F33A68"/>
    <w:rsid w:val="60FE7C04"/>
    <w:rsid w:val="61087F2B"/>
    <w:rsid w:val="61185E12"/>
    <w:rsid w:val="61202383"/>
    <w:rsid w:val="612C2AD6"/>
    <w:rsid w:val="613563FB"/>
    <w:rsid w:val="61573966"/>
    <w:rsid w:val="615F0F9F"/>
    <w:rsid w:val="617213B6"/>
    <w:rsid w:val="617D1584"/>
    <w:rsid w:val="61811074"/>
    <w:rsid w:val="61826B9A"/>
    <w:rsid w:val="61831714"/>
    <w:rsid w:val="618359EF"/>
    <w:rsid w:val="61850653"/>
    <w:rsid w:val="618D0081"/>
    <w:rsid w:val="619E12DE"/>
    <w:rsid w:val="619F599E"/>
    <w:rsid w:val="61A94E66"/>
    <w:rsid w:val="61AE0914"/>
    <w:rsid w:val="61AE524A"/>
    <w:rsid w:val="61B171B9"/>
    <w:rsid w:val="61BC3CA7"/>
    <w:rsid w:val="61D05B58"/>
    <w:rsid w:val="61D077E8"/>
    <w:rsid w:val="61D25B5E"/>
    <w:rsid w:val="61D5316E"/>
    <w:rsid w:val="61E1377C"/>
    <w:rsid w:val="61E6665C"/>
    <w:rsid w:val="61E73960"/>
    <w:rsid w:val="61F432E9"/>
    <w:rsid w:val="61FF49E6"/>
    <w:rsid w:val="620D6DAC"/>
    <w:rsid w:val="621109F7"/>
    <w:rsid w:val="621A4BF4"/>
    <w:rsid w:val="6221527E"/>
    <w:rsid w:val="62314848"/>
    <w:rsid w:val="62326CD0"/>
    <w:rsid w:val="62347E94"/>
    <w:rsid w:val="624150E8"/>
    <w:rsid w:val="624445CD"/>
    <w:rsid w:val="627004CB"/>
    <w:rsid w:val="627757F5"/>
    <w:rsid w:val="627841E1"/>
    <w:rsid w:val="627C0BE2"/>
    <w:rsid w:val="6280036F"/>
    <w:rsid w:val="62802C81"/>
    <w:rsid w:val="62813525"/>
    <w:rsid w:val="628647C6"/>
    <w:rsid w:val="629570A7"/>
    <w:rsid w:val="62AE3BC9"/>
    <w:rsid w:val="62B66CD9"/>
    <w:rsid w:val="62C91692"/>
    <w:rsid w:val="62D36B7D"/>
    <w:rsid w:val="62D55870"/>
    <w:rsid w:val="62D90A3C"/>
    <w:rsid w:val="62E90032"/>
    <w:rsid w:val="62EF64B1"/>
    <w:rsid w:val="62FB4E56"/>
    <w:rsid w:val="62FC74AA"/>
    <w:rsid w:val="63027F93"/>
    <w:rsid w:val="63047645"/>
    <w:rsid w:val="631023A5"/>
    <w:rsid w:val="631A52DC"/>
    <w:rsid w:val="631F3BDD"/>
    <w:rsid w:val="632501AE"/>
    <w:rsid w:val="63260125"/>
    <w:rsid w:val="632D7850"/>
    <w:rsid w:val="632E0D88"/>
    <w:rsid w:val="63385032"/>
    <w:rsid w:val="633A0C85"/>
    <w:rsid w:val="633A7B59"/>
    <w:rsid w:val="63564FE9"/>
    <w:rsid w:val="63567918"/>
    <w:rsid w:val="63676048"/>
    <w:rsid w:val="63762FDD"/>
    <w:rsid w:val="637A5D7B"/>
    <w:rsid w:val="637C7D45"/>
    <w:rsid w:val="637F5A87"/>
    <w:rsid w:val="63873431"/>
    <w:rsid w:val="63A177AC"/>
    <w:rsid w:val="63A70B3A"/>
    <w:rsid w:val="63AE798A"/>
    <w:rsid w:val="63BE65AF"/>
    <w:rsid w:val="63E1229E"/>
    <w:rsid w:val="63E81E7E"/>
    <w:rsid w:val="63F035B2"/>
    <w:rsid w:val="63F40352"/>
    <w:rsid w:val="63F5399B"/>
    <w:rsid w:val="64002BE9"/>
    <w:rsid w:val="64002DAD"/>
    <w:rsid w:val="64020EED"/>
    <w:rsid w:val="64073490"/>
    <w:rsid w:val="64215987"/>
    <w:rsid w:val="64255E6C"/>
    <w:rsid w:val="642B3519"/>
    <w:rsid w:val="64310B49"/>
    <w:rsid w:val="64330783"/>
    <w:rsid w:val="643B19AE"/>
    <w:rsid w:val="64432C2F"/>
    <w:rsid w:val="64564E9C"/>
    <w:rsid w:val="646B641E"/>
    <w:rsid w:val="64794C32"/>
    <w:rsid w:val="64811712"/>
    <w:rsid w:val="64986E00"/>
    <w:rsid w:val="64AE2DFD"/>
    <w:rsid w:val="64B96D77"/>
    <w:rsid w:val="64BD0F73"/>
    <w:rsid w:val="64BF7663"/>
    <w:rsid w:val="64C42DBE"/>
    <w:rsid w:val="64D020F2"/>
    <w:rsid w:val="64D1688D"/>
    <w:rsid w:val="64D63DE3"/>
    <w:rsid w:val="64E317FD"/>
    <w:rsid w:val="64E92B52"/>
    <w:rsid w:val="64F46001"/>
    <w:rsid w:val="65021F15"/>
    <w:rsid w:val="651C400C"/>
    <w:rsid w:val="652060DB"/>
    <w:rsid w:val="65271E57"/>
    <w:rsid w:val="654523B9"/>
    <w:rsid w:val="6557694F"/>
    <w:rsid w:val="655A36F4"/>
    <w:rsid w:val="6567096C"/>
    <w:rsid w:val="656960A7"/>
    <w:rsid w:val="657A6D9C"/>
    <w:rsid w:val="657C2593"/>
    <w:rsid w:val="658C6239"/>
    <w:rsid w:val="65960E66"/>
    <w:rsid w:val="65982AA7"/>
    <w:rsid w:val="659F5F6D"/>
    <w:rsid w:val="65A47CEF"/>
    <w:rsid w:val="65A65A7A"/>
    <w:rsid w:val="65AB634D"/>
    <w:rsid w:val="65AC068A"/>
    <w:rsid w:val="65E21D27"/>
    <w:rsid w:val="65E6594A"/>
    <w:rsid w:val="65E77415"/>
    <w:rsid w:val="65E80116"/>
    <w:rsid w:val="65EB0784"/>
    <w:rsid w:val="65EC2816"/>
    <w:rsid w:val="65ED6CD8"/>
    <w:rsid w:val="65EE2A50"/>
    <w:rsid w:val="65F513EC"/>
    <w:rsid w:val="65FF278F"/>
    <w:rsid w:val="6602276E"/>
    <w:rsid w:val="66044022"/>
    <w:rsid w:val="660E6EB8"/>
    <w:rsid w:val="66252916"/>
    <w:rsid w:val="662D2FA1"/>
    <w:rsid w:val="662D6DA8"/>
    <w:rsid w:val="6641012B"/>
    <w:rsid w:val="66415276"/>
    <w:rsid w:val="664B2F13"/>
    <w:rsid w:val="66524D8D"/>
    <w:rsid w:val="665925BF"/>
    <w:rsid w:val="66664513"/>
    <w:rsid w:val="66794A10"/>
    <w:rsid w:val="6692588C"/>
    <w:rsid w:val="66984CE5"/>
    <w:rsid w:val="66A20A47"/>
    <w:rsid w:val="66A9090B"/>
    <w:rsid w:val="66BD29F8"/>
    <w:rsid w:val="66C8787B"/>
    <w:rsid w:val="66CA7019"/>
    <w:rsid w:val="66D460EA"/>
    <w:rsid w:val="66F61BAB"/>
    <w:rsid w:val="66FD73EF"/>
    <w:rsid w:val="670118FF"/>
    <w:rsid w:val="67103B55"/>
    <w:rsid w:val="67136C12"/>
    <w:rsid w:val="671C18FE"/>
    <w:rsid w:val="671C260C"/>
    <w:rsid w:val="67206C39"/>
    <w:rsid w:val="67236729"/>
    <w:rsid w:val="672506F4"/>
    <w:rsid w:val="6729598A"/>
    <w:rsid w:val="67362CD8"/>
    <w:rsid w:val="673E5DDC"/>
    <w:rsid w:val="673F7A07"/>
    <w:rsid w:val="67422A7A"/>
    <w:rsid w:val="674D37A6"/>
    <w:rsid w:val="676C04B5"/>
    <w:rsid w:val="676D7292"/>
    <w:rsid w:val="67A45ABC"/>
    <w:rsid w:val="67A7312F"/>
    <w:rsid w:val="67AC671F"/>
    <w:rsid w:val="67B23308"/>
    <w:rsid w:val="67B8073B"/>
    <w:rsid w:val="67C021CA"/>
    <w:rsid w:val="67C630ED"/>
    <w:rsid w:val="67C85EDA"/>
    <w:rsid w:val="67CA4DF7"/>
    <w:rsid w:val="67D0240D"/>
    <w:rsid w:val="67D04899"/>
    <w:rsid w:val="67D13CA2"/>
    <w:rsid w:val="67D83F5A"/>
    <w:rsid w:val="67FB2B72"/>
    <w:rsid w:val="68085B6E"/>
    <w:rsid w:val="680E73DA"/>
    <w:rsid w:val="681871B6"/>
    <w:rsid w:val="681C38A5"/>
    <w:rsid w:val="681D761D"/>
    <w:rsid w:val="682301B9"/>
    <w:rsid w:val="68235F37"/>
    <w:rsid w:val="68273FF7"/>
    <w:rsid w:val="683010FE"/>
    <w:rsid w:val="6837444B"/>
    <w:rsid w:val="683C1071"/>
    <w:rsid w:val="684921C0"/>
    <w:rsid w:val="684A65EF"/>
    <w:rsid w:val="684F3C7A"/>
    <w:rsid w:val="6856082A"/>
    <w:rsid w:val="686F7E78"/>
    <w:rsid w:val="687A5F1F"/>
    <w:rsid w:val="687C216C"/>
    <w:rsid w:val="68923B67"/>
    <w:rsid w:val="68987192"/>
    <w:rsid w:val="689A791B"/>
    <w:rsid w:val="689D4A69"/>
    <w:rsid w:val="689F6284"/>
    <w:rsid w:val="68A044D6"/>
    <w:rsid w:val="68A1024E"/>
    <w:rsid w:val="68AD0A2C"/>
    <w:rsid w:val="68B8486C"/>
    <w:rsid w:val="68BA785E"/>
    <w:rsid w:val="68BB130F"/>
    <w:rsid w:val="68C31F72"/>
    <w:rsid w:val="68D43659"/>
    <w:rsid w:val="68DB3760"/>
    <w:rsid w:val="68E22B8F"/>
    <w:rsid w:val="68E31BD1"/>
    <w:rsid w:val="68EC6070"/>
    <w:rsid w:val="68F55EA4"/>
    <w:rsid w:val="68FB795E"/>
    <w:rsid w:val="68FC200E"/>
    <w:rsid w:val="69012A9A"/>
    <w:rsid w:val="6903064C"/>
    <w:rsid w:val="690537AA"/>
    <w:rsid w:val="69187DBC"/>
    <w:rsid w:val="691A35EB"/>
    <w:rsid w:val="691B3B5C"/>
    <w:rsid w:val="691C1682"/>
    <w:rsid w:val="69274C15"/>
    <w:rsid w:val="692A3D9F"/>
    <w:rsid w:val="692E7D33"/>
    <w:rsid w:val="69366BE8"/>
    <w:rsid w:val="693764BC"/>
    <w:rsid w:val="69510D16"/>
    <w:rsid w:val="69564B94"/>
    <w:rsid w:val="695D5F23"/>
    <w:rsid w:val="695F6EEE"/>
    <w:rsid w:val="69672F68"/>
    <w:rsid w:val="696C3DAE"/>
    <w:rsid w:val="696F192A"/>
    <w:rsid w:val="69753738"/>
    <w:rsid w:val="6992402C"/>
    <w:rsid w:val="69951B60"/>
    <w:rsid w:val="69A42E48"/>
    <w:rsid w:val="69B664FD"/>
    <w:rsid w:val="69C46096"/>
    <w:rsid w:val="69C560E2"/>
    <w:rsid w:val="69D35793"/>
    <w:rsid w:val="69DA3A17"/>
    <w:rsid w:val="69E42CF5"/>
    <w:rsid w:val="69EE2B4F"/>
    <w:rsid w:val="69F22218"/>
    <w:rsid w:val="69FD14B4"/>
    <w:rsid w:val="69FE33CB"/>
    <w:rsid w:val="6A0C239A"/>
    <w:rsid w:val="6A164498"/>
    <w:rsid w:val="6A1C2563"/>
    <w:rsid w:val="6A22076C"/>
    <w:rsid w:val="6A4470E3"/>
    <w:rsid w:val="6A470B0C"/>
    <w:rsid w:val="6A493E11"/>
    <w:rsid w:val="6A4A2EDA"/>
    <w:rsid w:val="6A5F4BF7"/>
    <w:rsid w:val="6A620167"/>
    <w:rsid w:val="6A63694A"/>
    <w:rsid w:val="6A840F9A"/>
    <w:rsid w:val="6A85194E"/>
    <w:rsid w:val="6A8676FB"/>
    <w:rsid w:val="6A876FCF"/>
    <w:rsid w:val="6A93078D"/>
    <w:rsid w:val="6AA40160"/>
    <w:rsid w:val="6AB0205E"/>
    <w:rsid w:val="6AB500CB"/>
    <w:rsid w:val="6AB6347D"/>
    <w:rsid w:val="6AC551EB"/>
    <w:rsid w:val="6AD1795C"/>
    <w:rsid w:val="6AD54632"/>
    <w:rsid w:val="6ADE3093"/>
    <w:rsid w:val="6AE129B9"/>
    <w:rsid w:val="6AED15B3"/>
    <w:rsid w:val="6AEF34F2"/>
    <w:rsid w:val="6AF5754E"/>
    <w:rsid w:val="6AFA4A81"/>
    <w:rsid w:val="6B00125C"/>
    <w:rsid w:val="6B0249A7"/>
    <w:rsid w:val="6B03416C"/>
    <w:rsid w:val="6B0845B4"/>
    <w:rsid w:val="6B0A20DA"/>
    <w:rsid w:val="6B0D1BCA"/>
    <w:rsid w:val="6B0E0825"/>
    <w:rsid w:val="6B1E5B86"/>
    <w:rsid w:val="6B3037B2"/>
    <w:rsid w:val="6B340F05"/>
    <w:rsid w:val="6B363B66"/>
    <w:rsid w:val="6B4A6E5D"/>
    <w:rsid w:val="6B5A4350"/>
    <w:rsid w:val="6B6F4633"/>
    <w:rsid w:val="6B825C38"/>
    <w:rsid w:val="6B842395"/>
    <w:rsid w:val="6B9D6AAA"/>
    <w:rsid w:val="6BA53000"/>
    <w:rsid w:val="6BAC3191"/>
    <w:rsid w:val="6BAF1A37"/>
    <w:rsid w:val="6BC406D4"/>
    <w:rsid w:val="6BD050D2"/>
    <w:rsid w:val="6BD373D3"/>
    <w:rsid w:val="6BDD21B8"/>
    <w:rsid w:val="6BE070C8"/>
    <w:rsid w:val="6BEB1F0C"/>
    <w:rsid w:val="6BF43F27"/>
    <w:rsid w:val="6BFB59B8"/>
    <w:rsid w:val="6C0B610A"/>
    <w:rsid w:val="6C0E79A8"/>
    <w:rsid w:val="6C1420B3"/>
    <w:rsid w:val="6C1D08E9"/>
    <w:rsid w:val="6C2C4784"/>
    <w:rsid w:val="6C3C5FA7"/>
    <w:rsid w:val="6C4137D9"/>
    <w:rsid w:val="6C47110C"/>
    <w:rsid w:val="6C711CE5"/>
    <w:rsid w:val="6C745CB9"/>
    <w:rsid w:val="6C7D4B2E"/>
    <w:rsid w:val="6C8662B2"/>
    <w:rsid w:val="6C8E782C"/>
    <w:rsid w:val="6C9818B5"/>
    <w:rsid w:val="6C9E6322"/>
    <w:rsid w:val="6C9F55AE"/>
    <w:rsid w:val="6CA129BA"/>
    <w:rsid w:val="6CA55910"/>
    <w:rsid w:val="6CAB6374"/>
    <w:rsid w:val="6CAC1B44"/>
    <w:rsid w:val="6CB760A5"/>
    <w:rsid w:val="6CBD4F2A"/>
    <w:rsid w:val="6CCC6017"/>
    <w:rsid w:val="6CD53018"/>
    <w:rsid w:val="6CEA4B62"/>
    <w:rsid w:val="6CED20D5"/>
    <w:rsid w:val="6CF12F16"/>
    <w:rsid w:val="6CF44DF0"/>
    <w:rsid w:val="6CF941B4"/>
    <w:rsid w:val="6D211FB3"/>
    <w:rsid w:val="6D2B5EE8"/>
    <w:rsid w:val="6D387E73"/>
    <w:rsid w:val="6D3E250F"/>
    <w:rsid w:val="6D434F9D"/>
    <w:rsid w:val="6D4D37F6"/>
    <w:rsid w:val="6D5B4E6F"/>
    <w:rsid w:val="6D614340"/>
    <w:rsid w:val="6D6522C5"/>
    <w:rsid w:val="6D761CA9"/>
    <w:rsid w:val="6D797432"/>
    <w:rsid w:val="6D7F1D07"/>
    <w:rsid w:val="6D840DA7"/>
    <w:rsid w:val="6D874D3F"/>
    <w:rsid w:val="6DA22A9E"/>
    <w:rsid w:val="6DAA3BEC"/>
    <w:rsid w:val="6DC63D25"/>
    <w:rsid w:val="6DC742B3"/>
    <w:rsid w:val="6DC9627D"/>
    <w:rsid w:val="6DCC5190"/>
    <w:rsid w:val="6DCE6C51"/>
    <w:rsid w:val="6DEA5240"/>
    <w:rsid w:val="6DEF2231"/>
    <w:rsid w:val="6DF1132F"/>
    <w:rsid w:val="6E082072"/>
    <w:rsid w:val="6E13574A"/>
    <w:rsid w:val="6E1B3D45"/>
    <w:rsid w:val="6E3661C1"/>
    <w:rsid w:val="6E572980"/>
    <w:rsid w:val="6E5D4C17"/>
    <w:rsid w:val="6E5D69C5"/>
    <w:rsid w:val="6E71421E"/>
    <w:rsid w:val="6E851D42"/>
    <w:rsid w:val="6E895D4B"/>
    <w:rsid w:val="6E9A79E9"/>
    <w:rsid w:val="6EA13894"/>
    <w:rsid w:val="6EA22C9D"/>
    <w:rsid w:val="6EBC36EB"/>
    <w:rsid w:val="6EBF142E"/>
    <w:rsid w:val="6EC15E31"/>
    <w:rsid w:val="6ED05D7B"/>
    <w:rsid w:val="6ED50C51"/>
    <w:rsid w:val="6EE32699"/>
    <w:rsid w:val="6EE906BC"/>
    <w:rsid w:val="6EEE6378"/>
    <w:rsid w:val="6EFA3B42"/>
    <w:rsid w:val="6EFC6357"/>
    <w:rsid w:val="6F037E5A"/>
    <w:rsid w:val="6F062B1D"/>
    <w:rsid w:val="6F0C7FD5"/>
    <w:rsid w:val="6F130BA6"/>
    <w:rsid w:val="6F1C23DC"/>
    <w:rsid w:val="6F235BB6"/>
    <w:rsid w:val="6F255FBF"/>
    <w:rsid w:val="6F345978"/>
    <w:rsid w:val="6F3C5AED"/>
    <w:rsid w:val="6F426FED"/>
    <w:rsid w:val="6F45316F"/>
    <w:rsid w:val="6F453824"/>
    <w:rsid w:val="6F457543"/>
    <w:rsid w:val="6F4E7950"/>
    <w:rsid w:val="6F5E252A"/>
    <w:rsid w:val="6F664401"/>
    <w:rsid w:val="6F683873"/>
    <w:rsid w:val="6F7377C1"/>
    <w:rsid w:val="6F7E41E1"/>
    <w:rsid w:val="6F7F02EA"/>
    <w:rsid w:val="6F865AA7"/>
    <w:rsid w:val="6F8929B2"/>
    <w:rsid w:val="6F975F07"/>
    <w:rsid w:val="6F9803CA"/>
    <w:rsid w:val="6F9A2F0D"/>
    <w:rsid w:val="6F9C0A0D"/>
    <w:rsid w:val="6FA32AFD"/>
    <w:rsid w:val="6FA7439C"/>
    <w:rsid w:val="6FBA585B"/>
    <w:rsid w:val="6FC04B77"/>
    <w:rsid w:val="6FC860C0"/>
    <w:rsid w:val="6FCD18C6"/>
    <w:rsid w:val="6FD10631"/>
    <w:rsid w:val="6FE50A20"/>
    <w:rsid w:val="6FE56C72"/>
    <w:rsid w:val="6FF17217"/>
    <w:rsid w:val="700215D2"/>
    <w:rsid w:val="70075747"/>
    <w:rsid w:val="70090758"/>
    <w:rsid w:val="701D0E2C"/>
    <w:rsid w:val="701E7C50"/>
    <w:rsid w:val="703025E3"/>
    <w:rsid w:val="70311EB7"/>
    <w:rsid w:val="70457C69"/>
    <w:rsid w:val="704F233D"/>
    <w:rsid w:val="70531E2E"/>
    <w:rsid w:val="705C33D8"/>
    <w:rsid w:val="705E7870"/>
    <w:rsid w:val="70623260"/>
    <w:rsid w:val="706563DC"/>
    <w:rsid w:val="706B6565"/>
    <w:rsid w:val="706C3C5F"/>
    <w:rsid w:val="707024BD"/>
    <w:rsid w:val="707A1AB0"/>
    <w:rsid w:val="7084648B"/>
    <w:rsid w:val="708E4251"/>
    <w:rsid w:val="70A72179"/>
    <w:rsid w:val="70A9313E"/>
    <w:rsid w:val="70AE52B6"/>
    <w:rsid w:val="70C03E6F"/>
    <w:rsid w:val="70E138DD"/>
    <w:rsid w:val="70F51137"/>
    <w:rsid w:val="71017ADB"/>
    <w:rsid w:val="710250A6"/>
    <w:rsid w:val="710475CC"/>
    <w:rsid w:val="710863D7"/>
    <w:rsid w:val="7113780F"/>
    <w:rsid w:val="7117203C"/>
    <w:rsid w:val="711B78B6"/>
    <w:rsid w:val="7122127C"/>
    <w:rsid w:val="7127397C"/>
    <w:rsid w:val="71376307"/>
    <w:rsid w:val="71384D7B"/>
    <w:rsid w:val="71454DFD"/>
    <w:rsid w:val="71485851"/>
    <w:rsid w:val="714B77BC"/>
    <w:rsid w:val="715A4658"/>
    <w:rsid w:val="716B4379"/>
    <w:rsid w:val="71A53F32"/>
    <w:rsid w:val="71C546DD"/>
    <w:rsid w:val="71C93B41"/>
    <w:rsid w:val="71D90A58"/>
    <w:rsid w:val="71DA5CC7"/>
    <w:rsid w:val="71DF3CE5"/>
    <w:rsid w:val="71E7506F"/>
    <w:rsid w:val="71ED1E0E"/>
    <w:rsid w:val="71FE38FC"/>
    <w:rsid w:val="72001B41"/>
    <w:rsid w:val="72113D4E"/>
    <w:rsid w:val="721E4002"/>
    <w:rsid w:val="72323CC5"/>
    <w:rsid w:val="72425427"/>
    <w:rsid w:val="724B2D44"/>
    <w:rsid w:val="7262394B"/>
    <w:rsid w:val="726637CB"/>
    <w:rsid w:val="727B38BE"/>
    <w:rsid w:val="727E273B"/>
    <w:rsid w:val="727F515C"/>
    <w:rsid w:val="729F75AC"/>
    <w:rsid w:val="72A01879"/>
    <w:rsid w:val="72A44BC2"/>
    <w:rsid w:val="72B26270"/>
    <w:rsid w:val="72C62748"/>
    <w:rsid w:val="72CC4119"/>
    <w:rsid w:val="72DA7105"/>
    <w:rsid w:val="72EA3C3A"/>
    <w:rsid w:val="72ED4F8E"/>
    <w:rsid w:val="72F03865"/>
    <w:rsid w:val="72F27C01"/>
    <w:rsid w:val="72FA6ED8"/>
    <w:rsid w:val="72FD6E6A"/>
    <w:rsid w:val="73071583"/>
    <w:rsid w:val="73133F1E"/>
    <w:rsid w:val="731370ED"/>
    <w:rsid w:val="73155AC0"/>
    <w:rsid w:val="73287602"/>
    <w:rsid w:val="732C5ED6"/>
    <w:rsid w:val="733775DA"/>
    <w:rsid w:val="733D544F"/>
    <w:rsid w:val="734817F7"/>
    <w:rsid w:val="7354206C"/>
    <w:rsid w:val="735F0AE9"/>
    <w:rsid w:val="73663D1E"/>
    <w:rsid w:val="736670D3"/>
    <w:rsid w:val="736764A6"/>
    <w:rsid w:val="73697BBA"/>
    <w:rsid w:val="73727061"/>
    <w:rsid w:val="73754EE7"/>
    <w:rsid w:val="73804C6D"/>
    <w:rsid w:val="73970146"/>
    <w:rsid w:val="73A17354"/>
    <w:rsid w:val="73AF7B5F"/>
    <w:rsid w:val="73B057E9"/>
    <w:rsid w:val="73BB4867"/>
    <w:rsid w:val="73BD2028"/>
    <w:rsid w:val="73C170FD"/>
    <w:rsid w:val="73C33BAF"/>
    <w:rsid w:val="73C361DB"/>
    <w:rsid w:val="73CE4A1F"/>
    <w:rsid w:val="73E72640"/>
    <w:rsid w:val="73E969AB"/>
    <w:rsid w:val="73EB2CA7"/>
    <w:rsid w:val="73EF6311"/>
    <w:rsid w:val="73F11C9A"/>
    <w:rsid w:val="740D1624"/>
    <w:rsid w:val="74220495"/>
    <w:rsid w:val="7422193C"/>
    <w:rsid w:val="743A014A"/>
    <w:rsid w:val="74416441"/>
    <w:rsid w:val="74450BAF"/>
    <w:rsid w:val="74511097"/>
    <w:rsid w:val="745368A0"/>
    <w:rsid w:val="74557DCE"/>
    <w:rsid w:val="745844B4"/>
    <w:rsid w:val="745939EF"/>
    <w:rsid w:val="745D7787"/>
    <w:rsid w:val="745F3497"/>
    <w:rsid w:val="746133B9"/>
    <w:rsid w:val="746C1710"/>
    <w:rsid w:val="74781E72"/>
    <w:rsid w:val="747B5DF7"/>
    <w:rsid w:val="74880582"/>
    <w:rsid w:val="74913239"/>
    <w:rsid w:val="74AD0DE9"/>
    <w:rsid w:val="74DB215F"/>
    <w:rsid w:val="74DC1C15"/>
    <w:rsid w:val="74DE1A70"/>
    <w:rsid w:val="74ED7D0D"/>
    <w:rsid w:val="74FB14A6"/>
    <w:rsid w:val="75025D14"/>
    <w:rsid w:val="75045C97"/>
    <w:rsid w:val="750C2CDE"/>
    <w:rsid w:val="751C3961"/>
    <w:rsid w:val="752042E6"/>
    <w:rsid w:val="752072DC"/>
    <w:rsid w:val="752124FA"/>
    <w:rsid w:val="75236EB8"/>
    <w:rsid w:val="75243D99"/>
    <w:rsid w:val="75250343"/>
    <w:rsid w:val="7537210A"/>
    <w:rsid w:val="753C09DA"/>
    <w:rsid w:val="75581EB0"/>
    <w:rsid w:val="75596138"/>
    <w:rsid w:val="755B67E2"/>
    <w:rsid w:val="755F1275"/>
    <w:rsid w:val="75771AE7"/>
    <w:rsid w:val="757A7C7B"/>
    <w:rsid w:val="75843084"/>
    <w:rsid w:val="758A5266"/>
    <w:rsid w:val="759541D1"/>
    <w:rsid w:val="759C65CD"/>
    <w:rsid w:val="75A2213D"/>
    <w:rsid w:val="75A45F3C"/>
    <w:rsid w:val="75B0028D"/>
    <w:rsid w:val="75B3511C"/>
    <w:rsid w:val="75B82733"/>
    <w:rsid w:val="75BF692C"/>
    <w:rsid w:val="75C13CDD"/>
    <w:rsid w:val="75C50751"/>
    <w:rsid w:val="75CC0F27"/>
    <w:rsid w:val="75E44CC4"/>
    <w:rsid w:val="75E659CC"/>
    <w:rsid w:val="75F165AD"/>
    <w:rsid w:val="75F35076"/>
    <w:rsid w:val="7601057E"/>
    <w:rsid w:val="76066BBC"/>
    <w:rsid w:val="760A0B45"/>
    <w:rsid w:val="760F2C9B"/>
    <w:rsid w:val="76100DF8"/>
    <w:rsid w:val="76110F29"/>
    <w:rsid w:val="76225E14"/>
    <w:rsid w:val="762C68B4"/>
    <w:rsid w:val="762D4ECF"/>
    <w:rsid w:val="762E5214"/>
    <w:rsid w:val="76404C02"/>
    <w:rsid w:val="76651BD2"/>
    <w:rsid w:val="76675A5D"/>
    <w:rsid w:val="76696660"/>
    <w:rsid w:val="766B0EFF"/>
    <w:rsid w:val="767D5E56"/>
    <w:rsid w:val="767E572A"/>
    <w:rsid w:val="767E730C"/>
    <w:rsid w:val="768014A2"/>
    <w:rsid w:val="76891213"/>
    <w:rsid w:val="76931173"/>
    <w:rsid w:val="76944A39"/>
    <w:rsid w:val="76950FBC"/>
    <w:rsid w:val="769E7B7B"/>
    <w:rsid w:val="76C32392"/>
    <w:rsid w:val="76CD062C"/>
    <w:rsid w:val="76D4359C"/>
    <w:rsid w:val="76DA1CAD"/>
    <w:rsid w:val="76E71522"/>
    <w:rsid w:val="76F33371"/>
    <w:rsid w:val="76F8090B"/>
    <w:rsid w:val="77033710"/>
    <w:rsid w:val="770F4AD6"/>
    <w:rsid w:val="77206AB2"/>
    <w:rsid w:val="772B089E"/>
    <w:rsid w:val="772C076B"/>
    <w:rsid w:val="773B7C13"/>
    <w:rsid w:val="7741313E"/>
    <w:rsid w:val="77525387"/>
    <w:rsid w:val="775868CA"/>
    <w:rsid w:val="775B1D3E"/>
    <w:rsid w:val="775C1F10"/>
    <w:rsid w:val="776823B8"/>
    <w:rsid w:val="777032C5"/>
    <w:rsid w:val="77846D70"/>
    <w:rsid w:val="77954095"/>
    <w:rsid w:val="779E47F4"/>
    <w:rsid w:val="77AA175A"/>
    <w:rsid w:val="77B070F5"/>
    <w:rsid w:val="77B67AF6"/>
    <w:rsid w:val="77B70EF4"/>
    <w:rsid w:val="77B71080"/>
    <w:rsid w:val="77B855B6"/>
    <w:rsid w:val="77BA4E88"/>
    <w:rsid w:val="780D3330"/>
    <w:rsid w:val="781770A0"/>
    <w:rsid w:val="781C02D3"/>
    <w:rsid w:val="782567A5"/>
    <w:rsid w:val="78283BA0"/>
    <w:rsid w:val="782A0C8C"/>
    <w:rsid w:val="782C253B"/>
    <w:rsid w:val="78393BDC"/>
    <w:rsid w:val="7839732A"/>
    <w:rsid w:val="784120E7"/>
    <w:rsid w:val="785F7F87"/>
    <w:rsid w:val="78632E2A"/>
    <w:rsid w:val="786A6675"/>
    <w:rsid w:val="78886285"/>
    <w:rsid w:val="789F751B"/>
    <w:rsid w:val="78A1455F"/>
    <w:rsid w:val="78A17F99"/>
    <w:rsid w:val="78B164B4"/>
    <w:rsid w:val="78B2790D"/>
    <w:rsid w:val="78B44EA3"/>
    <w:rsid w:val="78B95140"/>
    <w:rsid w:val="78BD078C"/>
    <w:rsid w:val="78CD4747"/>
    <w:rsid w:val="78D42392"/>
    <w:rsid w:val="78E214F8"/>
    <w:rsid w:val="78E722A6"/>
    <w:rsid w:val="78EF7E10"/>
    <w:rsid w:val="78F10436"/>
    <w:rsid w:val="790463BB"/>
    <w:rsid w:val="79070A72"/>
    <w:rsid w:val="79116E06"/>
    <w:rsid w:val="7916284E"/>
    <w:rsid w:val="7917715F"/>
    <w:rsid w:val="791B3704"/>
    <w:rsid w:val="792C17FD"/>
    <w:rsid w:val="792C3B64"/>
    <w:rsid w:val="793629F7"/>
    <w:rsid w:val="794B3FEA"/>
    <w:rsid w:val="794D31B6"/>
    <w:rsid w:val="795030F2"/>
    <w:rsid w:val="79595022"/>
    <w:rsid w:val="79646E59"/>
    <w:rsid w:val="79650C6A"/>
    <w:rsid w:val="796B5A23"/>
    <w:rsid w:val="796D676C"/>
    <w:rsid w:val="79870D9A"/>
    <w:rsid w:val="798C6425"/>
    <w:rsid w:val="7999366C"/>
    <w:rsid w:val="79A6492F"/>
    <w:rsid w:val="79A85561"/>
    <w:rsid w:val="79B25482"/>
    <w:rsid w:val="79C95DCF"/>
    <w:rsid w:val="79CA1ABB"/>
    <w:rsid w:val="79EE4319"/>
    <w:rsid w:val="79F75F20"/>
    <w:rsid w:val="79FC52E4"/>
    <w:rsid w:val="79FF1D67"/>
    <w:rsid w:val="7A017138"/>
    <w:rsid w:val="7A035633"/>
    <w:rsid w:val="7A0D5743"/>
    <w:rsid w:val="7A274CFC"/>
    <w:rsid w:val="7A2B09D6"/>
    <w:rsid w:val="7A3C3AF7"/>
    <w:rsid w:val="7A4553DD"/>
    <w:rsid w:val="7A49604F"/>
    <w:rsid w:val="7A513882"/>
    <w:rsid w:val="7A552C46"/>
    <w:rsid w:val="7A597291"/>
    <w:rsid w:val="7A6B1472"/>
    <w:rsid w:val="7A760650"/>
    <w:rsid w:val="7A887BF2"/>
    <w:rsid w:val="7A9543A7"/>
    <w:rsid w:val="7A9C6A34"/>
    <w:rsid w:val="7AA24531"/>
    <w:rsid w:val="7AB30E59"/>
    <w:rsid w:val="7ACB3368"/>
    <w:rsid w:val="7AD24297"/>
    <w:rsid w:val="7AEB5324"/>
    <w:rsid w:val="7AF1141E"/>
    <w:rsid w:val="7AF97A75"/>
    <w:rsid w:val="7B063660"/>
    <w:rsid w:val="7B0D644D"/>
    <w:rsid w:val="7B0E1773"/>
    <w:rsid w:val="7B18614D"/>
    <w:rsid w:val="7B1C4F98"/>
    <w:rsid w:val="7B212602"/>
    <w:rsid w:val="7B2F16E9"/>
    <w:rsid w:val="7B3311D9"/>
    <w:rsid w:val="7B406C2D"/>
    <w:rsid w:val="7B42766E"/>
    <w:rsid w:val="7B4927AB"/>
    <w:rsid w:val="7B4B2CFB"/>
    <w:rsid w:val="7B503B39"/>
    <w:rsid w:val="7B520CA7"/>
    <w:rsid w:val="7B672C31"/>
    <w:rsid w:val="7B6E0463"/>
    <w:rsid w:val="7B7B048A"/>
    <w:rsid w:val="7B8657AD"/>
    <w:rsid w:val="7B8A7A76"/>
    <w:rsid w:val="7B8F1963"/>
    <w:rsid w:val="7B95779E"/>
    <w:rsid w:val="7B9713FD"/>
    <w:rsid w:val="7BB00E79"/>
    <w:rsid w:val="7BB10350"/>
    <w:rsid w:val="7BBC3376"/>
    <w:rsid w:val="7BBD20D4"/>
    <w:rsid w:val="7BC22CA5"/>
    <w:rsid w:val="7BD31429"/>
    <w:rsid w:val="7BDE0A0C"/>
    <w:rsid w:val="7BDF7FCA"/>
    <w:rsid w:val="7BE20509"/>
    <w:rsid w:val="7BE81DB8"/>
    <w:rsid w:val="7BEC1F58"/>
    <w:rsid w:val="7C1576C6"/>
    <w:rsid w:val="7C1728A9"/>
    <w:rsid w:val="7C1A66F4"/>
    <w:rsid w:val="7C1C1C6D"/>
    <w:rsid w:val="7C3012D4"/>
    <w:rsid w:val="7C307D2D"/>
    <w:rsid w:val="7C54440B"/>
    <w:rsid w:val="7C5B3307"/>
    <w:rsid w:val="7C6747C6"/>
    <w:rsid w:val="7C6E3EFC"/>
    <w:rsid w:val="7C6F1677"/>
    <w:rsid w:val="7C703DFB"/>
    <w:rsid w:val="7C7F10AF"/>
    <w:rsid w:val="7C85377B"/>
    <w:rsid w:val="7C887303"/>
    <w:rsid w:val="7C8F0C60"/>
    <w:rsid w:val="7C8F68E3"/>
    <w:rsid w:val="7CA155CE"/>
    <w:rsid w:val="7CAA0983"/>
    <w:rsid w:val="7CAD4FBB"/>
    <w:rsid w:val="7CB93A93"/>
    <w:rsid w:val="7CBE50AF"/>
    <w:rsid w:val="7CBF43FD"/>
    <w:rsid w:val="7CE002CB"/>
    <w:rsid w:val="7CE81B50"/>
    <w:rsid w:val="7D08662D"/>
    <w:rsid w:val="7D0F6ECD"/>
    <w:rsid w:val="7D180687"/>
    <w:rsid w:val="7D1C21F6"/>
    <w:rsid w:val="7D1F353E"/>
    <w:rsid w:val="7D2256E0"/>
    <w:rsid w:val="7D2471AE"/>
    <w:rsid w:val="7D380D29"/>
    <w:rsid w:val="7D384885"/>
    <w:rsid w:val="7D3E470B"/>
    <w:rsid w:val="7D403060"/>
    <w:rsid w:val="7D481BF3"/>
    <w:rsid w:val="7D494CE4"/>
    <w:rsid w:val="7D5919D9"/>
    <w:rsid w:val="7D5D078F"/>
    <w:rsid w:val="7D6A6A08"/>
    <w:rsid w:val="7D7B45CB"/>
    <w:rsid w:val="7DA43CC8"/>
    <w:rsid w:val="7DB55ED6"/>
    <w:rsid w:val="7DB60EBE"/>
    <w:rsid w:val="7DB76AA5"/>
    <w:rsid w:val="7DB83C18"/>
    <w:rsid w:val="7DBB54B6"/>
    <w:rsid w:val="7DCE51E9"/>
    <w:rsid w:val="7DD547CA"/>
    <w:rsid w:val="7DDC7906"/>
    <w:rsid w:val="7DDD542C"/>
    <w:rsid w:val="7DDE2EAA"/>
    <w:rsid w:val="7DE247F1"/>
    <w:rsid w:val="7DE844FD"/>
    <w:rsid w:val="7DEA3FF1"/>
    <w:rsid w:val="7DF45FDD"/>
    <w:rsid w:val="7DF76897"/>
    <w:rsid w:val="7E096221"/>
    <w:rsid w:val="7E106A78"/>
    <w:rsid w:val="7E1352F2"/>
    <w:rsid w:val="7E166F02"/>
    <w:rsid w:val="7E176B90"/>
    <w:rsid w:val="7E1E6E06"/>
    <w:rsid w:val="7E244E09"/>
    <w:rsid w:val="7E3C09C0"/>
    <w:rsid w:val="7E3E2A9C"/>
    <w:rsid w:val="7E4807C8"/>
    <w:rsid w:val="7E4A06B1"/>
    <w:rsid w:val="7E6228D9"/>
    <w:rsid w:val="7E630B36"/>
    <w:rsid w:val="7E6873EC"/>
    <w:rsid w:val="7E6F0F4D"/>
    <w:rsid w:val="7E6F5FE6"/>
    <w:rsid w:val="7E7044F2"/>
    <w:rsid w:val="7E751B09"/>
    <w:rsid w:val="7E77762F"/>
    <w:rsid w:val="7E794EEE"/>
    <w:rsid w:val="7E8615CA"/>
    <w:rsid w:val="7E997079"/>
    <w:rsid w:val="7E9975A5"/>
    <w:rsid w:val="7EA67F14"/>
    <w:rsid w:val="7EAE296C"/>
    <w:rsid w:val="7EAF3E0E"/>
    <w:rsid w:val="7EB6125E"/>
    <w:rsid w:val="7ECA1799"/>
    <w:rsid w:val="7ED24865"/>
    <w:rsid w:val="7ED30AD2"/>
    <w:rsid w:val="7ED600FB"/>
    <w:rsid w:val="7EE43205"/>
    <w:rsid w:val="7EFC5D86"/>
    <w:rsid w:val="7F0A00D7"/>
    <w:rsid w:val="7F1906E6"/>
    <w:rsid w:val="7F26384E"/>
    <w:rsid w:val="7F2C13EE"/>
    <w:rsid w:val="7F2D4191"/>
    <w:rsid w:val="7F3E003F"/>
    <w:rsid w:val="7F413799"/>
    <w:rsid w:val="7F556C77"/>
    <w:rsid w:val="7F6E6151"/>
    <w:rsid w:val="7F7555FC"/>
    <w:rsid w:val="7F972415"/>
    <w:rsid w:val="7F982E42"/>
    <w:rsid w:val="7F9F6E3D"/>
    <w:rsid w:val="7FA0738E"/>
    <w:rsid w:val="7FA20C8F"/>
    <w:rsid w:val="7FA53D28"/>
    <w:rsid w:val="7FAF431D"/>
    <w:rsid w:val="7FBB79EF"/>
    <w:rsid w:val="7FC91527"/>
    <w:rsid w:val="7FCD7592"/>
    <w:rsid w:val="7FD34A5A"/>
    <w:rsid w:val="7FDC2445"/>
    <w:rsid w:val="7FDD1714"/>
    <w:rsid w:val="7FF41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iPriority="99"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2"/>
    <w:basedOn w:val="1"/>
    <w:next w:val="3"/>
    <w:autoRedefine/>
    <w:qFormat/>
    <w:uiPriority w:val="1"/>
    <w:pPr>
      <w:spacing w:before="12"/>
      <w:ind w:left="3685"/>
      <w:outlineLvl w:val="1"/>
    </w:pPr>
    <w:rPr>
      <w:rFonts w:ascii="微软雅黑" w:hAnsi="微软雅黑" w:eastAsia="微软雅黑" w:cs="微软雅黑"/>
      <w:b/>
      <w:bCs/>
      <w:sz w:val="32"/>
      <w:szCs w:val="32"/>
      <w:lang w:val="zh-CN" w:eastAsia="zh-CN" w:bidi="zh-CN"/>
    </w:rPr>
  </w:style>
  <w:style w:type="paragraph" w:styleId="5">
    <w:name w:val="heading 4"/>
    <w:basedOn w:val="1"/>
    <w:next w:val="1"/>
    <w:autoRedefine/>
    <w:qFormat/>
    <w:uiPriority w:val="1"/>
    <w:pPr>
      <w:jc w:val="center"/>
      <w:outlineLvl w:val="3"/>
    </w:pPr>
    <w:rPr>
      <w:rFonts w:ascii="微软雅黑" w:hAnsi="微软雅黑" w:eastAsia="微软雅黑" w:cs="微软雅黑"/>
      <w:b/>
      <w:bCs/>
      <w:sz w:val="28"/>
      <w:szCs w:val="28"/>
      <w:lang w:val="zh-CN" w:eastAsia="zh-CN" w:bidi="zh-CN"/>
    </w:rPr>
  </w:style>
  <w:style w:type="character" w:default="1" w:styleId="22">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customStyle="1" w:styleId="3">
    <w:name w:val="文档正文"/>
    <w:basedOn w:val="4"/>
    <w:autoRedefine/>
    <w:qFormat/>
    <w:uiPriority w:val="0"/>
    <w:pPr>
      <w:spacing w:line="480" w:lineRule="atLeast"/>
      <w:textAlignment w:val="baseline"/>
    </w:pPr>
    <w:rPr>
      <w:kern w:val="0"/>
      <w:sz w:val="24"/>
    </w:rPr>
  </w:style>
  <w:style w:type="paragraph" w:styleId="4">
    <w:name w:val="Normal Indent"/>
    <w:basedOn w:val="1"/>
    <w:autoRedefine/>
    <w:qFormat/>
    <w:uiPriority w:val="0"/>
    <w:pPr>
      <w:ind w:firstLine="420"/>
    </w:pPr>
    <w:rPr>
      <w:sz w:val="21"/>
    </w:rPr>
  </w:style>
  <w:style w:type="paragraph" w:styleId="6">
    <w:name w:val="toa heading"/>
    <w:basedOn w:val="1"/>
    <w:next w:val="1"/>
    <w:autoRedefine/>
    <w:qFormat/>
    <w:uiPriority w:val="0"/>
    <w:pPr>
      <w:spacing w:before="120"/>
    </w:pPr>
    <w:rPr>
      <w:rFonts w:ascii="Arial" w:hAnsi="Arial"/>
      <w:sz w:val="24"/>
      <w:szCs w:val="21"/>
    </w:rPr>
  </w:style>
  <w:style w:type="paragraph" w:styleId="7">
    <w:name w:val="index 6"/>
    <w:basedOn w:val="1"/>
    <w:next w:val="1"/>
    <w:autoRedefine/>
    <w:qFormat/>
    <w:uiPriority w:val="99"/>
    <w:pPr>
      <w:ind w:left="2100"/>
    </w:pPr>
  </w:style>
  <w:style w:type="paragraph" w:styleId="8">
    <w:name w:val="Body Text"/>
    <w:basedOn w:val="1"/>
    <w:next w:val="1"/>
    <w:autoRedefine/>
    <w:qFormat/>
    <w:uiPriority w:val="1"/>
    <w:rPr>
      <w:rFonts w:ascii="宋体" w:hAnsi="宋体" w:eastAsia="宋体" w:cs="宋体"/>
      <w:sz w:val="21"/>
      <w:szCs w:val="21"/>
      <w:lang w:val="zh-CN" w:eastAsia="zh-CN" w:bidi="zh-CN"/>
    </w:rPr>
  </w:style>
  <w:style w:type="paragraph" w:styleId="9">
    <w:name w:val="Body Text Indent"/>
    <w:basedOn w:val="1"/>
    <w:autoRedefine/>
    <w:qFormat/>
    <w:uiPriority w:val="0"/>
    <w:pPr>
      <w:spacing w:line="360" w:lineRule="auto"/>
      <w:ind w:firstLine="560" w:firstLineChars="200"/>
    </w:pPr>
    <w:rPr>
      <w:sz w:val="28"/>
    </w:rPr>
  </w:style>
  <w:style w:type="paragraph" w:styleId="10">
    <w:name w:val="HTML Address"/>
    <w:basedOn w:val="1"/>
    <w:next w:val="8"/>
    <w:unhideWhenUsed/>
    <w:qFormat/>
    <w:uiPriority w:val="99"/>
    <w:pPr>
      <w:topLinePunct/>
    </w:pPr>
  </w:style>
  <w:style w:type="paragraph" w:styleId="11">
    <w:name w:val="Plain Text"/>
    <w:basedOn w:val="1"/>
    <w:autoRedefine/>
    <w:qFormat/>
    <w:uiPriority w:val="0"/>
    <w:rPr>
      <w:rFonts w:ascii="宋体" w:hAnsi="Courier New"/>
      <w:szCs w:val="20"/>
    </w:rPr>
  </w:style>
  <w:style w:type="paragraph" w:styleId="12">
    <w:name w:val="Date"/>
    <w:basedOn w:val="1"/>
    <w:next w:val="1"/>
    <w:autoRedefine/>
    <w:qFormat/>
    <w:uiPriority w:val="0"/>
    <w:rPr>
      <w:szCs w:val="24"/>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footnote text"/>
    <w:basedOn w:val="1"/>
    <w:autoRedefine/>
    <w:qFormat/>
    <w:uiPriority w:val="0"/>
    <w:pPr>
      <w:snapToGrid w:val="0"/>
      <w:spacing w:line="240" w:lineRule="auto"/>
      <w:jc w:val="left"/>
    </w:pPr>
    <w:rPr>
      <w:kern w:val="0"/>
      <w:sz w:val="18"/>
      <w:szCs w:val="18"/>
    </w:rPr>
  </w:style>
  <w:style w:type="paragraph" w:styleId="16">
    <w:name w:val="Message Header"/>
    <w:basedOn w:val="1"/>
    <w:next w:val="11"/>
    <w:autoRedefine/>
    <w:qFormat/>
    <w:uiPriority w:val="0"/>
    <w:pPr>
      <w:keepLines/>
      <w:widowControl/>
      <w:spacing w:after="40" w:line="140" w:lineRule="atLeast"/>
      <w:ind w:left="360"/>
      <w:jc w:val="left"/>
    </w:pPr>
    <w:rPr>
      <w:rFonts w:ascii="Garamond" w:hAnsi="Garamond" w:eastAsia="PMingLiU"/>
      <w:spacing w:val="-5"/>
      <w:kern w:val="0"/>
      <w:sz w:val="24"/>
      <w:szCs w:val="20"/>
      <w:lang w:eastAsia="zh-TW"/>
    </w:rPr>
  </w:style>
  <w:style w:type="paragraph" w:styleId="17">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18">
    <w:name w:val="Body Text First Indent"/>
    <w:basedOn w:val="8"/>
    <w:autoRedefine/>
    <w:qFormat/>
    <w:uiPriority w:val="0"/>
    <w:pPr>
      <w:spacing w:line="360" w:lineRule="auto"/>
      <w:ind w:firstLine="200" w:firstLineChars="200"/>
    </w:pPr>
    <w:rPr>
      <w:rFonts w:ascii="仿宋_GB2312" w:eastAsia="仿宋_GB2312"/>
      <w:sz w:val="30"/>
      <w:szCs w:val="30"/>
    </w:rPr>
  </w:style>
  <w:style w:type="paragraph" w:styleId="19">
    <w:name w:val="Body Text First Indent 2"/>
    <w:basedOn w:val="9"/>
    <w:autoRedefine/>
    <w:unhideWhenUsed/>
    <w:qFormat/>
    <w:uiPriority w:val="0"/>
    <w:pPr>
      <w:spacing w:after="120" w:line="240" w:lineRule="auto"/>
      <w:ind w:left="420" w:leftChars="200" w:firstLine="420"/>
    </w:pPr>
    <w:rPr>
      <w:sz w:val="21"/>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0"/>
    <w:rPr>
      <w:b/>
    </w:rPr>
  </w:style>
  <w:style w:type="character" w:styleId="24">
    <w:name w:val="page number"/>
    <w:basedOn w:val="22"/>
    <w:autoRedefine/>
    <w:qFormat/>
    <w:uiPriority w:val="99"/>
  </w:style>
  <w:style w:type="character" w:styleId="25">
    <w:name w:val="Emphasis"/>
    <w:basedOn w:val="22"/>
    <w:autoRedefine/>
    <w:qFormat/>
    <w:uiPriority w:val="0"/>
    <w:rPr>
      <w:i/>
    </w:rPr>
  </w:style>
  <w:style w:type="character" w:styleId="26">
    <w:name w:val="HTML Sample"/>
    <w:basedOn w:val="22"/>
    <w:autoRedefine/>
    <w:qFormat/>
    <w:uiPriority w:val="0"/>
    <w:rPr>
      <w:rFonts w:ascii="Courier New" w:hAnsi="Courier New"/>
    </w:rPr>
  </w:style>
  <w:style w:type="paragraph" w:customStyle="1" w:styleId="27">
    <w:name w:val="Style1"/>
    <w:basedOn w:val="1"/>
    <w:autoRedefine/>
    <w:qFormat/>
    <w:uiPriority w:val="0"/>
    <w:pPr>
      <w:overflowPunct w:val="0"/>
      <w:autoSpaceDE w:val="0"/>
      <w:autoSpaceDN w:val="0"/>
      <w:adjustRightInd w:val="0"/>
      <w:jc w:val="left"/>
      <w:textAlignment w:val="baseline"/>
    </w:pPr>
    <w:rPr>
      <w:rFonts w:ascii="Courier" w:hAnsi="Courier"/>
      <w:kern w:val="0"/>
      <w:sz w:val="20"/>
      <w:szCs w:val="20"/>
    </w:rPr>
  </w:style>
  <w:style w:type="paragraph" w:customStyle="1" w:styleId="28">
    <w:name w:val="目录 81"/>
    <w:basedOn w:val="1"/>
    <w:next w:val="1"/>
    <w:autoRedefine/>
    <w:qFormat/>
    <w:uiPriority w:val="0"/>
    <w:pPr>
      <w:ind w:left="1470"/>
      <w:jc w:val="left"/>
    </w:pPr>
    <w:rPr>
      <w:rFonts w:ascii="Times New Roman" w:hAnsi="Times New Roman" w:eastAsia="宋体" w:cs="Times New Roman"/>
      <w:szCs w:val="21"/>
    </w:rPr>
  </w:style>
  <w:style w:type="paragraph" w:customStyle="1" w:styleId="29">
    <w:name w:val="Normal_1"/>
    <w:autoRedefine/>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30">
    <w:name w:val="Normal_1_0"/>
    <w:autoRedefine/>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31">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32">
    <w:name w:val="Table Paragraph"/>
    <w:basedOn w:val="1"/>
    <w:autoRedefine/>
    <w:qFormat/>
    <w:uiPriority w:val="1"/>
    <w:rPr>
      <w:rFonts w:ascii="宋体" w:hAnsi="宋体" w:eastAsia="宋体" w:cs="宋体"/>
      <w:lang w:val="zh-CN" w:eastAsia="zh-CN" w:bidi="zh-CN"/>
    </w:rPr>
  </w:style>
  <w:style w:type="paragraph" w:customStyle="1" w:styleId="33">
    <w:name w:val="样式 标题 2 + Times New Roman 四号 非加粗 段前: 5 磅 段后: 0 磅 行距: 固定值 20..."/>
    <w:basedOn w:val="2"/>
    <w:autoRedefine/>
    <w:qFormat/>
    <w:uiPriority w:val="0"/>
    <w:pPr>
      <w:spacing w:before="100" w:after="0" w:line="400" w:lineRule="exact"/>
    </w:pPr>
    <w:rPr>
      <w:rFonts w:ascii="Times New Roman" w:hAnsi="Times New Roman" w:cs="宋体"/>
      <w:b w:val="0"/>
      <w:bCs w:val="0"/>
      <w:sz w:val="28"/>
      <w:szCs w:val="20"/>
      <w:lang w:bidi="ar-SA"/>
    </w:rPr>
  </w:style>
  <w:style w:type="paragraph" w:customStyle="1" w:styleId="34">
    <w:name w:val="正文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列出段落1"/>
    <w:basedOn w:val="1"/>
    <w:autoRedefine/>
    <w:qFormat/>
    <w:uiPriority w:val="0"/>
    <w:pPr>
      <w:spacing w:line="240" w:lineRule="auto"/>
      <w:ind w:firstLine="420" w:firstLineChars="200"/>
    </w:pPr>
    <w:rPr>
      <w:sz w:val="21"/>
      <w:szCs w:val="24"/>
    </w:rPr>
  </w:style>
  <w:style w:type="paragraph" w:customStyle="1" w:styleId="36">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37">
    <w:name w:val="WPSOffice手动目录 1"/>
    <w:autoRedefine/>
    <w:qFormat/>
    <w:uiPriority w:val="0"/>
    <w:pPr>
      <w:ind w:leftChars="0"/>
    </w:pPr>
    <w:rPr>
      <w:rFonts w:ascii="Times New Roman" w:hAnsi="Times New Roman" w:eastAsia="宋体" w:cs="Times New Roman"/>
      <w:sz w:val="20"/>
      <w:szCs w:val="20"/>
    </w:rPr>
  </w:style>
  <w:style w:type="paragraph" w:customStyle="1" w:styleId="38">
    <w:name w:val="样式 首行缩进:  2 字符"/>
    <w:basedOn w:val="1"/>
    <w:autoRedefine/>
    <w:qFormat/>
    <w:uiPriority w:val="99"/>
    <w:pPr>
      <w:spacing w:beforeLines="50" w:afterLines="50"/>
      <w:ind w:firstLine="200" w:firstLineChars="200"/>
    </w:pPr>
    <w:rPr>
      <w:rFonts w:eastAsia="仿宋" w:cs="宋体"/>
      <w:sz w:val="24"/>
      <w:szCs w:val="20"/>
    </w:rPr>
  </w:style>
  <w:style w:type="paragraph" w:customStyle="1" w:styleId="39">
    <w:name w:val="5）标书正文 首行缩进2字符"/>
    <w:basedOn w:val="1"/>
    <w:autoRedefine/>
    <w:qFormat/>
    <w:uiPriority w:val="0"/>
    <w:pPr>
      <w:spacing w:line="480" w:lineRule="exact"/>
      <w:ind w:firstLine="200" w:firstLineChars="200"/>
    </w:pPr>
    <w:rPr>
      <w:rFonts w:ascii="仿宋_GB2312" w:eastAsia="仿宋_GB2312"/>
      <w:sz w:val="28"/>
    </w:rPr>
  </w:style>
  <w:style w:type="paragraph" w:customStyle="1" w:styleId="40">
    <w:name w:val="WPS Plain"/>
    <w:autoRedefine/>
    <w:qFormat/>
    <w:uiPriority w:val="99"/>
    <w:rPr>
      <w:rFonts w:ascii="Times New Roman" w:hAnsi="Times New Roman" w:eastAsia="宋体" w:cs="Times New Roman"/>
      <w:sz w:val="21"/>
      <w:szCs w:val="22"/>
      <w:lang w:val="en-US" w:eastAsia="zh-CN" w:bidi="ar-SA"/>
    </w:rPr>
  </w:style>
  <w:style w:type="paragraph" w:customStyle="1" w:styleId="41">
    <w:name w:val="正文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42">
    <w:name w:val="正文缩进1"/>
    <w:basedOn w:val="1"/>
    <w:autoRedefine/>
    <w:qFormat/>
    <w:uiPriority w:val="0"/>
    <w:pPr>
      <w:ind w:firstLine="567"/>
    </w:pPr>
    <w:rPr>
      <w:rFonts w:ascii="Times New Roman" w:hAnsi="Times New Roman" w:eastAsia="宋体" w:cs="Times New Roman"/>
      <w:spacing w:val="20"/>
      <w:sz w:val="24"/>
    </w:rPr>
  </w:style>
  <w:style w:type="paragraph" w:customStyle="1" w:styleId="43">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
    <w:name w:val="Table Text"/>
    <w:basedOn w:val="1"/>
    <w:autoRedefine/>
    <w:semiHidden/>
    <w:qFormat/>
    <w:uiPriority w:val="0"/>
    <w:rPr>
      <w:rFonts w:ascii="宋体" w:hAnsi="宋体" w:eastAsia="宋体" w:cs="宋体"/>
      <w:sz w:val="22"/>
      <w:szCs w:val="22"/>
      <w:lang w:val="en-US" w:eastAsia="en-US" w:bidi="ar-SA"/>
    </w:rPr>
  </w:style>
  <w:style w:type="table" w:customStyle="1" w:styleId="45">
    <w:name w:val="Table Normal"/>
    <w:semiHidden/>
    <w:unhideWhenUsed/>
    <w:qFormat/>
    <w:uiPriority w:val="0"/>
    <w:tblPr>
      <w:tblCellMar>
        <w:top w:w="0" w:type="dxa"/>
        <w:left w:w="0" w:type="dxa"/>
        <w:bottom w:w="0" w:type="dxa"/>
        <w:right w:w="0" w:type="dxa"/>
      </w:tblCellMar>
    </w:tblPr>
  </w:style>
  <w:style w:type="paragraph" w:customStyle="1" w:styleId="46">
    <w:name w:val="Blockquote"/>
    <w:basedOn w:val="1"/>
    <w:qFormat/>
    <w:uiPriority w:val="0"/>
    <w:pPr>
      <w:autoSpaceDE w:val="0"/>
      <w:autoSpaceDN w:val="0"/>
      <w:adjustRightInd w:val="0"/>
      <w:spacing w:before="100" w:beforeLines="0" w:after="100" w:afterLines="0"/>
      <w:ind w:left="360" w:right="360"/>
      <w:jc w:val="left"/>
    </w:pPr>
    <w:rPr>
      <w:kern w:val="0"/>
      <w:sz w:val="24"/>
      <w:szCs w:val="20"/>
    </w:rPr>
  </w:style>
  <w:style w:type="paragraph" w:customStyle="1" w:styleId="47">
    <w:name w:val="Normal_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11998</Words>
  <Characters>13046</Characters>
  <Lines>0</Lines>
  <Paragraphs>0</Paragraphs>
  <TotalTime>9</TotalTime>
  <ScaleCrop>false</ScaleCrop>
  <LinksUpToDate>false</LinksUpToDate>
  <CharactersWithSpaces>13418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2023-05-18T09:27:00Z</dcterms:created>
  <dc:creator>Administrator</dc:creator>
  <cp:lastModifiedBy>Administrator</cp:lastModifiedBy>
  <cp:lastPrinted>2023-05-19T08:51:00Z</cp:lastPrinted>
  <dcterms:modified xsi:type="dcterms:W3CDTF">2026-05-22T04:45:08Z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E1384BB963FE4AEEAD0DB573B423EFED_13</vt:lpwstr>
  </property>
  <property fmtid="{D5CDD505-2E9C-101B-9397-08002B2CF9AE}" pid="4" name="KSOTemplateDocerSaveRecord">
    <vt:lpwstr>eyJoZGlkIjoiOGI2NDIwN2M2ODljYmVjN2ZmM2NiOGFkNDlmMDNhNzQiLCJ1c2VySWQiOiIxNTQ4NTc1Mzk2In0=</vt:lpwstr>
  </property>
</Properties>
</file>