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7D28C">
      <w:pPr>
        <w:pStyle w:val="69"/>
        <w:bidi w:val="0"/>
        <w:spacing w:line="360" w:lineRule="auto"/>
        <w:jc w:val="center"/>
        <w:rPr>
          <w:rFonts w:hint="eastAsia"/>
          <w:sz w:val="18"/>
          <w:szCs w:val="22"/>
          <w:lang w:eastAsia="zh-CN"/>
        </w:rPr>
      </w:pPr>
    </w:p>
    <w:p w14:paraId="6359DCC1">
      <w:pPr>
        <w:pStyle w:val="69"/>
        <w:bidi w:val="0"/>
        <w:spacing w:line="360" w:lineRule="auto"/>
        <w:jc w:val="center"/>
        <w:rPr>
          <w:rFonts w:hint="eastAsia"/>
          <w:sz w:val="60"/>
          <w:szCs w:val="112"/>
          <w:lang w:eastAsia="zh-CN"/>
        </w:rPr>
      </w:pPr>
      <w:r>
        <w:rPr>
          <w:rFonts w:hint="eastAsia"/>
          <w:sz w:val="44"/>
          <w:szCs w:val="44"/>
          <w:lang w:val="en-US" w:eastAsia="zh-CN"/>
        </w:rPr>
        <w:t>鄯善县鲁克沁镇第一中学教学楼内外墙面修缮改造项目</w:t>
      </w:r>
    </w:p>
    <w:p w14:paraId="5386CE96">
      <w:pPr>
        <w:pStyle w:val="69"/>
        <w:bidi w:val="0"/>
        <w:spacing w:line="360" w:lineRule="auto"/>
        <w:jc w:val="center"/>
        <w:rPr>
          <w:rFonts w:hint="eastAsia"/>
          <w:sz w:val="40"/>
          <w:szCs w:val="40"/>
          <w:lang w:eastAsia="zh-CN"/>
        </w:rPr>
      </w:pPr>
    </w:p>
    <w:p w14:paraId="30F5AE5F">
      <w:pPr>
        <w:pStyle w:val="69"/>
        <w:bidi w:val="0"/>
        <w:spacing w:line="360" w:lineRule="auto"/>
        <w:jc w:val="center"/>
        <w:rPr>
          <w:rFonts w:hint="eastAsia"/>
          <w:sz w:val="40"/>
          <w:szCs w:val="40"/>
          <w:lang w:eastAsia="zh-CN"/>
        </w:rPr>
      </w:pPr>
    </w:p>
    <w:p w14:paraId="06BE4F17">
      <w:pPr>
        <w:pStyle w:val="69"/>
        <w:bidi w:val="0"/>
        <w:spacing w:line="360" w:lineRule="auto"/>
        <w:jc w:val="center"/>
        <w:rPr>
          <w:rFonts w:hint="eastAsia"/>
          <w:sz w:val="40"/>
          <w:szCs w:val="40"/>
          <w:lang w:eastAsia="zh-CN"/>
        </w:rPr>
      </w:pPr>
    </w:p>
    <w:p w14:paraId="23DBA9AF">
      <w:pPr>
        <w:pStyle w:val="69"/>
        <w:bidi w:val="0"/>
        <w:spacing w:line="360" w:lineRule="auto"/>
        <w:jc w:val="center"/>
        <w:rPr>
          <w:rFonts w:hint="eastAsia"/>
          <w:sz w:val="40"/>
          <w:szCs w:val="40"/>
          <w:lang w:eastAsia="zh-CN"/>
        </w:rPr>
      </w:pPr>
    </w:p>
    <w:p w14:paraId="481B2D00">
      <w:pPr>
        <w:pStyle w:val="69"/>
        <w:bidi w:val="0"/>
        <w:spacing w:line="360" w:lineRule="auto"/>
        <w:jc w:val="center"/>
        <w:rPr>
          <w:rFonts w:hint="eastAsia"/>
          <w:sz w:val="60"/>
          <w:szCs w:val="112"/>
          <w:lang w:eastAsia="zh-CN"/>
        </w:rPr>
      </w:pPr>
      <w:r>
        <w:rPr>
          <w:rFonts w:hint="eastAsia"/>
          <w:sz w:val="72"/>
          <w:szCs w:val="72"/>
        </w:rPr>
        <w:t>竞争性</w:t>
      </w:r>
      <w:r>
        <w:rPr>
          <w:rFonts w:hint="eastAsia"/>
          <w:sz w:val="72"/>
          <w:szCs w:val="72"/>
          <w:lang w:val="en-US" w:eastAsia="zh-CN"/>
        </w:rPr>
        <w:t>磋商</w:t>
      </w:r>
      <w:r>
        <w:rPr>
          <w:rFonts w:hint="eastAsia"/>
          <w:sz w:val="72"/>
          <w:szCs w:val="72"/>
          <w:lang w:eastAsia="zh-CN"/>
        </w:rPr>
        <w:t>文件</w:t>
      </w:r>
    </w:p>
    <w:p w14:paraId="11645AA4">
      <w:pPr>
        <w:pStyle w:val="69"/>
        <w:bidi w:val="0"/>
        <w:spacing w:line="360" w:lineRule="auto"/>
        <w:jc w:val="center"/>
        <w:rPr>
          <w:rFonts w:hint="eastAsia"/>
          <w:sz w:val="40"/>
          <w:szCs w:val="40"/>
          <w:lang w:eastAsia="zh-CN"/>
        </w:rPr>
      </w:pPr>
    </w:p>
    <w:p w14:paraId="2EEF52E0">
      <w:pPr>
        <w:pStyle w:val="69"/>
        <w:bidi w:val="0"/>
        <w:spacing w:line="360" w:lineRule="auto"/>
        <w:jc w:val="center"/>
        <w:rPr>
          <w:rFonts w:hint="eastAsia"/>
          <w:sz w:val="40"/>
          <w:szCs w:val="40"/>
          <w:lang w:eastAsia="zh-CN"/>
        </w:rPr>
      </w:pPr>
    </w:p>
    <w:p w14:paraId="0F906816">
      <w:pPr>
        <w:pStyle w:val="69"/>
        <w:bidi w:val="0"/>
        <w:spacing w:line="360" w:lineRule="auto"/>
        <w:jc w:val="center"/>
        <w:rPr>
          <w:rFonts w:hint="eastAsia"/>
          <w:sz w:val="40"/>
          <w:szCs w:val="40"/>
          <w:lang w:eastAsia="zh-CN"/>
        </w:rPr>
      </w:pPr>
    </w:p>
    <w:p w14:paraId="08933B7C">
      <w:pPr>
        <w:pStyle w:val="69"/>
        <w:bidi w:val="0"/>
        <w:spacing w:line="360" w:lineRule="auto"/>
        <w:jc w:val="center"/>
        <w:rPr>
          <w:rFonts w:hint="eastAsia"/>
          <w:sz w:val="40"/>
          <w:szCs w:val="40"/>
          <w:lang w:eastAsia="zh-CN"/>
        </w:rPr>
      </w:pPr>
    </w:p>
    <w:p w14:paraId="58CBEC20">
      <w:pPr>
        <w:pStyle w:val="69"/>
        <w:bidi w:val="0"/>
        <w:spacing w:line="360" w:lineRule="auto"/>
        <w:ind w:firstLine="321" w:firstLineChars="100"/>
        <w:jc w:val="both"/>
        <w:rPr>
          <w:rFonts w:hint="eastAsia"/>
          <w:sz w:val="32"/>
          <w:szCs w:val="44"/>
          <w:lang w:val="en-US" w:eastAsia="zh-CN"/>
        </w:rPr>
      </w:pPr>
      <w:r>
        <w:rPr>
          <w:rFonts w:hint="eastAsia"/>
          <w:sz w:val="32"/>
          <w:szCs w:val="44"/>
          <w:lang w:val="en-US" w:eastAsia="en-US"/>
        </w:rPr>
        <w:t xml:space="preserve">项 目 编 号 </w:t>
      </w:r>
      <w:r>
        <w:rPr>
          <w:rFonts w:hint="eastAsia"/>
          <w:sz w:val="32"/>
          <w:szCs w:val="44"/>
          <w:lang w:val="en-US" w:eastAsia="zh-CN"/>
        </w:rPr>
        <w:t>：XJXYJS2026ZB0021-SG</w:t>
      </w:r>
    </w:p>
    <w:p w14:paraId="22798B2D">
      <w:pPr>
        <w:pStyle w:val="69"/>
        <w:bidi w:val="0"/>
        <w:spacing w:line="360" w:lineRule="auto"/>
        <w:ind w:firstLine="321" w:firstLineChars="100"/>
        <w:jc w:val="both"/>
        <w:rPr>
          <w:rFonts w:hint="eastAsia" w:eastAsia="宋体" w:cs="Times New Roman"/>
          <w:sz w:val="32"/>
          <w:szCs w:val="44"/>
          <w:lang w:val="en-US" w:eastAsia="zh-CN"/>
        </w:rPr>
      </w:pPr>
      <w:r>
        <w:rPr>
          <w:rFonts w:hint="eastAsia"/>
          <w:sz w:val="32"/>
          <w:szCs w:val="44"/>
        </w:rPr>
        <w:t>采</w:t>
      </w:r>
      <w:r>
        <w:rPr>
          <w:rFonts w:hint="eastAsia"/>
          <w:sz w:val="32"/>
          <w:szCs w:val="44"/>
          <w:lang w:val="en-US" w:eastAsia="zh-CN"/>
        </w:rPr>
        <w:t xml:space="preserve"> </w:t>
      </w:r>
      <w:r>
        <w:rPr>
          <w:rFonts w:hint="eastAsia"/>
          <w:sz w:val="32"/>
          <w:szCs w:val="44"/>
        </w:rPr>
        <w:t>购</w:t>
      </w:r>
      <w:r>
        <w:rPr>
          <w:rFonts w:hint="eastAsia"/>
          <w:sz w:val="32"/>
          <w:szCs w:val="44"/>
          <w:lang w:val="en-US" w:eastAsia="zh-CN"/>
        </w:rPr>
        <w:t xml:space="preserve"> </w:t>
      </w:r>
      <w:r>
        <w:rPr>
          <w:rFonts w:hint="eastAsia"/>
          <w:sz w:val="32"/>
          <w:szCs w:val="44"/>
        </w:rPr>
        <w:t>单</w:t>
      </w:r>
      <w:r>
        <w:rPr>
          <w:rFonts w:hint="eastAsia"/>
          <w:sz w:val="32"/>
          <w:szCs w:val="44"/>
          <w:lang w:val="en-US" w:eastAsia="zh-CN"/>
        </w:rPr>
        <w:t xml:space="preserve"> </w:t>
      </w:r>
      <w:r>
        <w:rPr>
          <w:rFonts w:hint="eastAsia"/>
          <w:sz w:val="32"/>
          <w:szCs w:val="44"/>
        </w:rPr>
        <w:t>位</w:t>
      </w:r>
      <w:r>
        <w:rPr>
          <w:rFonts w:hint="eastAsia"/>
          <w:sz w:val="32"/>
          <w:szCs w:val="44"/>
          <w:lang w:eastAsia="zh-CN"/>
        </w:rPr>
        <w:t>：</w:t>
      </w:r>
      <w:r>
        <w:rPr>
          <w:rFonts w:hint="eastAsia" w:eastAsia="宋体" w:cs="Times New Roman"/>
          <w:sz w:val="32"/>
          <w:szCs w:val="44"/>
          <w:lang w:val="en-US" w:eastAsia="zh-CN"/>
        </w:rPr>
        <w:t>鄯善县人民政府教育局</w:t>
      </w:r>
    </w:p>
    <w:p w14:paraId="4139E9C9">
      <w:pPr>
        <w:pStyle w:val="69"/>
        <w:bidi w:val="0"/>
        <w:spacing w:line="360" w:lineRule="auto"/>
        <w:ind w:firstLine="321" w:firstLineChars="100"/>
        <w:jc w:val="both"/>
        <w:rPr>
          <w:rFonts w:hint="eastAsia"/>
          <w:sz w:val="32"/>
          <w:szCs w:val="44"/>
          <w:lang w:eastAsia="zh-CN"/>
        </w:rPr>
      </w:pPr>
      <w:r>
        <w:rPr>
          <w:rFonts w:hint="eastAsia"/>
          <w:sz w:val="32"/>
          <w:szCs w:val="44"/>
        </w:rPr>
        <w:t>代</w:t>
      </w:r>
      <w:r>
        <w:rPr>
          <w:rFonts w:hint="eastAsia"/>
          <w:sz w:val="32"/>
          <w:szCs w:val="44"/>
          <w:lang w:val="en-US" w:eastAsia="zh-CN"/>
        </w:rPr>
        <w:t xml:space="preserve"> </w:t>
      </w:r>
      <w:r>
        <w:rPr>
          <w:rFonts w:hint="eastAsia"/>
          <w:sz w:val="32"/>
          <w:szCs w:val="44"/>
        </w:rPr>
        <w:t>理</w:t>
      </w:r>
      <w:r>
        <w:rPr>
          <w:rFonts w:hint="eastAsia"/>
          <w:sz w:val="32"/>
          <w:szCs w:val="44"/>
          <w:lang w:val="en-US" w:eastAsia="zh-CN"/>
        </w:rPr>
        <w:t xml:space="preserve"> </w:t>
      </w:r>
      <w:r>
        <w:rPr>
          <w:rFonts w:hint="eastAsia"/>
          <w:sz w:val="32"/>
          <w:szCs w:val="44"/>
        </w:rPr>
        <w:t>公</w:t>
      </w:r>
      <w:r>
        <w:rPr>
          <w:rFonts w:hint="eastAsia"/>
          <w:sz w:val="32"/>
          <w:szCs w:val="44"/>
          <w:lang w:val="en-US" w:eastAsia="zh-CN"/>
        </w:rPr>
        <w:t xml:space="preserve"> </w:t>
      </w:r>
      <w:r>
        <w:rPr>
          <w:rFonts w:hint="eastAsia"/>
          <w:sz w:val="32"/>
          <w:szCs w:val="44"/>
        </w:rPr>
        <w:t>司</w:t>
      </w:r>
      <w:r>
        <w:rPr>
          <w:rFonts w:hint="eastAsia"/>
          <w:sz w:val="32"/>
          <w:szCs w:val="44"/>
          <w:lang w:eastAsia="zh-CN"/>
        </w:rPr>
        <w:t>：新疆新业景顺工程管理有限公司</w:t>
      </w:r>
    </w:p>
    <w:p w14:paraId="33276F3C">
      <w:pPr>
        <w:jc w:val="center"/>
        <w:rPr>
          <w:rFonts w:ascii="仿宋" w:hAnsi="仿宋" w:eastAsia="仿宋" w:cs="仿宋"/>
          <w:b/>
          <w:bCs/>
          <w:spacing w:val="4"/>
          <w:sz w:val="28"/>
          <w:szCs w:val="28"/>
        </w:rPr>
        <w:sectPr>
          <w:headerReference r:id="rId5" w:type="default"/>
          <w:footerReference r:id="rId6" w:type="default"/>
          <w:pgSz w:w="11910" w:h="16840"/>
          <w:pgMar w:top="1431" w:right="1530" w:bottom="1247" w:left="1546" w:header="0" w:footer="1013" w:gutter="0"/>
          <w:cols w:space="720" w:num="1"/>
        </w:sectPr>
      </w:pPr>
      <w:r>
        <w:rPr>
          <w:rFonts w:ascii="仿宋" w:hAnsi="仿宋" w:eastAsia="仿宋" w:cs="仿宋"/>
          <w:b/>
          <w:bCs/>
          <w:spacing w:val="4"/>
          <w:sz w:val="28"/>
          <w:szCs w:val="28"/>
        </w:rPr>
        <w:t>二○二</w:t>
      </w:r>
      <w:r>
        <w:rPr>
          <w:rFonts w:hint="eastAsia" w:ascii="仿宋" w:hAnsi="仿宋" w:eastAsia="仿宋" w:cs="仿宋"/>
          <w:b/>
          <w:bCs/>
          <w:spacing w:val="4"/>
          <w:sz w:val="28"/>
          <w:szCs w:val="28"/>
          <w:lang w:eastAsia="zh-CN"/>
        </w:rPr>
        <w:t>六</w:t>
      </w:r>
      <w:r>
        <w:rPr>
          <w:rFonts w:ascii="仿宋" w:hAnsi="仿宋" w:eastAsia="仿宋" w:cs="仿宋"/>
          <w:b/>
          <w:bCs/>
          <w:spacing w:val="4"/>
          <w:sz w:val="28"/>
          <w:szCs w:val="28"/>
        </w:rPr>
        <w:t>年</w:t>
      </w:r>
      <w:r>
        <w:rPr>
          <w:rFonts w:hint="eastAsia" w:ascii="仿宋" w:hAnsi="仿宋" w:eastAsia="仿宋" w:cs="仿宋"/>
          <w:b/>
          <w:bCs/>
          <w:spacing w:val="4"/>
          <w:sz w:val="28"/>
          <w:szCs w:val="28"/>
          <w:lang w:val="en-US" w:eastAsia="zh-CN"/>
        </w:rPr>
        <w:t>五</w:t>
      </w:r>
      <w:r>
        <w:rPr>
          <w:rFonts w:ascii="仿宋" w:hAnsi="仿宋" w:eastAsia="仿宋" w:cs="仿宋"/>
          <w:b/>
          <w:bCs/>
          <w:spacing w:val="4"/>
          <w:sz w:val="28"/>
          <w:szCs w:val="28"/>
        </w:rPr>
        <w:t>月</w:t>
      </w:r>
    </w:p>
    <w:p w14:paraId="2E6E0FD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 xml:space="preserve">目 </w:t>
      </w:r>
      <w:r>
        <w:rPr>
          <w:rFonts w:hint="eastAsia" w:ascii="宋体" w:hAnsi="宋体" w:eastAsia="宋体"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录</w:t>
      </w:r>
    </w:p>
    <w:p w14:paraId="690A881C">
      <w:pPr>
        <w:pStyle w:val="20"/>
        <w:tabs>
          <w:tab w:val="right" w:leader="dot" w:pos="8834"/>
        </w:tabs>
      </w:pPr>
      <w:r>
        <w:rPr>
          <w:rFonts w:hint="eastAsia" w:ascii="宋体" w:hAnsi="宋体" w:eastAsia="宋体" w:cs="宋体"/>
          <w:b/>
          <w:bCs/>
          <w:i w:val="0"/>
          <w:iCs w:val="0"/>
          <w:color w:val="auto"/>
          <w:sz w:val="36"/>
          <w:szCs w:val="36"/>
          <w:highlight w:val="none"/>
        </w:rPr>
        <w:fldChar w:fldCharType="begin"/>
      </w:r>
      <w:r>
        <w:rPr>
          <w:rFonts w:hint="eastAsia" w:ascii="宋体" w:hAnsi="宋体" w:eastAsia="宋体" w:cs="宋体"/>
          <w:b/>
          <w:bCs/>
          <w:i w:val="0"/>
          <w:iCs w:val="0"/>
          <w:color w:val="auto"/>
          <w:sz w:val="36"/>
          <w:szCs w:val="36"/>
          <w:highlight w:val="none"/>
        </w:rPr>
        <w:instrText xml:space="preserve">TOC \o "1-1" \h \u </w:instrText>
      </w:r>
      <w:r>
        <w:rPr>
          <w:rFonts w:hint="eastAsia" w:ascii="宋体" w:hAnsi="宋体" w:eastAsia="宋体" w:cs="宋体"/>
          <w:b/>
          <w:bCs/>
          <w:i w:val="0"/>
          <w:iCs w:val="0"/>
          <w:color w:val="auto"/>
          <w:sz w:val="36"/>
          <w:szCs w:val="36"/>
          <w:highlight w:val="none"/>
        </w:rPr>
        <w:fldChar w:fldCharType="separate"/>
      </w: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_Toc23674 </w:instrText>
      </w:r>
      <w:r>
        <w:rPr>
          <w:rFonts w:hint="eastAsia" w:ascii="宋体" w:hAnsi="宋体" w:eastAsia="宋体" w:cs="宋体"/>
          <w:bCs/>
          <w:i w:val="0"/>
          <w:iCs w:val="0"/>
          <w:szCs w:val="36"/>
          <w:highlight w:val="none"/>
        </w:rPr>
        <w:fldChar w:fldCharType="separate"/>
      </w:r>
      <w:r>
        <w:rPr>
          <w:rFonts w:hint="eastAsia"/>
          <w:lang w:val="zh-CN" w:eastAsia="zh-CN"/>
        </w:rPr>
        <w:t>第一</w:t>
      </w:r>
      <w:r>
        <w:rPr>
          <w:rFonts w:hint="eastAsia"/>
          <w:lang w:val="en-US" w:eastAsia="zh-CN"/>
        </w:rPr>
        <w:t>章 竞争性磋商</w:t>
      </w:r>
      <w:r>
        <w:rPr>
          <w:rFonts w:hint="eastAsia"/>
        </w:rPr>
        <w:t>公告</w:t>
      </w:r>
      <w:r>
        <w:tab/>
      </w:r>
      <w:r>
        <w:fldChar w:fldCharType="begin"/>
      </w:r>
      <w:r>
        <w:instrText xml:space="preserve"> PAGEREF _Toc23674 \h </w:instrText>
      </w:r>
      <w:r>
        <w:fldChar w:fldCharType="separate"/>
      </w:r>
      <w:r>
        <w:t>2</w:t>
      </w:r>
      <w:r>
        <w:fldChar w:fldCharType="end"/>
      </w:r>
      <w:r>
        <w:rPr>
          <w:rFonts w:hint="eastAsia" w:ascii="宋体" w:hAnsi="宋体" w:eastAsia="宋体" w:cs="宋体"/>
          <w:bCs/>
          <w:i w:val="0"/>
          <w:iCs w:val="0"/>
          <w:color w:val="auto"/>
          <w:szCs w:val="36"/>
          <w:highlight w:val="none"/>
        </w:rPr>
        <w:fldChar w:fldCharType="end"/>
      </w:r>
    </w:p>
    <w:p w14:paraId="48E0BA3E">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_Toc1627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第二章 供应商须知</w:t>
      </w:r>
      <w:r>
        <w:tab/>
      </w:r>
      <w:r>
        <w:fldChar w:fldCharType="begin"/>
      </w:r>
      <w:r>
        <w:instrText xml:space="preserve"> PAGEREF _Toc1627 \h </w:instrText>
      </w:r>
      <w:r>
        <w:fldChar w:fldCharType="separate"/>
      </w:r>
      <w:r>
        <w:t>6</w:t>
      </w:r>
      <w:r>
        <w:fldChar w:fldCharType="end"/>
      </w:r>
      <w:r>
        <w:rPr>
          <w:rFonts w:hint="eastAsia" w:ascii="宋体" w:hAnsi="宋体" w:eastAsia="宋体" w:cs="宋体"/>
          <w:bCs/>
          <w:i w:val="0"/>
          <w:iCs w:val="0"/>
          <w:color w:val="auto"/>
          <w:szCs w:val="36"/>
          <w:highlight w:val="none"/>
        </w:rPr>
        <w:fldChar w:fldCharType="end"/>
      </w:r>
    </w:p>
    <w:p w14:paraId="77A524DE">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_Toc5241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第三章 项目采购需求</w:t>
      </w:r>
      <w:r>
        <w:tab/>
      </w:r>
      <w:r>
        <w:fldChar w:fldCharType="begin"/>
      </w:r>
      <w:r>
        <w:instrText xml:space="preserve"> PAGEREF _Toc5241 \h </w:instrText>
      </w:r>
      <w:r>
        <w:fldChar w:fldCharType="separate"/>
      </w:r>
      <w:r>
        <w:t>34</w:t>
      </w:r>
      <w:r>
        <w:fldChar w:fldCharType="end"/>
      </w:r>
      <w:r>
        <w:rPr>
          <w:rFonts w:hint="eastAsia" w:ascii="宋体" w:hAnsi="宋体" w:eastAsia="宋体" w:cs="宋体"/>
          <w:bCs/>
          <w:i w:val="0"/>
          <w:iCs w:val="0"/>
          <w:color w:val="auto"/>
          <w:szCs w:val="36"/>
          <w:highlight w:val="none"/>
        </w:rPr>
        <w:fldChar w:fldCharType="end"/>
      </w:r>
    </w:p>
    <w:p w14:paraId="55AA5FF2">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_Toc16785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第四章 评审方法及标准</w:t>
      </w:r>
      <w:r>
        <w:tab/>
      </w:r>
      <w:r>
        <w:fldChar w:fldCharType="begin"/>
      </w:r>
      <w:r>
        <w:instrText xml:space="preserve"> PAGEREF _Toc16785 \h </w:instrText>
      </w:r>
      <w:r>
        <w:fldChar w:fldCharType="separate"/>
      </w:r>
      <w:r>
        <w:t>38</w:t>
      </w:r>
      <w:r>
        <w:fldChar w:fldCharType="end"/>
      </w:r>
      <w:r>
        <w:rPr>
          <w:rFonts w:hint="eastAsia" w:ascii="宋体" w:hAnsi="宋体" w:eastAsia="宋体" w:cs="宋体"/>
          <w:bCs/>
          <w:i w:val="0"/>
          <w:iCs w:val="0"/>
          <w:color w:val="auto"/>
          <w:szCs w:val="36"/>
          <w:highlight w:val="none"/>
        </w:rPr>
        <w:fldChar w:fldCharType="end"/>
      </w:r>
    </w:p>
    <w:p w14:paraId="707F90D5">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_Toc991 </w:instrText>
      </w:r>
      <w:r>
        <w:rPr>
          <w:rFonts w:hint="eastAsia" w:ascii="宋体" w:hAnsi="宋体" w:eastAsia="宋体" w:cs="宋体"/>
          <w:bCs/>
          <w:i w:val="0"/>
          <w:iCs w:val="0"/>
          <w:szCs w:val="36"/>
          <w:highlight w:val="none"/>
        </w:rPr>
        <w:fldChar w:fldCharType="separate"/>
      </w:r>
      <w:r>
        <w:rPr>
          <w:rFonts w:hint="eastAsia" w:ascii="宋体" w:hAnsi="宋体" w:eastAsia="宋体" w:cs="宋体"/>
          <w:bCs/>
          <w:kern w:val="44"/>
          <w:szCs w:val="36"/>
          <w:highlight w:val="none"/>
          <w:lang w:val="en-US" w:eastAsia="zh-CN" w:bidi="ar-SA"/>
        </w:rPr>
        <w:t xml:space="preserve">第五章 </w:t>
      </w:r>
      <w:r>
        <w:rPr>
          <w:rFonts w:hint="eastAsia" w:ascii="宋体" w:hAnsi="宋体" w:eastAsia="宋体" w:cs="宋体"/>
          <w:bCs/>
          <w:kern w:val="44"/>
          <w:szCs w:val="36"/>
          <w:highlight w:val="none"/>
          <w:lang w:val="zh-CN" w:eastAsia="zh-CN" w:bidi="ar-SA"/>
        </w:rPr>
        <w:t>合同草案</w:t>
      </w:r>
      <w:r>
        <w:tab/>
      </w:r>
      <w:r>
        <w:fldChar w:fldCharType="begin"/>
      </w:r>
      <w:r>
        <w:instrText xml:space="preserve"> PAGEREF _Toc991 \h </w:instrText>
      </w:r>
      <w:r>
        <w:fldChar w:fldCharType="separate"/>
      </w:r>
      <w:r>
        <w:t>50</w:t>
      </w:r>
      <w:r>
        <w:fldChar w:fldCharType="end"/>
      </w:r>
      <w:r>
        <w:rPr>
          <w:rFonts w:hint="eastAsia" w:ascii="宋体" w:hAnsi="宋体" w:eastAsia="宋体" w:cs="宋体"/>
          <w:bCs/>
          <w:i w:val="0"/>
          <w:iCs w:val="0"/>
          <w:color w:val="auto"/>
          <w:szCs w:val="36"/>
          <w:highlight w:val="none"/>
        </w:rPr>
        <w:fldChar w:fldCharType="end"/>
      </w:r>
    </w:p>
    <w:p w14:paraId="38DAA746">
      <w:pPr>
        <w:pStyle w:val="20"/>
        <w:tabs>
          <w:tab w:val="right" w:leader="dot" w:pos="8834"/>
        </w:tabs>
      </w:pPr>
      <w:r>
        <w:rPr>
          <w:rFonts w:hint="eastAsia" w:ascii="宋体" w:hAnsi="宋体" w:eastAsia="宋体" w:cs="宋体"/>
          <w:bCs/>
          <w:i w:val="0"/>
          <w:iCs w:val="0"/>
          <w:color w:val="auto"/>
          <w:szCs w:val="36"/>
          <w:highlight w:val="none"/>
        </w:rPr>
        <w:fldChar w:fldCharType="begin"/>
      </w:r>
      <w:r>
        <w:rPr>
          <w:rFonts w:hint="eastAsia" w:ascii="宋体" w:hAnsi="宋体" w:eastAsia="宋体" w:cs="宋体"/>
          <w:bCs/>
          <w:i w:val="0"/>
          <w:iCs w:val="0"/>
          <w:szCs w:val="36"/>
          <w:highlight w:val="none"/>
        </w:rPr>
        <w:instrText xml:space="preserve"> HYPERLINK \l _Toc12385 </w:instrText>
      </w:r>
      <w:r>
        <w:rPr>
          <w:rFonts w:hint="eastAsia" w:ascii="宋体" w:hAnsi="宋体" w:eastAsia="宋体" w:cs="宋体"/>
          <w:bCs/>
          <w:i w:val="0"/>
          <w:iCs w:val="0"/>
          <w:szCs w:val="36"/>
          <w:highlight w:val="none"/>
        </w:rPr>
        <w:fldChar w:fldCharType="separate"/>
      </w:r>
      <w:r>
        <w:rPr>
          <w:rFonts w:hint="eastAsia"/>
          <w:lang w:val="en-US" w:eastAsia="zh-CN"/>
        </w:rPr>
        <w:t xml:space="preserve">第六章 </w:t>
      </w:r>
      <w:r>
        <w:rPr>
          <w:rFonts w:hint="eastAsia"/>
        </w:rPr>
        <w:t>响应文件的格式</w:t>
      </w:r>
      <w:r>
        <w:tab/>
      </w:r>
      <w:r>
        <w:fldChar w:fldCharType="begin"/>
      </w:r>
      <w:r>
        <w:instrText xml:space="preserve"> PAGEREF _Toc12385 \h </w:instrText>
      </w:r>
      <w:r>
        <w:fldChar w:fldCharType="separate"/>
      </w:r>
      <w:r>
        <w:t>151</w:t>
      </w:r>
      <w:r>
        <w:fldChar w:fldCharType="end"/>
      </w:r>
      <w:r>
        <w:rPr>
          <w:rFonts w:hint="eastAsia" w:ascii="宋体" w:hAnsi="宋体" w:eastAsia="宋体" w:cs="宋体"/>
          <w:bCs/>
          <w:i w:val="0"/>
          <w:iCs w:val="0"/>
          <w:color w:val="auto"/>
          <w:szCs w:val="36"/>
          <w:highlight w:val="none"/>
        </w:rPr>
        <w:fldChar w:fldCharType="end"/>
      </w:r>
    </w:p>
    <w:p w14:paraId="43054BA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Cs/>
          <w:i w:val="0"/>
          <w:iCs w:val="0"/>
          <w:color w:val="auto"/>
          <w:szCs w:val="36"/>
          <w:highlight w:val="none"/>
        </w:rPr>
        <w:fldChar w:fldCharType="end"/>
      </w:r>
    </w:p>
    <w:p w14:paraId="100D7384">
      <w:pP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br w:type="page"/>
      </w:r>
    </w:p>
    <w:p w14:paraId="68215562">
      <w:pPr>
        <w:pStyle w:val="3"/>
        <w:bidi w:val="0"/>
        <w:rPr>
          <w:rFonts w:hint="eastAsia"/>
        </w:rPr>
      </w:pPr>
      <w:bookmarkStart w:id="0" w:name="_Toc28988"/>
      <w:bookmarkStart w:id="1" w:name="_Toc23674"/>
      <w:bookmarkStart w:id="2" w:name="_Toc15482"/>
      <w:bookmarkStart w:id="3" w:name="_Toc10575"/>
      <w:bookmarkStart w:id="4" w:name="_Toc163493608"/>
      <w:bookmarkStart w:id="5" w:name="_Toc10194"/>
      <w:r>
        <w:rPr>
          <w:rFonts w:hint="eastAsia"/>
          <w:lang w:val="zh-CN" w:eastAsia="zh-CN"/>
        </w:rPr>
        <w:t>第一</w:t>
      </w:r>
      <w:r>
        <w:rPr>
          <w:rFonts w:hint="eastAsia"/>
          <w:lang w:val="en-US" w:eastAsia="zh-CN"/>
        </w:rPr>
        <w:t>章 竞争性磋商</w:t>
      </w:r>
      <w:r>
        <w:rPr>
          <w:rFonts w:hint="eastAsia"/>
        </w:rPr>
        <w:t>公告</w:t>
      </w:r>
      <w:bookmarkEnd w:id="0"/>
      <w:bookmarkEnd w:id="1"/>
    </w:p>
    <w:p w14:paraId="2C3D96C8">
      <w:pPr>
        <w:pStyle w:val="69"/>
        <w:bidi w:val="0"/>
        <w:rPr>
          <w:rFonts w:hint="eastAsia" w:ascii="仿宋" w:hAnsi="仿宋" w:eastAsia="仿宋" w:cs="仿宋"/>
          <w:b w:val="0"/>
          <w:color w:val="auto"/>
          <w:kern w:val="0"/>
          <w:sz w:val="36"/>
          <w:szCs w:val="36"/>
          <w:highlight w:val="none"/>
          <w:lang w:val="en-US" w:eastAsia="zh-CN" w:bidi="zh-CN"/>
        </w:rPr>
      </w:pPr>
      <w:r>
        <w:rPr>
          <w:rFonts w:hint="eastAsia" w:ascii="仿宋" w:hAnsi="仿宋" w:eastAsia="仿宋" w:cs="仿宋"/>
          <w:b w:val="0"/>
          <w:color w:val="auto"/>
          <w:kern w:val="0"/>
          <w:sz w:val="36"/>
          <w:szCs w:val="36"/>
          <w:highlight w:val="none"/>
          <w:lang w:val="en-US" w:eastAsia="zh-CN" w:bidi="zh-CN"/>
        </w:rPr>
        <w:t>鄯善县鲁克沁镇第一中学教学楼内外墙面修缮改造项目</w:t>
      </w:r>
    </w:p>
    <w:p w14:paraId="1686533E">
      <w:pPr>
        <w:pStyle w:val="69"/>
        <w:bidi w:val="0"/>
        <w:rPr>
          <w:rFonts w:hint="eastAsia" w:ascii="仿宋" w:hAnsi="仿宋" w:eastAsia="仿宋" w:cs="仿宋"/>
          <w:b w:val="0"/>
          <w:color w:val="auto"/>
          <w:kern w:val="0"/>
          <w:sz w:val="36"/>
          <w:szCs w:val="36"/>
          <w:highlight w:val="none"/>
          <w:lang w:val="en-US" w:eastAsia="zh-CN" w:bidi="zh-CN"/>
        </w:rPr>
      </w:pPr>
      <w:r>
        <w:rPr>
          <w:rFonts w:hint="eastAsia" w:ascii="仿宋" w:hAnsi="仿宋" w:eastAsia="仿宋" w:cs="仿宋"/>
          <w:b w:val="0"/>
          <w:color w:val="auto"/>
          <w:kern w:val="0"/>
          <w:sz w:val="36"/>
          <w:szCs w:val="36"/>
          <w:highlight w:val="none"/>
          <w:lang w:val="en-US" w:eastAsia="zh-CN" w:bidi="zh-CN"/>
        </w:rPr>
        <w:t>竞争性磋商公告</w:t>
      </w:r>
    </w:p>
    <w:tbl>
      <w:tblPr>
        <w:tblStyle w:val="64"/>
        <w:tblW w:w="9105" w:type="dxa"/>
        <w:tblInd w:w="179"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5"/>
      </w:tblGrid>
      <w:tr w14:paraId="1940E73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16" w:hRule="atLeast"/>
        </w:trPr>
        <w:tc>
          <w:tcPr>
            <w:tcW w:w="9105" w:type="dxa"/>
            <w:vAlign w:val="top"/>
          </w:tcPr>
          <w:p w14:paraId="57C29556">
            <w:pPr>
              <w:pageBreakBefore w:val="0"/>
              <w:tabs>
                <w:tab w:val="left" w:pos="218"/>
              </w:tabs>
              <w:kinsoku/>
              <w:overflowPunct/>
              <w:topLinePunct w:val="0"/>
              <w:bidi w:val="0"/>
              <w:spacing w:before="139" w:line="360" w:lineRule="auto"/>
              <w:ind w:left="83" w:right="86" w:firstLine="505"/>
              <w:jc w:val="both"/>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鄯善县鲁克沁镇第一中学教学楼内外墙面修缮改造项目的潜在供应商应在政采云平台http：//www.zcygov.cn/在线获取采购文件。并于2026年06月11日10：00时（北京时间）前提交响应文件。</w:t>
            </w:r>
          </w:p>
        </w:tc>
      </w:tr>
    </w:tbl>
    <w:p w14:paraId="0D4EC123">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一、项目基本情况</w:t>
      </w:r>
    </w:p>
    <w:p w14:paraId="0C9B04C4">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项目编号：XJXYJS2026ZB0021-SG</w:t>
      </w:r>
    </w:p>
    <w:p w14:paraId="2DD0453C">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项目名称：鄯善县鲁克沁镇第一中学教学楼内外墙面修缮改造项目</w:t>
      </w:r>
    </w:p>
    <w:p w14:paraId="3441CB8F">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采购方式：竞争性磋商</w:t>
      </w:r>
    </w:p>
    <w:p w14:paraId="64006ED7">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预算金额（元）：500000</w:t>
      </w:r>
    </w:p>
    <w:p w14:paraId="2739ED82">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最高限价（元）：485688.57</w:t>
      </w:r>
    </w:p>
    <w:p w14:paraId="53CCC09B">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采购需求：详见工程量清单</w:t>
      </w:r>
    </w:p>
    <w:p w14:paraId="6CD22087">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标项名称：鄯善县鲁克沁镇第一中学教学楼内外墙面修缮改造项目</w:t>
      </w:r>
    </w:p>
    <w:p w14:paraId="68E9FE9A">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数量：1</w:t>
      </w:r>
    </w:p>
    <w:p w14:paraId="0F8AC680">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单位：项</w:t>
      </w:r>
    </w:p>
    <w:p w14:paraId="5568B852">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简要规格描述：对教学楼内外墙面进行修缮改造。（详见工程量清单）</w:t>
      </w:r>
    </w:p>
    <w:p w14:paraId="77CA9E02">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备注：</w:t>
      </w:r>
    </w:p>
    <w:p w14:paraId="72A89977">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合同履约期限：</w:t>
      </w:r>
      <w:r>
        <w:rPr>
          <w:rFonts w:ascii="仿宋" w:hAnsi="仿宋" w:eastAsia="仿宋" w:cs="仿宋"/>
          <w:i w:val="0"/>
          <w:iCs w:val="0"/>
          <w:caps w:val="0"/>
          <w:color w:val="000000"/>
          <w:spacing w:val="0"/>
          <w:sz w:val="27"/>
          <w:szCs w:val="27"/>
        </w:rPr>
        <w:t>合同签订后</w:t>
      </w:r>
      <w:r>
        <w:rPr>
          <w:rFonts w:hint="eastAsia" w:ascii="仿宋" w:hAnsi="仿宋" w:eastAsia="仿宋" w:cs="仿宋"/>
          <w:i w:val="0"/>
          <w:iCs w:val="0"/>
          <w:caps w:val="0"/>
          <w:color w:val="000000"/>
          <w:spacing w:val="0"/>
          <w:sz w:val="27"/>
          <w:szCs w:val="27"/>
          <w:lang w:val="en-US" w:eastAsia="zh-CN"/>
        </w:rPr>
        <w:t>60</w:t>
      </w:r>
      <w:r>
        <w:rPr>
          <w:rFonts w:ascii="仿宋" w:hAnsi="仿宋" w:eastAsia="仿宋" w:cs="仿宋"/>
          <w:i w:val="0"/>
          <w:iCs w:val="0"/>
          <w:caps w:val="0"/>
          <w:color w:val="000000"/>
          <w:spacing w:val="0"/>
          <w:sz w:val="27"/>
          <w:szCs w:val="27"/>
        </w:rPr>
        <w:t>日历天</w:t>
      </w:r>
      <w:r>
        <w:rPr>
          <w:rFonts w:hint="eastAsia" w:ascii="仿宋" w:hAnsi="仿宋" w:eastAsia="仿宋" w:cs="仿宋"/>
          <w:b w:val="0"/>
          <w:color w:val="auto"/>
          <w:kern w:val="0"/>
          <w:sz w:val="28"/>
          <w:szCs w:val="28"/>
          <w:highlight w:val="none"/>
          <w:lang w:val="en-US" w:eastAsia="zh-CN" w:bidi="zh-CN"/>
        </w:rPr>
        <w:t>。</w:t>
      </w:r>
    </w:p>
    <w:p w14:paraId="34085626">
      <w:pPr>
        <w:pageBreakBefore w:val="0"/>
        <w:kinsoku/>
        <w:overflowPunct/>
        <w:topLinePunct w:val="0"/>
        <w:bidi w:val="0"/>
        <w:spacing w:line="360" w:lineRule="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本项目（否）接受联合体投标。</w:t>
      </w:r>
    </w:p>
    <w:p w14:paraId="53A968AC">
      <w:pPr>
        <w:pageBreakBefore w:val="0"/>
        <w:kinsoku/>
        <w:overflowPunct/>
        <w:topLinePunct w:val="0"/>
        <w:bidi w:val="0"/>
        <w:spacing w:line="360" w:lineRule="auto"/>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二、申请人的资格要求：</w:t>
      </w:r>
    </w:p>
    <w:p w14:paraId="42252E44">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1.满足《中华人民共和国政府采购法》第二十二条规定；</w:t>
      </w:r>
    </w:p>
    <w:p w14:paraId="5ED40A38">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2.落实政府采购政策需满足的资格要求：专门面向中小企业；</w:t>
      </w:r>
    </w:p>
    <w:p w14:paraId="197303D9">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3.本项目的特定资格要求：</w:t>
      </w:r>
    </w:p>
    <w:p w14:paraId="5BDE21C7">
      <w:pPr>
        <w:pageBreakBefore w:val="0"/>
        <w:kinsoku/>
        <w:overflowPunct/>
        <w:topLinePunct w:val="0"/>
        <w:bidi w:val="0"/>
        <w:rPr>
          <w:rFonts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1）</w:t>
      </w:r>
      <w:r>
        <w:rPr>
          <w:rFonts w:ascii="仿宋" w:hAnsi="仿宋" w:eastAsia="仿宋" w:cs="仿宋"/>
          <w:i w:val="0"/>
          <w:iCs w:val="0"/>
          <w:caps w:val="0"/>
          <w:color w:val="auto"/>
          <w:spacing w:val="0"/>
          <w:sz w:val="27"/>
          <w:szCs w:val="27"/>
        </w:rPr>
        <w:t>须具有有效的建筑工程施工总承包三级及以上资质、具有有效的安全生产许可证，并在人员、设备、资金等方面具有相应的施工能力；</w:t>
      </w:r>
    </w:p>
    <w:p w14:paraId="2DC01640">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ascii="仿宋" w:hAnsi="仿宋" w:eastAsia="仿宋" w:cs="仿宋"/>
          <w:i w:val="0"/>
          <w:iCs w:val="0"/>
          <w:caps w:val="0"/>
          <w:color w:val="auto"/>
          <w:spacing w:val="0"/>
          <w:sz w:val="27"/>
          <w:szCs w:val="27"/>
        </w:rPr>
        <w:t>（2）项目负责人要求：应具备合格有效期内的建筑工程专业贰级以上（含）注册建造师执业资格、有效的安全生产考核合格证（B类），且未担任其他在施建设工程项目的项目负责人。</w:t>
      </w:r>
    </w:p>
    <w:p w14:paraId="7801CE48">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三、获取采购文件</w:t>
      </w:r>
    </w:p>
    <w:p w14:paraId="2E2F335D">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1、时间：2026年05月26日至2026年06月05日，每天上午 00：00至14：00，下午 14：00 至 23：59（北京时间，法定节假日除外）</w:t>
      </w:r>
    </w:p>
    <w:p w14:paraId="4216C82E">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2、地点：政采云平台（https：//www.zcygov.cn/）线上获取</w:t>
      </w:r>
    </w:p>
    <w:p w14:paraId="7AA4AF8A">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 xml:space="preserve">3、方式：在符合该招标（采购）公告投标人资格要求条件的前提下，登录政采云平台 </w:t>
      </w:r>
      <w:r>
        <w:rPr>
          <w:rFonts w:hint="eastAsia" w:ascii="仿宋" w:hAnsi="仿宋" w:eastAsia="仿宋" w:cs="仿宋"/>
          <w:b w:val="0"/>
          <w:color w:val="auto"/>
          <w:kern w:val="0"/>
          <w:sz w:val="28"/>
          <w:szCs w:val="28"/>
          <w:highlight w:val="none"/>
          <w:lang w:val="en-US" w:eastAsia="zh-CN" w:bidi="zh-CN"/>
        </w:rPr>
        <w:fldChar w:fldCharType="begin"/>
      </w:r>
      <w:r>
        <w:rPr>
          <w:rFonts w:hint="eastAsia" w:ascii="仿宋" w:hAnsi="仿宋" w:eastAsia="仿宋" w:cs="仿宋"/>
          <w:b w:val="0"/>
          <w:color w:val="auto"/>
          <w:kern w:val="0"/>
          <w:sz w:val="28"/>
          <w:szCs w:val="28"/>
          <w:highlight w:val="none"/>
          <w:lang w:val="en-US" w:eastAsia="zh-CN" w:bidi="zh-CN"/>
        </w:rPr>
        <w:instrText xml:space="preserve"> HYPERLINK "https://www.zcygov.cn/" </w:instrText>
      </w:r>
      <w:r>
        <w:rPr>
          <w:rFonts w:hint="eastAsia" w:ascii="仿宋" w:hAnsi="仿宋" w:eastAsia="仿宋" w:cs="仿宋"/>
          <w:b w:val="0"/>
          <w:color w:val="auto"/>
          <w:kern w:val="0"/>
          <w:sz w:val="28"/>
          <w:szCs w:val="28"/>
          <w:highlight w:val="none"/>
          <w:lang w:val="en-US" w:eastAsia="zh-CN" w:bidi="zh-CN"/>
        </w:rPr>
        <w:fldChar w:fldCharType="separate"/>
      </w:r>
      <w:r>
        <w:rPr>
          <w:rFonts w:hint="eastAsia" w:ascii="仿宋" w:hAnsi="仿宋" w:eastAsia="仿宋" w:cs="仿宋"/>
          <w:b w:val="0"/>
          <w:color w:val="auto"/>
          <w:kern w:val="0"/>
          <w:sz w:val="28"/>
          <w:szCs w:val="28"/>
          <w:highlight w:val="none"/>
          <w:lang w:val="en-US" w:eastAsia="zh-CN" w:bidi="zh-CN"/>
        </w:rPr>
        <w:t>https：//www.zcygov.cn/</w:t>
      </w:r>
      <w:r>
        <w:rPr>
          <w:rFonts w:hint="eastAsia" w:ascii="仿宋" w:hAnsi="仿宋" w:eastAsia="仿宋" w:cs="仿宋"/>
          <w:b w:val="0"/>
          <w:color w:val="auto"/>
          <w:kern w:val="0"/>
          <w:sz w:val="28"/>
          <w:szCs w:val="28"/>
          <w:highlight w:val="none"/>
          <w:lang w:val="en-US" w:eastAsia="zh-CN" w:bidi="zh-CN"/>
        </w:rPr>
        <w:fldChar w:fldCharType="end"/>
      </w:r>
      <w:r>
        <w:rPr>
          <w:rFonts w:hint="eastAsia" w:ascii="仿宋" w:hAnsi="仿宋" w:eastAsia="仿宋" w:cs="仿宋"/>
          <w:b w:val="0"/>
          <w:color w:val="auto"/>
          <w:kern w:val="0"/>
          <w:sz w:val="28"/>
          <w:szCs w:val="28"/>
          <w:highlight w:val="none"/>
          <w:lang w:val="en-US" w:eastAsia="zh-CN" w:bidi="zh-CN"/>
        </w:rPr>
        <w:t>在线申请获取采购文件（进入“项目采购 ”应用，在获取采购文 件菜单中选择项目， 申请获取采购文件），或者点击采购公告底部潜在供应商“获取采购 文件 ”，页面跳转后登陆，直接获取采购文件。</w:t>
      </w:r>
    </w:p>
    <w:p w14:paraId="1DDB6E94">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4、售价（元）：0</w:t>
      </w:r>
    </w:p>
    <w:p w14:paraId="576DB398">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四、响应文件提交</w:t>
      </w:r>
    </w:p>
    <w:p w14:paraId="5E00DB8F">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截止时间：2026 年06月11日 10：00 时（北京时间）</w:t>
      </w:r>
    </w:p>
    <w:p w14:paraId="55FB2231">
      <w:pPr>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地点：投标截止前供应商前往“政采云 ”平台（https：//www.zcygov.cn）上传加密的响应文件；</w:t>
      </w:r>
    </w:p>
    <w:p w14:paraId="34C08015">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五、开启</w:t>
      </w:r>
    </w:p>
    <w:p w14:paraId="362DF30A">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时间：2026 年06月11日 10：00 时（北京时间）</w:t>
      </w:r>
    </w:p>
    <w:p w14:paraId="11544664">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地点：政采云平台不见面开标大厅（网址：https：//www.zcygov.cn/）</w:t>
      </w:r>
    </w:p>
    <w:p w14:paraId="523F2022">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六、公告期限</w:t>
      </w:r>
    </w:p>
    <w:p w14:paraId="7854C6A1">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自本公告发布之日起 5 个工作日。</w:t>
      </w:r>
    </w:p>
    <w:p w14:paraId="2861F521">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七、其他补充事宜</w:t>
      </w:r>
    </w:p>
    <w:p w14:paraId="3E654123">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1.本项目实行网上投标，采用响应文件电子标书；</w:t>
      </w:r>
    </w:p>
    <w:p w14:paraId="37239B77">
      <w:pPr>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2.各供应商在开标前应确保成为新疆政府采购网正式注册入库供应商，并完成 CA 数字证书 （符合国密标准）申领。因未注册入库、未办理 CA 数字证书等原因造成无法投标或投标失败 等后果由供应商自行承担。有意向参与电子开评标的供应商，可访问新疆数字证书认证中心官方网站（</w:t>
      </w:r>
      <w:r>
        <w:rPr>
          <w:rFonts w:hint="eastAsia" w:ascii="仿宋" w:hAnsi="仿宋" w:eastAsia="仿宋" w:cs="仿宋"/>
          <w:b w:val="0"/>
          <w:color w:val="auto"/>
          <w:kern w:val="0"/>
          <w:sz w:val="28"/>
          <w:szCs w:val="28"/>
          <w:highlight w:val="none"/>
          <w:lang w:val="en-US" w:eastAsia="zh-CN" w:bidi="zh-CN"/>
        </w:rPr>
        <w:fldChar w:fldCharType="begin"/>
      </w:r>
      <w:r>
        <w:rPr>
          <w:rFonts w:hint="eastAsia" w:ascii="仿宋" w:hAnsi="仿宋" w:eastAsia="仿宋" w:cs="仿宋"/>
          <w:b w:val="0"/>
          <w:color w:val="auto"/>
          <w:kern w:val="0"/>
          <w:sz w:val="28"/>
          <w:szCs w:val="28"/>
          <w:highlight w:val="none"/>
          <w:lang w:val="en-US" w:eastAsia="zh-CN" w:bidi="zh-CN"/>
        </w:rPr>
        <w:instrText xml:space="preserve"> HYPERLINK "https://www.xjca.com.cn/" </w:instrText>
      </w:r>
      <w:r>
        <w:rPr>
          <w:rFonts w:hint="eastAsia" w:ascii="仿宋" w:hAnsi="仿宋" w:eastAsia="仿宋" w:cs="仿宋"/>
          <w:b w:val="0"/>
          <w:color w:val="auto"/>
          <w:kern w:val="0"/>
          <w:sz w:val="28"/>
          <w:szCs w:val="28"/>
          <w:highlight w:val="none"/>
          <w:lang w:val="en-US" w:eastAsia="zh-CN" w:bidi="zh-CN"/>
        </w:rPr>
        <w:fldChar w:fldCharType="separate"/>
      </w:r>
      <w:r>
        <w:rPr>
          <w:rFonts w:hint="eastAsia" w:ascii="仿宋" w:hAnsi="仿宋" w:eastAsia="仿宋" w:cs="仿宋"/>
          <w:b w:val="0"/>
          <w:color w:val="auto"/>
          <w:kern w:val="0"/>
          <w:sz w:val="28"/>
          <w:szCs w:val="28"/>
          <w:highlight w:val="none"/>
          <w:lang w:val="en-US" w:eastAsia="zh-CN" w:bidi="zh-CN"/>
        </w:rPr>
        <w:t>https：//www.xjca.com.cn/</w:t>
      </w:r>
      <w:r>
        <w:rPr>
          <w:rFonts w:hint="eastAsia" w:ascii="仿宋" w:hAnsi="仿宋" w:eastAsia="仿宋" w:cs="仿宋"/>
          <w:b w:val="0"/>
          <w:color w:val="auto"/>
          <w:kern w:val="0"/>
          <w:sz w:val="28"/>
          <w:szCs w:val="28"/>
          <w:highlight w:val="none"/>
          <w:lang w:val="en-US" w:eastAsia="zh-CN" w:bidi="zh-CN"/>
        </w:rPr>
        <w:fldChar w:fldCharType="end"/>
      </w:r>
      <w:r>
        <w:rPr>
          <w:rFonts w:hint="eastAsia" w:ascii="仿宋" w:hAnsi="仿宋" w:eastAsia="仿宋" w:cs="仿宋"/>
          <w:b w:val="0"/>
          <w:color w:val="auto"/>
          <w:kern w:val="0"/>
          <w:sz w:val="28"/>
          <w:szCs w:val="28"/>
          <w:highlight w:val="none"/>
          <w:lang w:val="en-US" w:eastAsia="zh-CN" w:bidi="zh-CN"/>
        </w:rPr>
        <w:t>）或下载“新疆政务通 ”APP 自行申领。如需咨询，请联系新疆 CA 服务热线 0991-2819290；</w:t>
      </w:r>
    </w:p>
    <w:p w14:paraId="1A41CD3C">
      <w:pPr>
        <w:keepNext w:val="0"/>
        <w:keepLines w:val="0"/>
        <w:pageBreakBefore w:val="0"/>
        <w:widowControl w:val="0"/>
        <w:kinsoku/>
        <w:wordWrap w:val="0"/>
        <w:overflowPunct/>
        <w:topLinePunct w:val="0"/>
        <w:autoSpaceDE w:val="0"/>
        <w:autoSpaceDN w:val="0"/>
        <w:bidi w:val="0"/>
        <w:adjustRightInd/>
        <w:snapToGrid/>
        <w:textAlignment w:val="auto"/>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3.供应商在完成政采云电子交易客户端下载、安装后，可通过账号密码或 CA 登录客户端进 行投标文件的制作。在使用政采云投标客户端时，建议使用 WIN7 及以上操作系统。客户端请 至新疆政府采购网（</w:t>
      </w:r>
      <w:r>
        <w:rPr>
          <w:rFonts w:hint="eastAsia" w:ascii="仿宋" w:hAnsi="仿宋" w:eastAsia="仿宋" w:cs="仿宋"/>
          <w:b w:val="0"/>
          <w:color w:val="auto"/>
          <w:kern w:val="0"/>
          <w:sz w:val="28"/>
          <w:szCs w:val="28"/>
          <w:highlight w:val="none"/>
          <w:lang w:val="en-US" w:eastAsia="zh-CN" w:bidi="zh-CN"/>
        </w:rPr>
        <w:fldChar w:fldCharType="begin"/>
      </w:r>
      <w:r>
        <w:rPr>
          <w:rFonts w:hint="eastAsia" w:ascii="仿宋" w:hAnsi="仿宋" w:eastAsia="仿宋" w:cs="仿宋"/>
          <w:b w:val="0"/>
          <w:color w:val="auto"/>
          <w:kern w:val="0"/>
          <w:sz w:val="28"/>
          <w:szCs w:val="28"/>
          <w:highlight w:val="none"/>
          <w:lang w:val="en-US" w:eastAsia="zh-CN" w:bidi="zh-CN"/>
        </w:rPr>
        <w:instrText xml:space="preserve"> HYPERLINK "http://www.ccgp-xinjiang.gov.cn/" </w:instrText>
      </w:r>
      <w:r>
        <w:rPr>
          <w:rFonts w:hint="eastAsia" w:ascii="仿宋" w:hAnsi="仿宋" w:eastAsia="仿宋" w:cs="仿宋"/>
          <w:b w:val="0"/>
          <w:color w:val="auto"/>
          <w:kern w:val="0"/>
          <w:sz w:val="28"/>
          <w:szCs w:val="28"/>
          <w:highlight w:val="none"/>
          <w:lang w:val="en-US" w:eastAsia="zh-CN" w:bidi="zh-CN"/>
        </w:rPr>
        <w:fldChar w:fldCharType="separate"/>
      </w:r>
      <w:r>
        <w:rPr>
          <w:rFonts w:hint="eastAsia" w:ascii="仿宋" w:hAnsi="仿宋" w:eastAsia="仿宋" w:cs="仿宋"/>
          <w:b w:val="0"/>
          <w:color w:val="auto"/>
          <w:kern w:val="0"/>
          <w:sz w:val="28"/>
          <w:szCs w:val="28"/>
          <w:highlight w:val="none"/>
          <w:lang w:val="en-US" w:eastAsia="zh-CN" w:bidi="zh-CN"/>
        </w:rPr>
        <w:t>http：//www.ccgp-xinjiang.gov.cn/</w:t>
      </w:r>
      <w:r>
        <w:rPr>
          <w:rFonts w:hint="eastAsia" w:ascii="仿宋" w:hAnsi="仿宋" w:eastAsia="仿宋" w:cs="仿宋"/>
          <w:b w:val="0"/>
          <w:color w:val="auto"/>
          <w:kern w:val="0"/>
          <w:sz w:val="28"/>
          <w:szCs w:val="28"/>
          <w:highlight w:val="none"/>
          <w:lang w:val="en-US" w:eastAsia="zh-CN" w:bidi="zh-CN"/>
        </w:rPr>
        <w:fldChar w:fldCharType="end"/>
      </w:r>
      <w:r>
        <w:rPr>
          <w:rFonts w:hint="eastAsia" w:ascii="仿宋" w:hAnsi="仿宋" w:eastAsia="仿宋" w:cs="仿宋"/>
          <w:b w:val="0"/>
          <w:color w:val="auto"/>
          <w:kern w:val="0"/>
          <w:sz w:val="28"/>
          <w:szCs w:val="28"/>
          <w:highlight w:val="none"/>
          <w:lang w:val="en-US" w:eastAsia="zh-CN" w:bidi="zh-CN"/>
        </w:rPr>
        <w:t>）下载专区查看，如遇问题可拨打政 采云客户服务热线 95763 进行咨询。如因供应商自身原因导致在规定时间内无法正常解密的  （如：浏览器故障、未安装相关驱动、网络故障、加密 CA 与解密 CA 不一致等），采购中心/代理机构不予异常处理，视为供应商自动弃标；</w:t>
      </w:r>
    </w:p>
    <w:p w14:paraId="68DA1CC3">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4.供应商应当在投标截止时间前，将生成的“ 电子加密投标文件 ”上传递交至“政府采购云平台 ”，投标截止时间以后上传递交的投标文件将被“政府采购云平台 ”拒收；</w:t>
      </w:r>
    </w:p>
    <w:p w14:paraId="7E625E66">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5.供应商在开标前须提前配置好电脑浏览器（建议使用 360 浏览器或谷歌浏览器），开标时 登录政采云平台，在“项目采购-开标评标 ”功能中，使用制作加密响应性文件电子标书的 CA 锁进行解密及报价确认。本项目投标文件的解密时间定为 30 分钟内，若供应商在规定时间内因自身原因导致无法正常解密，后果由供应商自行承担。</w:t>
      </w:r>
    </w:p>
    <w:p w14:paraId="770DFC8B">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特别提示：</w:t>
      </w:r>
    </w:p>
    <w:p w14:paraId="75AE4A0E">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1、采购限额标准以上，200万元以下的货物和服务采购项目、400万元以下的工程采购项目，适宜由中小企业提供的，采购人应当专门面向中小企业采购。</w:t>
      </w:r>
    </w:p>
    <w:p w14:paraId="17050D0C">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2、超过200万元的货物和服务采购项目，预留该部分采购项目预算总额的30%以上专门面向中小企业采购，其中预留给小微企业的比例不低于60%。</w:t>
      </w:r>
    </w:p>
    <w:p w14:paraId="0871B256">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3、超过400万元的工程采购项目中适宜由中小企业提供的，预留该部分采购项目预算总额的40%以上专门面向中小企业采购，其中预留给小微企业的比例不低于60%。</w:t>
      </w:r>
    </w:p>
    <w:p w14:paraId="56691EA4">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48121EB">
      <w:pPr>
        <w:pageBreakBefore w:val="0"/>
        <w:kinsoku/>
        <w:overflowPunct/>
        <w:topLinePunct w:val="0"/>
        <w:bidi w:val="0"/>
        <w:rPr>
          <w:rFonts w:hint="eastAsia" w:ascii="仿宋" w:hAnsi="仿宋" w:eastAsia="仿宋" w:cs="仿宋"/>
          <w:b w:val="0"/>
          <w:color w:val="auto"/>
          <w:kern w:val="0"/>
          <w:sz w:val="24"/>
          <w:szCs w:val="24"/>
          <w:highlight w:val="none"/>
          <w:lang w:val="en-US" w:eastAsia="zh-CN" w:bidi="zh-CN"/>
        </w:rPr>
      </w:pPr>
      <w:r>
        <w:rPr>
          <w:rFonts w:hint="eastAsia" w:ascii="仿宋" w:hAnsi="仿宋" w:eastAsia="仿宋" w:cs="仿宋"/>
          <w:b w:val="0"/>
          <w:color w:val="auto"/>
          <w:kern w:val="0"/>
          <w:sz w:val="24"/>
          <w:szCs w:val="24"/>
          <w:highlight w:val="none"/>
          <w:lang w:val="en-US" w:eastAsia="zh-CN" w:bidi="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4351A4B">
      <w:pPr>
        <w:pageBreakBefore w:val="0"/>
        <w:kinsoku/>
        <w:overflowPunct/>
        <w:topLinePunct w:val="0"/>
        <w:bidi w:val="0"/>
        <w:ind w:left="0" w:leftChars="0" w:firstLine="0" w:firstLineChars="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八、凡对本次采购提出询问，请按以下方式联系。</w:t>
      </w:r>
    </w:p>
    <w:p w14:paraId="770BBA0F">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1.采购人信息</w:t>
      </w:r>
    </w:p>
    <w:p w14:paraId="778CF002">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名    称：鄯善县人民政府教育局</w:t>
      </w:r>
    </w:p>
    <w:p w14:paraId="31BF1EB4">
      <w:pPr>
        <w:pageBreakBefore w:val="0"/>
        <w:kinsoku/>
        <w:overflowPunct/>
        <w:topLinePunct w:val="0"/>
        <w:bidi w:val="0"/>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地    址：鄯善县老城路293号</w:t>
      </w:r>
    </w:p>
    <w:p w14:paraId="3AC58820">
      <w:pPr>
        <w:pageBreakBefore w:val="0"/>
        <w:kinsoku/>
        <w:overflowPunct/>
        <w:topLinePunct w:val="0"/>
        <w:bidi w:val="0"/>
        <w:rPr>
          <w:rFonts w:hint="eastAsia" w:ascii="仿宋" w:hAnsi="仿宋" w:eastAsia="仿宋" w:cs="仿宋"/>
          <w:color w:val="auto"/>
          <w:sz w:val="28"/>
          <w:szCs w:val="28"/>
          <w:highlight w:val="none"/>
          <w:lang w:val="en-US" w:eastAsia="zh-CN"/>
        </w:rPr>
      </w:pPr>
      <w:r>
        <w:rPr>
          <w:rFonts w:hint="eastAsia" w:ascii="仿宋" w:hAnsi="仿宋" w:eastAsia="仿宋" w:cs="仿宋"/>
          <w:b w:val="0"/>
          <w:color w:val="auto"/>
          <w:kern w:val="0"/>
          <w:sz w:val="28"/>
          <w:szCs w:val="28"/>
          <w:highlight w:val="none"/>
          <w:lang w:val="en-US" w:eastAsia="zh-CN" w:bidi="zh-CN"/>
        </w:rPr>
        <w:t>联 系 人：</w:t>
      </w:r>
      <w:r>
        <w:rPr>
          <w:rFonts w:hint="eastAsia" w:ascii="仿宋" w:hAnsi="仿宋" w:eastAsia="仿宋" w:cs="仿宋"/>
          <w:color w:val="auto"/>
          <w:sz w:val="28"/>
          <w:szCs w:val="28"/>
          <w:highlight w:val="none"/>
          <w:lang w:val="en-US" w:eastAsia="zh-CN"/>
        </w:rPr>
        <w:t>陈爱雄</w:t>
      </w:r>
    </w:p>
    <w:p w14:paraId="36030C07">
      <w:pPr>
        <w:pageBreakBefore w:val="0"/>
        <w:kinsoku/>
        <w:overflowPunct/>
        <w:topLinePunct w:val="0"/>
        <w:bidi w:val="0"/>
        <w:rPr>
          <w:rFonts w:hint="default"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联系方式：0995-8391664</w:t>
      </w:r>
    </w:p>
    <w:p w14:paraId="0A94112E">
      <w:pPr>
        <w:keepLines w:val="0"/>
        <w:pageBreakBefore w:val="0"/>
        <w:numPr>
          <w:ilvl w:val="0"/>
          <w:numId w:val="0"/>
        </w:numPr>
        <w:kinsoku/>
        <w:overflowPunct/>
        <w:topLinePunct w:val="0"/>
        <w:autoSpaceDN w:val="0"/>
        <w:bidi w:val="0"/>
        <w:adjustRightInd w:val="0"/>
        <w:snapToGrid w:val="0"/>
        <w:spacing w:line="360" w:lineRule="auto"/>
        <w:textAlignment w:val="baseline"/>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2.采购代理机构信息</w:t>
      </w:r>
    </w:p>
    <w:p w14:paraId="201012A6">
      <w:pPr>
        <w:keepLines w:val="0"/>
        <w:pageBreakBefore w:val="0"/>
        <w:numPr>
          <w:ilvl w:val="0"/>
          <w:numId w:val="0"/>
        </w:numPr>
        <w:kinsoku/>
        <w:overflowPunct/>
        <w:topLinePunct w:val="0"/>
        <w:autoSpaceDN w:val="0"/>
        <w:bidi w:val="0"/>
        <w:adjustRightInd w:val="0"/>
        <w:snapToGrid w:val="0"/>
        <w:spacing w:line="360" w:lineRule="auto"/>
        <w:textAlignment w:val="baseline"/>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招标代理机构：新疆新业景顺工程管理有限公司</w:t>
      </w:r>
    </w:p>
    <w:p w14:paraId="6EEA7C83">
      <w:pPr>
        <w:keepLines w:val="0"/>
        <w:pageBreakBefore w:val="0"/>
        <w:kinsoku/>
        <w:overflowPunct/>
        <w:topLinePunct w:val="0"/>
        <w:autoSpaceDN w:val="0"/>
        <w:bidi w:val="0"/>
        <w:adjustRightInd w:val="0"/>
        <w:snapToGrid w:val="0"/>
        <w:spacing w:line="360" w:lineRule="auto"/>
        <w:textAlignment w:val="baseline"/>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地        址：吐鲁番市高昌区鸿福新绿洲一号楼商铺二楼201</w:t>
      </w:r>
    </w:p>
    <w:p w14:paraId="6A18EE59">
      <w:pPr>
        <w:keepLines w:val="0"/>
        <w:pageBreakBefore w:val="0"/>
        <w:kinsoku/>
        <w:overflowPunct/>
        <w:topLinePunct w:val="0"/>
        <w:autoSpaceDN w:val="0"/>
        <w:bidi w:val="0"/>
        <w:adjustRightInd w:val="0"/>
        <w:snapToGrid w:val="0"/>
        <w:spacing w:line="360" w:lineRule="auto"/>
        <w:textAlignment w:val="baseline"/>
        <w:rPr>
          <w:rFonts w:hint="eastAsia"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联   系   人：</w:t>
      </w:r>
      <w:r>
        <w:rPr>
          <w:rFonts w:hint="eastAsia" w:ascii="仿宋" w:hAnsi="仿宋" w:eastAsia="仿宋" w:cs="仿宋"/>
          <w:color w:val="auto"/>
          <w:sz w:val="28"/>
          <w:szCs w:val="28"/>
          <w:highlight w:val="none"/>
          <w:lang w:val="en-US" w:eastAsia="zh-CN"/>
        </w:rPr>
        <w:t>马明月、王雅珍、陈红</w:t>
      </w:r>
    </w:p>
    <w:p w14:paraId="043F5FC5">
      <w:pPr>
        <w:keepLines w:val="0"/>
        <w:pageBreakBefore w:val="0"/>
        <w:kinsoku/>
        <w:overflowPunct/>
        <w:topLinePunct w:val="0"/>
        <w:autoSpaceDN w:val="0"/>
        <w:bidi w:val="0"/>
        <w:adjustRightInd w:val="0"/>
        <w:snapToGrid w:val="0"/>
        <w:spacing w:line="360" w:lineRule="auto"/>
        <w:textAlignment w:val="baseline"/>
        <w:rPr>
          <w:rFonts w:hint="default" w:ascii="仿宋" w:hAnsi="仿宋" w:eastAsia="仿宋" w:cs="仿宋"/>
          <w:b w:val="0"/>
          <w:color w:val="auto"/>
          <w:kern w:val="0"/>
          <w:sz w:val="28"/>
          <w:szCs w:val="28"/>
          <w:highlight w:val="none"/>
          <w:lang w:val="en-US" w:eastAsia="zh-CN" w:bidi="zh-CN"/>
        </w:rPr>
      </w:pPr>
      <w:r>
        <w:rPr>
          <w:rFonts w:hint="eastAsia" w:ascii="仿宋" w:hAnsi="仿宋" w:eastAsia="仿宋" w:cs="仿宋"/>
          <w:b w:val="0"/>
          <w:color w:val="auto"/>
          <w:kern w:val="0"/>
          <w:sz w:val="28"/>
          <w:szCs w:val="28"/>
          <w:highlight w:val="none"/>
          <w:lang w:val="en-US" w:eastAsia="zh-CN" w:bidi="zh-CN"/>
        </w:rPr>
        <w:t>联 系 电 话：18399320608</w:t>
      </w:r>
    </w:p>
    <w:p w14:paraId="76F74872">
      <w:pPr>
        <w:pageBreakBefore w:val="0"/>
        <w:kinsoku/>
        <w:overflowPunct/>
        <w:topLinePunct w:val="0"/>
        <w:bidi w:val="0"/>
      </w:pPr>
      <w:r>
        <w:br w:type="page"/>
      </w:r>
    </w:p>
    <w:p w14:paraId="1E2C9AB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 w:name="_Toc1627"/>
      <w:r>
        <w:rPr>
          <w:rFonts w:hint="eastAsia" w:ascii="宋体" w:hAnsi="宋体" w:eastAsia="宋体" w:cs="宋体"/>
          <w:b/>
          <w:bCs/>
          <w:color w:val="auto"/>
          <w:kern w:val="44"/>
          <w:sz w:val="36"/>
          <w:szCs w:val="36"/>
          <w:highlight w:val="none"/>
          <w:lang w:val="en-US" w:eastAsia="zh-CN" w:bidi="ar-SA"/>
        </w:rPr>
        <w:t>第二章 供应商须知</w:t>
      </w:r>
      <w:bookmarkEnd w:id="2"/>
      <w:bookmarkEnd w:id="3"/>
      <w:bookmarkEnd w:id="4"/>
      <w:bookmarkEnd w:id="5"/>
      <w:bookmarkEnd w:id="6"/>
    </w:p>
    <w:p w14:paraId="224924B5">
      <w:pPr>
        <w:pStyle w:val="4"/>
        <w:bidi w:val="0"/>
        <w:rPr>
          <w:rFonts w:hint="eastAsia"/>
          <w:lang w:val="en-US" w:eastAsia="zh-CN"/>
        </w:rPr>
      </w:pPr>
      <w:bookmarkStart w:id="7" w:name="_Toc624"/>
      <w:bookmarkStart w:id="8" w:name="_Toc163493609"/>
      <w:bookmarkStart w:id="9" w:name="_Toc30618"/>
      <w:bookmarkStart w:id="10" w:name="_Toc27781"/>
      <w:r>
        <w:rPr>
          <w:rFonts w:hint="eastAsia"/>
          <w:lang w:val="en-US" w:eastAsia="zh-CN"/>
        </w:rPr>
        <w:t>一、供应商须知前附表</w:t>
      </w:r>
      <w:bookmarkEnd w:id="7"/>
      <w:bookmarkEnd w:id="8"/>
      <w:bookmarkEnd w:id="9"/>
      <w:bookmarkEnd w:id="10"/>
    </w:p>
    <w:p w14:paraId="016068EF">
      <w:pPr>
        <w:pStyle w:val="35"/>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9"/>
        <w:tblW w:w="4999"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57" w:type="dxa"/>
          <w:left w:w="108" w:type="dxa"/>
          <w:bottom w:w="57" w:type="dxa"/>
          <w:right w:w="108" w:type="dxa"/>
        </w:tblCellMar>
      </w:tblPr>
      <w:tblGrid>
        <w:gridCol w:w="937"/>
        <w:gridCol w:w="1663"/>
        <w:gridCol w:w="6448"/>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blHeader/>
        </w:trPr>
        <w:tc>
          <w:tcPr>
            <w:tcW w:w="518"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6"/>
              <w:jc w:val="center"/>
              <w:rPr>
                <w:rFonts w:hint="eastAsia" w:ascii="宋体" w:hAnsi="宋体" w:eastAsia="宋体" w:cs="宋体"/>
                <w:b/>
                <w:bCs/>
                <w:i w:val="0"/>
                <w:iCs w:val="0"/>
                <w:color w:val="auto"/>
                <w:sz w:val="24"/>
                <w:szCs w:val="24"/>
                <w:highlight w:val="none"/>
              </w:rPr>
            </w:pPr>
            <w:bookmarkStart w:id="11" w:name="_Hlk161703381"/>
            <w:r>
              <w:rPr>
                <w:rFonts w:hint="eastAsia" w:ascii="宋体" w:hAnsi="宋体" w:eastAsia="宋体" w:cs="宋体"/>
                <w:b/>
                <w:bCs/>
                <w:i w:val="0"/>
                <w:iCs w:val="0"/>
                <w:color w:val="auto"/>
                <w:sz w:val="24"/>
                <w:szCs w:val="24"/>
                <w:highlight w:val="none"/>
              </w:rPr>
              <w:t>条款号</w:t>
            </w:r>
          </w:p>
        </w:tc>
        <w:tc>
          <w:tcPr>
            <w:tcW w:w="91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6"/>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356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66"/>
              <w:bidi w:val="0"/>
              <w:rPr>
                <w:rFonts w:hint="eastAsia"/>
              </w:rPr>
            </w:pPr>
            <w:r>
              <w:rPr>
                <w:rFonts w:hint="eastAsia"/>
              </w:rPr>
              <w:t>内  容</w:t>
            </w:r>
          </w:p>
        </w:tc>
      </w:tr>
      <w:tr w14:paraId="60C65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15C7EC1">
            <w:pPr>
              <w:pStyle w:val="65"/>
              <w:spacing w:before="78" w:line="239" w:lineRule="auto"/>
              <w:ind w:left="314" w:leftChars="0"/>
              <w:jc w:val="center"/>
              <w:rPr>
                <w:rFonts w:hint="eastAsia" w:ascii="宋体" w:hAnsi="宋体" w:eastAsia="宋体" w:cs="宋体"/>
                <w:i w:val="0"/>
                <w:iCs w:val="0"/>
                <w:color w:val="auto"/>
                <w:sz w:val="24"/>
                <w:szCs w:val="24"/>
                <w:highlight w:val="none"/>
              </w:rPr>
            </w:pPr>
            <w:r>
              <w:rPr>
                <w:spacing w:val="-3"/>
              </w:rPr>
              <w:t>2.2</w:t>
            </w:r>
          </w:p>
        </w:tc>
        <w:tc>
          <w:tcPr>
            <w:tcW w:w="919" w:type="pct"/>
            <w:tcBorders>
              <w:top w:val="single" w:color="auto" w:sz="2" w:space="0"/>
              <w:left w:val="single" w:color="auto" w:sz="2" w:space="0"/>
              <w:bottom w:val="single" w:color="auto" w:sz="2" w:space="0"/>
              <w:right w:val="single" w:color="auto" w:sz="2" w:space="0"/>
            </w:tcBorders>
            <w:vAlign w:val="center"/>
          </w:tcPr>
          <w:p w14:paraId="7003410F">
            <w:pPr>
              <w:pStyle w:val="65"/>
              <w:spacing w:before="78" w:line="219" w:lineRule="auto"/>
              <w:ind w:left="109" w:leftChars="0"/>
              <w:jc w:val="center"/>
              <w:rPr>
                <w:rFonts w:hint="eastAsia" w:ascii="宋体" w:hAnsi="宋体" w:eastAsia="宋体" w:cs="宋体"/>
                <w:i w:val="0"/>
                <w:iCs w:val="0"/>
                <w:color w:val="auto"/>
                <w:sz w:val="24"/>
                <w:szCs w:val="24"/>
                <w:highlight w:val="none"/>
              </w:rPr>
            </w:pPr>
            <w:r>
              <w:rPr>
                <w:spacing w:val="-2"/>
              </w:rPr>
              <w:t>采购人</w:t>
            </w:r>
          </w:p>
        </w:tc>
        <w:tc>
          <w:tcPr>
            <w:tcW w:w="3561" w:type="pct"/>
            <w:tcBorders>
              <w:top w:val="single" w:color="auto" w:sz="2" w:space="0"/>
              <w:left w:val="single" w:color="auto" w:sz="2" w:space="0"/>
              <w:bottom w:val="single" w:color="auto" w:sz="2" w:space="0"/>
              <w:right w:val="single" w:color="auto" w:sz="2" w:space="0"/>
            </w:tcBorders>
            <w:vAlign w:val="center"/>
          </w:tcPr>
          <w:p w14:paraId="7BD8711B">
            <w:pPr>
              <w:pStyle w:val="66"/>
              <w:bidi w:val="0"/>
              <w:jc w:val="both"/>
              <w:rPr>
                <w:rFonts w:hint="eastAsia"/>
                <w:lang w:val="en-US" w:eastAsia="zh-CN"/>
              </w:rPr>
            </w:pPr>
            <w:r>
              <w:rPr>
                <w:rFonts w:hint="eastAsia"/>
                <w:lang w:val="en-US" w:eastAsia="zh-CN"/>
              </w:rPr>
              <w:t>名    称：鄯善县人民政府教育局</w:t>
            </w:r>
          </w:p>
          <w:p w14:paraId="356C321F">
            <w:pPr>
              <w:pStyle w:val="66"/>
              <w:bidi w:val="0"/>
              <w:jc w:val="both"/>
              <w:rPr>
                <w:rFonts w:hint="eastAsia"/>
                <w:lang w:val="en-US" w:eastAsia="zh-CN"/>
              </w:rPr>
            </w:pPr>
            <w:r>
              <w:rPr>
                <w:rFonts w:hint="eastAsia"/>
                <w:lang w:val="en-US" w:eastAsia="zh-CN"/>
              </w:rPr>
              <w:t>地    址：鄯善县老城路293号</w:t>
            </w:r>
          </w:p>
          <w:p w14:paraId="4DF431E0">
            <w:pPr>
              <w:pStyle w:val="66"/>
              <w:bidi w:val="0"/>
              <w:jc w:val="both"/>
              <w:rPr>
                <w:rFonts w:hint="eastAsia"/>
                <w:lang w:val="en-US" w:eastAsia="zh-CN"/>
              </w:rPr>
            </w:pPr>
            <w:r>
              <w:rPr>
                <w:rFonts w:hint="eastAsia"/>
                <w:lang w:val="en-US" w:eastAsia="zh-CN"/>
              </w:rPr>
              <w:t>联 系 人：陈爱雄</w:t>
            </w:r>
          </w:p>
          <w:p w14:paraId="146481F5">
            <w:pPr>
              <w:pStyle w:val="46"/>
              <w:ind w:firstLine="210" w:firstLineChars="100"/>
              <w:jc w:val="both"/>
              <w:rPr>
                <w:rFonts w:hint="eastAsia" w:ascii="宋体" w:hAnsi="宋体" w:eastAsia="宋体" w:cs="宋体"/>
                <w:i w:val="0"/>
                <w:iCs w:val="0"/>
                <w:color w:val="auto"/>
                <w:sz w:val="24"/>
                <w:szCs w:val="24"/>
                <w:highlight w:val="none"/>
              </w:rPr>
            </w:pPr>
            <w:r>
              <w:rPr>
                <w:rFonts w:hint="eastAsia"/>
                <w:lang w:val="en-US" w:eastAsia="zh-CN"/>
              </w:rPr>
              <w:t>联系方式：0995-8391664</w:t>
            </w:r>
          </w:p>
        </w:tc>
      </w:tr>
      <w:tr w14:paraId="056DC6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54F11A36">
            <w:pPr>
              <w:pStyle w:val="65"/>
              <w:spacing w:before="78" w:line="239" w:lineRule="auto"/>
              <w:jc w:val="center"/>
              <w:rPr>
                <w:rFonts w:hint="eastAsia" w:ascii="宋体" w:hAnsi="宋体" w:eastAsia="宋体" w:cs="宋体"/>
                <w:i w:val="0"/>
                <w:iCs w:val="0"/>
                <w:color w:val="auto"/>
                <w:sz w:val="24"/>
                <w:szCs w:val="24"/>
                <w:highlight w:val="none"/>
              </w:rPr>
            </w:pPr>
            <w:r>
              <w:rPr>
                <w:spacing w:val="-3"/>
              </w:rPr>
              <w:t>2.3</w:t>
            </w:r>
          </w:p>
        </w:tc>
        <w:tc>
          <w:tcPr>
            <w:tcW w:w="919" w:type="pct"/>
            <w:tcBorders>
              <w:top w:val="single" w:color="auto" w:sz="2" w:space="0"/>
              <w:left w:val="single" w:color="auto" w:sz="2" w:space="0"/>
              <w:bottom w:val="single" w:color="auto" w:sz="2" w:space="0"/>
              <w:right w:val="single" w:color="auto" w:sz="2" w:space="0"/>
            </w:tcBorders>
            <w:vAlign w:val="center"/>
          </w:tcPr>
          <w:p w14:paraId="3947DDE6">
            <w:pPr>
              <w:pStyle w:val="65"/>
              <w:spacing w:before="78" w:line="219" w:lineRule="auto"/>
              <w:jc w:val="center"/>
              <w:rPr>
                <w:rFonts w:hint="eastAsia" w:ascii="宋体" w:hAnsi="宋体" w:eastAsia="宋体" w:cs="宋体"/>
                <w:i w:val="0"/>
                <w:iCs w:val="0"/>
                <w:color w:val="auto"/>
                <w:sz w:val="24"/>
                <w:szCs w:val="24"/>
                <w:highlight w:val="none"/>
              </w:rPr>
            </w:pPr>
            <w:r>
              <w:rPr>
                <w:spacing w:val="-2"/>
              </w:rPr>
              <w:t>采购代理机构</w:t>
            </w:r>
          </w:p>
        </w:tc>
        <w:tc>
          <w:tcPr>
            <w:tcW w:w="3561" w:type="pct"/>
            <w:tcBorders>
              <w:top w:val="single" w:color="auto" w:sz="2" w:space="0"/>
              <w:left w:val="single" w:color="auto" w:sz="2" w:space="0"/>
              <w:bottom w:val="single" w:color="auto" w:sz="2" w:space="0"/>
              <w:right w:val="single" w:color="auto" w:sz="2" w:space="0"/>
            </w:tcBorders>
            <w:vAlign w:val="center"/>
          </w:tcPr>
          <w:p w14:paraId="50E85F95">
            <w:pPr>
              <w:pStyle w:val="66"/>
              <w:bidi w:val="0"/>
              <w:jc w:val="both"/>
              <w:rPr>
                <w:rFonts w:hint="eastAsia"/>
              </w:rPr>
            </w:pPr>
            <w:r>
              <w:rPr>
                <w:rFonts w:hint="eastAsia"/>
              </w:rPr>
              <w:t>招标代理机构：新疆新业景顺工程管理有限公司</w:t>
            </w:r>
          </w:p>
          <w:p w14:paraId="4FB7BA05">
            <w:pPr>
              <w:pStyle w:val="66"/>
              <w:bidi w:val="0"/>
              <w:jc w:val="both"/>
              <w:rPr>
                <w:rFonts w:hint="eastAsia"/>
              </w:rPr>
            </w:pPr>
            <w:r>
              <w:rPr>
                <w:rFonts w:hint="eastAsia"/>
              </w:rPr>
              <w:t>地  址：吐鲁番市高昌区鸿福新绿洲一号楼商铺二楼201</w:t>
            </w:r>
          </w:p>
          <w:p w14:paraId="3147B940">
            <w:pPr>
              <w:pStyle w:val="66"/>
              <w:bidi w:val="0"/>
              <w:jc w:val="both"/>
              <w:rPr>
                <w:rFonts w:hint="eastAsia"/>
              </w:rPr>
            </w:pPr>
            <w:r>
              <w:rPr>
                <w:rFonts w:hint="eastAsia"/>
              </w:rPr>
              <w:t>联系人：</w:t>
            </w:r>
            <w:r>
              <w:rPr>
                <w:rFonts w:hint="eastAsia"/>
                <w:lang w:val="en-US" w:eastAsia="zh-CN"/>
              </w:rPr>
              <w:t>马明月、王雅珍、陈红</w:t>
            </w:r>
          </w:p>
          <w:p w14:paraId="742362E0">
            <w:pPr>
              <w:pStyle w:val="66"/>
              <w:bidi w:val="0"/>
              <w:jc w:val="both"/>
              <w:rPr>
                <w:rFonts w:hint="eastAsia" w:ascii="宋体" w:hAnsi="宋体" w:eastAsia="宋体" w:cs="宋体"/>
                <w:i w:val="0"/>
                <w:iCs w:val="0"/>
                <w:color w:val="auto"/>
                <w:sz w:val="24"/>
                <w:szCs w:val="24"/>
                <w:highlight w:val="none"/>
              </w:rPr>
            </w:pPr>
            <w:r>
              <w:rPr>
                <w:rFonts w:hint="eastAsia" w:ascii="宋体" w:hAnsi="宋体" w:eastAsia="宋体"/>
              </w:rPr>
              <w:t>联系电话：</w:t>
            </w:r>
            <w:r>
              <w:rPr>
                <w:rFonts w:hint="eastAsia" w:ascii="宋体" w:hAnsi="宋体" w:eastAsia="宋体"/>
                <w:lang w:val="en-US" w:eastAsia="zh-CN"/>
              </w:rPr>
              <w:t>18399320608</w:t>
            </w:r>
          </w:p>
        </w:tc>
      </w:tr>
      <w:tr w14:paraId="64FFBC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91490FB">
            <w:pPr>
              <w:pStyle w:val="65"/>
              <w:spacing w:before="78" w:line="239" w:lineRule="auto"/>
              <w:jc w:val="center"/>
              <w:rPr>
                <w:rFonts w:hint="eastAsia" w:ascii="宋体" w:hAnsi="宋体" w:eastAsia="宋体" w:cs="宋体"/>
                <w:i w:val="0"/>
                <w:iCs w:val="0"/>
                <w:color w:val="auto"/>
                <w:sz w:val="24"/>
                <w:szCs w:val="24"/>
                <w:highlight w:val="none"/>
              </w:rPr>
            </w:pPr>
            <w:r>
              <w:rPr>
                <w:spacing w:val="-3"/>
              </w:rPr>
              <w:t>2.4</w:t>
            </w:r>
          </w:p>
        </w:tc>
        <w:tc>
          <w:tcPr>
            <w:tcW w:w="919" w:type="pct"/>
            <w:tcBorders>
              <w:top w:val="single" w:color="auto" w:sz="2" w:space="0"/>
              <w:left w:val="single" w:color="auto" w:sz="2" w:space="0"/>
              <w:bottom w:val="single" w:color="auto" w:sz="2" w:space="0"/>
              <w:right w:val="single" w:color="auto" w:sz="2" w:space="0"/>
            </w:tcBorders>
            <w:vAlign w:val="center"/>
          </w:tcPr>
          <w:p w14:paraId="2F00CEDF">
            <w:pPr>
              <w:pStyle w:val="65"/>
              <w:spacing w:before="78" w:line="361" w:lineRule="auto"/>
              <w:ind w:right="172" w:rightChars="0"/>
              <w:jc w:val="center"/>
              <w:rPr>
                <w:rFonts w:hint="eastAsia" w:ascii="宋体" w:hAnsi="宋体" w:eastAsia="宋体" w:cs="宋体"/>
                <w:i w:val="0"/>
                <w:iCs w:val="0"/>
                <w:color w:val="auto"/>
                <w:sz w:val="24"/>
                <w:szCs w:val="24"/>
                <w:highlight w:val="none"/>
              </w:rPr>
            </w:pPr>
            <w:r>
              <w:rPr>
                <w:spacing w:val="-2"/>
              </w:rPr>
              <w:t>政府采购监督</w:t>
            </w:r>
            <w:r>
              <w:rPr>
                <w:spacing w:val="-3"/>
              </w:rPr>
              <w:t>管理部门</w:t>
            </w:r>
          </w:p>
        </w:tc>
        <w:tc>
          <w:tcPr>
            <w:tcW w:w="3561" w:type="pct"/>
            <w:tcBorders>
              <w:top w:val="single" w:color="auto" w:sz="2" w:space="0"/>
              <w:left w:val="single" w:color="auto" w:sz="2" w:space="0"/>
              <w:bottom w:val="single" w:color="auto" w:sz="2" w:space="0"/>
              <w:right w:val="single" w:color="auto" w:sz="2" w:space="0"/>
            </w:tcBorders>
            <w:vAlign w:val="center"/>
          </w:tcPr>
          <w:p w14:paraId="5441555D">
            <w:pPr>
              <w:pStyle w:val="66"/>
              <w:bidi w:val="0"/>
              <w:jc w:val="both"/>
              <w:rPr>
                <w:rFonts w:hint="eastAsia" w:ascii="宋体" w:hAnsi="宋体" w:eastAsia="宋体" w:cs="宋体"/>
                <w:i w:val="0"/>
                <w:iCs w:val="0"/>
                <w:color w:val="auto"/>
                <w:sz w:val="24"/>
                <w:szCs w:val="24"/>
                <w:highlight w:val="none"/>
              </w:rPr>
            </w:pPr>
            <w:r>
              <w:rPr>
                <w:rFonts w:hint="eastAsia" w:ascii="宋体" w:hAnsi="宋体" w:eastAsia="宋体"/>
                <w:lang w:val="zh-CN"/>
              </w:rPr>
              <w:t>名称：</w:t>
            </w:r>
            <w:r>
              <w:rPr>
                <w:rFonts w:hint="eastAsia"/>
                <w:lang w:val="en-US" w:eastAsia="zh-CN"/>
              </w:rPr>
              <w:t>鄯善县</w:t>
            </w:r>
            <w:r>
              <w:rPr>
                <w:rFonts w:hint="eastAsia" w:ascii="宋体" w:hAnsi="宋体" w:eastAsia="宋体"/>
                <w:lang w:val="zh-CN"/>
              </w:rPr>
              <w:t>财政局</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AEE4073">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919" w:type="pct"/>
            <w:tcBorders>
              <w:top w:val="single" w:color="auto" w:sz="2" w:space="0"/>
              <w:left w:val="single" w:color="auto" w:sz="2" w:space="0"/>
              <w:bottom w:val="single" w:color="auto" w:sz="2" w:space="0"/>
              <w:right w:val="single" w:color="auto" w:sz="2" w:space="0"/>
            </w:tcBorders>
            <w:vAlign w:val="center"/>
          </w:tcPr>
          <w:p w14:paraId="71CF8DC6">
            <w:pPr>
              <w:pStyle w:val="46"/>
              <w:jc w:val="center"/>
              <w:rPr>
                <w:rFonts w:hint="eastAsia" w:ascii="宋体" w:hAnsi="宋体" w:eastAsia="宋体" w:cs="宋体"/>
                <w:i w:val="0"/>
                <w:iCs w:val="0"/>
                <w:color w:val="auto"/>
                <w:sz w:val="24"/>
                <w:szCs w:val="24"/>
                <w:highlight w:val="none"/>
              </w:rPr>
            </w:pPr>
            <w:bookmarkStart w:id="12" w:name="_Hlk143529175"/>
            <w:r>
              <w:rPr>
                <w:rFonts w:hint="eastAsia" w:ascii="宋体" w:hAnsi="宋体" w:eastAsia="宋体" w:cs="宋体"/>
                <w:i w:val="0"/>
                <w:iCs w:val="0"/>
                <w:color w:val="auto"/>
                <w:sz w:val="24"/>
                <w:szCs w:val="24"/>
                <w:highlight w:val="none"/>
              </w:rPr>
              <w:t>现场考察</w:t>
            </w:r>
            <w:bookmarkEnd w:id="12"/>
          </w:p>
        </w:tc>
        <w:tc>
          <w:tcPr>
            <w:tcW w:w="3561" w:type="pct"/>
            <w:tcBorders>
              <w:top w:val="single" w:color="auto" w:sz="2" w:space="0"/>
              <w:left w:val="single" w:color="auto" w:sz="2" w:space="0"/>
              <w:bottom w:val="single" w:color="auto" w:sz="2" w:space="0"/>
              <w:right w:val="single" w:color="auto" w:sz="2" w:space="0"/>
            </w:tcBorders>
            <w:vAlign w:val="center"/>
          </w:tcPr>
          <w:p w14:paraId="5E2B3EE4">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6"/>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6"/>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46"/>
              <w:jc w:val="both"/>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4A4C4E96">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93F38F2">
            <w:pPr>
              <w:pStyle w:val="46"/>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1D1F46">
            <w:pPr>
              <w:pStyle w:val="46"/>
              <w:ind w:firstLine="240" w:firstLineChars="1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6CBF1A30">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4A7BE250">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3561" w:type="pct"/>
            <w:tcBorders>
              <w:top w:val="single" w:color="auto" w:sz="2" w:space="0"/>
              <w:left w:val="single" w:color="auto" w:sz="2" w:space="0"/>
              <w:bottom w:val="single" w:color="auto" w:sz="2" w:space="0"/>
              <w:right w:val="single" w:color="auto" w:sz="2" w:space="0"/>
            </w:tcBorders>
            <w:vAlign w:val="center"/>
          </w:tcPr>
          <w:p w14:paraId="02A7EC3E">
            <w:pPr>
              <w:pStyle w:val="65"/>
              <w:spacing w:before="179" w:line="359" w:lineRule="auto"/>
              <w:ind w:right="312"/>
              <w:jc w:val="both"/>
              <w:rPr>
                <w:rFonts w:ascii="宋体" w:hAnsi="宋体" w:eastAsia="宋体" w:cs="宋体"/>
                <w:spacing w:val="-1"/>
              </w:rPr>
            </w:pPr>
            <w:r>
              <w:rPr>
                <w:rFonts w:hint="eastAsia" w:ascii="宋体" w:hAnsi="宋体" w:eastAsia="宋体" w:cs="宋体"/>
                <w:spacing w:val="-1"/>
                <w:lang w:val="en-US" w:eastAsia="zh-CN"/>
              </w:rPr>
              <w:t>1</w:t>
            </w:r>
            <w:r>
              <w:rPr>
                <w:rFonts w:ascii="宋体" w:hAnsi="宋体" w:eastAsia="宋体" w:cs="宋体"/>
                <w:spacing w:val="-1"/>
              </w:rPr>
              <w:t>在供应商客户端中按照格式填写询问函，并在生成询问函后加盖电子印章提交；其他询问方式：  不接受  。</w:t>
            </w:r>
          </w:p>
          <w:p w14:paraId="4F21E6B2">
            <w:pPr>
              <w:pStyle w:val="65"/>
              <w:spacing w:before="179" w:line="359" w:lineRule="auto"/>
              <w:ind w:right="312"/>
              <w:jc w:val="both"/>
              <w:rPr>
                <w:rFonts w:hint="eastAsia" w:ascii="宋体" w:hAnsi="宋体" w:eastAsia="宋体" w:cs="宋体"/>
                <w:i w:val="0"/>
                <w:iCs w:val="0"/>
                <w:color w:val="auto"/>
                <w:sz w:val="24"/>
                <w:szCs w:val="24"/>
                <w:highlight w:val="none"/>
              </w:rPr>
            </w:pPr>
            <w:r>
              <w:rPr>
                <w:rFonts w:ascii="宋体" w:hAnsi="宋体" w:eastAsia="宋体" w:cs="宋体"/>
                <w:spacing w:val="-1"/>
              </w:rPr>
              <w:t>2.时间要求：   全过程   。</w:t>
            </w:r>
          </w:p>
        </w:tc>
      </w:tr>
      <w:tr w14:paraId="3F3180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2028E56">
            <w:pPr>
              <w:pStyle w:val="65"/>
              <w:spacing w:before="78" w:line="227" w:lineRule="auto"/>
              <w:jc w:val="center"/>
              <w:rPr>
                <w:rFonts w:hint="eastAsia" w:ascii="宋体" w:hAnsi="宋体" w:eastAsia="宋体" w:cs="宋体"/>
                <w:i w:val="0"/>
                <w:iCs w:val="0"/>
                <w:color w:val="auto"/>
                <w:sz w:val="24"/>
                <w:szCs w:val="24"/>
                <w:highlight w:val="none"/>
              </w:rPr>
            </w:pPr>
            <w:r>
              <w:rPr>
                <w:spacing w:val="-3"/>
              </w:rPr>
              <w:t>★14.1</w:t>
            </w:r>
          </w:p>
        </w:tc>
        <w:tc>
          <w:tcPr>
            <w:tcW w:w="919" w:type="pct"/>
            <w:tcBorders>
              <w:top w:val="single" w:color="auto" w:sz="2" w:space="0"/>
              <w:left w:val="single" w:color="auto" w:sz="2" w:space="0"/>
              <w:bottom w:val="single" w:color="auto" w:sz="2" w:space="0"/>
              <w:right w:val="single" w:color="auto" w:sz="2" w:space="0"/>
            </w:tcBorders>
            <w:vAlign w:val="center"/>
          </w:tcPr>
          <w:p w14:paraId="66C84F5C">
            <w:pPr>
              <w:pStyle w:val="65"/>
              <w:spacing w:before="78" w:line="218" w:lineRule="auto"/>
              <w:jc w:val="center"/>
              <w:rPr>
                <w:rFonts w:hint="eastAsia" w:ascii="宋体" w:hAnsi="宋体" w:eastAsia="宋体" w:cs="宋体"/>
                <w:i w:val="0"/>
                <w:iCs w:val="0"/>
                <w:color w:val="auto"/>
                <w:sz w:val="24"/>
                <w:szCs w:val="24"/>
                <w:highlight w:val="none"/>
              </w:rPr>
            </w:pPr>
            <w:r>
              <w:rPr>
                <w:spacing w:val="-3"/>
              </w:rPr>
              <w:t>最高限价</w:t>
            </w:r>
          </w:p>
        </w:tc>
        <w:tc>
          <w:tcPr>
            <w:tcW w:w="3561" w:type="pct"/>
            <w:tcBorders>
              <w:top w:val="single" w:color="auto" w:sz="2" w:space="0"/>
              <w:left w:val="single" w:color="auto" w:sz="2" w:space="0"/>
              <w:bottom w:val="single" w:color="auto" w:sz="2" w:space="0"/>
              <w:right w:val="single" w:color="auto" w:sz="2" w:space="0"/>
            </w:tcBorders>
            <w:vAlign w:val="center"/>
          </w:tcPr>
          <w:p w14:paraId="4B3E6DE5">
            <w:pPr>
              <w:pStyle w:val="65"/>
              <w:spacing w:before="184" w:line="359" w:lineRule="auto"/>
              <w:ind w:left="117" w:right="168" w:hanging="5"/>
              <w:jc w:val="both"/>
            </w:pPr>
            <w:r>
              <w:rPr>
                <w:b/>
                <w:bCs/>
                <w:spacing w:val="-4"/>
              </w:rPr>
              <w:t>14.1.1</w:t>
            </w:r>
            <w:r>
              <w:rPr>
                <w:spacing w:val="-31"/>
              </w:rPr>
              <w:t xml:space="preserve"> </w:t>
            </w:r>
            <w:r>
              <w:rPr>
                <w:b/>
                <w:bCs/>
                <w:spacing w:val="-4"/>
              </w:rPr>
              <w:t>本项目最高限价:</w:t>
            </w:r>
            <w:r>
              <w:rPr>
                <w:rFonts w:hint="eastAsia"/>
                <w:b/>
                <w:bCs/>
                <w:spacing w:val="-4"/>
                <w:u w:val="single"/>
              </w:rPr>
              <w:t>485688.57</w:t>
            </w:r>
            <w:r>
              <w:rPr>
                <w:b/>
                <w:bCs/>
                <w:spacing w:val="-4"/>
              </w:rPr>
              <w:t>元，</w:t>
            </w:r>
          </w:p>
          <w:p w14:paraId="2796FB0A">
            <w:pPr>
              <w:pStyle w:val="65"/>
              <w:spacing w:line="218" w:lineRule="auto"/>
              <w:ind w:left="130" w:leftChars="0"/>
              <w:jc w:val="both"/>
              <w:rPr>
                <w:rFonts w:hint="eastAsia" w:ascii="宋体" w:hAnsi="宋体" w:eastAsia="宋体" w:cs="宋体"/>
                <w:i w:val="0"/>
                <w:iCs w:val="0"/>
                <w:color w:val="auto"/>
                <w:sz w:val="24"/>
                <w:szCs w:val="24"/>
                <w:highlight w:val="none"/>
              </w:rPr>
            </w:pPr>
            <w:r>
              <w:rPr>
                <w:b/>
                <w:bCs/>
                <w:spacing w:val="-3"/>
              </w:rPr>
              <w:t>14.1.2</w:t>
            </w:r>
            <w:r>
              <w:rPr>
                <w:spacing w:val="-50"/>
              </w:rPr>
              <w:t xml:space="preserve"> </w:t>
            </w:r>
            <w:r>
              <w:rPr>
                <w:b/>
                <w:bCs/>
                <w:spacing w:val="-3"/>
              </w:rPr>
              <w:t>供应商提交最后报价时须同时提交上述分项价格。</w:t>
            </w:r>
          </w:p>
        </w:tc>
      </w:tr>
      <w:tr w14:paraId="20EA08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7B66AC3C">
            <w:pPr>
              <w:pStyle w:val="46"/>
              <w:jc w:val="center"/>
              <w:rPr>
                <w:rFonts w:hint="eastAsia" w:ascii="宋体" w:hAnsi="宋体" w:eastAsia="宋体" w:cs="宋体"/>
                <w:i w:val="0"/>
                <w:iCs w:val="0"/>
                <w:color w:val="auto"/>
                <w:kern w:val="2"/>
                <w:sz w:val="24"/>
                <w:szCs w:val="24"/>
                <w:highlight w:val="none"/>
                <w:lang w:val="en-US" w:eastAsia="zh-CN" w:bidi="ar-SA"/>
              </w:rPr>
            </w:pPr>
            <w:r>
              <w:rPr>
                <w:spacing w:val="-3"/>
              </w:rPr>
              <w:t>★</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65D65CC5">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响应文件有效期</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49F2CC1">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6C48057">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17.1</w:t>
            </w:r>
          </w:p>
        </w:tc>
        <w:tc>
          <w:tcPr>
            <w:tcW w:w="919" w:type="pct"/>
            <w:tcBorders>
              <w:top w:val="single" w:color="auto" w:sz="2" w:space="0"/>
              <w:left w:val="single" w:color="auto" w:sz="2" w:space="0"/>
              <w:bottom w:val="single" w:color="auto" w:sz="2" w:space="0"/>
              <w:right w:val="single" w:color="auto" w:sz="2" w:space="0"/>
            </w:tcBorders>
            <w:vAlign w:val="center"/>
          </w:tcPr>
          <w:p w14:paraId="60D2F551">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3561" w:type="pct"/>
            <w:tcBorders>
              <w:top w:val="single" w:color="auto" w:sz="2" w:space="0"/>
              <w:left w:val="single" w:color="auto" w:sz="2" w:space="0"/>
              <w:bottom w:val="single" w:color="auto" w:sz="2" w:space="0"/>
              <w:right w:val="single" w:color="auto" w:sz="2" w:space="0"/>
            </w:tcBorders>
            <w:vAlign w:val="center"/>
          </w:tcPr>
          <w:p w14:paraId="156EF6CA">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缴纳投标保证金：人民币</w:t>
            </w:r>
            <w:r>
              <w:rPr>
                <w:rFonts w:hint="eastAsia" w:ascii="宋体" w:hAnsi="宋体" w:cs="宋体"/>
                <w:i w:val="0"/>
                <w:iCs w:val="0"/>
                <w:color w:val="auto"/>
                <w:sz w:val="24"/>
                <w:szCs w:val="24"/>
                <w:highlight w:val="none"/>
                <w:lang w:val="en-US" w:eastAsia="zh-CN"/>
              </w:rPr>
              <w:t>8000</w:t>
            </w:r>
            <w:r>
              <w:rPr>
                <w:rFonts w:hint="eastAsia" w:ascii="宋体" w:hAnsi="宋体" w:eastAsia="宋体" w:cs="宋体"/>
                <w:i w:val="0"/>
                <w:iCs w:val="0"/>
                <w:color w:val="auto"/>
                <w:sz w:val="24"/>
                <w:szCs w:val="24"/>
                <w:highlight w:val="none"/>
              </w:rPr>
              <w:t>元（大写：</w:t>
            </w:r>
            <w:r>
              <w:rPr>
                <w:rFonts w:hint="eastAsia" w:ascii="宋体" w:hAnsi="宋体" w:cs="宋体"/>
                <w:i w:val="0"/>
                <w:iCs w:val="0"/>
                <w:color w:val="auto"/>
                <w:sz w:val="24"/>
                <w:szCs w:val="24"/>
                <w:highlight w:val="none"/>
                <w:lang w:val="en-US" w:eastAsia="zh-CN"/>
              </w:rPr>
              <w:t>捌仟元</w:t>
            </w:r>
            <w:r>
              <w:rPr>
                <w:rFonts w:hint="eastAsia" w:ascii="宋体" w:hAnsi="宋体" w:eastAsia="宋体" w:cs="宋体"/>
                <w:i w:val="0"/>
                <w:iCs w:val="0"/>
                <w:color w:val="auto"/>
                <w:sz w:val="24"/>
                <w:szCs w:val="24"/>
                <w:highlight w:val="none"/>
              </w:rPr>
              <w:t>整）</w:t>
            </w:r>
          </w:p>
          <w:p w14:paraId="0E19B27C">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账户名：新疆新业景顺工程管理有限公司</w:t>
            </w:r>
          </w:p>
          <w:p w14:paraId="1902A67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开户行：新疆农商银行股份有限公司吐鲁番高昌区支行</w:t>
            </w:r>
          </w:p>
          <w:p w14:paraId="2BF6BE59">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行  号：402883000203</w:t>
            </w:r>
          </w:p>
          <w:p w14:paraId="5185E51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账</w:t>
            </w:r>
            <w:r>
              <w:rPr>
                <w:rFonts w:hint="eastAsia" w:ascii="宋体" w:hAnsi="宋体" w:eastAsia="宋体" w:cs="宋体"/>
                <w:i w:val="0"/>
                <w:iCs w:val="0"/>
                <w:color w:val="auto"/>
                <w:sz w:val="24"/>
                <w:szCs w:val="24"/>
                <w:highlight w:val="none"/>
              </w:rPr>
              <w:t xml:space="preserve">  号：838010012010105792160</w:t>
            </w:r>
          </w:p>
          <w:p w14:paraId="1EDA81A4">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注：投标保证金只针对公对公汇款、金融机构、担保机构出具的保函等非现金形式提交，个人名义汇款无效。</w:t>
            </w:r>
          </w:p>
          <w:p w14:paraId="0BB896D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必须在2026 年0</w:t>
            </w: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月</w:t>
            </w:r>
            <w:r>
              <w:rPr>
                <w:rFonts w:hint="eastAsia" w:ascii="宋体" w:hAnsi="宋体" w:cs="宋体"/>
                <w:i w:val="0"/>
                <w:iCs w:val="0"/>
                <w:color w:val="auto"/>
                <w:sz w:val="24"/>
                <w:szCs w:val="24"/>
                <w:highlight w:val="none"/>
                <w:lang w:val="en-US" w:eastAsia="zh-CN"/>
              </w:rPr>
              <w:t>11</w:t>
            </w:r>
            <w:r>
              <w:rPr>
                <w:rFonts w:hint="eastAsia" w:ascii="宋体" w:hAnsi="宋体" w:eastAsia="宋体" w:cs="宋体"/>
                <w:i w:val="0"/>
                <w:iCs w:val="0"/>
                <w:color w:val="auto"/>
                <w:sz w:val="24"/>
                <w:szCs w:val="24"/>
                <w:highlight w:val="none"/>
              </w:rPr>
              <w:t>日 10：00 时（北京时间）前由供应商基本账户转账、支票、汇票或者金融机构、担保机构出具的保函等非现金形式提交。投标保证金汇款凭证上用途栏应注明本项目[标准格式：XXXX项目保证金]。如未按时缴纳投标保证金，投标将被拒绝。</w:t>
            </w:r>
          </w:p>
          <w:p w14:paraId="160305F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(1)请投标方选择实时到账；(2)以我公司实际到账为准；(3)开标前1小时我公司会再次核对保证金提交情况，任何未按时收到保证金的投标方，投标被拒绝。</w:t>
            </w:r>
          </w:p>
        </w:tc>
      </w:tr>
      <w:tr w14:paraId="4181FF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5DCCD86">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.2</w:t>
            </w:r>
          </w:p>
        </w:tc>
        <w:tc>
          <w:tcPr>
            <w:tcW w:w="919" w:type="pct"/>
            <w:tcBorders>
              <w:top w:val="single" w:color="auto" w:sz="2" w:space="0"/>
              <w:left w:val="single" w:color="auto" w:sz="2" w:space="0"/>
              <w:bottom w:val="single" w:color="auto" w:sz="2" w:space="0"/>
              <w:right w:val="single" w:color="auto" w:sz="2" w:space="0"/>
            </w:tcBorders>
            <w:vAlign w:val="center"/>
          </w:tcPr>
          <w:p w14:paraId="747E8F82">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解密响应文件的时限</w:t>
            </w:r>
          </w:p>
        </w:tc>
        <w:tc>
          <w:tcPr>
            <w:tcW w:w="3561" w:type="pct"/>
            <w:tcBorders>
              <w:top w:val="single" w:color="auto" w:sz="2" w:space="0"/>
              <w:left w:val="single" w:color="auto" w:sz="2" w:space="0"/>
              <w:bottom w:val="single" w:color="auto" w:sz="2" w:space="0"/>
              <w:right w:val="single" w:color="auto" w:sz="2" w:space="0"/>
            </w:tcBorders>
            <w:vAlign w:val="center"/>
          </w:tcPr>
          <w:p w14:paraId="125EFEDD">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不见面开标默认解密时长：</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30</w:t>
            </w:r>
            <w:r>
              <w:rPr>
                <w:rFonts w:hint="eastAsia" w:ascii="宋体" w:hAnsi="宋体" w:eastAsia="宋体" w:cs="宋体"/>
                <w:i w:val="0"/>
                <w:iCs w:val="0"/>
                <w:color w:val="auto"/>
                <w:sz w:val="24"/>
                <w:szCs w:val="24"/>
                <w:highlight w:val="none"/>
                <w:lang w:val="en-US" w:eastAsia="zh-CN"/>
              </w:rPr>
              <w:t>分钟</w:t>
            </w:r>
          </w:p>
          <w:p w14:paraId="7EBEE188">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eastAsia="zh-CN"/>
              </w:rPr>
              <w:t>注：</w:t>
            </w:r>
            <w:r>
              <w:rPr>
                <w:rFonts w:hint="eastAsia" w:ascii="宋体" w:hAnsi="宋体" w:eastAsia="宋体" w:cs="宋体"/>
                <w:i w:val="0"/>
                <w:iCs w:val="0"/>
                <w:color w:val="auto"/>
                <w:sz w:val="24"/>
                <w:szCs w:val="24"/>
                <w:highlight w:val="none"/>
              </w:rPr>
              <w:t>除因交易平台发生故障导致响应文件无法按时解密外，响应文件未按时解密的，视为未按规定提交响应文件</w:t>
            </w:r>
            <w:r>
              <w:rPr>
                <w:rFonts w:hint="eastAsia" w:ascii="宋体" w:hAnsi="宋体" w:eastAsia="宋体" w:cs="宋体"/>
                <w:i w:val="0"/>
                <w:iCs w:val="0"/>
                <w:color w:val="auto"/>
                <w:sz w:val="24"/>
                <w:szCs w:val="24"/>
                <w:highlight w:val="none"/>
                <w:lang w:eastAsia="zh-CN"/>
              </w:rPr>
              <w:t>，响应无效</w:t>
            </w:r>
            <w:r>
              <w:rPr>
                <w:rFonts w:hint="eastAsia" w:ascii="宋体" w:hAnsi="宋体" w:eastAsia="宋体" w:cs="宋体"/>
                <w:i w:val="0"/>
                <w:iCs w:val="0"/>
                <w:color w:val="auto"/>
                <w:sz w:val="24"/>
                <w:szCs w:val="24"/>
                <w:highlight w:val="none"/>
              </w:rPr>
              <w:t>。</w:t>
            </w:r>
          </w:p>
        </w:tc>
      </w:tr>
      <w:tr w14:paraId="18BF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26ACDE85">
            <w:pPr>
              <w:pStyle w:val="46"/>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27.1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4AEF8994">
            <w:pPr>
              <w:pStyle w:val="46"/>
              <w:jc w:val="center"/>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E0A19B1">
            <w:pPr>
              <w:pStyle w:val="46"/>
              <w:jc w:val="both"/>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0DD7CF77">
            <w:pPr>
              <w:pStyle w:val="46"/>
              <w:ind w:firstLine="240" w:firstLineChars="100"/>
              <w:jc w:val="both"/>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2</w:t>
            </w:r>
            <w:r>
              <w:rPr>
                <w:rFonts w:hint="eastAsia" w:cs="宋体"/>
                <w:color w:val="auto"/>
                <w:sz w:val="24"/>
                <w:szCs w:val="24"/>
                <w:highlight w:val="none"/>
                <w:lang w:val="en-US" w:eastAsia="zh-CN"/>
              </w:rPr>
              <w:t>轮磋商（不含最后报价）。</w:t>
            </w:r>
          </w:p>
          <w:p w14:paraId="0EEC14AF">
            <w:pPr>
              <w:pStyle w:val="46"/>
              <w:ind w:firstLine="240" w:firstLineChars="100"/>
              <w:jc w:val="both"/>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01EA0CD0">
            <w:pPr>
              <w:pStyle w:val="46"/>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cs="宋体"/>
                <w:color w:val="auto"/>
                <w:sz w:val="24"/>
                <w:szCs w:val="24"/>
                <w:highlight w:val="none"/>
                <w:u w:val="none"/>
                <w:lang w:val="en-US" w:eastAsia="zh-CN"/>
              </w:rPr>
            </w:pPr>
            <w:r>
              <w:rPr>
                <w:rFonts w:hint="eastAsia" w:cs="宋体"/>
                <w:color w:val="auto"/>
                <w:sz w:val="24"/>
                <w:szCs w:val="24"/>
                <w:highlight w:val="none"/>
                <w:lang w:val="en-US" w:eastAsia="zh-CN"/>
              </w:rPr>
              <w:t>磋商顺序</w:t>
            </w:r>
            <w:r>
              <w:rPr>
                <w:rFonts w:hint="eastAsia" w:ascii="宋体" w:hAnsi="宋体" w:eastAsia="宋体" w:cs="宋体"/>
                <w:color w:val="auto"/>
                <w:sz w:val="24"/>
                <w:szCs w:val="24"/>
                <w:highlight w:val="none"/>
                <w:u w:val="single"/>
                <w:lang w:val="en-US" w:eastAsia="zh-CN"/>
              </w:rPr>
              <w:t xml:space="preserve">：按照提交响应文件先后时间顺序 </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A512A01">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w:t>
            </w:r>
          </w:p>
        </w:tc>
        <w:tc>
          <w:tcPr>
            <w:tcW w:w="919" w:type="pct"/>
            <w:tcBorders>
              <w:top w:val="single" w:color="auto" w:sz="2" w:space="0"/>
              <w:left w:val="single" w:color="auto" w:sz="2" w:space="0"/>
              <w:bottom w:val="single" w:color="auto" w:sz="2" w:space="0"/>
              <w:right w:val="single" w:color="auto" w:sz="2" w:space="0"/>
            </w:tcBorders>
            <w:vAlign w:val="center"/>
          </w:tcPr>
          <w:p w14:paraId="3B1D8DC9">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3561" w:type="pct"/>
            <w:tcBorders>
              <w:top w:val="single" w:color="auto" w:sz="2" w:space="0"/>
              <w:left w:val="single" w:color="auto" w:sz="2" w:space="0"/>
              <w:bottom w:val="single" w:color="auto" w:sz="2" w:space="0"/>
              <w:right w:val="single" w:color="auto" w:sz="2" w:space="0"/>
            </w:tcBorders>
            <w:vAlign w:val="center"/>
          </w:tcPr>
          <w:p w14:paraId="67201373">
            <w:pPr>
              <w:pStyle w:val="46"/>
              <w:jc w:val="both"/>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37AC9C0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7F769072">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3561" w:type="pct"/>
            <w:tcBorders>
              <w:top w:val="single" w:color="auto" w:sz="2" w:space="0"/>
              <w:left w:val="single" w:color="auto" w:sz="2" w:space="0"/>
              <w:bottom w:val="single" w:color="auto" w:sz="2" w:space="0"/>
              <w:right w:val="single" w:color="auto" w:sz="2" w:space="0"/>
            </w:tcBorders>
            <w:vAlign w:val="center"/>
          </w:tcPr>
          <w:p w14:paraId="77284D4E">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5AFD1CC8">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27ED33D">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6AB44AED">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3561" w:type="pct"/>
            <w:tcBorders>
              <w:top w:val="single" w:color="auto" w:sz="2" w:space="0"/>
              <w:left w:val="single" w:color="auto" w:sz="2" w:space="0"/>
              <w:bottom w:val="single" w:color="auto" w:sz="2" w:space="0"/>
              <w:right w:val="single" w:color="auto" w:sz="2" w:space="0"/>
            </w:tcBorders>
            <w:vAlign w:val="center"/>
          </w:tcPr>
          <w:p w14:paraId="242C35C3">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900BF28">
            <w:pPr>
              <w:pStyle w:val="46"/>
              <w:ind w:firstLine="240" w:firstLineChars="100"/>
              <w:jc w:val="both"/>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CB543E4">
            <w:pPr>
              <w:pStyle w:val="46"/>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765D7FA1">
            <w:pPr>
              <w:pStyle w:val="46"/>
              <w:ind w:firstLine="240" w:firstLineChars="10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0067AB47">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278665BD">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18EEE24E">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p>
          <w:p w14:paraId="2A254E9A">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p>
          <w:p w14:paraId="272CE062">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退还时间：</w:t>
            </w:r>
          </w:p>
          <w:p w14:paraId="4CB9792C">
            <w:pPr>
              <w:pStyle w:val="46"/>
              <w:jc w:val="both"/>
              <w:rPr>
                <w:rFonts w:hint="eastAsia" w:ascii="宋体" w:hAnsi="宋体" w:eastAsia="宋体" w:cs="宋体"/>
                <w:b/>
                <w:bCs/>
                <w:i w:val="0"/>
                <w:iCs w:val="0"/>
                <w:color w:val="auto"/>
                <w:sz w:val="24"/>
                <w:szCs w:val="24"/>
                <w:highlight w:val="none"/>
              </w:rPr>
            </w:pPr>
          </w:p>
          <w:p w14:paraId="08F7956F">
            <w:pPr>
              <w:pStyle w:val="46"/>
              <w:jc w:val="both"/>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9B817EB">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3CD9632">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861755C">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32.5</w:t>
            </w:r>
          </w:p>
        </w:tc>
        <w:tc>
          <w:tcPr>
            <w:tcW w:w="919" w:type="pct"/>
            <w:tcBorders>
              <w:top w:val="single" w:color="auto" w:sz="2" w:space="0"/>
              <w:left w:val="single" w:color="auto" w:sz="2" w:space="0"/>
              <w:bottom w:val="single" w:color="auto" w:sz="2" w:space="0"/>
              <w:right w:val="single" w:color="auto" w:sz="2" w:space="0"/>
            </w:tcBorders>
            <w:vAlign w:val="center"/>
          </w:tcPr>
          <w:p w14:paraId="04D9510B">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3561" w:type="pct"/>
            <w:tcBorders>
              <w:top w:val="single" w:color="auto" w:sz="2" w:space="0"/>
              <w:left w:val="single" w:color="auto" w:sz="2" w:space="0"/>
              <w:bottom w:val="single" w:color="auto" w:sz="2" w:space="0"/>
              <w:right w:val="single" w:color="auto" w:sz="2" w:space="0"/>
            </w:tcBorders>
            <w:vAlign w:val="center"/>
          </w:tcPr>
          <w:p w14:paraId="4344EC45">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本项目的非主体、非关键性工作是否允许分包：</w:t>
            </w:r>
          </w:p>
          <w:p w14:paraId="3D901FC0">
            <w:pPr>
              <w:pStyle w:val="46"/>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不允许</w:t>
            </w:r>
          </w:p>
          <w:p w14:paraId="56DFA0F7">
            <w:pPr>
              <w:pStyle w:val="46"/>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□允许，具体要求：</w:t>
            </w:r>
          </w:p>
          <w:p w14:paraId="6C445FF2">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1.可以分包履行的具体内容：_____；</w:t>
            </w:r>
          </w:p>
          <w:p w14:paraId="71BE067E">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2.允许分包的金额或者比例：_____；</w:t>
            </w:r>
          </w:p>
          <w:p w14:paraId="3628979B">
            <w:pPr>
              <w:pStyle w:val="46"/>
              <w:ind w:firstLine="480" w:firstLineChars="200"/>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1F3EF9C4">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w:t>
            </w:r>
          </w:p>
        </w:tc>
        <w:tc>
          <w:tcPr>
            <w:tcW w:w="919" w:type="pct"/>
            <w:tcBorders>
              <w:top w:val="single" w:color="auto" w:sz="2" w:space="0"/>
              <w:left w:val="single" w:color="auto" w:sz="2" w:space="0"/>
              <w:bottom w:val="single" w:color="auto" w:sz="2" w:space="0"/>
              <w:right w:val="single" w:color="auto" w:sz="2" w:space="0"/>
            </w:tcBorders>
            <w:vAlign w:val="center"/>
          </w:tcPr>
          <w:p w14:paraId="66EBB004">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3561" w:type="pct"/>
            <w:tcBorders>
              <w:top w:val="single" w:color="auto" w:sz="2" w:space="0"/>
              <w:left w:val="single" w:color="auto" w:sz="2" w:space="0"/>
              <w:bottom w:val="single" w:color="auto" w:sz="2" w:space="0"/>
              <w:right w:val="single" w:color="auto" w:sz="2" w:space="0"/>
            </w:tcBorders>
            <w:vAlign w:val="center"/>
          </w:tcPr>
          <w:p w14:paraId="19F26822">
            <w:pPr>
              <w:pStyle w:val="54"/>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hAnsi="宋体" w:eastAsia="宋体" w:cs="宋体"/>
                <w:i w:val="0"/>
                <w:iCs w:val="0"/>
                <w:color w:val="auto"/>
                <w:sz w:val="24"/>
                <w:szCs w:val="24"/>
                <w:highlight w:val="none"/>
                <w:u w:val="single"/>
              </w:rPr>
              <w:t>书面递交（所递交质疑函需加盖质疑单位公章及法定代表人章）</w:t>
            </w:r>
          </w:p>
          <w:p w14:paraId="33CC548F">
            <w:pPr>
              <w:pStyle w:val="54"/>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kern w:val="2"/>
                <w:sz w:val="24"/>
                <w:szCs w:val="24"/>
                <w:highlight w:val="none"/>
                <w:u w:val="single"/>
                <w:lang w:val="en-US" w:eastAsia="zh-CN" w:bidi="ar-SA"/>
              </w:rPr>
              <w:t>新疆新业景顺工程管理有限公司</w:t>
            </w:r>
          </w:p>
          <w:p w14:paraId="4E9BBFA0">
            <w:pPr>
              <w:pStyle w:val="54"/>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sz w:val="24"/>
                <w:szCs w:val="24"/>
                <w:highlight w:val="none"/>
                <w:u w:val="single"/>
                <w:lang w:val="en-US" w:eastAsia="zh-CN"/>
              </w:rPr>
              <w:t>18399320608</w:t>
            </w:r>
          </w:p>
          <w:p w14:paraId="3D7CD65B">
            <w:pPr>
              <w:pStyle w:val="54"/>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kern w:val="2"/>
                <w:sz w:val="24"/>
                <w:szCs w:val="24"/>
                <w:highlight w:val="none"/>
                <w:lang w:val="zh-CN" w:eastAsia="zh-CN" w:bidi="ar-SA"/>
              </w:rPr>
              <w:t>通讯地址：</w:t>
            </w:r>
            <w:r>
              <w:rPr>
                <w:rFonts w:hint="eastAsia" w:ascii="宋体" w:hAnsi="宋体" w:eastAsia="宋体" w:cs="宋体"/>
                <w:i w:val="0"/>
                <w:iCs w:val="0"/>
                <w:color w:val="auto"/>
                <w:sz w:val="24"/>
                <w:szCs w:val="24"/>
                <w:highlight w:val="none"/>
                <w:u w:val="single"/>
              </w:rPr>
              <w:t>吐鲁番市高昌区鸿福新绿洲一号楼商铺二楼201</w:t>
            </w:r>
          </w:p>
          <w:p w14:paraId="796C4B93">
            <w:pPr>
              <w:pStyle w:val="66"/>
              <w:bidi w:val="0"/>
              <w:jc w:val="both"/>
              <w:rPr>
                <w:rFonts w:hint="eastAsia"/>
                <w:lang w:val="en-US" w:eastAsia="zh-CN"/>
              </w:rPr>
            </w:pPr>
            <w:r>
              <w:rPr>
                <w:rFonts w:hint="eastAsia"/>
                <w:lang w:val="en-US" w:eastAsia="zh-CN"/>
              </w:rPr>
              <w:t>对采购过程提出质疑时间：为各采购程序环节结束之日起七个工作日内。</w:t>
            </w:r>
          </w:p>
          <w:p w14:paraId="2587EEDE">
            <w:pPr>
              <w:pStyle w:val="66"/>
              <w:bidi w:val="0"/>
              <w:jc w:val="both"/>
              <w:rPr>
                <w:rFonts w:hint="eastAsia" w:ascii="宋体" w:hAnsi="宋体" w:eastAsia="宋体" w:cs="宋体"/>
                <w:i w:val="0"/>
                <w:iCs w:val="0"/>
                <w:color w:val="auto"/>
                <w:kern w:val="2"/>
                <w:sz w:val="24"/>
                <w:szCs w:val="24"/>
                <w:highlight w:val="none"/>
                <w:lang w:val="zh-CN" w:eastAsia="zh-CN" w:bidi="ar-SA"/>
              </w:rPr>
            </w:pPr>
            <w:r>
              <w:rPr>
                <w:rFonts w:hint="eastAsia"/>
                <w:lang w:val="en-US" w:eastAsia="zh-CN"/>
              </w:rPr>
              <w:t>对采购结果提出质疑时间：为中标结果公告发布次日后七个工作日内。</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0B4B825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vAlign w:val="center"/>
          </w:tcPr>
          <w:p w14:paraId="620FF725">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3561" w:type="pct"/>
            <w:tcBorders>
              <w:top w:val="single" w:color="auto" w:sz="2" w:space="0"/>
              <w:left w:val="single" w:color="auto" w:sz="2" w:space="0"/>
              <w:bottom w:val="single" w:color="auto" w:sz="2" w:space="0"/>
              <w:right w:val="single" w:color="auto" w:sz="2" w:space="0"/>
            </w:tcBorders>
            <w:vAlign w:val="center"/>
          </w:tcPr>
          <w:p w14:paraId="50481589">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人支付</w:t>
            </w:r>
          </w:p>
          <w:p w14:paraId="4710D0C3">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i w:val="0"/>
                <w:iCs w:val="0"/>
                <w:color w:val="auto"/>
                <w:sz w:val="24"/>
                <w:szCs w:val="24"/>
                <w:highlight w:val="none"/>
                <w:u w:val="single"/>
              </w:rPr>
              <w:t>参考《招标代理服务收费管理暂行办法》（计价格〔2002〕1980 号）及《国家发展改革委办公厅关于招标代理服务收费有关问题的通知》（发改办价格〔2003〕857</w:t>
            </w:r>
            <w:r>
              <w:rPr>
                <w:color w:val="auto"/>
                <w:spacing w:val="-2"/>
                <w:u w:val="single" w:color="auto"/>
              </w:rPr>
              <w:t>号）</w:t>
            </w:r>
            <w:r>
              <w:rPr>
                <w:rFonts w:hint="eastAsia" w:ascii="宋体" w:hAnsi="宋体" w:eastAsia="宋体" w:cs="宋体"/>
                <w:i w:val="0"/>
                <w:iCs w:val="0"/>
                <w:color w:val="auto"/>
                <w:sz w:val="24"/>
                <w:szCs w:val="24"/>
                <w:highlight w:val="none"/>
                <w:u w:val="single"/>
              </w:rPr>
              <w:t>，</w:t>
            </w:r>
            <w:r>
              <w:rPr>
                <w:rFonts w:hint="eastAsia" w:cs="宋体"/>
                <w:i w:val="0"/>
                <w:iCs w:val="0"/>
                <w:color w:val="auto"/>
                <w:sz w:val="24"/>
                <w:szCs w:val="24"/>
                <w:highlight w:val="none"/>
                <w:u w:val="single"/>
                <w:lang w:val="en-US" w:eastAsia="zh-CN"/>
              </w:rPr>
              <w:t>按照标准下浮15%</w:t>
            </w:r>
            <w:r>
              <w:rPr>
                <w:rFonts w:hint="eastAsia" w:ascii="宋体" w:hAnsi="宋体" w:eastAsia="宋体" w:cs="宋体"/>
                <w:i w:val="0"/>
                <w:iCs w:val="0"/>
                <w:color w:val="auto"/>
                <w:sz w:val="24"/>
                <w:szCs w:val="24"/>
                <w:highlight w:val="none"/>
                <w:u w:val="single"/>
              </w:rPr>
              <w:t>收取招标代理服务费</w:t>
            </w:r>
            <w:r>
              <w:rPr>
                <w:rFonts w:hint="eastAsia"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代理服务费由中标人支付</w:t>
            </w:r>
            <w:r>
              <w:rPr>
                <w:rFonts w:hint="eastAsia" w:ascii="宋体" w:hAnsi="宋体" w:eastAsia="宋体" w:cs="宋体"/>
                <w:i w:val="0"/>
                <w:iCs w:val="0"/>
                <w:color w:val="auto"/>
                <w:sz w:val="24"/>
                <w:szCs w:val="24"/>
                <w:highlight w:val="none"/>
                <w:u w:val="single"/>
                <w:lang w:eastAsia="zh-CN"/>
              </w:rPr>
              <w:t>。</w:t>
            </w:r>
          </w:p>
          <w:p w14:paraId="7984F9E6">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领取中标通知书时支付</w:t>
            </w:r>
          </w:p>
          <w:p w14:paraId="624D4904">
            <w:pPr>
              <w:pStyle w:val="46"/>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收取</w:t>
            </w:r>
            <w:r>
              <w:rPr>
                <w:rFonts w:hint="eastAsia" w:ascii="宋体" w:hAnsi="宋体" w:eastAsia="宋体" w:cs="宋体"/>
                <w:i w:val="0"/>
                <w:iCs w:val="0"/>
                <w:color w:val="auto"/>
                <w:sz w:val="24"/>
                <w:szCs w:val="24"/>
                <w:highlight w:val="none"/>
              </w:rPr>
              <w:t>方式：</w:t>
            </w:r>
            <w:r>
              <w:rPr>
                <w:rFonts w:hint="eastAsia" w:ascii="宋体" w:hAnsi="宋体" w:eastAsia="宋体" w:cs="宋体"/>
                <w:i w:val="0"/>
                <w:iCs w:val="0"/>
                <w:color w:val="auto"/>
                <w:sz w:val="24"/>
                <w:szCs w:val="24"/>
                <w:highlight w:val="none"/>
                <w:u w:val="single"/>
              </w:rPr>
              <w:t>转账、电汇等形式</w:t>
            </w:r>
          </w:p>
          <w:p w14:paraId="71EC3B57">
            <w:pPr>
              <w:pStyle w:val="65"/>
              <w:spacing w:before="181" w:line="219" w:lineRule="auto"/>
              <w:jc w:val="both"/>
            </w:pPr>
            <w:r>
              <w:rPr>
                <w:spacing w:val="-5"/>
              </w:rPr>
              <w:t>5.招标代理机构账户信息：</w:t>
            </w:r>
          </w:p>
          <w:p w14:paraId="597E6DEA">
            <w:pPr>
              <w:pStyle w:val="46"/>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账户名：新疆新业景顺工程管理有限公司</w:t>
            </w:r>
          </w:p>
          <w:p w14:paraId="67B683E6">
            <w:pPr>
              <w:pStyle w:val="46"/>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开户行：新疆农商银行股份有限公司吐鲁番高昌区支行</w:t>
            </w:r>
          </w:p>
          <w:p w14:paraId="3DE27033">
            <w:pPr>
              <w:pStyle w:val="46"/>
              <w:jc w:val="both"/>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u w:val="single"/>
              </w:rPr>
              <w:t>行  号：402883000203</w:t>
            </w:r>
          </w:p>
          <w:p w14:paraId="4714A289">
            <w:pPr>
              <w:pStyle w:val="46"/>
              <w:jc w:val="both"/>
              <w:rPr>
                <w:rFonts w:hint="eastAsia" w:ascii="宋体" w:hAnsi="宋体" w:eastAsia="宋体" w:cs="宋体"/>
                <w:i w:val="0"/>
                <w:iCs w:val="0"/>
                <w:color w:val="auto"/>
                <w:sz w:val="24"/>
                <w:szCs w:val="24"/>
                <w:highlight w:val="none"/>
                <w:u w:val="single"/>
              </w:rPr>
            </w:pPr>
            <w:r>
              <w:rPr>
                <w:rFonts w:hint="eastAsia" w:cs="宋体"/>
                <w:i w:val="0"/>
                <w:iCs w:val="0"/>
                <w:color w:val="auto"/>
                <w:sz w:val="24"/>
                <w:szCs w:val="24"/>
                <w:highlight w:val="none"/>
                <w:u w:val="single"/>
                <w:lang w:val="en-US" w:eastAsia="zh-CN"/>
              </w:rPr>
              <w:t>账</w:t>
            </w:r>
            <w:r>
              <w:rPr>
                <w:rFonts w:hint="eastAsia" w:ascii="宋体" w:hAnsi="宋体" w:eastAsia="宋体" w:cs="宋体"/>
                <w:i w:val="0"/>
                <w:iCs w:val="0"/>
                <w:color w:val="auto"/>
                <w:sz w:val="24"/>
                <w:szCs w:val="24"/>
                <w:highlight w:val="none"/>
                <w:u w:val="single"/>
              </w:rPr>
              <w:t xml:space="preserve">  号：838010012010105792160</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15EB639A">
            <w:pPr>
              <w:pStyle w:val="46"/>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39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919" w:type="pct"/>
            <w:tcBorders>
              <w:top w:val="single" w:color="auto" w:sz="2" w:space="0"/>
              <w:left w:val="single" w:color="auto" w:sz="2" w:space="0"/>
              <w:bottom w:val="single" w:color="auto" w:sz="2" w:space="0"/>
              <w:right w:val="single" w:color="auto" w:sz="2" w:space="0"/>
            </w:tcBorders>
            <w:vAlign w:val="center"/>
          </w:tcPr>
          <w:p w14:paraId="623E81DC">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2"/>
                <w:rFonts w:hint="eastAsia" w:ascii="宋体" w:hAnsi="宋体" w:eastAsia="宋体" w:cs="宋体"/>
                <w:b w:val="0"/>
                <w:i w:val="0"/>
                <w:iCs w:val="0"/>
                <w:color w:val="auto"/>
                <w:sz w:val="24"/>
                <w:szCs w:val="24"/>
                <w:highlight w:val="none"/>
                <w:lang w:val="en-US" w:eastAsia="zh-CN"/>
              </w:rPr>
              <w:t>（非专门面向中小企业采购项目适用）</w:t>
            </w:r>
          </w:p>
        </w:tc>
        <w:tc>
          <w:tcPr>
            <w:tcW w:w="3561" w:type="pct"/>
            <w:tcBorders>
              <w:top w:val="single" w:color="auto" w:sz="2" w:space="0"/>
              <w:left w:val="single" w:color="auto" w:sz="2" w:space="0"/>
              <w:bottom w:val="single" w:color="auto" w:sz="2" w:space="0"/>
              <w:right w:val="single" w:color="auto" w:sz="2" w:space="0"/>
            </w:tcBorders>
            <w:vAlign w:val="center"/>
          </w:tcPr>
          <w:p w14:paraId="494A9BAF">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59"/>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vAlign w:val="center"/>
          </w:tcPr>
          <w:p w14:paraId="790F1479">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39.9</w:t>
            </w:r>
          </w:p>
        </w:tc>
        <w:tc>
          <w:tcPr>
            <w:tcW w:w="919" w:type="pct"/>
            <w:tcBorders>
              <w:top w:val="single" w:color="auto" w:sz="2" w:space="0"/>
              <w:left w:val="single" w:color="auto" w:sz="2" w:space="0"/>
              <w:bottom w:val="single" w:color="auto" w:sz="2" w:space="0"/>
              <w:right w:val="single" w:color="auto" w:sz="2" w:space="0"/>
            </w:tcBorders>
            <w:vAlign w:val="center"/>
          </w:tcPr>
          <w:p w14:paraId="4DEF3B1D">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标的所属行业</w:t>
            </w:r>
          </w:p>
          <w:p w14:paraId="2A0D024C">
            <w:pPr>
              <w:pStyle w:val="46"/>
              <w:jc w:val="center"/>
              <w:rPr>
                <w:rFonts w:hint="eastAsia" w:ascii="宋体" w:hAnsi="宋体" w:eastAsia="宋体" w:cs="宋体"/>
                <w:i w:val="0"/>
                <w:iCs w:val="0"/>
                <w:color w:val="auto"/>
                <w:sz w:val="24"/>
                <w:szCs w:val="24"/>
                <w:highlight w:val="none"/>
              </w:rPr>
            </w:pPr>
            <w:r>
              <w:rPr>
                <w:rStyle w:val="32"/>
                <w:rFonts w:hint="eastAsia" w:ascii="宋体" w:hAnsi="宋体" w:eastAsia="宋体" w:cs="宋体"/>
                <w:b w:val="0"/>
                <w:i w:val="0"/>
                <w:iCs w:val="0"/>
                <w:color w:val="auto"/>
                <w:sz w:val="24"/>
                <w:szCs w:val="24"/>
                <w:highlight w:val="none"/>
                <w:lang w:val="en-US" w:eastAsia="zh-CN"/>
              </w:rPr>
              <w:t>参照后附</w:t>
            </w:r>
            <w:r>
              <w:rPr>
                <w:rStyle w:val="32"/>
                <w:rFonts w:hint="eastAsia" w:ascii="宋体" w:hAnsi="宋体" w:eastAsia="宋体" w:cs="宋体"/>
                <w:b w:val="0"/>
                <w:i w:val="0"/>
                <w:iCs w:val="0"/>
                <w:color w:val="auto"/>
                <w:sz w:val="24"/>
                <w:szCs w:val="24"/>
                <w:highlight w:val="none"/>
                <w:lang w:eastAsia="zh-CN"/>
              </w:rPr>
              <w:t>《</w:t>
            </w:r>
            <w:r>
              <w:rPr>
                <w:rStyle w:val="32"/>
                <w:rFonts w:hint="eastAsia" w:ascii="宋体" w:hAnsi="宋体" w:eastAsia="宋体" w:cs="宋体"/>
                <w:b w:val="0"/>
                <w:i w:val="0"/>
                <w:iCs w:val="0"/>
                <w:color w:val="auto"/>
                <w:sz w:val="24"/>
                <w:szCs w:val="24"/>
                <w:highlight w:val="none"/>
              </w:rPr>
              <w:t>工信部联企业〔2011〕300号</w:t>
            </w:r>
            <w:r>
              <w:rPr>
                <w:rStyle w:val="32"/>
                <w:rFonts w:hint="eastAsia" w:ascii="宋体" w:hAnsi="宋体" w:eastAsia="宋体" w:cs="宋体"/>
                <w:b w:val="0"/>
                <w:i w:val="0"/>
                <w:iCs w:val="0"/>
                <w:color w:val="auto"/>
                <w:sz w:val="24"/>
                <w:szCs w:val="24"/>
                <w:highlight w:val="none"/>
                <w:lang w:eastAsia="zh-CN"/>
              </w:rPr>
              <w:t>》</w:t>
            </w:r>
          </w:p>
        </w:tc>
        <w:tc>
          <w:tcPr>
            <w:tcW w:w="3561" w:type="pct"/>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本项目采购标的对应的中小企业划分标准所属行业：</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2071"/>
              <w:gridCol w:w="308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55" w:type="pct"/>
                  <w:vAlign w:val="center"/>
                </w:tcPr>
                <w:p w14:paraId="6A664177">
                  <w:pPr>
                    <w:pStyle w:val="66"/>
                    <w:bidi w:val="0"/>
                    <w:rPr>
                      <w:rFonts w:hint="eastAsia"/>
                      <w:lang w:val="en-US" w:eastAsia="zh-CN"/>
                    </w:rPr>
                  </w:pPr>
                  <w:r>
                    <w:rPr>
                      <w:rFonts w:hint="eastAsia"/>
                      <w:lang w:val="en-US" w:eastAsia="zh-CN"/>
                    </w:rPr>
                    <w:t>包号</w:t>
                  </w:r>
                </w:p>
              </w:tc>
              <w:tc>
                <w:tcPr>
                  <w:tcW w:w="1664" w:type="pct"/>
                  <w:vAlign w:val="center"/>
                </w:tcPr>
                <w:p w14:paraId="0AD36816">
                  <w:pPr>
                    <w:pStyle w:val="66"/>
                    <w:bidi w:val="0"/>
                    <w:rPr>
                      <w:rFonts w:hint="eastAsia"/>
                      <w:lang w:val="en-US" w:eastAsia="zh-CN"/>
                    </w:rPr>
                  </w:pPr>
                  <w:r>
                    <w:rPr>
                      <w:rFonts w:hint="eastAsia"/>
                      <w:lang w:val="en-US" w:eastAsia="zh-CN"/>
                    </w:rPr>
                    <w:t>标的名称</w:t>
                  </w:r>
                </w:p>
              </w:tc>
              <w:tc>
                <w:tcPr>
                  <w:tcW w:w="2479" w:type="pct"/>
                  <w:vAlign w:val="center"/>
                </w:tcPr>
                <w:p w14:paraId="2C78D772">
                  <w:pPr>
                    <w:pStyle w:val="66"/>
                    <w:bidi w:val="0"/>
                    <w:rPr>
                      <w:rFonts w:hint="eastAsia"/>
                      <w:lang w:val="en-US" w:eastAsia="zh-CN"/>
                    </w:rPr>
                  </w:pPr>
                  <w:r>
                    <w:rPr>
                      <w:rFonts w:hint="eastAsia"/>
                      <w:lang w:val="en-US" w:eastAsia="zh-CN"/>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5" w:type="pct"/>
                  <w:vAlign w:val="center"/>
                </w:tcPr>
                <w:p w14:paraId="45DA92CB">
                  <w:pPr>
                    <w:pStyle w:val="66"/>
                    <w:bidi w:val="0"/>
                    <w:rPr>
                      <w:rFonts w:hint="eastAsia"/>
                      <w:lang w:val="en-US" w:eastAsia="zh-CN"/>
                    </w:rPr>
                  </w:pPr>
                  <w:r>
                    <w:rPr>
                      <w:rFonts w:hint="eastAsia"/>
                      <w:lang w:val="en-US" w:eastAsia="zh-CN"/>
                    </w:rPr>
                    <w:t>第1包</w:t>
                  </w:r>
                </w:p>
              </w:tc>
              <w:tc>
                <w:tcPr>
                  <w:tcW w:w="1664" w:type="pct"/>
                  <w:vAlign w:val="center"/>
                </w:tcPr>
                <w:p w14:paraId="7B94C3FE">
                  <w:pPr>
                    <w:pStyle w:val="66"/>
                    <w:bidi w:val="0"/>
                    <w:rPr>
                      <w:rFonts w:hint="eastAsia"/>
                      <w:lang w:val="en-US" w:eastAsia="zh-CN"/>
                    </w:rPr>
                  </w:pPr>
                  <w:r>
                    <w:rPr>
                      <w:rFonts w:hint="eastAsia"/>
                      <w:lang w:val="en-US" w:eastAsia="zh-CN"/>
                    </w:rPr>
                    <w:t>鄯善县鲁克沁镇第一中学教学楼内外墙面修缮改造项目</w:t>
                  </w:r>
                </w:p>
              </w:tc>
              <w:tc>
                <w:tcPr>
                  <w:tcW w:w="2479" w:type="pct"/>
                  <w:vAlign w:val="center"/>
                </w:tcPr>
                <w:p w14:paraId="33535D95">
                  <w:pPr>
                    <w:pStyle w:val="66"/>
                    <w:bidi w:val="0"/>
                    <w:rPr>
                      <w:rFonts w:hint="eastAsia"/>
                      <w:lang w:val="en-US" w:eastAsia="zh-CN"/>
                    </w:rPr>
                  </w:pPr>
                  <w:r>
                    <w:t>建筑业</w:t>
                  </w:r>
                </w:p>
              </w:tc>
            </w:tr>
          </w:tbl>
          <w:p w14:paraId="4176FC14">
            <w:pPr>
              <w:pStyle w:val="46"/>
              <w:jc w:val="both"/>
              <w:rPr>
                <w:rFonts w:hint="eastAsia" w:ascii="宋体" w:hAnsi="宋体" w:eastAsia="宋体" w:cs="宋体"/>
                <w:i w:val="0"/>
                <w:iCs w:val="0"/>
                <w:color w:val="auto"/>
                <w:sz w:val="24"/>
                <w:szCs w:val="24"/>
                <w:highlight w:val="none"/>
              </w:rPr>
            </w:pPr>
          </w:p>
        </w:tc>
      </w:tr>
      <w:tr w14:paraId="02EBB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2A432A49">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40.5</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045319EF">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1F559201">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3561" w:type="pct"/>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3C6F71B4">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cs="宋体"/>
                <w:i w:val="0"/>
                <w:iCs w:val="0"/>
                <w:color w:val="auto"/>
                <w:sz w:val="24"/>
                <w:szCs w:val="24"/>
                <w:highlight w:val="none"/>
                <w:lang w:val="en-US" w:eastAsia="zh-CN"/>
              </w:rPr>
              <w:t xml:space="preserve"> 相关金融产品、金融机构联系方式可通过“新疆政府采购信用融资服务平台”查询  </w:t>
            </w:r>
            <w:r>
              <w:rPr>
                <w:rFonts w:hint="eastAsia" w:ascii="宋体" w:hAnsi="宋体" w:eastAsia="宋体" w:cs="宋体"/>
                <w:i w:val="0"/>
                <w:iCs w:val="0"/>
                <w:color w:val="auto"/>
                <w:sz w:val="24"/>
                <w:szCs w:val="24"/>
                <w:highlight w:val="none"/>
              </w:rPr>
              <w:t>。</w:t>
            </w:r>
          </w:p>
          <w:p w14:paraId="6795BCBE">
            <w:pPr>
              <w:pStyle w:val="46"/>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eastAsia="zh-CN"/>
              </w:rPr>
              <w:t>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18" w:type="pct"/>
            <w:tcBorders>
              <w:top w:val="single" w:color="auto" w:sz="2" w:space="0"/>
              <w:left w:val="single" w:color="auto" w:sz="2" w:space="0"/>
              <w:bottom w:val="single" w:color="auto" w:sz="2" w:space="0"/>
              <w:right w:val="single" w:color="auto" w:sz="4" w:space="0"/>
            </w:tcBorders>
            <w:vAlign w:val="center"/>
          </w:tcPr>
          <w:p w14:paraId="342D37A4">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919" w:type="pct"/>
            <w:tcBorders>
              <w:top w:val="single" w:color="auto" w:sz="2" w:space="0"/>
              <w:left w:val="single" w:color="auto" w:sz="2" w:space="0"/>
              <w:bottom w:val="single" w:color="auto" w:sz="2" w:space="0"/>
              <w:right w:val="single" w:color="auto" w:sz="4" w:space="0"/>
            </w:tcBorders>
            <w:vAlign w:val="center"/>
          </w:tcPr>
          <w:p w14:paraId="57A459C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3561" w:type="pct"/>
            <w:tcBorders>
              <w:top w:val="single" w:color="auto" w:sz="2" w:space="0"/>
              <w:left w:val="single" w:color="auto" w:sz="4" w:space="0"/>
              <w:bottom w:val="single" w:color="auto" w:sz="2" w:space="0"/>
              <w:right w:val="single" w:color="auto" w:sz="2" w:space="0"/>
            </w:tcBorders>
            <w:vAlign w:val="center"/>
          </w:tcPr>
          <w:p w14:paraId="712F3676">
            <w:pPr>
              <w:pStyle w:val="65"/>
              <w:spacing w:before="93" w:line="359" w:lineRule="auto"/>
              <w:ind w:left="111" w:right="192" w:firstLine="16"/>
              <w:jc w:val="both"/>
            </w:pPr>
            <w:r>
              <w:rPr>
                <w:spacing w:val="-1"/>
              </w:rPr>
              <w:t>1、政府采购评审中出现下列情形之一的，评审委员会应</w:t>
            </w:r>
            <w:r>
              <w:rPr>
                <w:spacing w:val="-2"/>
              </w:rPr>
              <w:t>当启</w:t>
            </w:r>
            <w:r>
              <w:rPr>
                <w:spacing w:val="-4"/>
              </w:rPr>
              <w:t>动异常低价投标（响应）审查程序：</w:t>
            </w:r>
          </w:p>
          <w:p w14:paraId="2778589A">
            <w:pPr>
              <w:pStyle w:val="65"/>
              <w:spacing w:line="359" w:lineRule="auto"/>
              <w:ind w:left="112" w:right="201" w:firstLine="4"/>
              <w:jc w:val="both"/>
            </w:pPr>
            <w:r>
              <w:rPr>
                <w:spacing w:val="-1"/>
              </w:rPr>
              <w:t>（1）投标（响应）报价低于全部通过符合性审查供应商投标（响应）报价平均值</w:t>
            </w:r>
            <w:r>
              <w:rPr>
                <w:spacing w:val="-37"/>
              </w:rPr>
              <w:t xml:space="preserve"> </w:t>
            </w:r>
            <w:r>
              <w:rPr>
                <w:spacing w:val="-1"/>
              </w:rPr>
              <w:t>50%的，即投标（响应</w:t>
            </w:r>
            <w:r>
              <w:rPr>
                <w:spacing w:val="-2"/>
              </w:rPr>
              <w:t>）报价&lt;全部通过</w:t>
            </w:r>
            <w:r>
              <w:rPr>
                <w:spacing w:val="-3"/>
              </w:rPr>
              <w:t>符合性审查供应商投标（响应）报价平均值×50%；</w:t>
            </w:r>
          </w:p>
          <w:p w14:paraId="522B26D7">
            <w:pPr>
              <w:pStyle w:val="65"/>
              <w:spacing w:line="359" w:lineRule="auto"/>
              <w:ind w:left="113" w:right="202" w:firstLine="3"/>
              <w:jc w:val="both"/>
            </w:pPr>
            <w:r>
              <w:rPr>
                <w:spacing w:val="-1"/>
              </w:rPr>
              <w:t>（2）投标（响应）报价低于通过符合性审查的次低报价供应商投标（响应）报价</w:t>
            </w:r>
            <w:r>
              <w:rPr>
                <w:spacing w:val="-46"/>
              </w:rPr>
              <w:t xml:space="preserve"> </w:t>
            </w:r>
            <w:r>
              <w:rPr>
                <w:spacing w:val="-1"/>
              </w:rPr>
              <w:t>50%的，即投标（响应）报价&lt;通过符合</w:t>
            </w:r>
            <w:r>
              <w:rPr>
                <w:spacing w:val="-3"/>
              </w:rPr>
              <w:t>性审查的次低报价供应商投标（响应）报价×50%；</w:t>
            </w:r>
          </w:p>
          <w:p w14:paraId="3E1C7B19">
            <w:pPr>
              <w:pStyle w:val="65"/>
              <w:spacing w:line="359" w:lineRule="auto"/>
              <w:ind w:left="111" w:right="262" w:firstLine="5"/>
              <w:jc w:val="both"/>
            </w:pPr>
            <w:r>
              <w:rPr>
                <w:spacing w:val="-2"/>
              </w:rPr>
              <w:t>（3）投标（响应）报价低于采购项目最高限价</w:t>
            </w:r>
            <w:r>
              <w:rPr>
                <w:spacing w:val="-32"/>
              </w:rPr>
              <w:t xml:space="preserve"> </w:t>
            </w:r>
            <w:r>
              <w:rPr>
                <w:spacing w:val="-2"/>
              </w:rPr>
              <w:t>45%的，即投</w:t>
            </w:r>
            <w:r>
              <w:rPr>
                <w:spacing w:val="-3"/>
              </w:rPr>
              <w:t>标（响应）报价&lt;采购项目最高限价×45%；</w:t>
            </w:r>
          </w:p>
          <w:p w14:paraId="135C1081">
            <w:pPr>
              <w:pStyle w:val="65"/>
              <w:spacing w:line="359" w:lineRule="auto"/>
              <w:ind w:left="118" w:right="202" w:hanging="2"/>
              <w:jc w:val="both"/>
            </w:pPr>
            <w:r>
              <w:rPr>
                <w:spacing w:val="-1"/>
              </w:rPr>
              <w:t>（4）评审委员会基于专业判断，认为供应商报价过低，有可</w:t>
            </w:r>
            <w:r>
              <w:rPr>
                <w:spacing w:val="-3"/>
              </w:rPr>
              <w:t>能影响产品质量或者不能诚信履约的其他情形。</w:t>
            </w:r>
          </w:p>
          <w:p w14:paraId="47D2751E">
            <w:pPr>
              <w:pStyle w:val="65"/>
              <w:spacing w:before="1" w:line="359" w:lineRule="auto"/>
              <w:ind w:left="110" w:right="192" w:firstLine="2"/>
              <w:jc w:val="both"/>
              <w:rPr>
                <w:rFonts w:ascii="宋体" w:hAnsi="宋体" w:eastAsia="宋体" w:cs="宋体"/>
                <w:spacing w:val="-1"/>
              </w:rPr>
            </w:pPr>
            <w:r>
              <w:rPr>
                <w:spacing w:val="-5"/>
              </w:rPr>
              <w:t>2、区外企业若中标应按自治区住建厅</w:t>
            </w:r>
            <w:r>
              <w:rPr>
                <w:spacing w:val="-30"/>
              </w:rPr>
              <w:t xml:space="preserve"> </w:t>
            </w:r>
            <w:r>
              <w:rPr>
                <w:spacing w:val="-5"/>
              </w:rPr>
              <w:t>2018</w:t>
            </w:r>
            <w:r>
              <w:rPr>
                <w:spacing w:val="-50"/>
              </w:rPr>
              <w:t xml:space="preserve"> </w:t>
            </w:r>
            <w:r>
              <w:rPr>
                <w:spacing w:val="-5"/>
              </w:rPr>
              <w:t>年</w:t>
            </w:r>
            <w:r>
              <w:rPr>
                <w:spacing w:val="-51"/>
              </w:rPr>
              <w:t xml:space="preserve"> </w:t>
            </w:r>
            <w:r>
              <w:rPr>
                <w:spacing w:val="-5"/>
              </w:rPr>
              <w:t>4</w:t>
            </w:r>
            <w:r>
              <w:rPr>
                <w:spacing w:val="-45"/>
              </w:rPr>
              <w:t xml:space="preserve"> </w:t>
            </w:r>
            <w:r>
              <w:rPr>
                <w:spacing w:val="-5"/>
              </w:rPr>
              <w:t>月</w:t>
            </w:r>
            <w:r>
              <w:rPr>
                <w:spacing w:val="-48"/>
              </w:rPr>
              <w:t xml:space="preserve"> </w:t>
            </w:r>
            <w:r>
              <w:rPr>
                <w:spacing w:val="-5"/>
              </w:rPr>
              <w:t>24 日发布</w:t>
            </w:r>
            <w:r>
              <w:rPr>
                <w:spacing w:val="-1"/>
              </w:rPr>
              <w:t>的《关于进一步推动自治区建筑市场统一开放的通知》的规</w:t>
            </w:r>
            <w:r>
              <w:rPr>
                <w:spacing w:val="-5"/>
              </w:rPr>
              <w:t>定及</w:t>
            </w:r>
            <w:r>
              <w:rPr>
                <w:spacing w:val="-37"/>
              </w:rPr>
              <w:t xml:space="preserve"> </w:t>
            </w:r>
            <w:r>
              <w:rPr>
                <w:spacing w:val="-5"/>
              </w:rPr>
              <w:t>2021</w:t>
            </w:r>
            <w:r>
              <w:rPr>
                <w:spacing w:val="-49"/>
              </w:rPr>
              <w:t xml:space="preserve"> </w:t>
            </w:r>
            <w:r>
              <w:rPr>
                <w:spacing w:val="-5"/>
              </w:rPr>
              <w:t>年</w:t>
            </w:r>
            <w:r>
              <w:rPr>
                <w:spacing w:val="-49"/>
              </w:rPr>
              <w:t xml:space="preserve"> </w:t>
            </w:r>
            <w:r>
              <w:rPr>
                <w:spacing w:val="-5"/>
              </w:rPr>
              <w:t>6</w:t>
            </w:r>
            <w:r>
              <w:rPr>
                <w:spacing w:val="-45"/>
              </w:rPr>
              <w:t xml:space="preserve"> </w:t>
            </w:r>
            <w:r>
              <w:rPr>
                <w:spacing w:val="-5"/>
              </w:rPr>
              <w:t>月</w:t>
            </w:r>
            <w:r>
              <w:rPr>
                <w:spacing w:val="-46"/>
              </w:rPr>
              <w:t xml:space="preserve"> </w:t>
            </w:r>
            <w:r>
              <w:rPr>
                <w:spacing w:val="-5"/>
              </w:rPr>
              <w:t>3日发布的《关于启用新版新疆工程建设</w:t>
            </w:r>
            <w:r>
              <w:rPr>
                <w:spacing w:val="-1"/>
              </w:rPr>
              <w:t>云区外建设工程企业进疆信息报送管理系统的公告》，登录新疆建筑市场监管和诚信信息一体化平台（简称新疆工程建设云，网址</w:t>
            </w:r>
            <w:r>
              <w:rPr>
                <w:spacing w:val="3"/>
              </w:rPr>
              <w:t>：（</w:t>
            </w:r>
            <w:r>
              <w:fldChar w:fldCharType="begin"/>
            </w:r>
            <w:r>
              <w:instrText xml:space="preserve"> HYPERLINK "http：//jsy.xjjs.gov.cn" </w:instrText>
            </w:r>
            <w:r>
              <w:fldChar w:fldCharType="separate"/>
            </w:r>
            <w:r>
              <w:rPr>
                <w:spacing w:val="-1"/>
              </w:rPr>
              <w:t>http：//jsy.xjjs.gov.cn</w:t>
            </w:r>
            <w:r>
              <w:rPr>
                <w:spacing w:val="-1"/>
              </w:rPr>
              <w:fldChar w:fldCharType="end"/>
            </w:r>
            <w:r>
              <w:rPr>
                <w:spacing w:val="3"/>
              </w:rPr>
              <w:t>），</w:t>
            </w:r>
            <w:r>
              <w:rPr>
                <w:spacing w:val="-1"/>
              </w:rPr>
              <w:t>注册报送企业</w:t>
            </w:r>
            <w:r>
              <w:rPr>
                <w:spacing w:val="-4"/>
              </w:rPr>
              <w:t>基</w:t>
            </w:r>
            <w:r>
              <w:rPr>
                <w:rFonts w:ascii="宋体" w:hAnsi="宋体" w:eastAsia="宋体" w:cs="宋体"/>
                <w:spacing w:val="-1"/>
              </w:rPr>
              <w:t>本信息和人员信息。</w:t>
            </w:r>
          </w:p>
          <w:p w14:paraId="3ACAC1AA">
            <w:pPr>
              <w:pStyle w:val="65"/>
              <w:spacing w:before="1" w:line="359" w:lineRule="auto"/>
              <w:ind w:left="110" w:right="192" w:firstLine="2"/>
              <w:jc w:val="both"/>
              <w:rPr>
                <w:rFonts w:hint="eastAsia" w:ascii="宋体" w:hAnsi="宋体" w:eastAsia="宋体" w:cs="宋体"/>
                <w:spacing w:val="-1"/>
              </w:rPr>
            </w:pPr>
            <w:r>
              <w:rPr>
                <w:rFonts w:ascii="宋体" w:hAnsi="宋体" w:eastAsia="宋体" w:cs="宋体"/>
                <w:spacing w:val="-1"/>
              </w:rPr>
              <w:t xml:space="preserve">3、在中标成交通知书发出之日起 </w:t>
            </w:r>
            <w:r>
              <w:rPr>
                <w:rFonts w:hint="eastAsia" w:ascii="宋体" w:hAnsi="宋体" w:eastAsia="宋体" w:cs="宋体"/>
                <w:spacing w:val="-1"/>
                <w:lang w:val="en-US" w:eastAsia="zh-CN"/>
              </w:rPr>
              <w:t>30</w:t>
            </w:r>
            <w:r>
              <w:rPr>
                <w:rFonts w:ascii="宋体" w:hAnsi="宋体" w:eastAsia="宋体" w:cs="宋体"/>
                <w:spacing w:val="-1"/>
              </w:rPr>
              <w:t>日内，按照采购文件确定的事项签订采购合同，并在合同签订之日起 2 个工作日内</w:t>
            </w:r>
            <w:r>
              <w:rPr>
                <w:rFonts w:hint="eastAsia" w:ascii="宋体" w:hAnsi="宋体" w:eastAsia="宋体" w:cs="宋体"/>
                <w:spacing w:val="-1"/>
              </w:rPr>
              <w:t>将合同上传至</w:t>
            </w:r>
            <w:r>
              <w:rPr>
                <w:rFonts w:hint="eastAsia" w:ascii="宋体" w:hAnsi="宋体" w:eastAsia="宋体" w:cs="宋体"/>
                <w:spacing w:val="-1"/>
                <w:lang w:val="en-US" w:eastAsia="zh-CN"/>
              </w:rPr>
              <w:t>新疆</w:t>
            </w:r>
            <w:r>
              <w:rPr>
                <w:rFonts w:hint="eastAsia" w:ascii="宋体" w:hAnsi="宋体" w:eastAsia="宋体" w:cs="宋体"/>
                <w:spacing w:val="-1"/>
              </w:rPr>
              <w:t>政府采购网进行公示。</w:t>
            </w:r>
          </w:p>
          <w:p w14:paraId="19E859DF">
            <w:pPr>
              <w:pStyle w:val="65"/>
              <w:spacing w:before="182" w:line="359" w:lineRule="auto"/>
              <w:ind w:right="434"/>
              <w:jc w:val="both"/>
              <w:rPr>
                <w:rFonts w:hint="eastAsia" w:ascii="宋体" w:hAnsi="宋体" w:eastAsia="宋体" w:cs="宋体"/>
                <w:spacing w:val="-1"/>
              </w:rPr>
            </w:pPr>
            <w:r>
              <w:rPr>
                <w:spacing w:val="-1"/>
              </w:rPr>
              <w:t>4、合同签订当日，中标供应商须将本项目《施工合同》扫描件发送至代理机构邮箱：</w:t>
            </w:r>
            <w:r>
              <w:fldChar w:fldCharType="begin"/>
            </w:r>
            <w:r>
              <w:instrText xml:space="preserve"> HYPERLINK "mailto:1557723156@qq.com%E3%80%82" </w:instrText>
            </w:r>
            <w:r>
              <w:fldChar w:fldCharType="separate"/>
            </w:r>
            <w:r>
              <w:rPr>
                <w:rFonts w:hint="eastAsia"/>
                <w:spacing w:val="-1"/>
                <w:lang w:val="en-US" w:eastAsia="zh-CN"/>
              </w:rPr>
              <w:t>1219616839</w:t>
            </w:r>
            <w:r>
              <w:rPr>
                <w:spacing w:val="-1"/>
              </w:rPr>
              <w:t>@qq.com。</w:t>
            </w:r>
            <w:r>
              <w:rPr>
                <w:spacing w:val="-1"/>
              </w:rPr>
              <w:fldChar w:fldCharType="end"/>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 w:hRule="atLeast"/>
        </w:trPr>
        <w:tc>
          <w:tcPr>
            <w:tcW w:w="5000" w:type="pct"/>
            <w:gridSpan w:val="3"/>
            <w:tcBorders>
              <w:top w:val="single" w:color="auto" w:sz="2" w:space="0"/>
              <w:left w:val="single" w:color="auto" w:sz="2" w:space="0"/>
              <w:bottom w:val="single" w:color="auto" w:sz="2" w:space="0"/>
              <w:right w:val="single" w:color="auto" w:sz="2" w:space="0"/>
            </w:tcBorders>
            <w:vAlign w:val="center"/>
          </w:tcPr>
          <w:p w14:paraId="45AC7FA3">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6"/>
              <w:jc w:val="both"/>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11"/>
    </w:tbl>
    <w:p w14:paraId="0190DBA8">
      <w:pPr>
        <w:rPr>
          <w:rFonts w:hint="eastAsia" w:eastAsia="宋体" w:asciiTheme="majorHAnsi" w:hAnsiTheme="majorHAnsi" w:cstheme="majorBidi"/>
          <w:b/>
          <w:bCs/>
          <w:color w:val="auto"/>
          <w:kern w:val="2"/>
          <w:sz w:val="28"/>
          <w:szCs w:val="28"/>
          <w:highlight w:val="none"/>
          <w:lang w:val="en-US" w:eastAsia="zh-CN" w:bidi="ar-SA"/>
        </w:rPr>
      </w:pPr>
      <w:bookmarkStart w:id="13" w:name="_Toc163493610"/>
      <w:bookmarkStart w:id="14" w:name="_Toc23202"/>
      <w:bookmarkStart w:id="15" w:name="_Toc28867"/>
      <w:bookmarkStart w:id="16" w:name="_Toc4625"/>
      <w:r>
        <w:rPr>
          <w:rFonts w:hint="eastAsia" w:eastAsia="宋体" w:asciiTheme="majorHAnsi" w:hAnsiTheme="majorHAnsi" w:cstheme="majorBidi"/>
          <w:b/>
          <w:bCs/>
          <w:color w:val="auto"/>
          <w:kern w:val="2"/>
          <w:sz w:val="28"/>
          <w:szCs w:val="28"/>
          <w:highlight w:val="none"/>
          <w:lang w:val="en-US" w:eastAsia="zh-CN" w:bidi="ar-SA"/>
        </w:rPr>
        <w:br w:type="page"/>
      </w:r>
    </w:p>
    <w:p w14:paraId="1CF0D4F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r>
        <w:rPr>
          <w:rFonts w:hint="eastAsia" w:eastAsia="宋体" w:asciiTheme="majorHAnsi" w:hAnsiTheme="majorHAnsi" w:cstheme="majorBidi"/>
          <w:b/>
          <w:bCs/>
          <w:color w:val="auto"/>
          <w:kern w:val="2"/>
          <w:sz w:val="28"/>
          <w:szCs w:val="28"/>
          <w:highlight w:val="none"/>
          <w:lang w:val="en-US" w:eastAsia="zh-CN" w:bidi="ar-SA"/>
        </w:rPr>
        <w:t>二、供应商须知</w:t>
      </w:r>
      <w:bookmarkEnd w:id="13"/>
      <w:bookmarkEnd w:id="14"/>
      <w:bookmarkEnd w:id="15"/>
      <w:bookmarkEnd w:id="16"/>
    </w:p>
    <w:p w14:paraId="04978FC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 w:name="_Toc46771638"/>
      <w:bookmarkStart w:id="18" w:name="_Toc163493611"/>
      <w:bookmarkStart w:id="19" w:name="_Toc109899951"/>
      <w:bookmarkStart w:id="20" w:name="_Toc109900370"/>
      <w:bookmarkStart w:id="21" w:name="_Toc109899532"/>
      <w:bookmarkStart w:id="22" w:name="_Toc109897433"/>
      <w:bookmarkStart w:id="23" w:name="_Toc470172694"/>
      <w:r>
        <w:rPr>
          <w:rFonts w:hint="eastAsia" w:ascii="宋体" w:hAnsi="宋体" w:eastAsia="宋体" w:cs="宋体"/>
          <w:b/>
          <w:bCs/>
          <w:color w:val="auto"/>
          <w:kern w:val="2"/>
          <w:sz w:val="24"/>
          <w:szCs w:val="24"/>
          <w:highlight w:val="none"/>
          <w:lang w:val="en-US" w:eastAsia="zh-CN" w:bidi="ar-SA"/>
        </w:rPr>
        <w:t>（一）总则</w:t>
      </w:r>
      <w:bookmarkEnd w:id="17"/>
      <w:bookmarkEnd w:id="18"/>
      <w:bookmarkEnd w:id="19"/>
      <w:bookmarkEnd w:id="20"/>
      <w:bookmarkEnd w:id="21"/>
      <w:bookmarkEnd w:id="22"/>
    </w:p>
    <w:p w14:paraId="18977FAF">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 w:name="_Toc52960552"/>
      <w:bookmarkStart w:id="25" w:name="_Toc46771639"/>
      <w:bookmarkStart w:id="26" w:name="_Toc48688788"/>
      <w:bookmarkStart w:id="27" w:name="_Toc109897434"/>
      <w:bookmarkStart w:id="28" w:name="_Toc48846108"/>
      <w:bookmarkStart w:id="29" w:name="_Toc52962726"/>
      <w:bookmarkStart w:id="30" w:name="_Toc27243"/>
      <w:bookmarkStart w:id="31" w:name="_Toc470172664"/>
      <w:bookmarkStart w:id="32" w:name="_Toc51674210"/>
      <w:bookmarkStart w:id="33" w:name="_Toc109899952"/>
      <w:bookmarkStart w:id="34" w:name="_Toc109900371"/>
      <w:bookmarkStart w:id="35" w:name="_Toc46772240"/>
      <w:bookmarkStart w:id="36" w:name="_Toc109899533"/>
      <w:r>
        <w:rPr>
          <w:rFonts w:hint="eastAsia" w:ascii="宋体" w:hAnsi="宋体" w:eastAsia="宋体" w:cs="宋体"/>
          <w:b/>
          <w:bCs/>
          <w:color w:val="auto"/>
          <w:kern w:val="2"/>
          <w:sz w:val="24"/>
          <w:szCs w:val="24"/>
          <w:highlight w:val="none"/>
          <w:lang w:val="en-US" w:eastAsia="zh-CN" w:bidi="ar-SA"/>
        </w:rPr>
        <w:t>1.适用范围</w:t>
      </w:r>
      <w:bookmarkEnd w:id="24"/>
      <w:bookmarkEnd w:id="25"/>
      <w:bookmarkEnd w:id="26"/>
      <w:bookmarkEnd w:id="27"/>
      <w:bookmarkEnd w:id="28"/>
      <w:bookmarkEnd w:id="29"/>
      <w:bookmarkEnd w:id="30"/>
      <w:bookmarkEnd w:id="31"/>
      <w:bookmarkEnd w:id="32"/>
      <w:bookmarkEnd w:id="33"/>
      <w:bookmarkEnd w:id="34"/>
      <w:bookmarkEnd w:id="35"/>
      <w:bookmarkEnd w:id="36"/>
    </w:p>
    <w:p w14:paraId="3FAC17DD">
      <w:pPr>
        <w:pStyle w:val="35"/>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rPr>
        <w:t>1.1本竞争性磋商文件</w:t>
      </w:r>
      <w:r>
        <w:rPr>
          <w:rFonts w:hint="eastAsia" w:cs="宋体"/>
          <w:i w:val="0"/>
          <w:iCs w:val="0"/>
          <w:snapToGrid w:val="0"/>
          <w:color w:val="auto"/>
          <w:highlight w:val="none"/>
        </w:rPr>
        <w:t>（也称磋商文件或采购文件）</w:t>
      </w:r>
      <w:r>
        <w:rPr>
          <w:rFonts w:hint="eastAsia"/>
          <w:i w:val="0"/>
          <w:iCs w:val="0"/>
          <w:snapToGrid w:val="0"/>
          <w:color w:val="auto"/>
          <w:highlight w:val="none"/>
        </w:rPr>
        <w:t>仅适用于本次竞争性磋商中所述项目的采购活动。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 w:name="_Toc163492824"/>
      <w:r>
        <w:rPr>
          <w:rFonts w:hint="eastAsia" w:ascii="宋体" w:hAnsi="宋体" w:eastAsia="宋体" w:cs="宋体"/>
          <w:b/>
          <w:bCs/>
          <w:color w:val="auto"/>
          <w:kern w:val="2"/>
          <w:sz w:val="24"/>
          <w:szCs w:val="24"/>
          <w:highlight w:val="none"/>
          <w:lang w:val="en-US" w:eastAsia="zh-CN" w:bidi="ar-SA"/>
        </w:rPr>
        <w:t>2.基本定义</w:t>
      </w:r>
      <w:bookmarkEnd w:id="37"/>
    </w:p>
    <w:p w14:paraId="768D70C2">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i w:val="0"/>
          <w:iCs w:val="0"/>
          <w:color w:val="auto"/>
          <w:highlight w:val="none"/>
        </w:rPr>
      </w:pPr>
      <w:r>
        <w:rPr>
          <w:rFonts w:hint="eastAsia"/>
          <w:i w:val="0"/>
          <w:iCs w:val="0"/>
          <w:color w:val="auto"/>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i w:val="0"/>
          <w:iCs w:val="0"/>
          <w:color w:val="auto"/>
          <w:highlight w:val="none"/>
        </w:rPr>
      </w:pPr>
      <w:r>
        <w:rPr>
          <w:rFonts w:hint="eastAsia"/>
          <w:i w:val="0"/>
          <w:iCs w:val="0"/>
          <w:color w:val="auto"/>
          <w:highlight w:val="none"/>
        </w:rPr>
        <w:t>2.3采购代理机构：</w:t>
      </w:r>
      <w:r>
        <w:rPr>
          <w:rFonts w:hint="eastAsia" w:cs="宋体"/>
          <w:i w:val="0"/>
          <w:iCs w:val="0"/>
          <w:color w:val="auto"/>
          <w:kern w:val="0"/>
          <w:sz w:val="24"/>
          <w:szCs w:val="24"/>
          <w:highlight w:val="none"/>
          <w:lang w:val="en-US" w:eastAsia="zh-CN" w:bidi="ar"/>
        </w:rPr>
        <w:t>新疆新业景顺工程管理有限公司</w:t>
      </w:r>
      <w:r>
        <w:rPr>
          <w:rFonts w:hint="eastAsia"/>
          <w:i w:val="0"/>
          <w:iCs w:val="0"/>
          <w:color w:val="auto"/>
          <w:highlight w:val="none"/>
        </w:rPr>
        <w:t>。</w:t>
      </w:r>
    </w:p>
    <w:p w14:paraId="26D50742">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2.4政府采购监督管理部门：鄯善县财政局。</w:t>
      </w:r>
    </w:p>
    <w:p w14:paraId="141307B6">
      <w:pPr>
        <w:spacing w:line="360" w:lineRule="auto"/>
        <w:ind w:firstLine="480" w:firstLineChars="200"/>
        <w:rPr>
          <w:rFonts w:ascii="宋体" w:hAnsi="宋体" w:eastAsia="宋体"/>
          <w:i w:val="0"/>
          <w:iCs w:val="0"/>
          <w:color w:val="auto"/>
          <w:sz w:val="24"/>
          <w:highlight w:val="none"/>
        </w:rPr>
      </w:pPr>
      <w:r>
        <w:rPr>
          <w:rFonts w:hint="eastAsia"/>
          <w:i w:val="0"/>
          <w:iCs w:val="0"/>
          <w:color w:val="auto"/>
          <w:highlight w:val="none"/>
          <w:lang w:val="en-US" w:eastAsia="zh-CN"/>
        </w:rPr>
        <w:t>2.5供应商（也称“申请人”）：指向采购人提供货物、工程或者服务的法人、其他组织或者自然人。</w:t>
      </w:r>
      <w:r>
        <w:rPr>
          <w:rFonts w:hint="eastAsia" w:ascii="宋体" w:hAnsi="宋体" w:eastAsia="宋体"/>
          <w:i w:val="0"/>
          <w:iCs w:val="0"/>
          <w:color w:val="auto"/>
          <w:sz w:val="24"/>
          <w:highlight w:val="none"/>
        </w:rPr>
        <w:t>分支机构不得参加政府采购活动，</w:t>
      </w:r>
      <w:r>
        <w:rPr>
          <w:rFonts w:hint="eastAsia"/>
          <w:i w:val="0"/>
          <w:iCs w:val="0"/>
          <w:color w:val="auto"/>
          <w:highlight w:val="none"/>
        </w:rPr>
        <w:t>但银行、保险、石油石化、电力、电信等</w:t>
      </w:r>
      <w:r>
        <w:rPr>
          <w:rFonts w:hint="eastAsia"/>
          <w:i w:val="0"/>
          <w:iCs w:val="0"/>
          <w:color w:val="auto"/>
          <w:highlight w:val="none"/>
          <w:lang w:val="en-US" w:eastAsia="zh-CN"/>
        </w:rPr>
        <w:t>有</w:t>
      </w:r>
      <w:r>
        <w:rPr>
          <w:rFonts w:hint="eastAsia"/>
          <w:i w:val="0"/>
          <w:iCs w:val="0"/>
          <w:color w:val="auto"/>
          <w:highlight w:val="none"/>
        </w:rPr>
        <w:t>行业特殊</w:t>
      </w:r>
      <w:r>
        <w:rPr>
          <w:rFonts w:hint="eastAsia"/>
          <w:i w:val="0"/>
          <w:iCs w:val="0"/>
          <w:color w:val="auto"/>
          <w:highlight w:val="none"/>
          <w:lang w:val="en-US" w:eastAsia="zh-CN"/>
        </w:rPr>
        <w:t>情况的</w:t>
      </w:r>
      <w:r>
        <w:rPr>
          <w:rFonts w:hint="eastAsia"/>
          <w:i w:val="0"/>
          <w:iCs w:val="0"/>
          <w:color w:val="auto"/>
          <w:highlight w:val="none"/>
        </w:rPr>
        <w:t>除外。</w:t>
      </w:r>
      <w:r>
        <w:rPr>
          <w:rFonts w:ascii="宋体" w:hAnsi="宋体" w:eastAsia="宋体"/>
          <w:i w:val="0"/>
          <w:iCs w:val="0"/>
          <w:color w:val="auto"/>
          <w:sz w:val="24"/>
          <w:highlight w:val="none"/>
        </w:rPr>
        <w:t>本项目的</w:t>
      </w:r>
      <w:r>
        <w:rPr>
          <w:rFonts w:hint="eastAsia"/>
          <w:i w:val="0"/>
          <w:iCs w:val="0"/>
          <w:color w:val="auto"/>
          <w:sz w:val="24"/>
          <w:highlight w:val="none"/>
          <w:lang w:val="en-US" w:eastAsia="zh-CN"/>
        </w:rPr>
        <w:t>供应商</w:t>
      </w:r>
      <w:r>
        <w:rPr>
          <w:rFonts w:ascii="宋体" w:hAnsi="宋体" w:eastAsia="宋体"/>
          <w:i w:val="0"/>
          <w:iCs w:val="0"/>
          <w:color w:val="auto"/>
          <w:sz w:val="24"/>
          <w:highlight w:val="none"/>
        </w:rPr>
        <w:t>须满足以下条件：</w:t>
      </w:r>
    </w:p>
    <w:p w14:paraId="11EA4CC6">
      <w:pPr>
        <w:spacing w:line="360" w:lineRule="auto"/>
        <w:ind w:firstLine="480" w:firstLineChars="200"/>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1</w:t>
      </w:r>
      <w:r>
        <w:rPr>
          <w:rFonts w:ascii="宋体" w:hAnsi="宋体" w:eastAsia="宋体"/>
          <w:i w:val="0"/>
          <w:iCs w:val="0"/>
          <w:color w:val="auto"/>
          <w:sz w:val="24"/>
          <w:highlight w:val="none"/>
        </w:rPr>
        <w:t>具备《中华人民共和国政府采购法》第二十二条规定的</w:t>
      </w:r>
      <w:r>
        <w:rPr>
          <w:rFonts w:hint="eastAsia"/>
          <w:i w:val="0"/>
          <w:iCs w:val="0"/>
          <w:color w:val="auto"/>
          <w:sz w:val="24"/>
          <w:highlight w:val="none"/>
          <w:lang w:val="en-US" w:eastAsia="zh-CN"/>
        </w:rPr>
        <w:t>条件</w:t>
      </w:r>
      <w:r>
        <w:rPr>
          <w:rFonts w:ascii="宋体" w:hAnsi="宋体" w:eastAsia="宋体"/>
          <w:i w:val="0"/>
          <w:iCs w:val="0"/>
          <w:color w:val="auto"/>
          <w:sz w:val="24"/>
          <w:highlight w:val="none"/>
        </w:rPr>
        <w:t>，遵守本项目采购人本级和上级财政部门政府采购的有关规定。</w:t>
      </w:r>
    </w:p>
    <w:p w14:paraId="766B5509">
      <w:pPr>
        <w:pStyle w:val="35"/>
        <w:keepNext w:val="0"/>
        <w:keepLines w:val="0"/>
        <w:pageBreakBefore w:val="0"/>
        <w:widowControl w:val="0"/>
        <w:kinsoku/>
        <w:overflowPunct/>
        <w:topLinePunct w:val="0"/>
        <w:bidi w:val="0"/>
        <w:ind w:firstLine="480"/>
        <w:textAlignment w:val="auto"/>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2</w:t>
      </w:r>
      <w:r>
        <w:rPr>
          <w:rFonts w:ascii="宋体" w:hAnsi="宋体" w:eastAsia="宋体"/>
          <w:i w:val="0"/>
          <w:iCs w:val="0"/>
          <w:color w:val="auto"/>
          <w:sz w:val="24"/>
          <w:highlight w:val="none"/>
        </w:rPr>
        <w:t>以</w:t>
      </w:r>
      <w:r>
        <w:rPr>
          <w:rFonts w:hint="eastAsia"/>
          <w:i w:val="0"/>
          <w:iCs w:val="0"/>
          <w:color w:val="auto"/>
          <w:sz w:val="24"/>
          <w:highlight w:val="none"/>
          <w:lang w:val="en-US" w:eastAsia="zh-CN"/>
        </w:rPr>
        <w:t>竞争性磋商公告中发布</w:t>
      </w:r>
      <w:r>
        <w:rPr>
          <w:rFonts w:ascii="宋体" w:hAnsi="宋体" w:eastAsia="宋体"/>
          <w:i w:val="0"/>
          <w:iCs w:val="0"/>
          <w:color w:val="auto"/>
          <w:sz w:val="24"/>
          <w:highlight w:val="none"/>
        </w:rPr>
        <w:t>的方式</w:t>
      </w:r>
      <w:r>
        <w:rPr>
          <w:rFonts w:hint="eastAsia"/>
          <w:i w:val="0"/>
          <w:iCs w:val="0"/>
          <w:color w:val="auto"/>
          <w:sz w:val="24"/>
          <w:highlight w:val="none"/>
          <w:lang w:eastAsia="zh-CN"/>
        </w:rPr>
        <w:t>依法</w:t>
      </w:r>
      <w:r>
        <w:rPr>
          <w:rFonts w:ascii="宋体" w:hAnsi="宋体" w:eastAsia="宋体"/>
          <w:i w:val="0"/>
          <w:iCs w:val="0"/>
          <w:color w:val="auto"/>
          <w:sz w:val="24"/>
          <w:highlight w:val="none"/>
        </w:rPr>
        <w:t>获得了本项目的</w:t>
      </w:r>
      <w:r>
        <w:rPr>
          <w:rFonts w:hint="eastAsia"/>
          <w:i w:val="0"/>
          <w:iCs w:val="0"/>
          <w:color w:val="auto"/>
          <w:sz w:val="24"/>
          <w:highlight w:val="none"/>
          <w:lang w:val="en-US" w:eastAsia="zh-CN"/>
        </w:rPr>
        <w:t>竞争性磋商</w:t>
      </w:r>
      <w:r>
        <w:rPr>
          <w:rFonts w:ascii="宋体" w:hAnsi="宋体" w:eastAsia="宋体"/>
          <w:i w:val="0"/>
          <w:iCs w:val="0"/>
          <w:color w:val="auto"/>
          <w:sz w:val="24"/>
          <w:highlight w:val="none"/>
        </w:rPr>
        <w:t>文件。</w:t>
      </w:r>
    </w:p>
    <w:p w14:paraId="07B83632">
      <w:pPr>
        <w:ind w:firstLine="480" w:firstLineChars="200"/>
        <w:rPr>
          <w:rFonts w:hint="eastAsia"/>
          <w:i w:val="0"/>
          <w:iCs w:val="0"/>
          <w:color w:val="auto"/>
          <w:highlight w:val="none"/>
          <w:lang w:val="en-US" w:eastAsia="zh-CN"/>
        </w:rPr>
      </w:pPr>
      <w:r>
        <w:rPr>
          <w:rFonts w:hint="eastAsia"/>
          <w:i w:val="0"/>
          <w:iCs w:val="0"/>
          <w:color w:val="auto"/>
          <w:highlight w:val="none"/>
          <w:lang w:val="en-US" w:eastAsia="zh-CN"/>
        </w:rPr>
        <w:t>2.5.3符合本磋商文件规定并参加磋商的供应商。</w:t>
      </w:r>
    </w:p>
    <w:p w14:paraId="323DC0B9">
      <w:pPr>
        <w:pStyle w:val="35"/>
        <w:keepNext w:val="0"/>
        <w:keepLines w:val="0"/>
        <w:pageBreakBefore w:val="0"/>
        <w:widowControl w:val="0"/>
        <w:kinsoku/>
        <w:overflowPunct/>
        <w:topLinePunct w:val="0"/>
        <w:bidi w:val="0"/>
        <w:ind w:firstLine="480"/>
        <w:textAlignment w:val="auto"/>
        <w:rPr>
          <w:rFonts w:hint="default" w:eastAsia="宋体" w:cs="宋体"/>
          <w:i w:val="0"/>
          <w:iCs w:val="0"/>
          <w:snapToGrid w:val="0"/>
          <w:color w:val="auto"/>
          <w:highlight w:val="none"/>
          <w:lang w:val="en-US" w:eastAsia="zh-CN"/>
        </w:rPr>
      </w:pPr>
      <w:r>
        <w:rPr>
          <w:rFonts w:hint="eastAsia"/>
          <w:i w:val="0"/>
          <w:iCs w:val="0"/>
          <w:color w:val="auto"/>
          <w:highlight w:val="none"/>
          <w:lang w:val="en-US" w:eastAsia="zh-CN"/>
        </w:rPr>
        <w:t>2.6</w:t>
      </w:r>
      <w:r>
        <w:rPr>
          <w:rFonts w:hint="eastAsia"/>
          <w:i w:val="0"/>
          <w:iCs w:val="0"/>
          <w:color w:val="auto"/>
          <w:highlight w:val="none"/>
          <w:shd w:val="clear" w:color="auto" w:fill="FFFFFF" w:themeFill="background1"/>
        </w:rPr>
        <w:t>潜在供应商</w:t>
      </w:r>
      <w:r>
        <w:rPr>
          <w:rFonts w:hint="eastAsia"/>
          <w:i w:val="0"/>
          <w:iCs w:val="0"/>
          <w:color w:val="auto"/>
          <w:highlight w:val="none"/>
          <w:shd w:val="clear" w:color="auto" w:fill="FFFFFF" w:themeFill="background1"/>
          <w:lang w:eastAsia="zh-CN"/>
        </w:rPr>
        <w:t>：</w:t>
      </w:r>
      <w:r>
        <w:rPr>
          <w:rFonts w:hint="eastAsia"/>
          <w:i w:val="0"/>
          <w:iCs w:val="0"/>
          <w:color w:val="auto"/>
          <w:highlight w:val="none"/>
          <w:shd w:val="clear" w:color="auto" w:fill="FFFFFF" w:themeFill="background1"/>
          <w:lang w:val="en-US" w:eastAsia="zh-CN"/>
        </w:rPr>
        <w:t>指</w:t>
      </w:r>
      <w:r>
        <w:rPr>
          <w:rFonts w:hint="eastAsia"/>
          <w:i w:val="0"/>
          <w:iCs w:val="0"/>
          <w:color w:val="auto"/>
          <w:highlight w:val="none"/>
          <w:lang w:val="en-US" w:eastAsia="zh-CN"/>
        </w:rPr>
        <w:t>符合本磋商文件规定的供应商</w:t>
      </w:r>
      <w:r>
        <w:rPr>
          <w:rFonts w:ascii="宋体" w:hAnsi="宋体" w:eastAsia="宋体"/>
          <w:i w:val="0"/>
          <w:iCs w:val="0"/>
          <w:color w:val="auto"/>
          <w:sz w:val="24"/>
          <w:highlight w:val="none"/>
        </w:rPr>
        <w:t>。</w:t>
      </w:r>
    </w:p>
    <w:p w14:paraId="4FFEB4B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 w:name="_Toc109899955"/>
      <w:bookmarkStart w:id="39" w:name="_Toc109899536"/>
      <w:bookmarkStart w:id="40" w:name="_Toc48846111"/>
      <w:bookmarkStart w:id="41" w:name="_Toc109897437"/>
      <w:bookmarkStart w:id="42" w:name="_Toc52960555"/>
      <w:bookmarkStart w:id="43" w:name="_Toc470172667"/>
      <w:bookmarkStart w:id="44" w:name="_Toc109900374"/>
      <w:bookmarkStart w:id="45" w:name="_Toc46772243"/>
      <w:bookmarkStart w:id="46" w:name="_Toc46771642"/>
      <w:bookmarkStart w:id="47" w:name="_Toc52962729"/>
      <w:bookmarkStart w:id="48" w:name="_Toc9974"/>
      <w:bookmarkStart w:id="49" w:name="_Toc48688791"/>
      <w:bookmarkStart w:id="50" w:name="_Toc51674213"/>
      <w:r>
        <w:rPr>
          <w:rFonts w:hint="eastAsia" w:ascii="宋体" w:hAnsi="宋体" w:eastAsia="宋体" w:cs="宋体"/>
          <w:b/>
          <w:bCs/>
          <w:color w:val="auto"/>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3.1资金来源：</w:t>
      </w:r>
      <w:r>
        <w:rPr>
          <w:rFonts w:hint="eastAsia"/>
          <w:i w:val="0"/>
          <w:iCs w:val="0"/>
          <w:color w:val="auto"/>
          <w:highlight w:val="none"/>
          <w:lang w:val="en-US" w:eastAsia="zh-CN"/>
        </w:rPr>
        <w:t>为财政性资金即</w:t>
      </w:r>
      <w:r>
        <w:rPr>
          <w:rFonts w:hint="eastAsia"/>
          <w:i w:val="0"/>
          <w:iCs w:val="0"/>
          <w:color w:val="auto"/>
          <w:highlight w:val="none"/>
        </w:rPr>
        <w:t>纳入预算管理的资金</w:t>
      </w:r>
      <w:r>
        <w:rPr>
          <w:rFonts w:hint="eastAsia"/>
          <w:i w:val="0"/>
          <w:iCs w:val="0"/>
          <w:color w:val="auto"/>
          <w:highlight w:val="none"/>
          <w:lang w:eastAsia="zh-CN"/>
        </w:rPr>
        <w:t>。</w:t>
      </w:r>
      <w:r>
        <w:rPr>
          <w:rFonts w:hint="eastAsia"/>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13F68FEF">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4.1</w:t>
      </w:r>
      <w:r>
        <w:rPr>
          <w:rFonts w:hint="eastAsia"/>
          <w:i w:val="0"/>
          <w:iCs w:val="0"/>
          <w:color w:val="auto"/>
          <w:highlight w:val="none"/>
          <w:lang w:val="en-US" w:eastAsia="zh-CN"/>
        </w:rPr>
        <w:t>供应商</w:t>
      </w:r>
      <w:r>
        <w:rPr>
          <w:rFonts w:hint="eastAsia"/>
          <w:i w:val="0"/>
          <w:iCs w:val="0"/>
          <w:color w:val="auto"/>
          <w:highlight w:val="none"/>
        </w:rPr>
        <w:t>资格要求：见“</w:t>
      </w:r>
      <w:r>
        <w:rPr>
          <w:rFonts w:hint="eastAsia"/>
          <w:i w:val="0"/>
          <w:iCs w:val="0"/>
          <w:color w:val="auto"/>
          <w:highlight w:val="none"/>
          <w:lang w:val="en-US" w:eastAsia="zh-CN"/>
        </w:rPr>
        <w:t>第一章 竞争性磋商公告</w:t>
      </w:r>
      <w:r>
        <w:rPr>
          <w:rFonts w:hint="eastAsia"/>
          <w:i w:val="0"/>
          <w:iCs w:val="0"/>
          <w:color w:val="auto"/>
          <w:highlight w:val="none"/>
        </w:rPr>
        <w:t>”；</w:t>
      </w:r>
    </w:p>
    <w:p w14:paraId="3F55018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zh-CN" w:eastAsia="zh-CN"/>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w:t>
      </w:r>
      <w:r>
        <w:rPr>
          <w:rFonts w:hint="eastAsia"/>
          <w:i w:val="0"/>
          <w:iCs w:val="0"/>
          <w:color w:val="auto"/>
          <w:highlight w:val="none"/>
          <w:lang w:val="en-US" w:eastAsia="zh-CN"/>
        </w:rPr>
        <w:t>第一章 竞争性磋商公告</w:t>
      </w:r>
      <w:r>
        <w:rPr>
          <w:rFonts w:hint="eastAsia"/>
          <w:i w:val="0"/>
          <w:iCs w:val="0"/>
          <w:color w:val="auto"/>
          <w:highlight w:val="none"/>
          <w:lang w:val="zh-CN" w:eastAsia="zh-CN"/>
        </w:rPr>
        <w:t>”规定接受联合体</w:t>
      </w:r>
      <w:r>
        <w:rPr>
          <w:rFonts w:hint="eastAsia"/>
          <w:i w:val="0"/>
          <w:iCs w:val="0"/>
          <w:color w:val="auto"/>
          <w:highlight w:val="none"/>
          <w:lang w:val="en-US" w:eastAsia="zh-CN"/>
        </w:rPr>
        <w:t>磋商</w:t>
      </w:r>
      <w:r>
        <w:rPr>
          <w:rFonts w:hint="eastAsia"/>
          <w:i w:val="0"/>
          <w:iCs w:val="0"/>
          <w:color w:val="auto"/>
          <w:highlight w:val="none"/>
          <w:lang w:val="zh-CN" w:eastAsia="zh-CN"/>
        </w:rPr>
        <w:t>的，还应遵守以下规定：</w:t>
      </w:r>
    </w:p>
    <w:p w14:paraId="56632A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1两个以上的自然人、法人或者其他组织可以组成一个联合体，以一个供应商的身份共同参加政府采购。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w:t>
      </w:r>
      <w:r>
        <w:rPr>
          <w:rFonts w:hint="eastAsia" w:cstheme="minorBidi"/>
          <w:i w:val="0"/>
          <w:iCs w:val="0"/>
          <w:color w:val="auto"/>
          <w:kern w:val="2"/>
          <w:sz w:val="24"/>
          <w:szCs w:val="22"/>
          <w:highlight w:val="none"/>
          <w:shd w:val="clear" w:color="auto" w:fill="FFFFFF" w:themeFill="background1"/>
          <w:lang w:val="en-US" w:eastAsia="zh-CN" w:bidi="ar-SA"/>
        </w:rPr>
        <w:t>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作为</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均具有法律约束力。</w:t>
      </w:r>
    </w:p>
    <w:p w14:paraId="078D2F2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cstheme="minorBidi"/>
          <w:i w:val="0"/>
          <w:iCs w:val="0"/>
          <w:color w:val="auto"/>
          <w:kern w:val="2"/>
          <w:sz w:val="24"/>
          <w:szCs w:val="22"/>
          <w:highlight w:val="none"/>
          <w:shd w:val="clear" w:color="auto" w:fill="FFFFFF" w:themeFill="background1"/>
          <w:lang w:val="en-US" w:eastAsia="zh-CN" w:bidi="ar-SA"/>
        </w:rPr>
        <w:t>3</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cstheme="minorBidi"/>
          <w:i w:val="0"/>
          <w:iCs w:val="0"/>
          <w:color w:val="auto"/>
          <w:kern w:val="2"/>
          <w:sz w:val="24"/>
          <w:szCs w:val="22"/>
          <w:highlight w:val="none"/>
          <w:shd w:val="clear" w:color="auto" w:fill="FFFFFF" w:themeFill="background1"/>
          <w:lang w:val="en-US" w:eastAsia="zh-CN" w:bidi="ar-SA"/>
        </w:rPr>
        <w:t>同一合同项下的磋商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，否则相关</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将被认定为</w:t>
      </w:r>
      <w:r>
        <w:rPr>
          <w:rFonts w:hint="eastAsia" w:cstheme="minorBidi"/>
          <w:b/>
          <w:bCs/>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b/>
          <w:bCs/>
          <w:i w:val="0"/>
          <w:iCs w:val="0"/>
          <w:color w:val="auto"/>
          <w:kern w:val="2"/>
          <w:sz w:val="24"/>
          <w:szCs w:val="22"/>
          <w:highlight w:val="none"/>
          <w:shd w:val="clear" w:color="auto" w:fill="FFFFFF" w:themeFill="background1"/>
          <w:lang w:val="zh-CN" w:eastAsia="zh-CN" w:bidi="ar-SA"/>
        </w:rPr>
        <w:t>无效</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6F80539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总金额的比例。</w:t>
      </w:r>
    </w:p>
    <w:p w14:paraId="4BC56E5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6</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w:t>
      </w:r>
      <w:r>
        <w:rPr>
          <w:rFonts w:hint="eastAsia" w:cstheme="minorBidi"/>
          <w:i w:val="0"/>
          <w:iCs w:val="0"/>
          <w:color w:val="auto"/>
          <w:kern w:val="2"/>
          <w:sz w:val="24"/>
          <w:szCs w:val="22"/>
          <w:highlight w:val="none"/>
          <w:shd w:val="clear" w:color="auto" w:fill="FFFFFF" w:themeFill="background1"/>
          <w:lang w:val="en-US" w:eastAsia="zh-CN" w:bidi="ar-SA"/>
        </w:rPr>
        <w:t>成交的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各成员的合法授权代表签字</w:t>
      </w:r>
      <w:r>
        <w:rPr>
          <w:rFonts w:hint="eastAsia" w:cstheme="minorBidi"/>
          <w:i w:val="0"/>
          <w:iCs w:val="0"/>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各成员公章，</w:t>
      </w:r>
      <w:r>
        <w:rPr>
          <w:rFonts w:hint="eastAsia" w:cstheme="minorBidi"/>
          <w:i w:val="0"/>
          <w:iCs w:val="0"/>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的其他资格要求见“</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第一章 竞争性磋商公告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中的“二、</w:t>
      </w:r>
      <w:r>
        <w:rPr>
          <w:rFonts w:hint="eastAsia" w:cstheme="minorBidi"/>
          <w:i w:val="0"/>
          <w:iCs w:val="0"/>
          <w:color w:val="auto"/>
          <w:kern w:val="2"/>
          <w:sz w:val="24"/>
          <w:szCs w:val="22"/>
          <w:highlight w:val="none"/>
          <w:shd w:val="clear" w:color="auto" w:fill="FFFFFF" w:themeFill="background1"/>
          <w:lang w:val="en-US" w:eastAsia="zh-CN" w:bidi="ar-SA"/>
        </w:rPr>
        <w:t>供应商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485F496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s="宋体"/>
          <w:b/>
          <w:bCs/>
          <w:color w:val="auto"/>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5.1</w:t>
      </w:r>
      <w:r>
        <w:rPr>
          <w:rFonts w:hint="eastAsia"/>
          <w:i w:val="0"/>
          <w:iCs w:val="0"/>
          <w:snapToGrid w:val="0"/>
          <w:color w:val="auto"/>
          <w:highlight w:val="none"/>
          <w:lang w:val="zh-CN" w:eastAsia="zh-CN"/>
        </w:rPr>
        <w:t>不论</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的结果如何，</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eastAsia="zh-CN"/>
        </w:rPr>
        <w:t>应承担所有与准备和参加</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有关的费用。</w:t>
      </w:r>
    </w:p>
    <w:p w14:paraId="6DDD89B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1" w:name="_Toc140132761"/>
      <w:bookmarkStart w:id="52" w:name="_Toc161600293"/>
      <w:r>
        <w:rPr>
          <w:rFonts w:hint="eastAsia" w:ascii="宋体" w:hAnsi="宋体" w:eastAsia="宋体" w:cs="宋体"/>
          <w:b/>
          <w:bCs/>
          <w:color w:val="auto"/>
          <w:kern w:val="2"/>
          <w:sz w:val="24"/>
          <w:szCs w:val="24"/>
          <w:highlight w:val="none"/>
          <w:lang w:val="en-US" w:eastAsia="zh-CN" w:bidi="ar-SA"/>
        </w:rPr>
        <w:t>6.保密</w:t>
      </w:r>
      <w:bookmarkEnd w:id="51"/>
      <w:bookmarkEnd w:id="52"/>
    </w:p>
    <w:p w14:paraId="6F561E2B">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6.1</w:t>
      </w:r>
      <w:r>
        <w:rPr>
          <w:rFonts w:hint="eastAsia"/>
          <w:i w:val="0"/>
          <w:iCs w:val="0"/>
          <w:color w:val="auto"/>
          <w:highlight w:val="none"/>
          <w:lang w:val="en-US" w:eastAsia="zh-CN"/>
        </w:rPr>
        <w:t xml:space="preserve"> </w:t>
      </w:r>
      <w:r>
        <w:rPr>
          <w:rFonts w:hint="eastAsia"/>
          <w:i w:val="0"/>
          <w:iCs w:val="0"/>
          <w:color w:val="auto"/>
          <w:highlight w:val="none"/>
        </w:rPr>
        <w:t>参与磋商活动的各方应对竞争</w:t>
      </w:r>
      <w:r>
        <w:rPr>
          <w:rFonts w:hint="eastAsia"/>
          <w:i w:val="0"/>
          <w:iCs w:val="0"/>
          <w:color w:val="auto"/>
          <w:highlight w:val="none"/>
          <w:lang w:val="en-US" w:eastAsia="zh-CN"/>
        </w:rPr>
        <w:t>性</w:t>
      </w:r>
      <w:r>
        <w:rPr>
          <w:rFonts w:hint="eastAsia"/>
          <w:i w:val="0"/>
          <w:iCs w:val="0"/>
          <w:color w:val="auto"/>
          <w:highlight w:val="none"/>
        </w:rPr>
        <w:t>磋商文件和响应文件中的商业和技术等秘密保密，否则应承担相应的法律责任。</w:t>
      </w:r>
    </w:p>
    <w:p w14:paraId="577DB7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2 供应商</w:t>
      </w:r>
      <w:r>
        <w:rPr>
          <w:rFonts w:hint="eastAsia" w:ascii="宋体" w:hAnsi="宋体" w:eastAsia="宋体" w:cs="宋体"/>
          <w:i w:val="0"/>
          <w:iCs w:val="0"/>
          <w:color w:val="auto"/>
          <w:kern w:val="2"/>
          <w:sz w:val="24"/>
          <w:szCs w:val="22"/>
          <w:highlight w:val="none"/>
        </w:rPr>
        <w:t>自领取竞争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磋商文件之日起，须承担本竞争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磋商项目保密义务，不得将因本次竞争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磋商获得的信息向第三人外传。由采购人向</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磋商结束后，应采购人要求，</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应归还所有从采购人处获得的保密资料。</w:t>
      </w:r>
    </w:p>
    <w:p w14:paraId="108AE9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 xml:space="preserve">3 </w:t>
      </w:r>
      <w:r>
        <w:rPr>
          <w:rFonts w:hint="eastAsia" w:ascii="宋体" w:hAnsi="宋体" w:eastAsia="宋体" w:cs="宋体"/>
          <w:i w:val="0"/>
          <w:iCs w:val="0"/>
          <w:color w:val="auto"/>
          <w:kern w:val="2"/>
          <w:sz w:val="24"/>
          <w:szCs w:val="22"/>
          <w:highlight w:val="none"/>
        </w:rPr>
        <w:t>采购代理机构有权将</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提供的所有资料向有关政府部门或竞争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磋商的有关人员披露。</w:t>
      </w:r>
    </w:p>
    <w:p w14:paraId="232A1AD6">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2"/>
          <w:highlight w:val="none"/>
        </w:rPr>
        <w:t>。</w:t>
      </w:r>
      <w:r>
        <w:rPr>
          <w:rFonts w:hint="eastAsia"/>
          <w:i w:val="0"/>
          <w:iCs w:val="0"/>
          <w:color w:val="auto"/>
          <w:highlight w:val="none"/>
        </w:rPr>
        <w:t xml:space="preserve"> </w:t>
      </w:r>
    </w:p>
    <w:p w14:paraId="47EBAEFC">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3" w:name="_Toc140132762"/>
      <w:bookmarkStart w:id="54" w:name="_Toc161600294"/>
      <w:r>
        <w:rPr>
          <w:rFonts w:hint="eastAsia" w:ascii="宋体" w:hAnsi="宋体" w:eastAsia="宋体" w:cs="宋体"/>
          <w:b/>
          <w:bCs/>
          <w:color w:val="auto"/>
          <w:kern w:val="2"/>
          <w:sz w:val="24"/>
          <w:szCs w:val="24"/>
          <w:highlight w:val="none"/>
          <w:lang w:val="en-US" w:eastAsia="zh-CN" w:bidi="ar-SA"/>
        </w:rPr>
        <w:t>7.语言文字</w:t>
      </w:r>
      <w:bookmarkEnd w:id="53"/>
      <w:bookmarkEnd w:id="54"/>
    </w:p>
    <w:p w14:paraId="3121AAFC">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7.1竞争</w:t>
      </w:r>
      <w:r>
        <w:rPr>
          <w:rFonts w:hint="eastAsia"/>
          <w:i w:val="0"/>
          <w:iCs w:val="0"/>
          <w:color w:val="auto"/>
          <w:highlight w:val="none"/>
          <w:lang w:val="en-US" w:eastAsia="zh-CN"/>
        </w:rPr>
        <w:t>性</w:t>
      </w:r>
      <w:r>
        <w:rPr>
          <w:rFonts w:hint="eastAsia"/>
          <w:i w:val="0"/>
          <w:iCs w:val="0"/>
          <w:color w:val="auto"/>
          <w:highlight w:val="none"/>
        </w:rPr>
        <w:t>磋商</w:t>
      </w:r>
      <w:r>
        <w:rPr>
          <w:rFonts w:hint="eastAsia"/>
          <w:i w:val="0"/>
          <w:iCs w:val="0"/>
          <w:color w:val="auto"/>
          <w:highlight w:val="none"/>
          <w:lang w:val="en-US" w:eastAsia="zh-CN"/>
        </w:rPr>
        <w:t>文件及响应</w:t>
      </w:r>
      <w:r>
        <w:rPr>
          <w:rFonts w:hint="eastAsia"/>
          <w:i w:val="0"/>
          <w:iCs w:val="0"/>
          <w:color w:val="auto"/>
          <w:highlight w:val="none"/>
        </w:rPr>
        <w:t>文件使用的语言文字为中文。专用术语使用外文的，应附有中文注释。</w:t>
      </w:r>
      <w:r>
        <w:rPr>
          <w:rFonts w:hint="eastAsia"/>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5" w:name="_Toc161600295"/>
      <w:bookmarkStart w:id="56" w:name="_Toc140132763"/>
      <w:r>
        <w:rPr>
          <w:rFonts w:hint="eastAsia" w:ascii="宋体" w:hAnsi="宋体" w:eastAsia="宋体" w:cs="宋体"/>
          <w:b/>
          <w:bCs/>
          <w:color w:val="auto"/>
          <w:kern w:val="2"/>
          <w:sz w:val="24"/>
          <w:szCs w:val="24"/>
          <w:highlight w:val="none"/>
          <w:lang w:val="en-US" w:eastAsia="zh-CN" w:bidi="ar-SA"/>
        </w:rPr>
        <w:t>8.计量单位</w:t>
      </w:r>
      <w:bookmarkEnd w:id="55"/>
      <w:bookmarkEnd w:id="56"/>
    </w:p>
    <w:p w14:paraId="0DC441D4">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8.1所有计量均采用中华人民共和国法定计量单位。</w:t>
      </w:r>
    </w:p>
    <w:p w14:paraId="37E10A0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57" w:name="_Toc140132764"/>
      <w:bookmarkStart w:id="58" w:name="_Toc161600296"/>
      <w:r>
        <w:rPr>
          <w:rFonts w:hint="eastAsia" w:ascii="宋体" w:hAnsi="宋体" w:eastAsia="宋体" w:cs="宋体"/>
          <w:b/>
          <w:bCs/>
          <w:color w:val="auto"/>
          <w:kern w:val="2"/>
          <w:sz w:val="24"/>
          <w:szCs w:val="24"/>
          <w:highlight w:val="none"/>
          <w:lang w:val="en-US" w:eastAsia="zh-CN" w:bidi="ar-SA"/>
        </w:rPr>
        <w:t>9.现场考察和答疑会</w:t>
      </w:r>
      <w:bookmarkEnd w:id="57"/>
      <w:bookmarkEnd w:id="58"/>
    </w:p>
    <w:p w14:paraId="70E7733A">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59" w:name="_Hlk143529198"/>
      <w:r>
        <w:rPr>
          <w:rFonts w:hint="eastAsia"/>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9.2 供应商现场考察发生的费用自理。</w:t>
      </w:r>
    </w:p>
    <w:p w14:paraId="417B1E0B">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59"/>
    <w:p w14:paraId="020D8BF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0" w:name="_Toc161600298"/>
      <w:bookmarkStart w:id="61" w:name="_Toc155185858"/>
      <w:r>
        <w:rPr>
          <w:rFonts w:hint="eastAsia" w:ascii="宋体" w:hAnsi="宋体" w:eastAsia="宋体" w:cs="宋体"/>
          <w:b/>
          <w:bCs/>
          <w:color w:val="auto"/>
          <w:kern w:val="2"/>
          <w:sz w:val="24"/>
          <w:szCs w:val="24"/>
          <w:highlight w:val="none"/>
          <w:lang w:val="en-US" w:eastAsia="zh-CN" w:bidi="ar-SA"/>
        </w:rPr>
        <w:t>10.电子标说明</w:t>
      </w:r>
      <w:bookmarkEnd w:id="60"/>
      <w:bookmarkEnd w:id="61"/>
    </w:p>
    <w:p w14:paraId="24EABCAC">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10.1 本次采购采用电子交易方式，电子交易平台为</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政府采购电子交易云平台（网址：https://www.ccgp-xinjiang.gov.cn/）。</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参与本项目电子交易活动前，</w:t>
      </w:r>
      <w:r>
        <w:rPr>
          <w:rFonts w:hint="eastAsia" w:ascii="宋体" w:hAnsi="宋体" w:eastAsia="宋体"/>
          <w:i w:val="0"/>
          <w:iCs w:val="0"/>
          <w:color w:val="auto"/>
          <w:highlight w:val="none"/>
        </w:rPr>
        <w:t>应</w:t>
      </w:r>
      <w:r>
        <w:rPr>
          <w:rFonts w:hint="eastAsia"/>
          <w:i w:val="0"/>
          <w:iCs w:val="0"/>
          <w:color w:val="auto"/>
          <w:highlight w:val="none"/>
          <w:lang w:val="en-US" w:eastAsia="zh-CN"/>
        </w:rPr>
        <w:t>在</w:t>
      </w:r>
      <w:r>
        <w:rPr>
          <w:rFonts w:hint="eastAsia" w:ascii="宋体" w:hAnsi="宋体" w:eastAsia="宋体"/>
          <w:i w:val="0"/>
          <w:iCs w:val="0"/>
          <w:color w:val="auto"/>
          <w:highlight w:val="none"/>
        </w:rPr>
        <w:t>政</w:t>
      </w:r>
      <w:r>
        <w:rPr>
          <w:rFonts w:hint="eastAsia"/>
          <w:i w:val="0"/>
          <w:iCs w:val="0"/>
          <w:color w:val="auto"/>
          <w:highlight w:val="none"/>
          <w:lang w:val="en-US" w:eastAsia="zh-CN"/>
        </w:rPr>
        <w:t>采</w:t>
      </w:r>
      <w:r>
        <w:rPr>
          <w:rFonts w:hint="eastAsia" w:ascii="宋体" w:hAnsi="宋体" w:eastAsia="宋体"/>
          <w:i w:val="0"/>
          <w:iCs w:val="0"/>
          <w:color w:val="auto"/>
          <w:highlight w:val="none"/>
          <w:lang w:val="en-US"/>
        </w:rPr>
        <w:t>云</w:t>
      </w:r>
      <w:r>
        <w:rPr>
          <w:rFonts w:hint="eastAsia" w:ascii="宋体" w:hAnsi="宋体" w:eastAsia="宋体"/>
          <w:i w:val="0"/>
          <w:iCs w:val="0"/>
          <w:color w:val="auto"/>
          <w:highlight w:val="none"/>
        </w:rPr>
        <w:t>平台</w:t>
      </w:r>
      <w:r>
        <w:rPr>
          <w:rFonts w:hint="eastAsia"/>
          <w:i w:val="0"/>
          <w:iCs w:val="0"/>
          <w:color w:val="auto"/>
          <w:highlight w:val="none"/>
          <w:lang w:val="en-US" w:eastAsia="zh-CN"/>
        </w:rPr>
        <w:t>上</w:t>
      </w:r>
      <w:r>
        <w:rPr>
          <w:rFonts w:hint="eastAsia" w:ascii="宋体" w:hAnsi="宋体" w:eastAsia="宋体"/>
          <w:i w:val="0"/>
          <w:iCs w:val="0"/>
          <w:color w:val="auto"/>
          <w:highlight w:val="none"/>
        </w:rPr>
        <w:t>注册</w:t>
      </w:r>
      <w:r>
        <w:rPr>
          <w:rFonts w:hint="eastAsia"/>
          <w:i w:val="0"/>
          <w:iCs w:val="0"/>
          <w:color w:val="auto"/>
          <w:highlight w:val="none"/>
          <w:lang w:val="en-US" w:eastAsia="zh-CN"/>
        </w:rPr>
        <w:t>供应商账号</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编制电子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文件前还需申领CA证书并绑定帐号。</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应充分考虑完成平台注册、申领CA证书等所需的时间。潜在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领取文件须提前完成注册、CA证书和电子签章申领和绑定、下载投标客户端。因未办理CA数字证书、CA证书故障、操作不当等原因造成无法</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或</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失败等后果由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自行承担。供应商登录</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府采购网“供应商注册”—“立即登记”进行自助注册绑定。</w:t>
      </w:r>
    </w:p>
    <w:p w14:paraId="1D724A82">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10.2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将</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政府采购电子交易云平台电子交易客户端下载、安装完成后，可通过账号密码或CA登录客户端进行</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文件制作。在使用政采云投标客户端时，建议使用WIN7及以上操作系统。供应商登录</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政府采购网“下载专区”—“电子招投标客户端下载”下载相关客户端，如有问题可拨打政采云客户服务热线95763进行咨询。</w:t>
      </w:r>
    </w:p>
    <w:p w14:paraId="39742A0A">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10.3 加密的电子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文件应在</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文件递交截止时间前通过政采云平台上传完成。逾期上传或者未上传指定地点的</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文件，不予受理。</w:t>
      </w:r>
    </w:p>
    <w:p w14:paraId="03850AD3">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 xml:space="preserve">10.4 </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前须提前配置好电脑</w:t>
      </w:r>
      <w:r>
        <w:rPr>
          <w:rFonts w:hint="eastAsia"/>
          <w:i w:val="0"/>
          <w:iCs w:val="0"/>
          <w:color w:val="auto"/>
          <w:highlight w:val="none"/>
          <w:lang w:val="en-US" w:eastAsia="zh-CN"/>
        </w:rPr>
        <w:t>及</w:t>
      </w:r>
      <w:r>
        <w:rPr>
          <w:rFonts w:hint="eastAsia" w:ascii="宋体" w:hAnsi="宋体" w:eastAsia="宋体"/>
          <w:i w:val="0"/>
          <w:iCs w:val="0"/>
          <w:color w:val="auto"/>
          <w:highlight w:val="none"/>
          <w:lang w:val="en-US" w:eastAsia="zh-CN"/>
        </w:rPr>
        <w:t>浏览器，</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时请使用制作加密电子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文件的CA锁进行解密及报价确认。本项目</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文件解密时间详“</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须知前附表”，如因自身原因导致无法正常解密，后果由</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3D1898E">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10.5 如遇“</w:t>
      </w:r>
      <w:r>
        <w:rPr>
          <w:rFonts w:hint="eastAsia"/>
          <w:i w:val="0"/>
          <w:iCs w:val="0"/>
          <w:color w:val="auto"/>
          <w:highlight w:val="none"/>
          <w:lang w:val="en-US" w:eastAsia="zh-CN"/>
        </w:rPr>
        <w:t>新疆</w:t>
      </w:r>
      <w:r>
        <w:rPr>
          <w:rFonts w:hint="eastAsia" w:ascii="宋体" w:hAnsi="宋体" w:eastAsia="宋体"/>
          <w:i w:val="0"/>
          <w:iCs w:val="0"/>
          <w:color w:val="auto"/>
          <w:highlight w:val="none"/>
          <w:lang w:val="en-US" w:eastAsia="zh-CN"/>
        </w:rPr>
        <w:t>政府采购电子交易云平台（网址：https://www.ccgp-xinjiang.gov.cn/）”电子交易规则调整，以最新要求为准。</w:t>
      </w:r>
    </w:p>
    <w:p w14:paraId="287E4256">
      <w:pPr>
        <w:pStyle w:val="35"/>
        <w:keepNext w:val="0"/>
        <w:keepLines w:val="0"/>
        <w:pageBreakBefore w:val="0"/>
        <w:widowControl w:val="0"/>
        <w:kinsoku/>
        <w:overflowPunct/>
        <w:topLinePunct w:val="0"/>
        <w:bidi w:val="0"/>
        <w:ind w:firstLine="480"/>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10.6 电子交易系统咨询：</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应当充分考虑到电子</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可能会发生的各种问题和风险，特别是</w:t>
      </w:r>
      <w:r>
        <w:rPr>
          <w:rFonts w:hint="eastAsia"/>
          <w:i w:val="0"/>
          <w:iCs w:val="0"/>
          <w:color w:val="auto"/>
          <w:highlight w:val="none"/>
          <w:lang w:val="en-US" w:eastAsia="zh-CN"/>
        </w:rPr>
        <w:t>响应</w:t>
      </w:r>
      <w:r>
        <w:rPr>
          <w:rFonts w:hint="eastAsia" w:ascii="宋体" w:hAnsi="宋体" w:eastAsia="宋体"/>
          <w:i w:val="0"/>
          <w:iCs w:val="0"/>
          <w:color w:val="auto"/>
          <w:highlight w:val="none"/>
          <w:lang w:val="en-US" w:eastAsia="zh-CN"/>
        </w:rPr>
        <w:t xml:space="preserve">文件签署、提交等问题，可按照“第一章 </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公告”的联系方式咨询相关人员。</w:t>
      </w:r>
    </w:p>
    <w:p w14:paraId="2B30589C">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ascii="宋体" w:hAnsi="宋体" w:eastAsia="宋体"/>
          <w:i w:val="0"/>
          <w:iCs w:val="0"/>
          <w:color w:val="auto"/>
          <w:highlight w:val="none"/>
          <w:lang w:val="en-US" w:eastAsia="zh-CN"/>
        </w:rPr>
        <w:t>10.7 由于本项目采用电子</w:t>
      </w:r>
      <w:r>
        <w:rPr>
          <w:rFonts w:hint="eastAsia"/>
          <w:i w:val="0"/>
          <w:iCs w:val="0"/>
          <w:color w:val="auto"/>
          <w:highlight w:val="none"/>
          <w:lang w:val="en-US" w:eastAsia="zh-CN"/>
        </w:rPr>
        <w:t>磋商</w:t>
      </w:r>
      <w:r>
        <w:rPr>
          <w:rFonts w:hint="eastAsia" w:ascii="宋体" w:hAnsi="宋体" w:eastAsia="宋体"/>
          <w:i w:val="0"/>
          <w:iCs w:val="0"/>
          <w:color w:val="auto"/>
          <w:highlight w:val="none"/>
          <w:lang w:val="en-US" w:eastAsia="zh-CN"/>
        </w:rPr>
        <w:t>方式，潜在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的名单将在</w:t>
      </w:r>
      <w:r>
        <w:rPr>
          <w:rFonts w:hint="eastAsia"/>
          <w:i w:val="0"/>
          <w:iCs w:val="0"/>
          <w:color w:val="auto"/>
          <w:highlight w:val="none"/>
          <w:lang w:val="en-US" w:eastAsia="zh-CN"/>
        </w:rPr>
        <w:t>递交响应</w:t>
      </w:r>
      <w:r>
        <w:rPr>
          <w:rFonts w:hint="eastAsia" w:ascii="宋体" w:hAnsi="宋体" w:eastAsia="宋体"/>
          <w:i w:val="0"/>
          <w:iCs w:val="0"/>
          <w:color w:val="auto"/>
          <w:highlight w:val="none"/>
          <w:lang w:val="en-US" w:eastAsia="zh-CN"/>
        </w:rPr>
        <w:t>文件截止时间后才会解密。因此，采购人或采购代理机构无法通过传统的传真或邮件方式，将</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文件的澄清或修改内容逐一通知到每位已获取</w:t>
      </w:r>
      <w:r>
        <w:rPr>
          <w:rFonts w:hint="eastAsia"/>
          <w:i w:val="0"/>
          <w:iCs w:val="0"/>
          <w:color w:val="auto"/>
          <w:highlight w:val="none"/>
          <w:lang w:val="en-US" w:eastAsia="zh-CN"/>
        </w:rPr>
        <w:t>竞争性磋商</w:t>
      </w:r>
      <w:r>
        <w:rPr>
          <w:rFonts w:hint="eastAsia" w:ascii="宋体" w:hAnsi="宋体" w:eastAsia="宋体"/>
          <w:i w:val="0"/>
          <w:iCs w:val="0"/>
          <w:color w:val="auto"/>
          <w:highlight w:val="none"/>
          <w:lang w:val="en-US" w:eastAsia="zh-CN"/>
        </w:rPr>
        <w:t>文件的潜在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。为确保信息的及时性和准确性，澄清或修改的内容将仅在政采云平台以更正公告的形式发布。潜在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需密切关注该网站，及时查看并下载相关更正公告。若因潜在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未能及时查看或下载相关更正公告，而导致的一切后果，将由潜在</w:t>
      </w:r>
      <w:r>
        <w:rPr>
          <w:rFonts w:hint="eastAsia"/>
          <w:i w:val="0"/>
          <w:iCs w:val="0"/>
          <w:color w:val="auto"/>
          <w:highlight w:val="none"/>
          <w:lang w:val="en-US" w:eastAsia="zh-CN"/>
        </w:rPr>
        <w:t>供应商</w:t>
      </w:r>
      <w:r>
        <w:rPr>
          <w:rFonts w:hint="eastAsia" w:ascii="宋体" w:hAnsi="宋体" w:eastAsia="宋体"/>
          <w:i w:val="0"/>
          <w:iCs w:val="0"/>
          <w:color w:val="auto"/>
          <w:highlight w:val="none"/>
          <w:lang w:val="en-US" w:eastAsia="zh-CN"/>
        </w:rPr>
        <w:t>自行承担。</w:t>
      </w:r>
    </w:p>
    <w:p w14:paraId="17FBA29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2" w:name="_Toc109899537"/>
      <w:bookmarkStart w:id="63" w:name="_Toc46771643"/>
      <w:bookmarkStart w:id="64" w:name="_Toc109899956"/>
      <w:bookmarkStart w:id="65" w:name="_Toc109900375"/>
      <w:bookmarkStart w:id="66" w:name="_Toc109897438"/>
      <w:bookmarkStart w:id="67" w:name="_Toc163493612"/>
      <w:bookmarkStart w:id="68" w:name="_Toc470172668"/>
      <w:r>
        <w:rPr>
          <w:rFonts w:hint="eastAsia" w:ascii="宋体" w:hAnsi="宋体" w:eastAsia="宋体" w:cs="宋体"/>
          <w:b/>
          <w:bCs/>
          <w:color w:val="auto"/>
          <w:kern w:val="2"/>
          <w:sz w:val="24"/>
          <w:szCs w:val="24"/>
          <w:highlight w:val="none"/>
          <w:lang w:val="en-US" w:eastAsia="zh-CN" w:bidi="ar-SA"/>
        </w:rPr>
        <w:t>（二）磋商文件</w:t>
      </w:r>
      <w:bookmarkEnd w:id="62"/>
      <w:bookmarkEnd w:id="63"/>
      <w:bookmarkEnd w:id="64"/>
      <w:bookmarkEnd w:id="65"/>
      <w:bookmarkEnd w:id="66"/>
      <w:bookmarkEnd w:id="67"/>
      <w:bookmarkEnd w:id="68"/>
    </w:p>
    <w:p w14:paraId="02C7475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69" w:name="_Toc48688793"/>
      <w:bookmarkStart w:id="70" w:name="_Toc52962731"/>
      <w:bookmarkStart w:id="71" w:name="_Toc46771644"/>
      <w:bookmarkStart w:id="72" w:name="_Toc51674215"/>
      <w:bookmarkStart w:id="73" w:name="_Toc109899538"/>
      <w:bookmarkStart w:id="74" w:name="_Toc46772245"/>
      <w:bookmarkStart w:id="75" w:name="_Toc52960557"/>
      <w:bookmarkStart w:id="76" w:name="_Toc48846113"/>
      <w:bookmarkStart w:id="77" w:name="_Toc109900376"/>
      <w:bookmarkStart w:id="78" w:name="_Toc109899957"/>
      <w:bookmarkStart w:id="79" w:name="_Toc470172669"/>
      <w:bookmarkStart w:id="80" w:name="_Toc109897439"/>
      <w:bookmarkStart w:id="81" w:name="_Toc4547"/>
      <w:r>
        <w:rPr>
          <w:rFonts w:hint="eastAsia" w:ascii="宋体" w:hAnsi="宋体" w:eastAsia="宋体" w:cs="宋体"/>
          <w:b/>
          <w:bCs/>
          <w:color w:val="auto"/>
          <w:kern w:val="2"/>
          <w:sz w:val="24"/>
          <w:szCs w:val="24"/>
          <w:highlight w:val="none"/>
          <w:lang w:val="en-US" w:eastAsia="zh-CN" w:bidi="ar-SA"/>
        </w:rPr>
        <w:t>11.磋商文件的构成</w:t>
      </w:r>
      <w:bookmarkEnd w:id="69"/>
      <w:bookmarkEnd w:id="70"/>
      <w:bookmarkEnd w:id="71"/>
      <w:bookmarkEnd w:id="72"/>
      <w:bookmarkEnd w:id="73"/>
      <w:bookmarkEnd w:id="74"/>
      <w:bookmarkEnd w:id="75"/>
      <w:bookmarkEnd w:id="76"/>
      <w:bookmarkEnd w:id="77"/>
      <w:bookmarkEnd w:id="78"/>
      <w:bookmarkEnd w:id="79"/>
      <w:bookmarkEnd w:id="80"/>
      <w:bookmarkEnd w:id="81"/>
    </w:p>
    <w:p w14:paraId="54909DE4">
      <w:pPr>
        <w:keepNext w:val="0"/>
        <w:keepLines w:val="0"/>
        <w:pageBreakBefore w:val="0"/>
        <w:widowControl w:val="0"/>
        <w:kinsoku/>
        <w:overflowPunct/>
        <w:topLinePunct w:val="0"/>
        <w:bidi w:val="0"/>
        <w:ind w:firstLine="480" w:firstLineChars="200"/>
        <w:textAlignment w:val="auto"/>
        <w:rPr>
          <w:rFonts w:hint="eastAsia" w:eastAsia="宋体" w:cs="仿宋_GB2312"/>
          <w:i w:val="0"/>
          <w:iCs w:val="0"/>
          <w:color w:val="auto"/>
          <w:szCs w:val="24"/>
          <w:highlight w:val="none"/>
          <w:lang w:eastAsia="zh-CN"/>
        </w:rPr>
      </w:pPr>
      <w:bookmarkStart w:id="82" w:name="_Toc478415174"/>
      <w:bookmarkStart w:id="83" w:name="_Toc46771645"/>
      <w:bookmarkStart w:id="84" w:name="_Toc52960558"/>
      <w:bookmarkStart w:id="85" w:name="_Toc48846114"/>
      <w:bookmarkStart w:id="86" w:name="_Toc109899539"/>
      <w:bookmarkStart w:id="87" w:name="_Toc109899958"/>
      <w:bookmarkStart w:id="88" w:name="_Toc52962732"/>
      <w:bookmarkStart w:id="89" w:name="_Toc46772246"/>
      <w:bookmarkStart w:id="90" w:name="_Toc109897440"/>
      <w:bookmarkStart w:id="91" w:name="_Toc51674216"/>
      <w:bookmarkStart w:id="92" w:name="_Toc48688794"/>
      <w:bookmarkStart w:id="93" w:name="_Toc109900377"/>
      <w:r>
        <w:rPr>
          <w:rFonts w:hint="eastAsia" w:cs="仿宋_GB2312"/>
          <w:i w:val="0"/>
          <w:iCs w:val="0"/>
          <w:color w:val="auto"/>
          <w:szCs w:val="24"/>
          <w:highlight w:val="none"/>
        </w:rPr>
        <w:t>第一章 竞争性磋商</w:t>
      </w:r>
      <w:r>
        <w:rPr>
          <w:rFonts w:hint="eastAsia" w:cs="仿宋_GB2312"/>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 xml:space="preserve">第三章 </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第四章 评审</w:t>
      </w:r>
      <w:r>
        <w:rPr>
          <w:rFonts w:hint="eastAsia" w:cs="仿宋_GB2312"/>
          <w:i w:val="0"/>
          <w:iCs w:val="0"/>
          <w:color w:val="auto"/>
          <w:szCs w:val="24"/>
          <w:highlight w:val="none"/>
          <w:lang w:val="en-US" w:eastAsia="zh-CN"/>
        </w:rPr>
        <w:t>方</w:t>
      </w:r>
      <w:r>
        <w:rPr>
          <w:rFonts w:hint="eastAsia" w:cs="仿宋_GB2312"/>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第六章 响应文件的格式</w:t>
      </w:r>
    </w:p>
    <w:p w14:paraId="2FA3C6F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12.磋商文件的澄清或修改</w:t>
      </w:r>
      <w:bookmarkEnd w:id="82"/>
      <w:bookmarkEnd w:id="83"/>
      <w:bookmarkEnd w:id="84"/>
      <w:bookmarkEnd w:id="85"/>
      <w:bookmarkEnd w:id="86"/>
      <w:bookmarkEnd w:id="87"/>
      <w:bookmarkEnd w:id="88"/>
      <w:bookmarkEnd w:id="89"/>
      <w:bookmarkEnd w:id="90"/>
      <w:bookmarkEnd w:id="91"/>
      <w:bookmarkEnd w:id="92"/>
      <w:bookmarkEnd w:id="93"/>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新疆政府采购云平台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94" w:name="_Toc109900379"/>
      <w:bookmarkStart w:id="95" w:name="_Toc109899960"/>
      <w:bookmarkStart w:id="96" w:name="_Toc109899541"/>
      <w:bookmarkStart w:id="97" w:name="_Toc109897442"/>
      <w:bookmarkStart w:id="98" w:name="_Toc46771647"/>
      <w:bookmarkStart w:id="99" w:name="_Toc163493613"/>
      <w:bookmarkStart w:id="100" w:name="_Toc470172672"/>
      <w:r>
        <w:rPr>
          <w:rFonts w:hint="eastAsia" w:ascii="宋体" w:hAnsi="宋体" w:eastAsia="宋体" w:cs="宋体"/>
          <w:b/>
          <w:bCs/>
          <w:color w:val="auto"/>
          <w:kern w:val="2"/>
          <w:sz w:val="24"/>
          <w:szCs w:val="24"/>
          <w:highlight w:val="none"/>
          <w:lang w:val="en-US" w:eastAsia="zh-CN" w:bidi="ar-SA"/>
        </w:rPr>
        <w:t>（三）响应文件</w:t>
      </w:r>
      <w:bookmarkEnd w:id="94"/>
      <w:bookmarkEnd w:id="95"/>
      <w:bookmarkEnd w:id="96"/>
      <w:bookmarkEnd w:id="97"/>
      <w:bookmarkEnd w:id="98"/>
      <w:bookmarkEnd w:id="99"/>
      <w:bookmarkEnd w:id="100"/>
    </w:p>
    <w:p w14:paraId="3A231C5B">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01" w:name="_Toc109899962"/>
      <w:bookmarkStart w:id="102" w:name="_Toc52960562"/>
      <w:bookmarkStart w:id="103" w:name="_Toc46771649"/>
      <w:bookmarkStart w:id="104" w:name="_Toc52962736"/>
      <w:bookmarkStart w:id="105" w:name="_Toc32272"/>
      <w:bookmarkStart w:id="106" w:name="_Toc46772250"/>
      <w:bookmarkStart w:id="107" w:name="_Toc51674220"/>
      <w:bookmarkStart w:id="108" w:name="_Toc48688798"/>
      <w:bookmarkStart w:id="109" w:name="_Toc109899543"/>
      <w:bookmarkStart w:id="110" w:name="_Toc109900381"/>
      <w:bookmarkStart w:id="111" w:name="_Toc109897444"/>
      <w:bookmarkStart w:id="112" w:name="_Toc470172674"/>
      <w:bookmarkStart w:id="113" w:name="_Toc48846118"/>
      <w:r>
        <w:rPr>
          <w:rFonts w:hint="eastAsia" w:ascii="宋体" w:hAnsi="宋体" w:eastAsia="宋体" w:cs="宋体"/>
          <w:b/>
          <w:bCs/>
          <w:color w:val="auto"/>
          <w:kern w:val="2"/>
          <w:sz w:val="24"/>
          <w:szCs w:val="24"/>
          <w:highlight w:val="none"/>
          <w:lang w:val="en-US" w:eastAsia="zh-CN" w:bidi="ar-SA"/>
        </w:rPr>
        <w:t>13.响应文件的</w:t>
      </w:r>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宋体" w:hAnsi="宋体" w:eastAsia="宋体" w:cs="宋体"/>
          <w:b/>
          <w:bCs/>
          <w:color w:val="auto"/>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13</w:t>
      </w: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应完整地按竞争性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文件提供的</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文件格式及要求编写</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文件，具体内容详见</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lang w:val="en-US" w:eastAsia="zh-CN"/>
        </w:rPr>
        <w:t>第六章 响应</w:t>
      </w:r>
      <w:r>
        <w:rPr>
          <w:rFonts w:hint="eastAsia" w:ascii="宋体" w:hAnsi="宋体" w:eastAsia="宋体" w:cs="宋体"/>
          <w:i w:val="0"/>
          <w:iCs w:val="0"/>
          <w:color w:val="auto"/>
          <w:kern w:val="2"/>
          <w:sz w:val="24"/>
          <w:szCs w:val="22"/>
          <w:highlight w:val="none"/>
        </w:rPr>
        <w:t>文件</w:t>
      </w:r>
      <w:r>
        <w:rPr>
          <w:rFonts w:hint="eastAsia" w:ascii="宋体" w:hAnsi="宋体" w:eastAsia="宋体" w:cs="宋体"/>
          <w:i w:val="0"/>
          <w:iCs w:val="0"/>
          <w:color w:val="auto"/>
          <w:kern w:val="2"/>
          <w:sz w:val="24"/>
          <w:szCs w:val="22"/>
          <w:highlight w:val="none"/>
          <w:lang w:val="en-US" w:eastAsia="zh-CN"/>
        </w:rPr>
        <w:t>的</w:t>
      </w:r>
      <w:r>
        <w:rPr>
          <w:rFonts w:hint="eastAsia" w:ascii="宋体" w:hAnsi="宋体" w:eastAsia="宋体" w:cs="宋体"/>
          <w:i w:val="0"/>
          <w:iCs w:val="0"/>
          <w:color w:val="auto"/>
          <w:kern w:val="2"/>
          <w:sz w:val="24"/>
          <w:szCs w:val="22"/>
          <w:highlight w:val="none"/>
        </w:rPr>
        <w:t>格式</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13.2供应商</w:t>
      </w:r>
      <w:r>
        <w:rPr>
          <w:rFonts w:hint="eastAsia" w:ascii="宋体" w:hAnsi="宋体" w:eastAsia="宋体" w:cs="宋体"/>
          <w:i w:val="0"/>
          <w:iCs w:val="0"/>
          <w:color w:val="auto"/>
          <w:kern w:val="2"/>
          <w:sz w:val="24"/>
          <w:szCs w:val="22"/>
          <w:highlight w:val="none"/>
        </w:rPr>
        <w:t>应提交竞争性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文件要求的证明文件，证明其</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内容符合竞争性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文件规定</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该证明文件是</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文件的一部分</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证明文件</w:t>
      </w:r>
      <w:r>
        <w:rPr>
          <w:rFonts w:hint="eastAsia" w:ascii="宋体" w:hAnsi="宋体" w:eastAsia="宋体" w:cs="宋体"/>
          <w:i w:val="0"/>
          <w:iCs w:val="0"/>
          <w:color w:val="auto"/>
          <w:kern w:val="2"/>
          <w:sz w:val="24"/>
          <w:szCs w:val="22"/>
          <w:highlight w:val="none"/>
          <w:lang w:val="en-US" w:eastAsia="zh-CN"/>
        </w:rPr>
        <w:t>形式</w:t>
      </w:r>
      <w:r>
        <w:rPr>
          <w:rFonts w:hint="eastAsia" w:ascii="宋体" w:hAnsi="宋体" w:eastAsia="宋体" w:cs="宋体"/>
          <w:i w:val="0"/>
          <w:iCs w:val="0"/>
          <w:color w:val="auto"/>
          <w:kern w:val="2"/>
          <w:sz w:val="24"/>
          <w:szCs w:val="22"/>
          <w:highlight w:val="none"/>
        </w:rPr>
        <w:t>可以是文字资料、图纸和数据</w:t>
      </w:r>
      <w:bookmarkStart w:id="114" w:name="_Hlk11703583"/>
      <w:r>
        <w:rPr>
          <w:rFonts w:hint="eastAsia" w:ascii="宋体" w:hAnsi="宋体" w:eastAsia="宋体" w:cs="宋体"/>
          <w:i w:val="0"/>
          <w:iCs w:val="0"/>
          <w:color w:val="auto"/>
          <w:kern w:val="2"/>
          <w:sz w:val="24"/>
          <w:szCs w:val="22"/>
          <w:highlight w:val="none"/>
          <w:lang w:val="en-US" w:eastAsia="zh-CN"/>
        </w:rPr>
        <w:t>等。</w:t>
      </w:r>
    </w:p>
    <w:bookmarkEnd w:id="114"/>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13.3</w:t>
      </w:r>
      <w:r>
        <w:rPr>
          <w:rFonts w:hint="eastAsia" w:ascii="宋体" w:hAnsi="宋体" w:eastAsia="宋体" w:cs="宋体"/>
          <w:i w:val="0"/>
          <w:iCs w:val="0"/>
          <w:color w:val="auto"/>
          <w:kern w:val="2"/>
          <w:sz w:val="24"/>
          <w:szCs w:val="22"/>
          <w:highlight w:val="none"/>
        </w:rPr>
        <w:t>为保证公平公正，除非</w:t>
      </w:r>
      <w:r>
        <w:rPr>
          <w:rFonts w:hint="eastAsia" w:ascii="宋体" w:hAnsi="宋体" w:eastAsia="宋体" w:cs="宋体"/>
          <w:i w:val="0"/>
          <w:iCs w:val="0"/>
          <w:color w:val="auto"/>
          <w:kern w:val="2"/>
          <w:sz w:val="24"/>
          <w:szCs w:val="22"/>
          <w:highlight w:val="none"/>
          <w:lang w:val="en-US" w:eastAsia="zh-CN"/>
        </w:rPr>
        <w:t>本磋商文件</w:t>
      </w:r>
      <w:r>
        <w:rPr>
          <w:rFonts w:hint="eastAsia" w:ascii="宋体" w:hAnsi="宋体" w:eastAsia="宋体" w:cs="宋体"/>
          <w:i w:val="0"/>
          <w:iCs w:val="0"/>
          <w:color w:val="auto"/>
          <w:kern w:val="2"/>
          <w:sz w:val="24"/>
          <w:szCs w:val="22"/>
          <w:highlight w:val="none"/>
        </w:rPr>
        <w:t>另有规定或说明，</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对同一项目</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时，不得同时提供备选</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方案。</w:t>
      </w:r>
    </w:p>
    <w:p w14:paraId="5C8E7CA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5" w:name="_Toc470172676"/>
      <w:bookmarkStart w:id="116" w:name="_Toc109897446"/>
      <w:bookmarkStart w:id="117" w:name="_Toc46772252"/>
      <w:bookmarkStart w:id="118" w:name="_Toc52962738"/>
      <w:bookmarkStart w:id="119" w:name="_Toc51674222"/>
      <w:bookmarkStart w:id="120" w:name="_Toc109900383"/>
      <w:bookmarkStart w:id="121" w:name="_Toc52960564"/>
      <w:bookmarkStart w:id="122" w:name="_Toc48688800"/>
      <w:bookmarkStart w:id="123" w:name="_Toc24544"/>
      <w:bookmarkStart w:id="124" w:name="_Toc109899964"/>
      <w:bookmarkStart w:id="125" w:name="_Toc46771651"/>
      <w:bookmarkStart w:id="126" w:name="_Toc48846120"/>
      <w:bookmarkStart w:id="127" w:name="_Toc109899545"/>
      <w:bookmarkStart w:id="128" w:name="_Toc52960563"/>
      <w:bookmarkStart w:id="129" w:name="_Toc25217"/>
      <w:bookmarkStart w:id="130" w:name="_Toc470172675"/>
      <w:bookmarkStart w:id="131" w:name="_Toc109900382"/>
      <w:bookmarkStart w:id="132" w:name="_Toc48688799"/>
      <w:bookmarkStart w:id="133" w:name="_Toc46771650"/>
      <w:bookmarkStart w:id="134" w:name="_Toc46772251"/>
      <w:bookmarkStart w:id="135" w:name="_Toc109897445"/>
      <w:bookmarkStart w:id="136" w:name="_Toc109899544"/>
      <w:bookmarkStart w:id="137" w:name="_Toc109899963"/>
      <w:bookmarkStart w:id="138" w:name="_Toc48846119"/>
      <w:bookmarkStart w:id="139" w:name="_Toc51674221"/>
      <w:bookmarkStart w:id="140" w:name="_Toc52962737"/>
      <w:r>
        <w:rPr>
          <w:rFonts w:hint="eastAsia" w:ascii="宋体" w:hAnsi="宋体" w:eastAsia="宋体" w:cs="宋体"/>
          <w:b/>
          <w:bCs/>
          <w:color w:val="auto"/>
          <w:kern w:val="2"/>
          <w:sz w:val="24"/>
          <w:szCs w:val="24"/>
          <w:highlight w:val="none"/>
          <w:lang w:val="en-US" w:eastAsia="zh-CN" w:bidi="ar-SA"/>
        </w:rPr>
        <w:t>14.磋商报价</w:t>
      </w:r>
      <w:bookmarkEnd w:id="115"/>
      <w:bookmarkEnd w:id="116"/>
      <w:bookmarkEnd w:id="117"/>
      <w:bookmarkEnd w:id="118"/>
      <w:bookmarkEnd w:id="119"/>
      <w:bookmarkEnd w:id="120"/>
      <w:bookmarkEnd w:id="121"/>
      <w:bookmarkEnd w:id="122"/>
      <w:bookmarkEnd w:id="123"/>
      <w:bookmarkEnd w:id="124"/>
      <w:bookmarkEnd w:id="125"/>
      <w:bookmarkEnd w:id="126"/>
      <w:bookmarkEnd w:id="127"/>
    </w:p>
    <w:p w14:paraId="0640D6E7">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i w:val="0"/>
          <w:iCs w:val="0"/>
          <w:snapToGrid w:val="0"/>
          <w:color w:val="auto"/>
          <w:highlight w:val="none"/>
          <w:lang w:val="en-US" w:eastAsia="zh-CN"/>
        </w:rPr>
        <w:t>且均</w:t>
      </w:r>
      <w:r>
        <w:rPr>
          <w:rFonts w:hint="eastAsia"/>
          <w:i w:val="0"/>
          <w:iCs w:val="0"/>
          <w:snapToGrid w:val="0"/>
          <w:color w:val="auto"/>
          <w:highlight w:val="none"/>
          <w:lang w:val="zh-CN"/>
        </w:rPr>
        <w:t>不得超过</w:t>
      </w:r>
      <w:bookmarkStart w:id="141" w:name="_Hlk161703672"/>
      <w:r>
        <w:rPr>
          <w:rFonts w:hint="eastAsia"/>
          <w:i w:val="0"/>
          <w:iCs w:val="0"/>
          <w:snapToGrid w:val="0"/>
          <w:color w:val="auto"/>
          <w:highlight w:val="none"/>
          <w:lang w:val="zh-CN"/>
        </w:rPr>
        <w:t>“</w:t>
      </w:r>
      <w:r>
        <w:rPr>
          <w:rFonts w:hint="eastAsia"/>
          <w:i w:val="0"/>
          <w:iCs w:val="0"/>
          <w:snapToGrid w:val="0"/>
          <w:color w:val="auto"/>
          <w:highlight w:val="none"/>
          <w:lang w:val="en-US" w:eastAsia="zh-CN"/>
        </w:rPr>
        <w:t>第一章 竞争性磋商公告</w:t>
      </w:r>
      <w:r>
        <w:rPr>
          <w:rFonts w:hint="eastAsia"/>
          <w:i w:val="0"/>
          <w:iCs w:val="0"/>
          <w:snapToGrid w:val="0"/>
          <w:color w:val="auto"/>
          <w:highlight w:val="none"/>
          <w:lang w:val="zh-CN"/>
        </w:rPr>
        <w:t>”中规定</w:t>
      </w:r>
      <w:bookmarkEnd w:id="141"/>
      <w:r>
        <w:rPr>
          <w:rFonts w:hint="eastAsia"/>
          <w:i w:val="0"/>
          <w:iCs w:val="0"/>
          <w:snapToGrid w:val="0"/>
          <w:color w:val="auto"/>
          <w:highlight w:val="none"/>
          <w:lang w:val="zh-CN"/>
        </w:rPr>
        <w:t>的</w:t>
      </w:r>
      <w:r>
        <w:rPr>
          <w:rFonts w:hint="eastAsia"/>
          <w:i w:val="0"/>
          <w:iCs w:val="0"/>
          <w:snapToGrid w:val="0"/>
          <w:color w:val="auto"/>
          <w:highlight w:val="none"/>
          <w:lang w:val="zh-CN" w:eastAsia="zh-CN"/>
        </w:rPr>
        <w:t>最高限价或者预算金额</w:t>
      </w:r>
      <w:r>
        <w:rPr>
          <w:rFonts w:hint="eastAsia"/>
          <w:i w:val="0"/>
          <w:iCs w:val="0"/>
          <w:snapToGrid w:val="0"/>
          <w:color w:val="auto"/>
          <w:highlight w:val="none"/>
          <w:lang w:val="zh-CN"/>
        </w:rPr>
        <w:t>，否则其响应文件将被视为</w:t>
      </w:r>
      <w:r>
        <w:rPr>
          <w:rFonts w:hint="eastAsia"/>
          <w:b/>
          <w:bCs/>
          <w:i w:val="0"/>
          <w:iCs w:val="0"/>
          <w:snapToGrid w:val="0"/>
          <w:color w:val="auto"/>
          <w:highlight w:val="none"/>
          <w:lang w:val="zh-CN"/>
        </w:rPr>
        <w:t>无效文件</w:t>
      </w:r>
      <w:r>
        <w:rPr>
          <w:rFonts w:hint="eastAsia"/>
          <w:i w:val="0"/>
          <w:iCs w:val="0"/>
          <w:snapToGrid w:val="0"/>
          <w:color w:val="auto"/>
          <w:highlight w:val="none"/>
          <w:lang w:val="zh-CN"/>
        </w:rPr>
        <w:t>。</w:t>
      </w:r>
    </w:p>
    <w:p w14:paraId="300639DC">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宋体" w:hAnsi="宋体" w:eastAsia="宋体" w:cstheme="minorBidi"/>
          <w:i w:val="0"/>
          <w:iCs w:val="0"/>
          <w:snapToGrid w:val="0"/>
          <w:color w:val="auto"/>
          <w:kern w:val="2"/>
          <w:sz w:val="24"/>
          <w:szCs w:val="22"/>
          <w:highlight w:val="none"/>
          <w:lang w:val="zh-CN" w:eastAsia="zh-CN" w:bidi="ar-SA"/>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w:t>
      </w:r>
      <w:r>
        <w:rPr>
          <w:rFonts w:hint="eastAsia" w:ascii="宋体" w:hAnsi="宋体" w:eastAsia="宋体" w:cstheme="minorBidi"/>
          <w:i w:val="0"/>
          <w:iCs w:val="0"/>
          <w:snapToGrid w:val="0"/>
          <w:color w:val="auto"/>
          <w:kern w:val="2"/>
          <w:sz w:val="24"/>
          <w:szCs w:val="22"/>
          <w:highlight w:val="none"/>
          <w:lang w:val="zh-CN" w:eastAsia="zh-CN" w:bidi="ar-SA"/>
        </w:rPr>
        <w:t>各</w:t>
      </w:r>
      <w:r>
        <w:rPr>
          <w:rFonts w:hint="eastAsia" w:ascii="宋体" w:hAnsi="宋体" w:eastAsia="宋体" w:cstheme="minorBidi"/>
          <w:i w:val="0"/>
          <w:iCs w:val="0"/>
          <w:snapToGrid w:val="0"/>
          <w:color w:val="auto"/>
          <w:kern w:val="2"/>
          <w:sz w:val="24"/>
          <w:szCs w:val="22"/>
          <w:highlight w:val="none"/>
          <w:lang w:val="en-US" w:eastAsia="zh-CN" w:bidi="ar-SA"/>
        </w:rPr>
        <w:t>分</w:t>
      </w:r>
      <w:r>
        <w:rPr>
          <w:rFonts w:hint="eastAsia" w:ascii="宋体" w:hAnsi="宋体" w:eastAsia="宋体" w:cstheme="minorBidi"/>
          <w:i w:val="0"/>
          <w:iCs w:val="0"/>
          <w:snapToGrid w:val="0"/>
          <w:color w:val="auto"/>
          <w:kern w:val="2"/>
          <w:sz w:val="24"/>
          <w:szCs w:val="22"/>
          <w:highlight w:val="none"/>
          <w:lang w:val="zh-CN" w:eastAsia="zh-CN" w:bidi="ar-SA"/>
        </w:rPr>
        <w:t>项</w:t>
      </w:r>
      <w:r>
        <w:rPr>
          <w:rFonts w:hint="eastAsia" w:ascii="宋体" w:hAnsi="宋体" w:eastAsia="宋体" w:cstheme="minorBidi"/>
          <w:i w:val="0"/>
          <w:iCs w:val="0"/>
          <w:snapToGrid w:val="0"/>
          <w:color w:val="auto"/>
          <w:kern w:val="2"/>
          <w:sz w:val="24"/>
          <w:szCs w:val="22"/>
          <w:highlight w:val="none"/>
          <w:lang w:val="en-US" w:eastAsia="zh-CN" w:bidi="ar-SA"/>
        </w:rPr>
        <w:t>工程费用及</w:t>
      </w:r>
      <w:r>
        <w:rPr>
          <w:rFonts w:hint="eastAsia" w:ascii="宋体" w:hAnsi="宋体" w:eastAsia="宋体" w:cstheme="minorBidi"/>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cstheme="minorBidi"/>
          <w:i w:val="0"/>
          <w:iCs w:val="0"/>
          <w:snapToGrid w:val="0"/>
          <w:color w:val="auto"/>
          <w:kern w:val="2"/>
          <w:sz w:val="24"/>
          <w:szCs w:val="22"/>
          <w:highlight w:val="none"/>
          <w:lang w:val="en-US" w:eastAsia="zh-CN" w:bidi="ar-SA"/>
        </w:rPr>
        <w:t>已标价工程量清单</w:t>
      </w:r>
      <w:r>
        <w:rPr>
          <w:rFonts w:hint="eastAsia" w:ascii="宋体" w:hAnsi="宋体" w:eastAsia="宋体" w:cstheme="minorBidi"/>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 xml:space="preserve">的报价应包括但不限于下列内容： </w:t>
      </w:r>
    </w:p>
    <w:p w14:paraId="058AFCD3">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14.2.2 按照磋商文件要求完成本项目的全部相关费用。</w:t>
      </w:r>
    </w:p>
    <w:p w14:paraId="11C9B78F">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.3</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rPr>
        <w:t>须严格按照</w:t>
      </w:r>
      <w:r>
        <w:rPr>
          <w:rFonts w:hint="eastAsia"/>
          <w:i w:val="0"/>
          <w:iCs w:val="0"/>
          <w:snapToGrid w:val="0"/>
          <w:color w:val="auto"/>
          <w:highlight w:val="none"/>
          <w:lang w:val="en-US" w:eastAsia="zh-CN"/>
        </w:rPr>
        <w:t>工程量清单</w:t>
      </w:r>
      <w:r>
        <w:rPr>
          <w:rFonts w:hint="eastAsia"/>
          <w:i w:val="0"/>
          <w:iCs w:val="0"/>
          <w:snapToGrid w:val="0"/>
          <w:color w:val="auto"/>
          <w:highlight w:val="none"/>
          <w:lang w:val="zh-CN"/>
        </w:rPr>
        <w:t>规定的内容填写单价、</w:t>
      </w:r>
      <w:r>
        <w:rPr>
          <w:rFonts w:hint="eastAsia"/>
          <w:i w:val="0"/>
          <w:iCs w:val="0"/>
          <w:snapToGrid w:val="0"/>
          <w:color w:val="auto"/>
          <w:highlight w:val="none"/>
          <w:lang w:val="en-US" w:eastAsia="zh-CN"/>
        </w:rPr>
        <w:t>合价</w:t>
      </w:r>
      <w:r>
        <w:rPr>
          <w:rFonts w:hint="eastAsia"/>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.5每一种采购内容只允许有一个报价，否则其响应文件将被视为</w:t>
      </w:r>
      <w:r>
        <w:rPr>
          <w:rFonts w:hint="eastAsia" w:ascii="宋体" w:hAnsi="宋体" w:eastAsia="宋体" w:cstheme="minorBidi"/>
          <w:b/>
          <w:bCs/>
          <w:i w:val="0"/>
          <w:iCs w:val="0"/>
          <w:snapToGrid w:val="0"/>
          <w:color w:val="auto"/>
          <w:kern w:val="2"/>
          <w:sz w:val="24"/>
          <w:szCs w:val="22"/>
          <w:highlight w:val="none"/>
          <w:lang w:val="zh-CN" w:eastAsia="zh-CN" w:bidi="ar-SA"/>
        </w:rPr>
        <w:t>无效文件</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宋体" w:hAnsi="宋体" w:eastAsia="宋体" w:cstheme="minorBidi"/>
          <w:b/>
          <w:bCs/>
          <w:i w:val="0"/>
          <w:iCs w:val="0"/>
          <w:snapToGrid w:val="0"/>
          <w:color w:val="auto"/>
          <w:kern w:val="2"/>
          <w:sz w:val="24"/>
          <w:szCs w:val="22"/>
          <w:highlight w:val="none"/>
          <w:lang w:val="en-US" w:eastAsia="zh-CN" w:bidi="ar-SA"/>
        </w:rPr>
        <w:t>被视为非响应性磋商而被拒绝</w:t>
      </w:r>
      <w:r>
        <w:rPr>
          <w:rFonts w:hint="eastAsia" w:ascii="宋体" w:hAnsi="宋体" w:eastAsia="宋体" w:cstheme="minorBidi"/>
          <w:i w:val="0"/>
          <w:iCs w:val="0"/>
          <w:snapToGrid w:val="0"/>
          <w:color w:val="auto"/>
          <w:kern w:val="2"/>
          <w:sz w:val="24"/>
          <w:szCs w:val="22"/>
          <w:highlight w:val="none"/>
          <w:lang w:val="en-US" w:eastAsia="zh-CN" w:bidi="ar-SA"/>
        </w:rPr>
        <w:t>。</w:t>
      </w:r>
    </w:p>
    <w:p w14:paraId="2D8474D4">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14.6 </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对磋商报价若有说明应在响应文件中显著处注明。</w:t>
      </w:r>
    </w:p>
    <w:p w14:paraId="1719007D">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除政策性文件规定以外，</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所报价格在合同实施期间不因市场变化因素而变动。</w:t>
      </w:r>
    </w:p>
    <w:p w14:paraId="749D37C5">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自行设计。</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14.8 最低报价不能作为成交的保证。</w:t>
      </w:r>
    </w:p>
    <w:p w14:paraId="0A894227">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cs="宋体"/>
          <w:i w:val="0"/>
          <w:iCs w:val="0"/>
          <w:color w:val="auto"/>
          <w:kern w:val="0"/>
          <w:sz w:val="24"/>
          <w:szCs w:val="24"/>
          <w:highlight w:val="none"/>
          <w:lang w:val="en-US" w:eastAsia="zh-CN" w:bidi="ar"/>
        </w:rPr>
        <w:t>14.9供应商</w:t>
      </w:r>
      <w:r>
        <w:rPr>
          <w:rFonts w:hint="eastAsia" w:ascii="宋体" w:hAnsi="宋体" w:eastAsia="宋体" w:cs="宋体"/>
          <w:i w:val="0"/>
          <w:iCs w:val="0"/>
          <w:color w:val="auto"/>
          <w:kern w:val="0"/>
          <w:sz w:val="24"/>
          <w:szCs w:val="24"/>
          <w:highlight w:val="none"/>
          <w:lang w:val="en-US" w:eastAsia="zh-CN" w:bidi="ar"/>
        </w:rPr>
        <w:t>不能提供任何有选择性或可调整的报价（</w:t>
      </w:r>
      <w:r>
        <w:rPr>
          <w:rFonts w:hint="eastAsia" w:cs="宋体"/>
          <w:i w:val="0"/>
          <w:iCs w:val="0"/>
          <w:color w:val="auto"/>
          <w:kern w:val="0"/>
          <w:sz w:val="24"/>
          <w:szCs w:val="24"/>
          <w:highlight w:val="none"/>
          <w:lang w:val="en-US" w:eastAsia="zh-CN" w:bidi="ar"/>
        </w:rPr>
        <w:t>磋商</w:t>
      </w:r>
      <w:r>
        <w:rPr>
          <w:rFonts w:hint="eastAsia" w:ascii="宋体" w:hAnsi="宋体" w:eastAsia="宋体" w:cs="宋体"/>
          <w:i w:val="0"/>
          <w:iCs w:val="0"/>
          <w:color w:val="auto"/>
          <w:kern w:val="0"/>
          <w:sz w:val="24"/>
          <w:szCs w:val="24"/>
          <w:highlight w:val="none"/>
          <w:lang w:val="en-US" w:eastAsia="zh-CN" w:bidi="ar"/>
        </w:rPr>
        <w:t>文件另有规定的除外），否则其</w:t>
      </w:r>
      <w:r>
        <w:rPr>
          <w:rFonts w:hint="eastAsia" w:cs="宋体"/>
          <w:b/>
          <w:bCs/>
          <w:i w:val="0"/>
          <w:iCs w:val="0"/>
          <w:color w:val="auto"/>
          <w:kern w:val="0"/>
          <w:sz w:val="24"/>
          <w:szCs w:val="24"/>
          <w:highlight w:val="none"/>
          <w:lang w:val="en-US" w:eastAsia="zh-CN" w:bidi="ar"/>
        </w:rPr>
        <w:t>响应</w:t>
      </w:r>
      <w:r>
        <w:rPr>
          <w:rFonts w:hint="eastAsia" w:ascii="宋体" w:hAnsi="宋体" w:eastAsia="宋体" w:cs="宋体"/>
          <w:b/>
          <w:bCs/>
          <w:i w:val="0"/>
          <w:iCs w:val="0"/>
          <w:color w:val="auto"/>
          <w:kern w:val="0"/>
          <w:sz w:val="24"/>
          <w:szCs w:val="24"/>
          <w:highlight w:val="none"/>
          <w:lang w:val="en-US" w:eastAsia="zh-CN" w:bidi="ar"/>
        </w:rPr>
        <w:t>无效</w:t>
      </w:r>
      <w:r>
        <w:rPr>
          <w:rFonts w:hint="eastAsia" w:ascii="宋体" w:hAnsi="宋体" w:eastAsia="宋体" w:cs="宋体"/>
          <w:i w:val="0"/>
          <w:iCs w:val="0"/>
          <w:color w:val="auto"/>
          <w:kern w:val="0"/>
          <w:sz w:val="24"/>
          <w:szCs w:val="24"/>
          <w:highlight w:val="none"/>
          <w:lang w:val="en-US" w:eastAsia="zh-CN" w:bidi="ar"/>
        </w:rPr>
        <w:t>。</w:t>
      </w:r>
    </w:p>
    <w:p w14:paraId="2AA144BC">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2" w:name="_Toc46771657"/>
      <w:bookmarkStart w:id="143" w:name="_Toc109900388"/>
      <w:bookmarkStart w:id="144" w:name="_Toc109897451"/>
      <w:bookmarkStart w:id="145" w:name="_Toc52960570"/>
      <w:bookmarkStart w:id="146" w:name="_Toc52962744"/>
      <w:bookmarkStart w:id="147" w:name="_Toc48688806"/>
      <w:bookmarkStart w:id="148" w:name="_Toc51674228"/>
      <w:bookmarkStart w:id="149" w:name="_Toc5668"/>
      <w:bookmarkStart w:id="150" w:name="_Toc470172682"/>
      <w:bookmarkStart w:id="151" w:name="_Toc109899969"/>
      <w:bookmarkStart w:id="152" w:name="_Toc46772258"/>
      <w:bookmarkStart w:id="153" w:name="_Toc109899550"/>
      <w:bookmarkStart w:id="154" w:name="_Toc48846126"/>
      <w:bookmarkStart w:id="155" w:name="_Toc48846122"/>
      <w:bookmarkStart w:id="156" w:name="_Toc109899966"/>
      <w:bookmarkStart w:id="157" w:name="_Toc109899547"/>
      <w:bookmarkStart w:id="158" w:name="_Toc109897448"/>
      <w:bookmarkStart w:id="159" w:name="_Toc46772254"/>
      <w:bookmarkStart w:id="160" w:name="_Toc52962740"/>
      <w:bookmarkStart w:id="161" w:name="_Toc3324"/>
      <w:bookmarkStart w:id="162" w:name="_Toc470172678"/>
      <w:bookmarkStart w:id="163" w:name="_Toc51674224"/>
      <w:bookmarkStart w:id="164" w:name="_Toc52960566"/>
      <w:bookmarkStart w:id="165" w:name="_Toc109900385"/>
      <w:bookmarkStart w:id="166" w:name="_Toc46771653"/>
      <w:bookmarkStart w:id="167" w:name="_Toc48688802"/>
      <w:r>
        <w:rPr>
          <w:rFonts w:hint="eastAsia" w:ascii="宋体" w:hAnsi="宋体" w:eastAsia="宋体" w:cs="宋体"/>
          <w:b/>
          <w:bCs/>
          <w:color w:val="auto"/>
          <w:kern w:val="2"/>
          <w:sz w:val="24"/>
          <w:szCs w:val="24"/>
          <w:highlight w:val="none"/>
          <w:lang w:val="en-US" w:eastAsia="zh-CN" w:bidi="ar-SA"/>
        </w:rPr>
        <w:t>15.响应文件有效期</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6C3E470C">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5</w:t>
      </w:r>
      <w:r>
        <w:rPr>
          <w:rFonts w:hint="eastAsia"/>
          <w:i w:val="0"/>
          <w:iCs w:val="0"/>
          <w:snapToGrid w:val="0"/>
          <w:color w:val="auto"/>
          <w:highlight w:val="none"/>
          <w:lang w:val="zh-CN"/>
        </w:rPr>
        <w:t>.1</w:t>
      </w:r>
      <w:r>
        <w:rPr>
          <w:rFonts w:hint="eastAsia"/>
          <w:i w:val="0"/>
          <w:iCs w:val="0"/>
          <w:snapToGrid w:val="0"/>
          <w:color w:val="auto"/>
          <w:highlight w:val="none"/>
          <w:lang w:val="en-US" w:eastAsia="zh-CN"/>
        </w:rPr>
        <w:t>供应商提交的</w:t>
      </w:r>
      <w:r>
        <w:rPr>
          <w:rFonts w:hint="eastAsia"/>
          <w:i w:val="0"/>
          <w:iCs w:val="0"/>
          <w:snapToGrid w:val="0"/>
          <w:color w:val="auto"/>
          <w:highlight w:val="none"/>
          <w:lang w:val="zh-CN"/>
        </w:rPr>
        <w:t>响应文件有效期见“供应商须知前附表”，磋商供应商承诺的响应文件</w:t>
      </w:r>
      <w:r>
        <w:rPr>
          <w:rFonts w:hint="eastAsia"/>
          <w:i w:val="0"/>
          <w:iCs w:val="0"/>
          <w:snapToGrid w:val="0"/>
          <w:color w:val="auto"/>
          <w:highlight w:val="none"/>
          <w:lang w:val="zh-CN" w:eastAsia="zh-CN"/>
        </w:rPr>
        <w:t>有效期少于</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文件规定期限的，其</w:t>
      </w:r>
      <w:r>
        <w:rPr>
          <w:rFonts w:hint="eastAsia"/>
          <w:b/>
          <w:bCs/>
          <w:i w:val="0"/>
          <w:iCs w:val="0"/>
          <w:snapToGrid w:val="0"/>
          <w:color w:val="auto"/>
          <w:highlight w:val="none"/>
          <w:lang w:val="en-US" w:eastAsia="zh-CN"/>
        </w:rPr>
        <w:t>响应</w:t>
      </w:r>
      <w:r>
        <w:rPr>
          <w:rFonts w:hint="eastAsia"/>
          <w:b/>
          <w:bCs/>
          <w:i w:val="0"/>
          <w:iCs w:val="0"/>
          <w:snapToGrid w:val="0"/>
          <w:color w:val="auto"/>
          <w:highlight w:val="none"/>
          <w:lang w:val="zh-CN" w:eastAsia="zh-CN"/>
        </w:rPr>
        <w:t>无效</w:t>
      </w:r>
      <w:r>
        <w:rPr>
          <w:rFonts w:hint="eastAsia"/>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default"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15.2 响应文件有效期从</w:t>
      </w:r>
      <w:r>
        <w:rPr>
          <w:rFonts w:hint="eastAsia" w:cstheme="minorBidi"/>
          <w:i w:val="0"/>
          <w:iCs w:val="0"/>
          <w:snapToGrid w:val="0"/>
          <w:color w:val="auto"/>
          <w:kern w:val="2"/>
          <w:sz w:val="24"/>
          <w:szCs w:val="22"/>
          <w:highlight w:val="none"/>
          <w:lang w:val="en-US" w:eastAsia="zh-CN" w:bidi="ar-SA"/>
        </w:rPr>
        <w:t>递交</w:t>
      </w:r>
      <w:r>
        <w:rPr>
          <w:rFonts w:hint="eastAsia" w:ascii="宋体" w:hAnsi="宋体" w:eastAsia="宋体" w:cstheme="minorBidi"/>
          <w:i w:val="0"/>
          <w:iCs w:val="0"/>
          <w:snapToGrid w:val="0"/>
          <w:color w:val="auto"/>
          <w:kern w:val="2"/>
          <w:sz w:val="24"/>
          <w:szCs w:val="22"/>
          <w:highlight w:val="none"/>
          <w:lang w:val="en-US" w:eastAsia="zh-CN" w:bidi="ar-SA"/>
        </w:rPr>
        <w:t>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3</w:t>
      </w:r>
      <w:r>
        <w:rPr>
          <w:rFonts w:hint="eastAsia" w:ascii="宋体" w:hAnsi="宋体" w:eastAsia="宋体" w:cstheme="minorBidi"/>
          <w:i w:val="0"/>
          <w:iCs w:val="0"/>
          <w:snapToGrid w:val="0"/>
          <w:color w:val="auto"/>
          <w:kern w:val="2"/>
          <w:sz w:val="24"/>
          <w:szCs w:val="22"/>
          <w:highlight w:val="none"/>
          <w:lang w:val="zh-CN" w:eastAsia="zh-CN" w:bidi="ar-SA"/>
        </w:rPr>
        <w:t>特殊情况下，在原响应文件有效期截止之前，采购代理机构或采购人</w:t>
      </w:r>
      <w:r>
        <w:rPr>
          <w:rFonts w:hint="eastAsia"/>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宋体"/>
          <w:i w:val="0"/>
          <w:iCs w:val="0"/>
          <w:snapToGrid w:val="0"/>
          <w:color w:val="auto"/>
          <w:szCs w:val="24"/>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供应商同意延长的，</w:t>
      </w:r>
      <w:r>
        <w:rPr>
          <w:rFonts w:hint="eastAsia" w:ascii="宋体" w:hAnsi="宋体" w:eastAsia="宋体" w:cstheme="minorBidi"/>
          <w:i w:val="0"/>
          <w:iCs w:val="0"/>
          <w:snapToGrid w:val="0"/>
          <w:color w:val="auto"/>
          <w:kern w:val="2"/>
          <w:sz w:val="24"/>
          <w:szCs w:val="22"/>
          <w:highlight w:val="none"/>
          <w:lang w:val="en-US" w:eastAsia="zh-CN" w:bidi="ar-SA"/>
        </w:rPr>
        <w:t>其磋商</w:t>
      </w:r>
      <w:r>
        <w:rPr>
          <w:rFonts w:hint="eastAsia" w:ascii="宋体" w:hAnsi="宋体" w:eastAsia="宋体" w:cs="宋体"/>
          <w:i w:val="0"/>
          <w:iCs w:val="0"/>
          <w:snapToGrid w:val="0"/>
          <w:color w:val="auto"/>
          <w:szCs w:val="24"/>
          <w:highlight w:val="none"/>
          <w:lang w:val="zh-CN"/>
        </w:rPr>
        <w:t>保证金的有效期也相应延长</w:t>
      </w:r>
      <w:r>
        <w:rPr>
          <w:rFonts w:hint="eastAsia" w:ascii="宋体" w:hAnsi="宋体" w:eastAsia="宋体" w:cs="宋体"/>
          <w:i w:val="0"/>
          <w:iCs w:val="0"/>
          <w:snapToGrid w:val="0"/>
          <w:color w:val="auto"/>
          <w:szCs w:val="24"/>
          <w:highlight w:val="none"/>
          <w:lang w:val="zh-CN" w:eastAsia="zh-CN"/>
        </w:rPr>
        <w:t>，</w:t>
      </w:r>
      <w:r>
        <w:rPr>
          <w:rFonts w:hint="eastAsia" w:cs="宋体"/>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但其提交的磋商保证金可予以退还</w:t>
      </w:r>
      <w:r>
        <w:rPr>
          <w:rFonts w:hint="eastAsia" w:cs="宋体"/>
          <w:i w:val="0"/>
          <w:iCs w:val="0"/>
          <w:snapToGrid w:val="0"/>
          <w:color w:val="auto"/>
          <w:szCs w:val="24"/>
          <w:highlight w:val="none"/>
          <w:lang w:val="zh-CN"/>
        </w:rPr>
        <w:t>。</w:t>
      </w:r>
    </w:p>
    <w:bookmarkEnd w:id="155"/>
    <w:bookmarkEnd w:id="156"/>
    <w:bookmarkEnd w:id="157"/>
    <w:bookmarkEnd w:id="158"/>
    <w:bookmarkEnd w:id="159"/>
    <w:bookmarkEnd w:id="160"/>
    <w:bookmarkEnd w:id="161"/>
    <w:bookmarkEnd w:id="162"/>
    <w:bookmarkEnd w:id="163"/>
    <w:bookmarkEnd w:id="164"/>
    <w:bookmarkEnd w:id="165"/>
    <w:bookmarkEnd w:id="166"/>
    <w:bookmarkEnd w:id="167"/>
    <w:p w14:paraId="26D695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710ABAB7">
      <w:pPr>
        <w:keepNext w:val="0"/>
        <w:keepLines w:val="0"/>
        <w:pageBreakBefore w:val="0"/>
        <w:widowControl w:val="0"/>
        <w:kinsoku/>
        <w:overflowPunct/>
        <w:topLinePunct w:val="0"/>
        <w:autoSpaceDE/>
        <w:autoSpaceDN/>
        <w:bidi w:val="0"/>
        <w:adjustRightInd/>
        <w:ind w:firstLine="480" w:firstLineChars="200"/>
        <w:textAlignment w:val="auto"/>
        <w:rPr>
          <w:rFonts w:cs="仿宋_GB2312"/>
          <w:i w:val="0"/>
          <w:iCs w:val="0"/>
          <w:color w:val="auto"/>
          <w:szCs w:val="24"/>
          <w:highlight w:val="none"/>
        </w:rPr>
      </w:pPr>
      <w:r>
        <w:rPr>
          <w:rFonts w:cs="仿宋_GB2312"/>
          <w:i w:val="0"/>
          <w:iCs w:val="0"/>
          <w:color w:val="auto"/>
          <w:szCs w:val="24"/>
          <w:highlight w:val="none"/>
        </w:rPr>
        <w:t>1</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中进行编制，在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文件中要求加盖印章的，除有特殊说明之外，</w:t>
      </w:r>
      <w:r>
        <w:rPr>
          <w:rFonts w:hint="eastAsia" w:cs="仿宋_GB2312"/>
          <w:i w:val="0"/>
          <w:iCs w:val="0"/>
          <w:color w:val="auto"/>
          <w:szCs w:val="24"/>
          <w:highlight w:val="none"/>
          <w:lang w:val="en-US" w:eastAsia="zh-CN"/>
        </w:rPr>
        <w:t>可</w:t>
      </w:r>
      <w:r>
        <w:rPr>
          <w:rFonts w:hint="eastAsia" w:cs="仿宋_GB2312"/>
          <w:i w:val="0"/>
          <w:iCs w:val="0"/>
          <w:color w:val="auto"/>
          <w:szCs w:val="24"/>
          <w:highlight w:val="none"/>
        </w:rPr>
        <w:t>使用电子签章签署。</w:t>
      </w:r>
    </w:p>
    <w:p w14:paraId="6FD5FFC6">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1</w:t>
      </w:r>
      <w:r>
        <w:rPr>
          <w:rFonts w:hint="eastAsia"/>
          <w:i w:val="0"/>
          <w:iCs w:val="0"/>
          <w:color w:val="auto"/>
          <w:highlight w:val="none"/>
          <w:lang w:val="en-US" w:eastAsia="zh-CN"/>
        </w:rPr>
        <w:t>6</w:t>
      </w:r>
      <w:r>
        <w:rPr>
          <w:rFonts w:hint="eastAsia"/>
          <w:i w:val="0"/>
          <w:iCs w:val="0"/>
          <w:color w:val="auto"/>
          <w:highlight w:val="none"/>
        </w:rPr>
        <w:t>.</w:t>
      </w:r>
      <w:r>
        <w:rPr>
          <w:i w:val="0"/>
          <w:iCs w:val="0"/>
          <w:color w:val="auto"/>
          <w:highlight w:val="none"/>
        </w:rPr>
        <w:t>2</w:t>
      </w:r>
      <w:r>
        <w:rPr>
          <w:rFonts w:hint="eastAsia"/>
          <w:i w:val="0"/>
          <w:iCs w:val="0"/>
          <w:color w:val="auto"/>
          <w:highlight w:val="none"/>
          <w:lang w:val="en-US" w:eastAsia="zh-CN"/>
        </w:rPr>
        <w:t>供应商</w:t>
      </w:r>
      <w:r>
        <w:rPr>
          <w:rFonts w:hint="eastAsia"/>
          <w:i w:val="0"/>
          <w:iCs w:val="0"/>
          <w:color w:val="auto"/>
          <w:highlight w:val="none"/>
        </w:rPr>
        <w:t>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color w:val="auto"/>
          <w:highlight w:val="none"/>
        </w:rPr>
        <w:t>中按照</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color w:val="auto"/>
          <w:highlight w:val="none"/>
        </w:rPr>
        <w:t>中的格式要求填写响应内容后，生成</w:t>
      </w:r>
      <w:r>
        <w:rPr>
          <w:rFonts w:hint="eastAsia" w:cs="仿宋_GB2312"/>
          <w:i w:val="0"/>
          <w:iCs w:val="0"/>
          <w:color w:val="auto"/>
          <w:szCs w:val="24"/>
          <w:highlight w:val="none"/>
          <w:lang w:val="en-US" w:eastAsia="zh-CN"/>
        </w:rPr>
        <w:t>响应</w:t>
      </w:r>
      <w:r>
        <w:rPr>
          <w:rFonts w:hint="eastAsia"/>
          <w:i w:val="0"/>
          <w:iCs w:val="0"/>
          <w:color w:val="auto"/>
          <w:highlight w:val="none"/>
        </w:rPr>
        <w:t>文件。</w:t>
      </w:r>
      <w:r>
        <w:rPr>
          <w:rFonts w:hint="eastAsia"/>
          <w:i w:val="0"/>
          <w:iCs w:val="0"/>
          <w:color w:val="auto"/>
          <w:highlight w:val="none"/>
          <w:lang w:val="en-US" w:eastAsia="zh-CN"/>
        </w:rPr>
        <w:t>供应商</w:t>
      </w:r>
      <w:r>
        <w:rPr>
          <w:rFonts w:hint="eastAsia"/>
          <w:i w:val="0"/>
          <w:iCs w:val="0"/>
          <w:color w:val="auto"/>
          <w:highlight w:val="none"/>
        </w:rPr>
        <w:t>须按照</w:t>
      </w:r>
      <w:r>
        <w:rPr>
          <w:rFonts w:hint="eastAsia"/>
          <w:i w:val="0"/>
          <w:iCs w:val="0"/>
          <w:color w:val="auto"/>
          <w:highlight w:val="none"/>
          <w:lang w:val="en-US" w:eastAsia="zh-CN"/>
        </w:rPr>
        <w:t>竞争性磋商</w:t>
      </w:r>
      <w:r>
        <w:rPr>
          <w:rFonts w:hint="eastAsia"/>
          <w:i w:val="0"/>
          <w:iCs w:val="0"/>
          <w:color w:val="auto"/>
          <w:highlight w:val="none"/>
        </w:rPr>
        <w:t>文件的要求对要求加盖印章的部分逐一进行签章。</w:t>
      </w:r>
    </w:p>
    <w:p w14:paraId="4BB9824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3供应商</w:t>
      </w:r>
      <w:r>
        <w:rPr>
          <w:rFonts w:hint="eastAsia" w:ascii="宋体" w:hAnsi="宋体" w:eastAsia="宋体"/>
          <w:i w:val="0"/>
          <w:iCs w:val="0"/>
          <w:color w:val="auto"/>
          <w:highlight w:val="none"/>
        </w:rPr>
        <w:t>应详细阅读</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文件的全部内容。</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文件须对</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文件中的内容作出实质性和完整的响应，如果</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文件填报的内容不详，或没有提供</w:t>
      </w:r>
      <w:r>
        <w:rPr>
          <w:rFonts w:hint="eastAsia"/>
          <w:i w:val="0"/>
          <w:iCs w:val="0"/>
          <w:color w:val="auto"/>
          <w:highlight w:val="none"/>
          <w:lang w:val="en-US" w:eastAsia="zh-CN"/>
        </w:rPr>
        <w:t>竞争性磋商</w:t>
      </w:r>
      <w:r>
        <w:rPr>
          <w:rFonts w:hint="eastAsia" w:ascii="宋体" w:hAnsi="宋体" w:eastAsia="宋体"/>
          <w:i w:val="0"/>
          <w:iCs w:val="0"/>
          <w:color w:val="auto"/>
          <w:highlight w:val="none"/>
        </w:rPr>
        <w:t>文件中所要求的全部资料及数据，</w:t>
      </w:r>
      <w:r>
        <w:rPr>
          <w:rFonts w:hint="eastAsia" w:ascii="宋体" w:hAnsi="宋体" w:eastAsia="宋体"/>
          <w:b w:val="0"/>
          <w:bCs w:val="0"/>
          <w:i w:val="0"/>
          <w:iCs w:val="0"/>
          <w:color w:val="auto"/>
          <w:highlight w:val="none"/>
        </w:rPr>
        <w:t>将可能</w:t>
      </w:r>
      <w:r>
        <w:rPr>
          <w:rFonts w:hint="eastAsia" w:ascii="宋体" w:hAnsi="宋体" w:eastAsia="宋体"/>
          <w:b/>
          <w:bCs/>
          <w:i w:val="0"/>
          <w:iCs w:val="0"/>
          <w:color w:val="auto"/>
          <w:highlight w:val="none"/>
        </w:rPr>
        <w:t>导致</w:t>
      </w:r>
      <w:r>
        <w:rPr>
          <w:rFonts w:hint="eastAsia"/>
          <w:b/>
          <w:bCs/>
          <w:i w:val="0"/>
          <w:iCs w:val="0"/>
          <w:color w:val="auto"/>
          <w:highlight w:val="none"/>
          <w:lang w:val="en-US" w:eastAsia="zh-CN"/>
        </w:rPr>
        <w:t>其</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2084E86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4响应</w:t>
      </w:r>
      <w:r>
        <w:rPr>
          <w:rFonts w:hint="eastAsia" w:ascii="宋体" w:hAnsi="宋体" w:eastAsia="宋体"/>
          <w:i w:val="0"/>
          <w:iCs w:val="0"/>
          <w:color w:val="auto"/>
          <w:highlight w:val="none"/>
        </w:rPr>
        <w:t>文件须严格按照</w:t>
      </w:r>
      <w:r>
        <w:rPr>
          <w:rFonts w:hint="eastAsia" w:ascii="宋体" w:hAnsi="宋体" w:eastAsia="宋体"/>
          <w:i w:val="0"/>
          <w:iCs w:val="0"/>
          <w:color w:val="auto"/>
          <w:highlight w:val="none"/>
          <w:lang w:val="en-US" w:eastAsia="zh-CN"/>
        </w:rPr>
        <w:t>本竞争性磋商</w:t>
      </w:r>
      <w:r>
        <w:rPr>
          <w:rFonts w:hint="eastAsia" w:ascii="宋体" w:hAnsi="宋体" w:eastAsia="宋体"/>
          <w:i w:val="0"/>
          <w:iCs w:val="0"/>
          <w:color w:val="auto"/>
          <w:highlight w:val="none"/>
        </w:rPr>
        <w:t>文件第</w:t>
      </w:r>
      <w:r>
        <w:rPr>
          <w:rFonts w:hint="eastAsia" w:ascii="宋体" w:hAnsi="宋体" w:eastAsia="宋体"/>
          <w:i w:val="0"/>
          <w:iCs w:val="0"/>
          <w:color w:val="auto"/>
          <w:highlight w:val="none"/>
          <w:lang w:val="en-US" w:eastAsia="zh-CN"/>
        </w:rPr>
        <w:t>六章</w:t>
      </w:r>
      <w:r>
        <w:rPr>
          <w:rFonts w:hint="eastAsia" w:ascii="宋体" w:hAnsi="宋体" w:eastAsia="宋体"/>
          <w:i w:val="0"/>
          <w:iCs w:val="0"/>
          <w:color w:val="auto"/>
          <w:highlight w:val="none"/>
        </w:rPr>
        <w:t>规定的格式提交，并按规定的统一格式逐项填写，不准有空项；无相应内容可填的项，应填写“无”、“未测试”、“没有相应指标”等明确的回答文字。由于编排混乱导致</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文件被误读或查找不到，其责任由</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承担。</w:t>
      </w:r>
    </w:p>
    <w:p w14:paraId="71265CA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5供应商</w:t>
      </w:r>
      <w:r>
        <w:rPr>
          <w:rFonts w:hint="eastAsia" w:ascii="宋体" w:hAnsi="宋体" w:eastAsia="宋体"/>
          <w:i w:val="0"/>
          <w:iCs w:val="0"/>
          <w:color w:val="auto"/>
          <w:highlight w:val="none"/>
        </w:rPr>
        <w:t>须注意：为合理节约政府采购评审成本，提倡诚实信用的</w:t>
      </w:r>
      <w:r>
        <w:rPr>
          <w:rFonts w:hint="eastAsia" w:ascii="宋体" w:hAnsi="宋体" w:eastAsia="宋体"/>
          <w:i w:val="0"/>
          <w:iCs w:val="0"/>
          <w:color w:val="auto"/>
          <w:highlight w:val="none"/>
          <w:lang w:val="en-US" w:eastAsia="zh-CN"/>
        </w:rPr>
        <w:t>磋商</w:t>
      </w:r>
      <w:r>
        <w:rPr>
          <w:rFonts w:hint="eastAsia" w:ascii="宋体" w:hAnsi="宋体" w:eastAsia="宋体"/>
          <w:i w:val="0"/>
          <w:iCs w:val="0"/>
          <w:color w:val="auto"/>
          <w:highlight w:val="none"/>
        </w:rPr>
        <w:t>行为，特别要求</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应本着诚信精神，在本次</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文件的偏离表中，均以审慎的态度明确、清楚地披露各项偏离。若</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对某一事项是否存在或是否属于偏离不能确定，亦必须在偏离表中清楚地表明该偏离事项，并可以注明不能确定的字样。任何情况下，对于</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没有在偏离表中明确、清楚地披露的事项，包括可能属于被</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在偏离表中遗漏披露的事项，一旦在评审中被发现存在偏离或被认定为属于偏离，则评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委员会有权视具体情形评审时予以处理，</w:t>
      </w:r>
      <w:r>
        <w:rPr>
          <w:rFonts w:hint="eastAsia" w:ascii="宋体" w:hAnsi="宋体" w:eastAsia="宋体"/>
          <w:b/>
          <w:bCs/>
          <w:i w:val="0"/>
          <w:iCs w:val="0"/>
          <w:color w:val="auto"/>
          <w:highlight w:val="none"/>
        </w:rPr>
        <w:t>将可能导致</w:t>
      </w:r>
      <w:r>
        <w:rPr>
          <w:rFonts w:hint="eastAsia"/>
          <w:b/>
          <w:bCs/>
          <w:i w:val="0"/>
          <w:iCs w:val="0"/>
          <w:color w:val="auto"/>
          <w:highlight w:val="none"/>
          <w:lang w:eastAsia="zh-CN"/>
        </w:rPr>
        <w:t>响应</w:t>
      </w:r>
      <w:r>
        <w:rPr>
          <w:rFonts w:hint="eastAsia"/>
          <w:b/>
          <w:bCs/>
          <w:i w:val="0"/>
          <w:iCs w:val="0"/>
          <w:color w:val="auto"/>
          <w:highlight w:val="none"/>
          <w:lang w:val="en-US" w:eastAsia="zh-CN"/>
        </w:rPr>
        <w:t>无效</w:t>
      </w:r>
      <w:r>
        <w:rPr>
          <w:rFonts w:hint="eastAsia" w:ascii="宋体" w:hAnsi="宋体" w:eastAsia="宋体"/>
          <w:i w:val="0"/>
          <w:iCs w:val="0"/>
          <w:color w:val="auto"/>
          <w:highlight w:val="none"/>
        </w:rPr>
        <w:t>。</w:t>
      </w:r>
    </w:p>
    <w:p w14:paraId="76CE475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i w:val="0"/>
          <w:iCs w:val="0"/>
          <w:color w:val="auto"/>
          <w:highlight w:val="none"/>
          <w:lang w:val="en-US" w:eastAsia="zh-CN"/>
        </w:rPr>
        <w:t>6</w:t>
      </w:r>
      <w:r>
        <w:rPr>
          <w:rFonts w:hint="eastAsia" w:ascii="宋体" w:hAnsi="宋体" w:eastAsia="宋体"/>
          <w:i w:val="0"/>
          <w:iCs w:val="0"/>
          <w:color w:val="auto"/>
          <w:highlight w:val="none"/>
          <w:lang w:val="en-US" w:eastAsia="zh-CN"/>
        </w:rPr>
        <w:t>供应商</w:t>
      </w:r>
      <w:r>
        <w:rPr>
          <w:rFonts w:hint="eastAsia" w:ascii="宋体" w:hAnsi="宋体" w:eastAsia="宋体"/>
          <w:i w:val="0"/>
          <w:iCs w:val="0"/>
          <w:color w:val="auto"/>
          <w:highlight w:val="none"/>
        </w:rPr>
        <w:t>必须保证</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文件所提供的全部资料</w:t>
      </w:r>
      <w:r>
        <w:rPr>
          <w:rFonts w:hint="eastAsia"/>
          <w:i w:val="0"/>
          <w:iCs w:val="0"/>
          <w:color w:val="auto"/>
          <w:highlight w:val="none"/>
          <w:lang w:eastAsia="zh-CN"/>
        </w:rPr>
        <w:t>合法、</w:t>
      </w:r>
      <w:r>
        <w:rPr>
          <w:rFonts w:hint="eastAsia" w:ascii="宋体" w:hAnsi="宋体" w:eastAsia="宋体"/>
          <w:i w:val="0"/>
          <w:iCs w:val="0"/>
          <w:color w:val="auto"/>
          <w:highlight w:val="none"/>
        </w:rPr>
        <w:t>真实可靠，并接受采购</w:t>
      </w:r>
      <w:r>
        <w:rPr>
          <w:rFonts w:hint="eastAsia" w:ascii="宋体" w:hAnsi="宋体" w:eastAsia="宋体"/>
          <w:i w:val="0"/>
          <w:iCs w:val="0"/>
          <w:color w:val="auto"/>
          <w:highlight w:val="none"/>
          <w:lang w:val="en-US" w:eastAsia="zh-CN"/>
        </w:rPr>
        <w:t>人、采购</w:t>
      </w:r>
      <w:r>
        <w:rPr>
          <w:rFonts w:hint="eastAsia" w:ascii="宋体" w:hAnsi="宋体" w:eastAsia="宋体"/>
          <w:i w:val="0"/>
          <w:iCs w:val="0"/>
          <w:color w:val="auto"/>
          <w:highlight w:val="none"/>
        </w:rPr>
        <w:t>代理机构或评</w:t>
      </w:r>
      <w:r>
        <w:rPr>
          <w:rFonts w:hint="eastAsia" w:ascii="宋体" w:hAnsi="宋体" w:eastAsia="宋体"/>
          <w:i w:val="0"/>
          <w:iCs w:val="0"/>
          <w:color w:val="auto"/>
          <w:highlight w:val="none"/>
          <w:lang w:val="en-US" w:eastAsia="zh-CN"/>
        </w:rPr>
        <w:t>审</w:t>
      </w:r>
      <w:r>
        <w:rPr>
          <w:rFonts w:hint="eastAsia" w:ascii="宋体" w:hAnsi="宋体" w:eastAsia="宋体"/>
          <w:i w:val="0"/>
          <w:iCs w:val="0"/>
          <w:color w:val="auto"/>
          <w:highlight w:val="none"/>
        </w:rPr>
        <w:t>委员会对其中任何资料进一步审查的要求。</w:t>
      </w:r>
    </w:p>
    <w:p w14:paraId="4AA7F602">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rPr>
        <w:t>.</w:t>
      </w:r>
      <w:r>
        <w:rPr>
          <w:rFonts w:hint="eastAsia" w:ascii="宋体" w:hAnsi="宋体" w:eastAsia="宋体"/>
          <w:i w:val="0"/>
          <w:iCs w:val="0"/>
          <w:color w:val="auto"/>
          <w:highlight w:val="none"/>
          <w:lang w:val="en-US" w:eastAsia="zh-CN"/>
        </w:rPr>
        <w:t>7供应商</w:t>
      </w:r>
      <w:r>
        <w:rPr>
          <w:rFonts w:hint="eastAsia" w:ascii="宋体" w:hAnsi="宋体" w:eastAsia="宋体"/>
          <w:i w:val="0"/>
          <w:iCs w:val="0"/>
          <w:color w:val="auto"/>
          <w:highlight w:val="none"/>
        </w:rPr>
        <w:t>在</w:t>
      </w:r>
      <w:r>
        <w:rPr>
          <w:rFonts w:hint="eastAsia" w:ascii="宋体" w:hAnsi="宋体" w:eastAsia="宋体"/>
          <w:i w:val="0"/>
          <w:iCs w:val="0"/>
          <w:color w:val="auto"/>
          <w:highlight w:val="none"/>
          <w:lang w:val="en-US" w:eastAsia="zh-CN"/>
        </w:rPr>
        <w:t>响应</w:t>
      </w:r>
      <w:r>
        <w:rPr>
          <w:rFonts w:hint="eastAsia" w:ascii="宋体" w:hAnsi="宋体" w:eastAsia="宋体"/>
          <w:i w:val="0"/>
          <w:iCs w:val="0"/>
          <w:color w:val="auto"/>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i w:val="0"/>
          <w:iCs w:val="0"/>
          <w:color w:val="auto"/>
          <w:highlight w:val="none"/>
        </w:rPr>
        <w:t>无效</w:t>
      </w:r>
      <w:r>
        <w:rPr>
          <w:rFonts w:hint="eastAsia" w:ascii="宋体" w:hAnsi="宋体" w:eastAsia="宋体"/>
          <w:b/>
          <w:bCs/>
          <w:i w:val="0"/>
          <w:iCs w:val="0"/>
          <w:color w:val="auto"/>
          <w:highlight w:val="none"/>
          <w:lang w:val="en-US" w:eastAsia="zh-CN"/>
        </w:rPr>
        <w:t>响应</w:t>
      </w:r>
      <w:r>
        <w:rPr>
          <w:rFonts w:hint="eastAsia" w:ascii="宋体" w:hAnsi="宋体" w:eastAsia="宋体"/>
          <w:i w:val="0"/>
          <w:iCs w:val="0"/>
          <w:color w:val="auto"/>
          <w:highlight w:val="none"/>
        </w:rPr>
        <w:t>处理。</w:t>
      </w:r>
    </w:p>
    <w:p w14:paraId="1479B75C">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16.8电子响应文件的编制</w:t>
      </w:r>
    </w:p>
    <w:p w14:paraId="4E46BA5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 xml:space="preserve">16.8.1电子响应文件需按竞争性磋商文件要求进行制作编制。响应文件制作时，不同内容按标签提示制作导入，按照竞争性磋商文件中明确的响应文件目录和格式进行编制，保证目录清晰、内容完整。           </w:t>
      </w:r>
    </w:p>
    <w:p w14:paraId="1D4C561F">
      <w:pPr>
        <w:keepNext w:val="0"/>
        <w:keepLines w:val="0"/>
        <w:pageBreakBefore w:val="0"/>
        <w:widowControl w:val="0"/>
        <w:kinsoku/>
        <w:overflowPunct/>
        <w:topLinePunct w:val="0"/>
        <w:bidi w:val="0"/>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16.</w:t>
      </w:r>
      <w:r>
        <w:rPr>
          <w:rFonts w:hint="eastAsia"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w:t>
      </w:r>
      <w:r>
        <w:rPr>
          <w:rFonts w:hint="eastAsia" w:cstheme="minorBidi"/>
          <w:i w:val="0"/>
          <w:iCs w:val="0"/>
          <w:color w:val="auto"/>
          <w:kern w:val="2"/>
          <w:sz w:val="24"/>
          <w:szCs w:val="22"/>
          <w:highlight w:val="none"/>
          <w:shd w:val="clear" w:color="auto" w:fill="FFFFFF" w:themeFill="background1"/>
          <w:lang w:val="en-US" w:eastAsia="zh-CN" w:bidi="ar-SA"/>
        </w:rPr>
        <w:t>被</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视为无效响应文件，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p>
    <w:p w14:paraId="7285275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8" w:name="_Toc109900390"/>
      <w:bookmarkStart w:id="169" w:name="_Toc109899552"/>
      <w:bookmarkStart w:id="170" w:name="_Toc109899971"/>
      <w:bookmarkStart w:id="171" w:name="_Toc470172684"/>
      <w:bookmarkStart w:id="172" w:name="_Toc109897453"/>
      <w:bookmarkStart w:id="173" w:name="_Toc46771659"/>
      <w:bookmarkStart w:id="174" w:name="_Toc163493614"/>
      <w:r>
        <w:rPr>
          <w:rFonts w:hint="eastAsia" w:ascii="宋体" w:hAnsi="宋体" w:eastAsia="宋体" w:cs="宋体"/>
          <w:b/>
          <w:bCs/>
          <w:color w:val="auto"/>
          <w:kern w:val="2"/>
          <w:sz w:val="24"/>
          <w:szCs w:val="24"/>
          <w:highlight w:val="none"/>
          <w:lang w:val="en-US" w:eastAsia="zh-CN" w:bidi="ar-SA"/>
        </w:rPr>
        <w:t>（四）响应文件的</w:t>
      </w:r>
      <w:bookmarkEnd w:id="168"/>
      <w:bookmarkEnd w:id="169"/>
      <w:bookmarkEnd w:id="170"/>
      <w:bookmarkEnd w:id="171"/>
      <w:bookmarkEnd w:id="172"/>
      <w:bookmarkEnd w:id="173"/>
      <w:r>
        <w:rPr>
          <w:rFonts w:hint="eastAsia" w:ascii="宋体" w:hAnsi="宋体" w:eastAsia="宋体" w:cs="宋体"/>
          <w:b/>
          <w:bCs/>
          <w:color w:val="auto"/>
          <w:kern w:val="2"/>
          <w:sz w:val="24"/>
          <w:szCs w:val="24"/>
          <w:highlight w:val="none"/>
          <w:lang w:val="en-US" w:eastAsia="zh-CN" w:bidi="ar-SA"/>
        </w:rPr>
        <w:t>递交</w:t>
      </w:r>
      <w:bookmarkEnd w:id="174"/>
    </w:p>
    <w:p w14:paraId="0181012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75" w:name="_Toc109900489"/>
      <w:bookmarkStart w:id="176" w:name="_Toc109897552"/>
      <w:bookmarkStart w:id="177" w:name="_Toc109900070"/>
      <w:bookmarkStart w:id="178" w:name="_Toc109899651"/>
      <w:bookmarkStart w:id="179" w:name="_Toc156490296"/>
      <w:bookmarkStart w:id="180" w:name="_Toc155095707"/>
      <w:bookmarkStart w:id="181" w:name="_Toc109897553"/>
      <w:bookmarkStart w:id="182" w:name="_Toc109899652"/>
      <w:bookmarkStart w:id="183" w:name="_Toc109900071"/>
      <w:bookmarkStart w:id="184" w:name="_Toc109900490"/>
      <w:bookmarkStart w:id="185" w:name="_Toc156490297"/>
      <w:bookmarkStart w:id="186" w:name="_Toc155095708"/>
      <w:r>
        <w:rPr>
          <w:rFonts w:hint="eastAsia" w:ascii="宋体" w:hAnsi="宋体" w:eastAsia="宋体" w:cs="宋体"/>
          <w:b/>
          <w:bCs/>
          <w:color w:val="auto"/>
          <w:kern w:val="2"/>
          <w:sz w:val="24"/>
          <w:szCs w:val="24"/>
          <w:highlight w:val="none"/>
          <w:lang w:val="en-US" w:eastAsia="zh-CN" w:bidi="ar-SA"/>
        </w:rPr>
        <w:t>17.磋商保证金</w:t>
      </w:r>
    </w:p>
    <w:p w14:paraId="73827BB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w:t>
      </w:r>
      <w:r>
        <w:rPr>
          <w:rFonts w:hint="eastAsia" w:cstheme="minorBidi"/>
          <w:i w:val="0"/>
          <w:iCs w:val="0"/>
          <w:color w:val="auto"/>
          <w:kern w:val="2"/>
          <w:sz w:val="24"/>
          <w:szCs w:val="22"/>
          <w:highlight w:val="none"/>
          <w:shd w:val="clear" w:color="auto" w:fill="FFFFFF" w:themeFill="background1"/>
          <w:lang w:val="en-US" w:eastAsia="zh-CN" w:bidi="ar-SA"/>
        </w:rPr>
        <w:t>磋商文件</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要求提交磋商保证金的，</w:t>
      </w:r>
      <w:r>
        <w:rPr>
          <w:rFonts w:hint="eastAsia" w:cstheme="minorBidi"/>
          <w:i w:val="0"/>
          <w:iCs w:val="0"/>
          <w:color w:val="auto"/>
          <w:kern w:val="2"/>
          <w:sz w:val="24"/>
          <w:szCs w:val="22"/>
          <w:highlight w:val="none"/>
          <w:shd w:val="clear" w:color="auto" w:fill="FFFFFF" w:themeFill="background1"/>
          <w:lang w:val="en-US" w:eastAsia="zh-CN" w:bidi="ar-SA"/>
        </w:rPr>
        <w:t>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响应无效。</w:t>
      </w:r>
      <w:r>
        <w:rPr>
          <w:rFonts w:hint="eastAsia"/>
          <w:i w:val="0"/>
          <w:iCs w:val="0"/>
          <w:color w:val="auto"/>
          <w:highlight w:val="none"/>
          <w:lang w:val="en-US" w:eastAsia="zh-CN"/>
        </w:rPr>
        <w:t>磋商保证金有效期同响应文件有效期。</w:t>
      </w:r>
    </w:p>
    <w:p w14:paraId="2C5506AD">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theme="minorBidi"/>
          <w:b w:val="0"/>
          <w:bCs w:val="0"/>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为联合体的，可以由联合体中的一方或者多方共同交纳</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保证金，其交纳的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保证金对联合体各方均具有约束力。</w:t>
      </w:r>
    </w:p>
    <w:p w14:paraId="25D6B14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采购人或者采购代理机构应当在采购活动结束后及时退还供应商的磋商保证金，采用银行保函、担保机构担保函等形式递交的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同意后采购人、采购代理机构可以不再退还，但因供应商自身原因导致无法及时退还的除外。未成交供应商的磋商保证金应当自</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成交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通知书发出之日起 5 个工作日内退还，成交供应商的磋商保证金应当自采购合同签订之日起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6</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在</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响应文件递交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截止时间前撤回已</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提</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文件的，自收到</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书面撤回通知之日起 5 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保证金，但因</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自身原因导致无法及时退还的除外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6C0BF0B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终止</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磋商的</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项目已经收取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保证金的，自终止采购活动后5个工作日内退还已收取的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保证金及其在银行产生的孳息。</w:t>
      </w:r>
    </w:p>
    <w:p w14:paraId="4DB3274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有下列情形之一的，磋商保证金不予退还</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2"/>
          <w:highlight w:val="none"/>
        </w:rPr>
        <w:t>情节严重的将其列入不良记录名单</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5C9DB4A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17.8.1</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供应商在提交响应文件截止时间后撤回响应文件的； </w:t>
      </w:r>
    </w:p>
    <w:p w14:paraId="6F6CEDE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17.8.2</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供应商在响应文件中提供虚假材料的； </w:t>
      </w:r>
    </w:p>
    <w:p w14:paraId="5E5A921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17.8.3</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除因不可抗力或磋商文件认可的情形以外，成交供应商不与采购人签订合同的； </w:t>
      </w:r>
    </w:p>
    <w:p w14:paraId="32224D5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供应商与采购人、其他供应商或者采购代理机构恶意串通的； </w:t>
      </w:r>
    </w:p>
    <w:p w14:paraId="224A39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磋商文件规定的其他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情形。</w:t>
      </w:r>
    </w:p>
    <w:p w14:paraId="69CC8DC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84B786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175"/>
      <w:bookmarkEnd w:id="176"/>
      <w:bookmarkEnd w:id="177"/>
      <w:bookmarkEnd w:id="178"/>
      <w:r>
        <w:rPr>
          <w:rFonts w:hint="eastAsia" w:ascii="宋体" w:hAnsi="宋体" w:eastAsia="宋体" w:cs="宋体"/>
          <w:b/>
          <w:bCs/>
          <w:color w:val="auto"/>
          <w:kern w:val="2"/>
          <w:sz w:val="24"/>
          <w:szCs w:val="24"/>
          <w:highlight w:val="none"/>
          <w:lang w:val="en-US" w:eastAsia="zh-CN" w:bidi="ar-SA"/>
        </w:rPr>
        <w:t>加密</w:t>
      </w:r>
      <w:bookmarkEnd w:id="179"/>
      <w:bookmarkEnd w:id="180"/>
    </w:p>
    <w:p w14:paraId="105C769D">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18.1 </w:t>
      </w:r>
      <w:r>
        <w:rPr>
          <w:rFonts w:hint="eastAsia"/>
          <w:i w:val="0"/>
          <w:iCs w:val="0"/>
          <w:snapToGrid w:val="0"/>
          <w:color w:val="auto"/>
          <w:highlight w:val="none"/>
          <w:lang w:val="zh-CN"/>
        </w:rPr>
        <w:t>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中对响应文件进行加密。</w:t>
      </w:r>
    </w:p>
    <w:p w14:paraId="0AE412D5">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18.2 </w:t>
      </w:r>
      <w:r>
        <w:rPr>
          <w:rFonts w:hint="eastAsia"/>
          <w:i w:val="0"/>
          <w:iCs w:val="0"/>
          <w:snapToGrid w:val="0"/>
          <w:color w:val="auto"/>
          <w:highlight w:val="none"/>
          <w:lang w:val="zh-CN"/>
        </w:rPr>
        <w:t>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 xml:space="preserve">18.3 </w:t>
      </w:r>
      <w:r>
        <w:rPr>
          <w:rFonts w:hint="eastAsia"/>
          <w:i w:val="0"/>
          <w:iCs w:val="0"/>
          <w:snapToGrid w:val="0"/>
          <w:color w:val="auto"/>
          <w:highlight w:val="none"/>
          <w:lang w:val="zh-CN"/>
        </w:rPr>
        <w:t>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4</w:t>
      </w:r>
      <w:r>
        <w:rPr>
          <w:rFonts w:hint="eastAsia"/>
          <w:i w:val="0"/>
          <w:iCs w:val="0"/>
          <w:snapToGrid w:val="0"/>
          <w:color w:val="auto"/>
          <w:highlight w:val="none"/>
          <w:lang w:val="zh-CN"/>
        </w:rPr>
        <w:t>供应商</w:t>
      </w:r>
      <w:r>
        <w:rPr>
          <w:rFonts w:hint="eastAsia" w:cs="仿宋_GB2312"/>
          <w:i w:val="0"/>
          <w:iCs w:val="0"/>
          <w:color w:val="auto"/>
          <w:szCs w:val="24"/>
          <w:highlight w:val="none"/>
        </w:rPr>
        <w:t>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w:t>
      </w:r>
      <w:r>
        <w:rPr>
          <w:rFonts w:hint="eastAsia" w:cs="仿宋_GB2312"/>
          <w:i w:val="0"/>
          <w:iCs w:val="0"/>
          <w:color w:val="auto"/>
          <w:szCs w:val="24"/>
          <w:highlight w:val="none"/>
          <w:lang w:val="en-US" w:eastAsia="zh-CN"/>
        </w:rPr>
        <w:t>止</w:t>
      </w:r>
      <w:r>
        <w:rPr>
          <w:rFonts w:hint="eastAsia" w:cs="仿宋_GB2312"/>
          <w:i w:val="0"/>
          <w:iCs w:val="0"/>
          <w:color w:val="auto"/>
          <w:szCs w:val="24"/>
          <w:highlight w:val="none"/>
        </w:rPr>
        <w:t>时间前通过</w:t>
      </w:r>
      <w:r>
        <w:rPr>
          <w:rFonts w:hint="eastAsia" w:cs="仿宋_GB2312"/>
          <w:i w:val="0"/>
          <w:iCs w:val="0"/>
          <w:color w:val="auto"/>
          <w:szCs w:val="24"/>
          <w:highlight w:val="none"/>
          <w:lang w:val="en-US" w:eastAsia="zh-CN"/>
        </w:rPr>
        <w:t>新疆</w:t>
      </w:r>
      <w:r>
        <w:rPr>
          <w:rFonts w:hint="eastAsia" w:cs="仿宋_GB2312"/>
          <w:i w:val="0"/>
          <w:iCs w:val="0"/>
          <w:color w:val="auto"/>
          <w:szCs w:val="24"/>
          <w:highlight w:val="none"/>
        </w:rPr>
        <w:t>政府采购网（http://www.ccgp-xinjiang.gov.cn/）的”政采云登录入口”登录后，将加密电子</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上传到对应项目的指定位置</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认为有必要提交的其他资料请于</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5</w:t>
      </w:r>
      <w:r>
        <w:rPr>
          <w:rFonts w:hint="eastAsia" w:cs="仿宋_GB2312"/>
          <w:i w:val="0"/>
          <w:iCs w:val="0"/>
          <w:color w:val="auto"/>
          <w:szCs w:val="24"/>
          <w:highlight w:val="none"/>
        </w:rPr>
        <w:t>如果</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未按上述要求</w:t>
      </w:r>
      <w:r>
        <w:rPr>
          <w:rFonts w:hint="eastAsia" w:cs="仿宋_GB2312"/>
          <w:i w:val="0"/>
          <w:iCs w:val="0"/>
          <w:color w:val="auto"/>
          <w:szCs w:val="24"/>
          <w:highlight w:val="none"/>
          <w:lang w:val="en-US" w:eastAsia="zh-CN"/>
        </w:rPr>
        <w:t>加密并上传</w:t>
      </w:r>
      <w:r>
        <w:rPr>
          <w:rFonts w:hint="eastAsia" w:cs="仿宋_GB2312"/>
          <w:i w:val="0"/>
          <w:iCs w:val="0"/>
          <w:color w:val="auto"/>
          <w:szCs w:val="24"/>
          <w:highlight w:val="none"/>
        </w:rPr>
        <w:t>，采购代理机构对</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文件的误投</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无法解密、传输错误等问题</w:t>
      </w:r>
      <w:r>
        <w:rPr>
          <w:rFonts w:hint="eastAsia" w:cs="仿宋_GB2312"/>
          <w:i w:val="0"/>
          <w:iCs w:val="0"/>
          <w:color w:val="auto"/>
          <w:szCs w:val="24"/>
          <w:highlight w:val="none"/>
        </w:rPr>
        <w:t>概不负责。对由此造成</w:t>
      </w:r>
      <w:r>
        <w:rPr>
          <w:rFonts w:hint="eastAsia" w:cs="仿宋_GB2312"/>
          <w:i w:val="0"/>
          <w:iCs w:val="0"/>
          <w:color w:val="auto"/>
          <w:szCs w:val="24"/>
          <w:highlight w:val="none"/>
          <w:lang w:val="en-US" w:eastAsia="zh-CN"/>
        </w:rPr>
        <w:t>无法正常开启</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文件，采购代理机构有权予以拒绝，并退回</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w:t>
      </w:r>
    </w:p>
    <w:p w14:paraId="54A49319">
      <w:pPr>
        <w:pStyle w:val="35"/>
        <w:keepNext w:val="0"/>
        <w:keepLines w:val="0"/>
        <w:pageBreakBefore w:val="0"/>
        <w:widowControl w:val="0"/>
        <w:kinsoku/>
        <w:overflowPunct/>
        <w:topLinePunct w:val="0"/>
        <w:bidi w:val="0"/>
        <w:ind w:firstLine="48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本项目采用不见面开</w:t>
      </w:r>
      <w:r>
        <w:rPr>
          <w:rFonts w:hint="eastAsia" w:cs="仿宋_GB2312"/>
          <w:i w:val="0"/>
          <w:iCs w:val="0"/>
          <w:color w:val="auto"/>
          <w:szCs w:val="24"/>
          <w:highlight w:val="none"/>
          <w:lang w:val="en-US" w:eastAsia="zh-CN"/>
        </w:rPr>
        <w:t>启</w:t>
      </w:r>
      <w:r>
        <w:rPr>
          <w:rFonts w:hint="eastAsia" w:cs="仿宋_GB2312"/>
          <w:i w:val="0"/>
          <w:iCs w:val="0"/>
          <w:color w:val="auto"/>
          <w:szCs w:val="24"/>
          <w:highlight w:val="none"/>
        </w:rPr>
        <w:t>方式，无需提供电子</w:t>
      </w:r>
      <w:r>
        <w:rPr>
          <w:rFonts w:hint="eastAsia" w:ascii="宋体" w:hAnsi="宋体" w:eastAsia="宋体" w:cs="仿宋_GB2312"/>
          <w:i w:val="0"/>
          <w:iCs w:val="0"/>
          <w:color w:val="auto"/>
          <w:szCs w:val="24"/>
          <w:highlight w:val="none"/>
          <w:lang w:val="en-US" w:eastAsia="zh-CN"/>
        </w:rPr>
        <w:t>响应</w:t>
      </w:r>
      <w:r>
        <w:rPr>
          <w:rFonts w:hint="eastAsia" w:ascii="宋体" w:hAnsi="宋体" w:eastAsia="宋体" w:cs="仿宋_GB2312"/>
          <w:i w:val="0"/>
          <w:iCs w:val="0"/>
          <w:color w:val="auto"/>
          <w:szCs w:val="24"/>
          <w:highlight w:val="none"/>
        </w:rPr>
        <w:t>文件U盘</w:t>
      </w:r>
      <w:r>
        <w:rPr>
          <w:rFonts w:hint="eastAsia" w:cs="仿宋_GB2312"/>
          <w:i w:val="0"/>
          <w:iCs w:val="0"/>
          <w:color w:val="auto"/>
          <w:szCs w:val="24"/>
          <w:highlight w:val="none"/>
        </w:rPr>
        <w:t>。</w:t>
      </w:r>
    </w:p>
    <w:p w14:paraId="0EEE0E8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19.响应文件的</w:t>
      </w:r>
      <w:bookmarkEnd w:id="181"/>
      <w:bookmarkEnd w:id="182"/>
      <w:bookmarkEnd w:id="183"/>
      <w:bookmarkEnd w:id="184"/>
      <w:r>
        <w:rPr>
          <w:rFonts w:hint="eastAsia" w:ascii="宋体" w:hAnsi="宋体" w:eastAsia="宋体" w:cs="宋体"/>
          <w:b/>
          <w:bCs/>
          <w:color w:val="auto"/>
          <w:kern w:val="2"/>
          <w:sz w:val="24"/>
          <w:szCs w:val="24"/>
          <w:highlight w:val="none"/>
          <w:lang w:val="en-US" w:eastAsia="zh-CN" w:bidi="ar-SA"/>
        </w:rPr>
        <w:t>递交</w:t>
      </w:r>
      <w:bookmarkEnd w:id="185"/>
      <w:bookmarkEnd w:id="186"/>
      <w:r>
        <w:rPr>
          <w:rFonts w:hint="eastAsia" w:ascii="宋体" w:hAnsi="宋体" w:eastAsia="宋体" w:cs="宋体"/>
          <w:b/>
          <w:bCs/>
          <w:color w:val="auto"/>
          <w:kern w:val="2"/>
          <w:sz w:val="24"/>
          <w:szCs w:val="24"/>
          <w:highlight w:val="none"/>
          <w:lang w:val="en-US" w:eastAsia="zh-CN" w:bidi="ar-SA"/>
        </w:rPr>
        <w:t>（上传）</w:t>
      </w:r>
    </w:p>
    <w:p w14:paraId="4BB721FA">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19.1 供应商应在“</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19.2 供应商递交（上传）响应文件的地点见“</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cs="仿宋_GB2312"/>
          <w:i w:val="0"/>
          <w:iCs w:val="0"/>
          <w:color w:val="auto"/>
          <w:szCs w:val="24"/>
          <w:highlight w:val="none"/>
          <w:lang w:eastAsia="zh-CN"/>
        </w:rPr>
        <w:t>—</w:t>
      </w:r>
      <w:r>
        <w:rPr>
          <w:rFonts w:hint="eastAsia" w:cs="仿宋_GB2312"/>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19.5供应商所递交的响应文件不予退还。</w:t>
      </w:r>
    </w:p>
    <w:p w14:paraId="03DDA0A8">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7" w:name="_Toc155095709"/>
      <w:bookmarkStart w:id="188" w:name="_Toc156490298"/>
      <w:r>
        <w:rPr>
          <w:rFonts w:hint="eastAsia" w:ascii="宋体" w:hAnsi="宋体" w:eastAsia="宋体" w:cs="宋体"/>
          <w:b/>
          <w:bCs/>
          <w:color w:val="auto"/>
          <w:kern w:val="2"/>
          <w:sz w:val="24"/>
          <w:szCs w:val="24"/>
          <w:highlight w:val="none"/>
          <w:lang w:val="en-US" w:eastAsia="zh-CN" w:bidi="ar-SA"/>
        </w:rPr>
        <w:t>20.拒收</w:t>
      </w:r>
      <w:bookmarkEnd w:id="187"/>
      <w:bookmarkEnd w:id="188"/>
    </w:p>
    <w:p w14:paraId="6764A5C0">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20</w:t>
      </w:r>
      <w:r>
        <w:rPr>
          <w:rFonts w:hint="eastAsia"/>
          <w:i w:val="0"/>
          <w:iCs w:val="0"/>
          <w:snapToGrid w:val="0"/>
          <w:color w:val="auto"/>
          <w:highlight w:val="none"/>
          <w:lang w:val="zh-CN"/>
        </w:rPr>
        <w:t>.1超过递交响应文件的</w:t>
      </w:r>
      <w:r>
        <w:rPr>
          <w:i w:val="0"/>
          <w:iCs w:val="0"/>
          <w:snapToGrid w:val="0"/>
          <w:color w:val="auto"/>
          <w:highlight w:val="none"/>
          <w:lang w:val="zh-CN"/>
        </w:rPr>
        <w:t>截止时间</w:t>
      </w:r>
      <w:r>
        <w:rPr>
          <w:rFonts w:hint="eastAsia"/>
          <w:i w:val="0"/>
          <w:iCs w:val="0"/>
          <w:snapToGrid w:val="0"/>
          <w:color w:val="auto"/>
          <w:highlight w:val="none"/>
          <w:lang w:val="zh-CN"/>
        </w:rPr>
        <w:t>或者不按照本章要求加密的响应文件，交易系统应当拒收。</w:t>
      </w:r>
    </w:p>
    <w:p w14:paraId="03C096F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89" w:name="_Toc109900492"/>
      <w:bookmarkStart w:id="190" w:name="_Toc155095710"/>
      <w:bookmarkStart w:id="191" w:name="_Toc156490299"/>
      <w:bookmarkStart w:id="192" w:name="_Toc109900073"/>
      <w:bookmarkStart w:id="193" w:name="_Toc109897555"/>
      <w:bookmarkStart w:id="194" w:name="_Toc109899654"/>
      <w:r>
        <w:rPr>
          <w:rFonts w:hint="eastAsia" w:ascii="宋体" w:hAnsi="宋体" w:eastAsia="宋体" w:cs="宋体"/>
          <w:b/>
          <w:bCs/>
          <w:color w:val="auto"/>
          <w:kern w:val="2"/>
          <w:sz w:val="24"/>
          <w:szCs w:val="24"/>
          <w:highlight w:val="none"/>
          <w:lang w:val="en-US" w:eastAsia="zh-CN" w:bidi="ar-SA"/>
        </w:rPr>
        <w:t>21.响应文件的修改与撤回</w:t>
      </w:r>
      <w:bookmarkEnd w:id="189"/>
      <w:bookmarkEnd w:id="190"/>
      <w:bookmarkEnd w:id="191"/>
      <w:bookmarkEnd w:id="192"/>
      <w:bookmarkEnd w:id="193"/>
      <w:bookmarkEnd w:id="194"/>
    </w:p>
    <w:p w14:paraId="059E1BF2">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2</w:t>
      </w:r>
      <w:r>
        <w:rPr>
          <w:rFonts w:hint="eastAsia"/>
          <w:i w:val="0"/>
          <w:iCs w:val="0"/>
          <w:snapToGrid w:val="0"/>
          <w:color w:val="auto"/>
          <w:highlight w:val="none"/>
          <w:lang w:val="zh-CN" w:eastAsia="zh-CN"/>
        </w:rPr>
        <w:t>1</w:t>
      </w:r>
      <w:r>
        <w:rPr>
          <w:rFonts w:hint="eastAsia"/>
          <w:i w:val="0"/>
          <w:iCs w:val="0"/>
          <w:snapToGrid w:val="0"/>
          <w:color w:val="auto"/>
          <w:highlight w:val="none"/>
          <w:lang w:val="zh-CN"/>
        </w:rPr>
        <w:t>.1</w:t>
      </w:r>
      <w:bookmarkStart w:id="195" w:name="_Hlk143532466"/>
      <w:r>
        <w:rPr>
          <w:rFonts w:hint="eastAsia"/>
          <w:i w:val="0"/>
          <w:iCs w:val="0"/>
          <w:snapToGrid w:val="0"/>
          <w:color w:val="auto"/>
          <w:highlight w:val="none"/>
          <w:lang w:val="zh-CN" w:eastAsia="zh-CN"/>
        </w:rPr>
        <w:t>供应商</w:t>
      </w:r>
      <w:r>
        <w:rPr>
          <w:rFonts w:hint="eastAsia"/>
          <w:i w:val="0"/>
          <w:iCs w:val="0"/>
          <w:snapToGrid w:val="0"/>
          <w:color w:val="auto"/>
          <w:highlight w:val="none"/>
          <w:lang w:val="zh-CN"/>
        </w:rPr>
        <w:t>在</w:t>
      </w:r>
      <w:r>
        <w:rPr>
          <w:rFonts w:hint="eastAsia"/>
          <w:i w:val="0"/>
          <w:iCs w:val="0"/>
          <w:snapToGrid w:val="0"/>
          <w:color w:val="auto"/>
          <w:highlight w:val="none"/>
          <w:lang w:val="zh-CN" w:eastAsia="zh-CN"/>
        </w:rPr>
        <w:t>“</w:t>
      </w:r>
      <w:r>
        <w:rPr>
          <w:rFonts w:hint="eastAsia" w:cs="仿宋_GB2312"/>
          <w:i w:val="0"/>
          <w:iCs w:val="0"/>
          <w:color w:val="auto"/>
          <w:szCs w:val="24"/>
          <w:highlight w:val="none"/>
          <w:lang w:val="en-US" w:eastAsia="zh-CN"/>
        </w:rPr>
        <w:t>第一章 竞争性磋商公告</w:t>
      </w:r>
      <w:r>
        <w:rPr>
          <w:rFonts w:hint="eastAsia"/>
          <w:i w:val="0"/>
          <w:iCs w:val="0"/>
          <w:snapToGrid w:val="0"/>
          <w:color w:val="auto"/>
          <w:highlight w:val="none"/>
          <w:lang w:val="zh-CN" w:eastAsia="zh-CN"/>
        </w:rPr>
        <w:t>”</w:t>
      </w:r>
      <w:r>
        <w:rPr>
          <w:rFonts w:hint="eastAsia"/>
          <w:i w:val="0"/>
          <w:iCs w:val="0"/>
          <w:snapToGrid w:val="0"/>
          <w:color w:val="auto"/>
          <w:highlight w:val="none"/>
          <w:lang w:val="zh-CN"/>
        </w:rPr>
        <w:t>规定的</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递交截止时间之前，可在新疆政府采购电子交易云平台上随时撤回已上传的电子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，将修改好的电子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在</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递交截止时间前重新上传到</w:t>
      </w:r>
      <w:r>
        <w:rPr>
          <w:rFonts w:hint="eastAsia"/>
          <w:i w:val="0"/>
          <w:iCs w:val="0"/>
          <w:snapToGrid w:val="0"/>
          <w:color w:val="auto"/>
          <w:highlight w:val="none"/>
          <w:lang w:val="en-US" w:eastAsia="zh-CN"/>
        </w:rPr>
        <w:t>新疆</w:t>
      </w:r>
      <w:r>
        <w:rPr>
          <w:rFonts w:hint="eastAsia"/>
          <w:i w:val="0"/>
          <w:iCs w:val="0"/>
          <w:snapToGrid w:val="0"/>
          <w:color w:val="auto"/>
          <w:highlight w:val="none"/>
          <w:lang w:val="zh-CN"/>
        </w:rPr>
        <w:t>政府采购电子交易云平台的</w:t>
      </w:r>
      <w:r>
        <w:rPr>
          <w:rFonts w:hint="eastAsia"/>
          <w:i w:val="0"/>
          <w:iCs w:val="0"/>
          <w:snapToGrid w:val="0"/>
          <w:color w:val="auto"/>
          <w:highlight w:val="none"/>
          <w:lang w:val="zh-CN" w:eastAsia="zh-CN"/>
        </w:rPr>
        <w:t>指</w:t>
      </w:r>
      <w:r>
        <w:rPr>
          <w:rFonts w:hint="eastAsia"/>
          <w:i w:val="0"/>
          <w:iCs w:val="0"/>
          <w:snapToGrid w:val="0"/>
          <w:color w:val="auto"/>
          <w:highlight w:val="none"/>
          <w:lang w:val="zh-CN"/>
        </w:rPr>
        <w:t>定位置。</w:t>
      </w:r>
    </w:p>
    <w:bookmarkEnd w:id="195"/>
    <w:p w14:paraId="6B46A24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196" w:name="_Toc163493615"/>
      <w:bookmarkStart w:id="197" w:name="_Toc109899976"/>
      <w:bookmarkStart w:id="198" w:name="_Toc46771664"/>
      <w:bookmarkStart w:id="199" w:name="_Toc109897458"/>
      <w:bookmarkStart w:id="200" w:name="_Toc470172689"/>
      <w:bookmarkStart w:id="201" w:name="_Toc109900395"/>
      <w:bookmarkStart w:id="202" w:name="_Toc109899557"/>
      <w:r>
        <w:rPr>
          <w:rFonts w:hint="eastAsia" w:ascii="宋体" w:hAnsi="宋体" w:eastAsia="宋体" w:cs="宋体"/>
          <w:b/>
          <w:bCs/>
          <w:color w:val="auto"/>
          <w:kern w:val="2"/>
          <w:sz w:val="24"/>
          <w:szCs w:val="24"/>
          <w:highlight w:val="none"/>
          <w:lang w:val="en-US" w:eastAsia="zh-CN" w:bidi="ar-SA"/>
        </w:rPr>
        <w:t>（五）</w:t>
      </w:r>
      <w:bookmarkEnd w:id="196"/>
      <w:r>
        <w:rPr>
          <w:rFonts w:hint="eastAsia" w:ascii="宋体" w:hAnsi="宋体" w:eastAsia="宋体" w:cs="宋体"/>
          <w:b/>
          <w:bCs/>
          <w:color w:val="auto"/>
          <w:kern w:val="2"/>
          <w:sz w:val="24"/>
          <w:szCs w:val="24"/>
          <w:highlight w:val="none"/>
          <w:lang w:val="en-US" w:eastAsia="zh-CN" w:bidi="ar-SA"/>
        </w:rPr>
        <w:t>响应文件开启</w:t>
      </w:r>
    </w:p>
    <w:p w14:paraId="750D725B">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3" w:name="_Hlk161704700"/>
      <w:r>
        <w:rPr>
          <w:rFonts w:hint="eastAsia" w:ascii="宋体" w:hAnsi="宋体" w:eastAsia="宋体" w:cs="宋体"/>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cs="仿宋_GB2312"/>
          <w:bCs/>
          <w:i w:val="0"/>
          <w:iCs w:val="0"/>
          <w:color w:val="auto"/>
          <w:szCs w:val="24"/>
          <w:highlight w:val="none"/>
        </w:rPr>
      </w:pPr>
      <w:bookmarkStart w:id="204" w:name="_Toc140132781"/>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.1供应商应按照“</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”中的要求参与开启。</w:t>
      </w:r>
      <w:bookmarkEnd w:id="204"/>
    </w:p>
    <w:p w14:paraId="44C062A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5" w:name="_Toc161600316"/>
      <w:bookmarkStart w:id="206" w:name="_Toc140132782"/>
      <w:r>
        <w:rPr>
          <w:rFonts w:hint="eastAsia" w:ascii="宋体" w:hAnsi="宋体" w:eastAsia="宋体" w:cs="宋体"/>
          <w:b/>
          <w:bCs/>
          <w:color w:val="auto"/>
          <w:kern w:val="2"/>
          <w:sz w:val="24"/>
          <w:szCs w:val="24"/>
          <w:highlight w:val="none"/>
          <w:lang w:val="en-US" w:eastAsia="zh-CN" w:bidi="ar-SA"/>
        </w:rPr>
        <w:t>23.开启时间和地点</w:t>
      </w:r>
      <w:bookmarkEnd w:id="205"/>
      <w:bookmarkEnd w:id="206"/>
    </w:p>
    <w:p w14:paraId="19FC62D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3</w:t>
      </w:r>
      <w:r>
        <w:rPr>
          <w:rFonts w:hint="eastAsia" w:cs="仿宋_GB2312"/>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递交</w:t>
      </w:r>
      <w:r>
        <w:rPr>
          <w:rFonts w:hint="eastAsia" w:cs="仿宋_GB2312"/>
          <w:i w:val="0"/>
          <w:iCs w:val="0"/>
          <w:color w:val="auto"/>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w:t>
      </w:r>
      <w:r>
        <w:rPr>
          <w:rFonts w:cs="仿宋_GB2312"/>
          <w:i w:val="0"/>
          <w:iCs w:val="0"/>
          <w:snapToGrid w:val="0"/>
          <w:color w:val="auto"/>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i w:val="0"/>
          <w:iCs w:val="0"/>
          <w:color w:val="auto"/>
          <w:szCs w:val="24"/>
          <w:highlight w:val="none"/>
          <w:lang w:val="zh-CN"/>
        </w:rPr>
        <w:t>（2）在</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r>
        <w:rPr>
          <w:rFonts w:hint="eastAsia"/>
          <w:i w:val="0"/>
          <w:iCs w:val="0"/>
          <w:color w:val="auto"/>
          <w:szCs w:val="24"/>
          <w:highlight w:val="none"/>
          <w:lang w:val="en-US" w:eastAsia="zh-CN"/>
        </w:rPr>
        <w:t>规</w:t>
      </w:r>
      <w:r>
        <w:rPr>
          <w:rFonts w:hint="eastAsia"/>
          <w:i w:val="0"/>
          <w:iCs w:val="0"/>
          <w:color w:val="auto"/>
          <w:szCs w:val="24"/>
          <w:highlight w:val="none"/>
          <w:lang w:val="zh-CN"/>
        </w:rPr>
        <w:t>定的</w:t>
      </w:r>
      <w:r>
        <w:rPr>
          <w:rFonts w:hint="eastAsia"/>
          <w:i w:val="0"/>
          <w:iCs w:val="0"/>
          <w:color w:val="auto"/>
          <w:szCs w:val="24"/>
          <w:highlight w:val="none"/>
          <w:lang w:val="en-US" w:eastAsia="zh-CN"/>
        </w:rPr>
        <w:t>递交</w:t>
      </w:r>
      <w:r>
        <w:rPr>
          <w:rFonts w:hint="eastAsia"/>
          <w:i w:val="0"/>
          <w:iCs w:val="0"/>
          <w:color w:val="auto"/>
          <w:szCs w:val="24"/>
          <w:highlight w:val="none"/>
          <w:lang w:val="zh-CN"/>
        </w:rPr>
        <w:t>响应文件截止时间、开启时间及地点，采购代理机构</w:t>
      </w:r>
      <w:r>
        <w:rPr>
          <w:rFonts w:hint="eastAsia" w:ascii="宋体" w:hAnsi="宋体" w:eastAsia="宋体"/>
          <w:i w:val="0"/>
          <w:iCs w:val="0"/>
          <w:color w:val="auto"/>
          <w:szCs w:val="24"/>
          <w:highlight w:val="none"/>
          <w:lang w:val="zh-CN"/>
        </w:rPr>
        <w:t>通过</w:t>
      </w:r>
      <w:r>
        <w:rPr>
          <w:rFonts w:hint="eastAsia"/>
          <w:i w:val="0"/>
          <w:iCs w:val="0"/>
          <w:color w:val="auto"/>
          <w:szCs w:val="24"/>
          <w:highlight w:val="none"/>
          <w:lang w:val="en-US" w:eastAsia="zh-CN"/>
        </w:rPr>
        <w:t>新疆</w:t>
      </w:r>
      <w:r>
        <w:rPr>
          <w:rFonts w:hint="eastAsia" w:ascii="宋体" w:hAnsi="宋体" w:eastAsia="宋体"/>
          <w:i w:val="0"/>
          <w:iCs w:val="0"/>
          <w:color w:val="auto"/>
          <w:szCs w:val="24"/>
          <w:highlight w:val="none"/>
          <w:lang w:val="zh-CN" w:eastAsia="zh-CN"/>
        </w:rPr>
        <w:t>政府采购电子交易云平台</w:t>
      </w:r>
      <w:r>
        <w:rPr>
          <w:rFonts w:hint="eastAsia" w:ascii="宋体" w:hAnsi="宋体" w:eastAsia="宋体" w:cs="宋体"/>
          <w:i w:val="0"/>
          <w:iCs w:val="0"/>
          <w:color w:val="auto"/>
          <w:kern w:val="2"/>
          <w:sz w:val="24"/>
          <w:szCs w:val="22"/>
          <w:highlight w:val="none"/>
        </w:rPr>
        <w:t>的“政采云远程开标大厅”</w:t>
      </w:r>
      <w:r>
        <w:rPr>
          <w:rFonts w:hint="eastAsia"/>
          <w:i w:val="0"/>
          <w:iCs w:val="0"/>
          <w:color w:val="auto"/>
          <w:szCs w:val="24"/>
          <w:highlight w:val="none"/>
          <w:lang w:val="zh-CN"/>
        </w:rPr>
        <w:t>组织响应文件开启工作。</w:t>
      </w:r>
    </w:p>
    <w:p w14:paraId="66534CB4">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3</w:t>
      </w:r>
      <w:r>
        <w:rPr>
          <w:i w:val="0"/>
          <w:iCs w:val="0"/>
          <w:color w:val="auto"/>
          <w:highlight w:val="none"/>
        </w:rPr>
        <w:t>.2响应文件开启：</w:t>
      </w:r>
      <w:r>
        <w:rPr>
          <w:rFonts w:hint="eastAsia"/>
          <w:i w:val="0"/>
          <w:iCs w:val="0"/>
          <w:color w:val="auto"/>
          <w:highlight w:val="none"/>
          <w:lang w:val="en-US" w:eastAsia="zh-CN"/>
        </w:rPr>
        <w:t>递交</w:t>
      </w:r>
      <w:r>
        <w:rPr>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.3规定的时间内，非因</w:t>
      </w:r>
      <w:r>
        <w:rPr>
          <w:rFonts w:hint="eastAsia"/>
          <w:i w:val="0"/>
          <w:iCs w:val="0"/>
          <w:color w:val="auto"/>
          <w:highlight w:val="none"/>
          <w:lang w:val="zh-CN" w:eastAsia="zh-CN"/>
        </w:rPr>
        <w:t>新疆政府采购电子交易云平台</w:t>
      </w:r>
      <w:r>
        <w:rPr>
          <w:i w:val="0"/>
          <w:iCs w:val="0"/>
          <w:color w:val="auto"/>
          <w:highlight w:val="none"/>
        </w:rPr>
        <w:t>原因造成响应文件未解密的，视为供应商撤回响应文件。停止解密后，已解密开启的响应文件不足3家的，应当终止采购活动。</w:t>
      </w:r>
    </w:p>
    <w:p w14:paraId="46075363">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.4供应商或其授权代表对响应文件开启过程有疑义的，以及认为采购人、</w:t>
      </w:r>
      <w:r>
        <w:rPr>
          <w:rFonts w:hint="eastAsia"/>
          <w:i w:val="0"/>
          <w:iCs w:val="0"/>
          <w:color w:val="auto"/>
          <w:highlight w:val="none"/>
        </w:rPr>
        <w:t>采购代理机构</w:t>
      </w:r>
      <w:r>
        <w:rPr>
          <w:i w:val="0"/>
          <w:iCs w:val="0"/>
          <w:color w:val="auto"/>
          <w:highlight w:val="none"/>
        </w:rPr>
        <w:t>相关工作人员有需要回避的情形的，</w:t>
      </w:r>
      <w:r>
        <w:rPr>
          <w:rFonts w:hint="eastAsia"/>
          <w:i w:val="0"/>
          <w:iCs w:val="0"/>
          <w:color w:val="auto"/>
          <w:highlight w:val="none"/>
        </w:rPr>
        <w:t>应在开</w:t>
      </w:r>
      <w:r>
        <w:rPr>
          <w:rFonts w:hint="eastAsia"/>
          <w:i w:val="0"/>
          <w:iCs w:val="0"/>
          <w:color w:val="auto"/>
          <w:highlight w:val="none"/>
          <w:lang w:val="en-US" w:eastAsia="zh-CN"/>
        </w:rPr>
        <w:t>启</w:t>
      </w:r>
      <w:r>
        <w:rPr>
          <w:rFonts w:hint="eastAsia"/>
          <w:i w:val="0"/>
          <w:iCs w:val="0"/>
          <w:color w:val="auto"/>
          <w:highlight w:val="none"/>
        </w:rPr>
        <w:t>会议中提出询问或者回避申请。采购人、采购代理机构对</w:t>
      </w:r>
      <w:r>
        <w:rPr>
          <w:rFonts w:hint="eastAsia"/>
          <w:i w:val="0"/>
          <w:iCs w:val="0"/>
          <w:color w:val="auto"/>
          <w:highlight w:val="none"/>
          <w:lang w:val="en-US" w:eastAsia="zh-CN"/>
        </w:rPr>
        <w:t>供应商</w:t>
      </w:r>
      <w:r>
        <w:rPr>
          <w:rFonts w:hint="eastAsia"/>
          <w:i w:val="0"/>
          <w:iCs w:val="0"/>
          <w:color w:val="auto"/>
          <w:highlight w:val="none"/>
        </w:rPr>
        <w:t>授权代表提出的询问或者回避申请应当及时处理。</w:t>
      </w:r>
    </w:p>
    <w:p w14:paraId="0486AA5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w:t>
      </w:r>
      <w:r>
        <w:rPr>
          <w:rFonts w:hint="eastAsia"/>
          <w:i w:val="0"/>
          <w:iCs w:val="0"/>
          <w:color w:val="auto"/>
          <w:highlight w:val="none"/>
          <w:lang w:val="en-US" w:eastAsia="zh-CN"/>
        </w:rPr>
        <w:t>5供应商</w:t>
      </w:r>
      <w:r>
        <w:rPr>
          <w:rFonts w:hint="eastAsia"/>
          <w:i w:val="0"/>
          <w:iCs w:val="0"/>
          <w:color w:val="auto"/>
          <w:highlight w:val="none"/>
        </w:rPr>
        <w:t>未参加开</w:t>
      </w:r>
      <w:r>
        <w:rPr>
          <w:rFonts w:hint="eastAsia"/>
          <w:i w:val="0"/>
          <w:iCs w:val="0"/>
          <w:color w:val="auto"/>
          <w:highlight w:val="none"/>
          <w:lang w:val="en-US" w:eastAsia="zh-CN"/>
        </w:rPr>
        <w:t>启</w:t>
      </w:r>
      <w:r>
        <w:rPr>
          <w:rFonts w:hint="eastAsia"/>
          <w:i w:val="0"/>
          <w:iCs w:val="0"/>
          <w:color w:val="auto"/>
          <w:highlight w:val="none"/>
        </w:rPr>
        <w:t>的，视同认可开</w:t>
      </w:r>
      <w:r>
        <w:rPr>
          <w:rFonts w:hint="eastAsia"/>
          <w:i w:val="0"/>
          <w:iCs w:val="0"/>
          <w:color w:val="auto"/>
          <w:highlight w:val="none"/>
          <w:lang w:val="en-US" w:eastAsia="zh-CN"/>
        </w:rPr>
        <w:t>启</w:t>
      </w:r>
      <w:r>
        <w:rPr>
          <w:rFonts w:hint="eastAsia"/>
          <w:i w:val="0"/>
          <w:iCs w:val="0"/>
          <w:color w:val="auto"/>
          <w:highlight w:val="none"/>
        </w:rPr>
        <w:t>结果。</w:t>
      </w:r>
    </w:p>
    <w:bookmarkEnd w:id="197"/>
    <w:bookmarkEnd w:id="198"/>
    <w:bookmarkEnd w:id="199"/>
    <w:bookmarkEnd w:id="200"/>
    <w:bookmarkEnd w:id="201"/>
    <w:bookmarkEnd w:id="202"/>
    <w:bookmarkEnd w:id="203"/>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07" w:name="_Toc163492854"/>
      <w:bookmarkStart w:id="208" w:name="_Toc140132785"/>
      <w:bookmarkStart w:id="209" w:name="_Toc155185877"/>
      <w:r>
        <w:rPr>
          <w:rFonts w:hint="eastAsia" w:ascii="宋体" w:hAnsi="宋体" w:eastAsia="宋体" w:cs="宋体"/>
          <w:b/>
          <w:bCs/>
          <w:color w:val="auto"/>
          <w:kern w:val="2"/>
          <w:sz w:val="24"/>
          <w:szCs w:val="24"/>
          <w:highlight w:val="none"/>
          <w:lang w:val="en-US" w:eastAsia="zh-CN" w:bidi="ar-SA"/>
        </w:rPr>
        <w:t>（六）资格审查</w:t>
      </w:r>
      <w:bookmarkEnd w:id="207"/>
      <w:bookmarkEnd w:id="208"/>
      <w:bookmarkEnd w:id="209"/>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0" w:name="_Toc163492855"/>
      <w:r>
        <w:rPr>
          <w:rFonts w:hint="eastAsia" w:ascii="宋体" w:hAnsi="宋体" w:eastAsia="宋体" w:cs="宋体"/>
          <w:b/>
          <w:bCs/>
          <w:color w:val="auto"/>
          <w:kern w:val="2"/>
          <w:sz w:val="24"/>
          <w:szCs w:val="24"/>
          <w:highlight w:val="none"/>
          <w:lang w:val="en-US" w:eastAsia="zh-CN" w:bidi="ar-SA"/>
        </w:rPr>
        <w:t>24.资格审查及审查主体</w:t>
      </w:r>
      <w:bookmarkEnd w:id="210"/>
    </w:p>
    <w:p w14:paraId="0D27F8C1">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211" w:name="_Toc140132786"/>
      <w:r>
        <w:rPr>
          <w:rFonts w:hint="eastAsia"/>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.1</w:t>
      </w:r>
      <w:r>
        <w:rPr>
          <w:i w:val="0"/>
          <w:iCs w:val="0"/>
          <w:color w:val="auto"/>
          <w:highlight w:val="none"/>
        </w:rPr>
        <w:t>开</w:t>
      </w:r>
      <w:r>
        <w:rPr>
          <w:rFonts w:hint="eastAsia"/>
          <w:i w:val="0"/>
          <w:iCs w:val="0"/>
          <w:color w:val="auto"/>
          <w:highlight w:val="none"/>
          <w:lang w:val="en-US" w:eastAsia="zh-CN"/>
        </w:rPr>
        <w:t>启</w:t>
      </w:r>
      <w:r>
        <w:rPr>
          <w:i w:val="0"/>
          <w:iCs w:val="0"/>
          <w:color w:val="auto"/>
          <w:highlight w:val="none"/>
        </w:rPr>
        <w:t>结束后，</w:t>
      </w:r>
      <w:r>
        <w:rPr>
          <w:rFonts w:hint="eastAsia"/>
          <w:i w:val="0"/>
          <w:iCs w:val="0"/>
          <w:color w:val="auto"/>
          <w:highlight w:val="none"/>
          <w:lang w:val="en-US" w:eastAsia="zh-CN"/>
        </w:rPr>
        <w:t>磋商小组</w:t>
      </w:r>
      <w:r>
        <w:rPr>
          <w:i w:val="0"/>
          <w:iCs w:val="0"/>
          <w:color w:val="auto"/>
          <w:highlight w:val="none"/>
        </w:rPr>
        <w:t>依据法律法规和本</w:t>
      </w:r>
      <w:r>
        <w:rPr>
          <w:rFonts w:hint="eastAsia"/>
          <w:i w:val="0"/>
          <w:iCs w:val="0"/>
          <w:color w:val="auto"/>
          <w:highlight w:val="none"/>
          <w:lang w:val="en-US" w:eastAsia="zh-CN"/>
        </w:rPr>
        <w:t>竞争性磋商</w:t>
      </w:r>
      <w:r>
        <w:rPr>
          <w:i w:val="0"/>
          <w:iCs w:val="0"/>
          <w:color w:val="auto"/>
          <w:highlight w:val="none"/>
        </w:rPr>
        <w:t>文件的规定，依法对</w:t>
      </w:r>
      <w:r>
        <w:rPr>
          <w:rFonts w:hint="eastAsia"/>
          <w:i w:val="0"/>
          <w:iCs w:val="0"/>
          <w:color w:val="auto"/>
          <w:highlight w:val="none"/>
          <w:lang w:val="en-US" w:eastAsia="zh-CN"/>
        </w:rPr>
        <w:t>供应商</w:t>
      </w:r>
      <w:r>
        <w:rPr>
          <w:i w:val="0"/>
          <w:iCs w:val="0"/>
          <w:color w:val="auto"/>
          <w:highlight w:val="none"/>
        </w:rPr>
        <w:t>资格进行审查，以确定</w:t>
      </w:r>
      <w:r>
        <w:rPr>
          <w:rFonts w:hint="eastAsia"/>
          <w:i w:val="0"/>
          <w:iCs w:val="0"/>
          <w:color w:val="auto"/>
          <w:highlight w:val="none"/>
          <w:lang w:val="en-US" w:eastAsia="zh-CN"/>
        </w:rPr>
        <w:t>供应商</w:t>
      </w:r>
      <w:r>
        <w:rPr>
          <w:i w:val="0"/>
          <w:iCs w:val="0"/>
          <w:color w:val="auto"/>
          <w:highlight w:val="none"/>
        </w:rPr>
        <w:t>是否具备</w:t>
      </w:r>
      <w:r>
        <w:rPr>
          <w:rFonts w:hint="eastAsia"/>
          <w:i w:val="0"/>
          <w:iCs w:val="0"/>
          <w:color w:val="auto"/>
          <w:highlight w:val="none"/>
          <w:lang w:val="en-US" w:eastAsia="zh-CN"/>
        </w:rPr>
        <w:t>磋商</w:t>
      </w:r>
      <w:r>
        <w:rPr>
          <w:i w:val="0"/>
          <w:iCs w:val="0"/>
          <w:color w:val="auto"/>
          <w:highlight w:val="none"/>
        </w:rPr>
        <w:t>资格。</w:t>
      </w:r>
      <w:bookmarkEnd w:id="211"/>
    </w:p>
    <w:p w14:paraId="77AFBA72">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212" w:name="_Toc140132787"/>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.2</w:t>
      </w:r>
      <w:r>
        <w:rPr>
          <w:i w:val="0"/>
          <w:iCs w:val="0"/>
          <w:color w:val="auto"/>
          <w:highlight w:val="none"/>
        </w:rPr>
        <w:t>资格审查</w:t>
      </w:r>
      <w:r>
        <w:rPr>
          <w:rFonts w:hint="eastAsia"/>
          <w:i w:val="0"/>
          <w:iCs w:val="0"/>
          <w:color w:val="auto"/>
          <w:highlight w:val="none"/>
        </w:rPr>
        <w:t>按“第四章</w:t>
      </w:r>
      <w:r>
        <w:rPr>
          <w:rFonts w:hint="eastAsia"/>
          <w:i w:val="0"/>
          <w:iCs w:val="0"/>
          <w:color w:val="auto"/>
          <w:highlight w:val="none"/>
          <w:lang w:val="en-US" w:eastAsia="zh-CN"/>
        </w:rPr>
        <w:t xml:space="preserve"> </w:t>
      </w:r>
      <w:r>
        <w:rPr>
          <w:rFonts w:cs="仿宋_GB2312"/>
          <w:i w:val="0"/>
          <w:iCs w:val="0"/>
          <w:snapToGrid w:val="0"/>
          <w:color w:val="auto"/>
          <w:highlight w:val="none"/>
          <w:lang w:val="zh-CN"/>
        </w:rPr>
        <w:t>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hint="eastAsia"/>
          <w:i w:val="0"/>
          <w:iCs w:val="0"/>
          <w:color w:val="auto"/>
          <w:highlight w:val="none"/>
        </w:rPr>
        <w:t>”的规定进行。</w:t>
      </w:r>
      <w:bookmarkEnd w:id="212"/>
    </w:p>
    <w:p w14:paraId="0706620E">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213" w:name="_Toc140132788"/>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.3</w:t>
      </w:r>
      <w:r>
        <w:rPr>
          <w:i w:val="0"/>
          <w:iCs w:val="0"/>
          <w:color w:val="auto"/>
          <w:highlight w:val="none"/>
        </w:rPr>
        <w:t>资格审查结束后，应及时对资格审查结果进行复核，对资格审查错误进行及时纠正并记录。</w:t>
      </w:r>
      <w:bookmarkEnd w:id="213"/>
    </w:p>
    <w:p w14:paraId="450772BF">
      <w:pPr>
        <w:pStyle w:val="35"/>
        <w:keepNext w:val="0"/>
        <w:keepLines w:val="0"/>
        <w:pageBreakBefore w:val="0"/>
        <w:widowControl w:val="0"/>
        <w:kinsoku/>
        <w:overflowPunct/>
        <w:topLinePunct w:val="0"/>
        <w:bidi w:val="0"/>
        <w:ind w:firstLine="480"/>
        <w:textAlignment w:val="auto"/>
        <w:rPr>
          <w:rFonts w:hint="default"/>
          <w:i w:val="0"/>
          <w:iCs w:val="0"/>
          <w:color w:val="auto"/>
          <w:highlight w:val="none"/>
          <w:lang w:val="en-US" w:eastAsia="zh-CN"/>
        </w:rPr>
      </w:pPr>
      <w:r>
        <w:rPr>
          <w:rFonts w:hint="eastAsia"/>
          <w:i w:val="0"/>
          <w:iCs w:val="0"/>
          <w:color w:val="auto"/>
          <w:highlight w:val="none"/>
          <w:lang w:val="en-US" w:eastAsia="zh-CN"/>
        </w:rPr>
        <w:t>24.4</w:t>
      </w:r>
      <w:r>
        <w:rPr>
          <w:i w:val="0"/>
          <w:iCs w:val="0"/>
          <w:color w:val="auto"/>
          <w:highlight w:val="none"/>
        </w:rPr>
        <w:t>资格审查</w:t>
      </w:r>
      <w:r>
        <w:rPr>
          <w:rFonts w:hint="eastAsia"/>
          <w:i w:val="0"/>
          <w:iCs w:val="0"/>
          <w:color w:val="auto"/>
          <w:highlight w:val="none"/>
        </w:rPr>
        <w:t>合格</w:t>
      </w:r>
      <w:r>
        <w:rPr>
          <w:rFonts w:hint="eastAsia"/>
          <w:i w:val="0"/>
          <w:iCs w:val="0"/>
          <w:color w:val="auto"/>
          <w:highlight w:val="none"/>
          <w:lang w:val="en-US" w:eastAsia="zh-CN"/>
        </w:rPr>
        <w:t>供应商</w:t>
      </w:r>
      <w:r>
        <w:rPr>
          <w:rFonts w:hint="eastAsia"/>
          <w:i w:val="0"/>
          <w:iCs w:val="0"/>
          <w:color w:val="auto"/>
          <w:highlight w:val="none"/>
        </w:rPr>
        <w:t>不足3家的，不得评</w:t>
      </w:r>
      <w:r>
        <w:rPr>
          <w:rFonts w:hint="eastAsia"/>
          <w:i w:val="0"/>
          <w:iCs w:val="0"/>
          <w:color w:val="auto"/>
          <w:highlight w:val="none"/>
          <w:lang w:val="en-US" w:eastAsia="zh-CN"/>
        </w:rPr>
        <w:t>审</w:t>
      </w:r>
      <w:r>
        <w:rPr>
          <w:rFonts w:hint="eastAsia"/>
          <w:i w:val="0"/>
          <w:iCs w:val="0"/>
          <w:color w:val="auto"/>
          <w:highlight w:val="none"/>
        </w:rPr>
        <w:t>。</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4" w:name="_Toc155185878"/>
      <w:bookmarkStart w:id="215" w:name="_Toc163492856"/>
      <w:bookmarkStart w:id="216" w:name="_Toc140132789"/>
      <w:r>
        <w:rPr>
          <w:rFonts w:hint="eastAsia" w:ascii="宋体" w:hAnsi="宋体" w:eastAsia="宋体" w:cs="宋体"/>
          <w:b/>
          <w:bCs/>
          <w:color w:val="auto"/>
          <w:kern w:val="2"/>
          <w:sz w:val="24"/>
          <w:szCs w:val="24"/>
          <w:highlight w:val="none"/>
          <w:lang w:val="en-US" w:eastAsia="zh-CN" w:bidi="ar-SA"/>
        </w:rPr>
        <w:t>（七）项目评</w:t>
      </w:r>
      <w:bookmarkEnd w:id="214"/>
      <w:bookmarkEnd w:id="215"/>
      <w:bookmarkEnd w:id="216"/>
      <w:r>
        <w:rPr>
          <w:rFonts w:hint="eastAsia" w:ascii="宋体" w:hAnsi="宋体" w:eastAsia="宋体" w:cs="宋体"/>
          <w:b/>
          <w:bCs/>
          <w:color w:val="auto"/>
          <w:kern w:val="2"/>
          <w:sz w:val="24"/>
          <w:szCs w:val="24"/>
          <w:highlight w:val="none"/>
          <w:lang w:val="en-US" w:eastAsia="zh-CN" w:bidi="ar-SA"/>
        </w:rPr>
        <w:t>审</w:t>
      </w:r>
    </w:p>
    <w:p w14:paraId="4C04DF4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仿宋_GB2312"/>
          <w:i w:val="0"/>
          <w:iCs w:val="0"/>
          <w:snapToGrid w:val="0"/>
          <w:color w:val="auto"/>
          <w:highlight w:val="none"/>
          <w:lang w:val="en-US" w:eastAsia="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.1</w:t>
      </w:r>
      <w:r>
        <w:rPr>
          <w:rFonts w:hint="eastAsia" w:cs="仿宋_GB2312"/>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cs="仿宋_GB2312"/>
          <w:i w:val="0"/>
          <w:iCs w:val="0"/>
          <w:snapToGrid w:val="0"/>
          <w:color w:val="auto"/>
          <w:highlight w:val="none"/>
          <w:lang w:val="zh-CN" w:eastAsia="zh-CN"/>
        </w:rPr>
        <w:t>综合评分法，是指响应文件满足磋商文件全部实质性要求且按评审因素的量化</w:t>
      </w:r>
      <w:r>
        <w:rPr>
          <w:rFonts w:hint="eastAsia" w:cs="仿宋_GB2312"/>
          <w:i w:val="0"/>
          <w:iCs w:val="0"/>
          <w:snapToGrid w:val="0"/>
          <w:color w:val="auto"/>
          <w:highlight w:val="none"/>
          <w:lang w:val="zh-CN" w:eastAsia="zh-CN"/>
        </w:rPr>
        <w:t>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本</w:t>
      </w:r>
      <w:r>
        <w:rPr>
          <w:rFonts w:cs="仿宋_GB2312"/>
          <w:i w:val="0"/>
          <w:iCs w:val="0"/>
          <w:snapToGrid w:val="0"/>
          <w:color w:val="auto"/>
          <w:highlight w:val="none"/>
          <w:lang w:val="zh-CN"/>
        </w:rPr>
        <w:t>项目评审方法、程序及标准详见“第</w:t>
      </w:r>
      <w:r>
        <w:rPr>
          <w:rFonts w:hint="eastAsia" w:cs="仿宋_GB2312"/>
          <w:i w:val="0"/>
          <w:iCs w:val="0"/>
          <w:snapToGrid w:val="0"/>
          <w:color w:val="auto"/>
          <w:highlight w:val="none"/>
          <w:lang w:val="en-US" w:eastAsia="zh-CN"/>
        </w:rPr>
        <w:t>四</w:t>
      </w:r>
      <w:r>
        <w:rPr>
          <w:rFonts w:cs="仿宋_GB2312"/>
          <w:i w:val="0"/>
          <w:iCs w:val="0"/>
          <w:snapToGrid w:val="0"/>
          <w:color w:val="auto"/>
          <w:highlight w:val="none"/>
          <w:lang w:val="zh-CN"/>
        </w:rPr>
        <w:t>章 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cs="仿宋_GB2312"/>
          <w:i w:val="0"/>
          <w:iCs w:val="0"/>
          <w:snapToGrid w:val="0"/>
          <w:color w:val="auto"/>
          <w:highlight w:val="none"/>
          <w:lang w:val="zh-CN"/>
        </w:rPr>
        <w:t>”。</w:t>
      </w:r>
    </w:p>
    <w:p w14:paraId="42E7A75C">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ascii="宋体" w:hAnsi="宋体" w:eastAsia="宋体" w:cs="仿宋_GB2312"/>
          <w:i w:val="0"/>
          <w:iCs w:val="0"/>
          <w:snapToGrid w:val="0"/>
          <w:color w:val="auto"/>
          <w:highlight w:val="none"/>
          <w:lang w:val="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.2磋商准备：供应商应当按照“</w:t>
      </w:r>
      <w:r>
        <w:rPr>
          <w:rFonts w:hint="eastAsia" w:cs="仿宋_GB2312"/>
          <w:i w:val="0"/>
          <w:iCs w:val="0"/>
          <w:snapToGrid w:val="0"/>
          <w:color w:val="auto"/>
          <w:highlight w:val="none"/>
          <w:lang w:val="zh-CN" w:eastAsia="zh-CN"/>
        </w:rPr>
        <w:t>第</w:t>
      </w:r>
      <w:r>
        <w:rPr>
          <w:rFonts w:hint="eastAsia" w:cs="仿宋_GB2312"/>
          <w:i w:val="0"/>
          <w:iCs w:val="0"/>
          <w:snapToGrid w:val="0"/>
          <w:color w:val="auto"/>
          <w:highlight w:val="none"/>
          <w:lang w:val="en-US" w:eastAsia="zh-CN"/>
        </w:rPr>
        <w:t>二</w:t>
      </w:r>
      <w:r>
        <w:rPr>
          <w:rFonts w:hint="eastAsia" w:cs="仿宋_GB2312"/>
          <w:i w:val="0"/>
          <w:iCs w:val="0"/>
          <w:snapToGrid w:val="0"/>
          <w:color w:val="auto"/>
          <w:highlight w:val="none"/>
          <w:lang w:val="zh-CN" w:eastAsia="zh-CN"/>
        </w:rPr>
        <w:t xml:space="preserve">章 </w:t>
      </w:r>
      <w:r>
        <w:rPr>
          <w:rFonts w:hint="eastAsia" w:cs="仿宋_GB2312"/>
          <w:i w:val="0"/>
          <w:iCs w:val="0"/>
          <w:snapToGrid w:val="0"/>
          <w:color w:val="auto"/>
          <w:highlight w:val="none"/>
          <w:lang w:val="en-US" w:eastAsia="zh-CN"/>
        </w:rPr>
        <w:t>供应商须知</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的</w:t>
      </w:r>
      <w:r>
        <w:rPr>
          <w:rFonts w:cs="仿宋_GB2312"/>
          <w:i w:val="0"/>
          <w:iCs w:val="0"/>
          <w:snapToGrid w:val="0"/>
          <w:color w:val="auto"/>
          <w:highlight w:val="none"/>
          <w:lang w:val="zh-CN"/>
        </w:rPr>
        <w:t>要求提前准备好磋商所需的设备，确保设备稳定可靠、互联网畅通</w:t>
      </w:r>
      <w:r>
        <w:rPr>
          <w:rFonts w:hint="eastAsia" w:cs="仿宋_GB2312"/>
          <w:i w:val="0"/>
          <w:iCs w:val="0"/>
          <w:snapToGrid w:val="0"/>
          <w:color w:val="auto"/>
          <w:highlight w:val="none"/>
          <w:lang w:val="zh-CN"/>
        </w:rPr>
        <w:t>。</w:t>
      </w:r>
      <w:r>
        <w:rPr>
          <w:rFonts w:hint="eastAsia" w:cs="仿宋_GB2312"/>
          <w:i w:val="0"/>
          <w:iCs w:val="0"/>
          <w:color w:val="auto"/>
          <w:szCs w:val="24"/>
          <w:highlight w:val="none"/>
        </w:rPr>
        <w:t>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w:t>
      </w:r>
      <w:r>
        <w:rPr>
          <w:rFonts w:cs="仿宋_GB2312"/>
          <w:i w:val="0"/>
          <w:iCs w:val="0"/>
          <w:snapToGrid w:val="0"/>
          <w:color w:val="auto"/>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snapToGrid w:val="0"/>
          <w:color w:val="auto"/>
          <w:highlight w:val="none"/>
          <w:lang w:val="zh-CN"/>
        </w:rPr>
        <w:t>“</w:t>
      </w:r>
      <w:r>
        <w:rPr>
          <w:rFonts w:hint="eastAsia" w:cs="仿宋_GB2312"/>
          <w:i w:val="0"/>
          <w:iCs w:val="0"/>
          <w:snapToGrid w:val="0"/>
          <w:color w:val="auto"/>
          <w:highlight w:val="none"/>
          <w:lang w:val="en-US" w:eastAsia="zh-CN"/>
        </w:rPr>
        <w:t>开</w:t>
      </w:r>
      <w:r>
        <w:rPr>
          <w:rFonts w:hint="eastAsia" w:cs="仿宋_GB2312"/>
          <w:i w:val="0"/>
          <w:iCs w:val="0"/>
          <w:snapToGrid w:val="0"/>
          <w:color w:val="auto"/>
          <w:highlight w:val="none"/>
          <w:lang w:val="zh-CN"/>
        </w:rPr>
        <w:t>标</w:t>
      </w:r>
      <w:r>
        <w:rPr>
          <w:rFonts w:cs="仿宋_GB2312"/>
          <w:i w:val="0"/>
          <w:iCs w:val="0"/>
          <w:snapToGrid w:val="0"/>
          <w:color w:val="auto"/>
          <w:highlight w:val="none"/>
          <w:lang w:val="zh-CN"/>
        </w:rPr>
        <w:t>大厅”，准时参加在线磋商，按照工作人员提示进行相关操作。未按上述要求进行的，导致的后果由供应</w:t>
      </w:r>
      <w:r>
        <w:rPr>
          <w:rFonts w:ascii="宋体" w:hAnsi="宋体" w:eastAsia="宋体" w:cs="仿宋_GB2312"/>
          <w:i w:val="0"/>
          <w:iCs w:val="0"/>
          <w:snapToGrid w:val="0"/>
          <w:color w:val="auto"/>
          <w:highlight w:val="none"/>
          <w:lang w:val="zh-CN"/>
        </w:rPr>
        <w:t>商自行承担。</w:t>
      </w:r>
    </w:p>
    <w:p w14:paraId="21D93F4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217" w:name="_Toc163492857"/>
      <w:bookmarkStart w:id="218" w:name="_Toc140132790"/>
      <w:r>
        <w:rPr>
          <w:rFonts w:hint="eastAsia" w:ascii="宋体" w:hAnsi="宋体" w:eastAsia="宋体" w:cs="宋体"/>
          <w:b/>
          <w:bCs/>
          <w:color w:val="auto"/>
          <w:kern w:val="2"/>
          <w:sz w:val="24"/>
          <w:szCs w:val="24"/>
          <w:highlight w:val="none"/>
          <w:lang w:val="en-US" w:eastAsia="zh-CN" w:bidi="ar-SA"/>
        </w:rPr>
        <w:t>26.</w:t>
      </w:r>
      <w:bookmarkEnd w:id="217"/>
      <w:bookmarkEnd w:id="218"/>
      <w:r>
        <w:rPr>
          <w:rFonts w:hint="eastAsia" w:ascii="宋体" w:hAnsi="宋体" w:eastAsia="宋体" w:cs="宋体"/>
          <w:b/>
          <w:bCs/>
          <w:color w:val="auto"/>
          <w:kern w:val="2"/>
          <w:sz w:val="24"/>
          <w:szCs w:val="24"/>
          <w:highlight w:val="none"/>
          <w:lang w:val="en-US" w:eastAsia="zh-CN" w:bidi="ar-SA"/>
        </w:rPr>
        <w:t>磋商小组</w:t>
      </w:r>
    </w:p>
    <w:p w14:paraId="13BA3C1A">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.2 磋商小组成员有下列情形之一的，应当回避：</w:t>
      </w:r>
    </w:p>
    <w:p w14:paraId="6184A7E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（1）参加采购活动前3年内与</w:t>
      </w:r>
      <w:r>
        <w:rPr>
          <w:rFonts w:hint="eastAsia"/>
          <w:i w:val="0"/>
          <w:iCs w:val="0"/>
          <w:color w:val="auto"/>
          <w:highlight w:val="none"/>
          <w:lang w:val="en-US" w:eastAsia="zh-CN"/>
        </w:rPr>
        <w:t>磋商供应商</w:t>
      </w:r>
      <w:r>
        <w:rPr>
          <w:rFonts w:hint="eastAsia"/>
          <w:i w:val="0"/>
          <w:iCs w:val="0"/>
          <w:color w:val="auto"/>
          <w:highlight w:val="none"/>
        </w:rPr>
        <w:t>存在劳动关系；</w:t>
      </w:r>
    </w:p>
    <w:p w14:paraId="655F14B3">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（2）参加采购活动前3年内担任</w:t>
      </w:r>
      <w:r>
        <w:rPr>
          <w:rFonts w:hint="eastAsia"/>
          <w:i w:val="0"/>
          <w:iCs w:val="0"/>
          <w:color w:val="auto"/>
          <w:highlight w:val="none"/>
          <w:lang w:val="en-US" w:eastAsia="zh-CN"/>
        </w:rPr>
        <w:t>磋商供应商</w:t>
      </w:r>
      <w:r>
        <w:rPr>
          <w:rFonts w:hint="eastAsia"/>
          <w:i w:val="0"/>
          <w:iCs w:val="0"/>
          <w:color w:val="auto"/>
          <w:highlight w:val="none"/>
        </w:rPr>
        <w:t>的董事、监事；</w:t>
      </w:r>
    </w:p>
    <w:p w14:paraId="0A4A464C">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（3）参加采购活动前3年内是</w:t>
      </w:r>
      <w:r>
        <w:rPr>
          <w:rFonts w:hint="eastAsia"/>
          <w:i w:val="0"/>
          <w:iCs w:val="0"/>
          <w:color w:val="auto"/>
          <w:highlight w:val="none"/>
          <w:lang w:val="en-US" w:eastAsia="zh-CN"/>
        </w:rPr>
        <w:t>磋商供应商</w:t>
      </w:r>
      <w:r>
        <w:rPr>
          <w:rFonts w:hint="eastAsia"/>
          <w:i w:val="0"/>
          <w:iCs w:val="0"/>
          <w:color w:val="auto"/>
          <w:highlight w:val="none"/>
        </w:rPr>
        <w:t>的控股股东或者实际控制人；</w:t>
      </w:r>
    </w:p>
    <w:p w14:paraId="5811B10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（4）与</w:t>
      </w:r>
      <w:r>
        <w:rPr>
          <w:rFonts w:hint="eastAsia"/>
          <w:i w:val="0"/>
          <w:iCs w:val="0"/>
          <w:color w:val="auto"/>
          <w:highlight w:val="none"/>
          <w:lang w:val="en-US" w:eastAsia="zh-CN"/>
        </w:rPr>
        <w:t>磋商供应商</w:t>
      </w:r>
      <w:r>
        <w:rPr>
          <w:rFonts w:hint="eastAsia"/>
          <w:i w:val="0"/>
          <w:iCs w:val="0"/>
          <w:color w:val="auto"/>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（5）与</w:t>
      </w:r>
      <w:r>
        <w:rPr>
          <w:rFonts w:hint="eastAsia"/>
          <w:i w:val="0"/>
          <w:iCs w:val="0"/>
          <w:color w:val="auto"/>
          <w:highlight w:val="none"/>
          <w:lang w:val="en-US" w:eastAsia="zh-CN"/>
        </w:rPr>
        <w:t>磋商供应商</w:t>
      </w:r>
      <w:r>
        <w:rPr>
          <w:rFonts w:hint="eastAsia"/>
          <w:i w:val="0"/>
          <w:iCs w:val="0"/>
          <w:color w:val="auto"/>
          <w:highlight w:val="none"/>
        </w:rPr>
        <w:t>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9" w:name="_Toc163492858"/>
      <w:bookmarkStart w:id="220" w:name="_Toc140132791"/>
      <w:r>
        <w:rPr>
          <w:rFonts w:hint="eastAsia" w:ascii="宋体" w:hAnsi="宋体" w:eastAsia="宋体" w:cs="宋体"/>
          <w:b/>
          <w:bCs/>
          <w:color w:val="auto"/>
          <w:kern w:val="2"/>
          <w:sz w:val="24"/>
          <w:szCs w:val="24"/>
          <w:highlight w:val="none"/>
          <w:lang w:val="en-US" w:eastAsia="zh-CN" w:bidi="ar-SA"/>
        </w:rPr>
        <w:t>27.</w:t>
      </w:r>
      <w:bookmarkEnd w:id="219"/>
      <w:bookmarkEnd w:id="220"/>
      <w:r>
        <w:rPr>
          <w:rFonts w:hint="eastAsia" w:ascii="宋体" w:hAnsi="宋体" w:eastAsia="宋体" w:cs="宋体"/>
          <w:b/>
          <w:bCs/>
          <w:color w:val="auto"/>
          <w:kern w:val="2"/>
          <w:sz w:val="24"/>
          <w:szCs w:val="24"/>
          <w:highlight w:val="none"/>
          <w:lang w:val="en-US" w:eastAsia="zh-CN" w:bidi="ar-SA"/>
        </w:rPr>
        <w:t>评审</w:t>
      </w:r>
    </w:p>
    <w:p w14:paraId="4C6C36B4">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1 </w:t>
      </w:r>
      <w:r>
        <w:rPr>
          <w:rFonts w:hint="eastAsia"/>
          <w:i w:val="0"/>
          <w:iCs w:val="0"/>
          <w:color w:val="auto"/>
          <w:highlight w:val="none"/>
        </w:rPr>
        <w:t>磋商小组按照“第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w:t>
      </w:r>
      <w:r>
        <w:rPr>
          <w:rFonts w:hint="eastAsia"/>
          <w:i w:val="0"/>
          <w:iCs w:val="0"/>
          <w:color w:val="auto"/>
          <w:highlight w:val="none"/>
          <w:lang w:val="en-US" w:eastAsia="zh-CN"/>
        </w:rPr>
        <w:t>的</w:t>
      </w:r>
      <w:r>
        <w:rPr>
          <w:rFonts w:hint="eastAsia"/>
          <w:i w:val="0"/>
          <w:iCs w:val="0"/>
          <w:color w:val="auto"/>
          <w:highlight w:val="none"/>
        </w:rPr>
        <w:t>规定对</w:t>
      </w:r>
      <w:r>
        <w:rPr>
          <w:rFonts w:hint="eastAsia"/>
          <w:i w:val="0"/>
          <w:iCs w:val="0"/>
          <w:color w:val="auto"/>
          <w:highlight w:val="none"/>
          <w:lang w:val="en-US" w:eastAsia="zh-CN"/>
        </w:rPr>
        <w:t>响应</w:t>
      </w:r>
      <w:r>
        <w:rPr>
          <w:rFonts w:hint="eastAsia"/>
          <w:i w:val="0"/>
          <w:iCs w:val="0"/>
          <w:color w:val="auto"/>
          <w:highlight w:val="none"/>
        </w:rPr>
        <w:t>文件进行评审。“第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方法及标准”没有规定的方法、评审因素和标准，不作为评</w:t>
      </w:r>
      <w:r>
        <w:rPr>
          <w:rFonts w:hint="eastAsia"/>
          <w:i w:val="0"/>
          <w:iCs w:val="0"/>
          <w:color w:val="auto"/>
          <w:highlight w:val="none"/>
          <w:lang w:val="en-US" w:eastAsia="zh-CN"/>
        </w:rPr>
        <w:t>审</w:t>
      </w:r>
      <w:r>
        <w:rPr>
          <w:rFonts w:hint="eastAsia"/>
          <w:i w:val="0"/>
          <w:iCs w:val="0"/>
          <w:color w:val="auto"/>
          <w:highlight w:val="none"/>
        </w:rPr>
        <w:t>依据。</w:t>
      </w:r>
      <w:r>
        <w:rPr>
          <w:rFonts w:hint="eastAsia" w:cs="宋体"/>
          <w:color w:val="auto"/>
          <w:sz w:val="24"/>
          <w:szCs w:val="24"/>
          <w:highlight w:val="none"/>
          <w:lang w:val="en-US" w:eastAsia="zh-CN"/>
        </w:rPr>
        <w:t>本项目磋商轮次及磋商顺序详“供应商须知前附表”。</w:t>
      </w:r>
    </w:p>
    <w:p w14:paraId="420234D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2 </w:t>
      </w:r>
      <w:r>
        <w:rPr>
          <w:rFonts w:hint="eastAsia"/>
          <w:i w:val="0"/>
          <w:iCs w:val="0"/>
          <w:color w:val="auto"/>
          <w:highlight w:val="none"/>
        </w:rPr>
        <w:t>磋商小组按“</w:t>
      </w:r>
      <w:r>
        <w:rPr>
          <w:rFonts w:hint="eastAsia"/>
          <w:i w:val="0"/>
          <w:iCs w:val="0"/>
          <w:color w:val="auto"/>
          <w:highlight w:val="none"/>
          <w:lang w:val="en-US" w:eastAsia="zh-CN"/>
        </w:rPr>
        <w:t>供应商</w:t>
      </w:r>
      <w:r>
        <w:rPr>
          <w:rFonts w:hint="eastAsia"/>
          <w:i w:val="0"/>
          <w:iCs w:val="0"/>
          <w:color w:val="auto"/>
          <w:highlight w:val="none"/>
        </w:rPr>
        <w:t>须知前附表”规定的</w:t>
      </w:r>
      <w:r>
        <w:rPr>
          <w:rFonts w:hint="eastAsia"/>
          <w:i w:val="0"/>
          <w:iCs w:val="0"/>
          <w:color w:val="auto"/>
          <w:highlight w:val="none"/>
          <w:lang w:val="en-US" w:eastAsia="zh-CN"/>
        </w:rPr>
        <w:t>成交</w:t>
      </w:r>
      <w:r>
        <w:rPr>
          <w:rFonts w:hint="eastAsia"/>
          <w:i w:val="0"/>
          <w:iCs w:val="0"/>
          <w:color w:val="auto"/>
          <w:highlight w:val="none"/>
        </w:rPr>
        <w:t>候选人数量在评</w:t>
      </w:r>
      <w:r>
        <w:rPr>
          <w:rFonts w:hint="eastAsia"/>
          <w:i w:val="0"/>
          <w:iCs w:val="0"/>
          <w:color w:val="auto"/>
          <w:highlight w:val="none"/>
          <w:lang w:val="en-US" w:eastAsia="zh-CN"/>
        </w:rPr>
        <w:t>审</w:t>
      </w:r>
      <w:r>
        <w:rPr>
          <w:rFonts w:hint="eastAsia"/>
          <w:i w:val="0"/>
          <w:iCs w:val="0"/>
          <w:color w:val="auto"/>
          <w:highlight w:val="none"/>
        </w:rPr>
        <w:t>报告中向采购人推荐</w:t>
      </w:r>
      <w:r>
        <w:rPr>
          <w:rFonts w:hint="eastAsia"/>
          <w:i w:val="0"/>
          <w:iCs w:val="0"/>
          <w:color w:val="auto"/>
          <w:highlight w:val="none"/>
          <w:lang w:val="en-US" w:eastAsia="zh-CN"/>
        </w:rPr>
        <w:t>成交</w:t>
      </w:r>
      <w:r>
        <w:rPr>
          <w:rFonts w:hint="eastAsia"/>
          <w:i w:val="0"/>
          <w:iCs w:val="0"/>
          <w:color w:val="auto"/>
          <w:highlight w:val="none"/>
        </w:rPr>
        <w:t>候选人。</w:t>
      </w:r>
    </w:p>
    <w:p w14:paraId="06FF185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655FB62">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27.4 在确定成交人之前，供应商试图在响应文件审查、澄清、比较和评审时对</w:t>
      </w:r>
      <w:r>
        <w:rPr>
          <w:rFonts w:hint="eastAsia"/>
          <w:i w:val="0"/>
          <w:iCs w:val="0"/>
          <w:color w:val="auto"/>
          <w:highlight w:val="none"/>
        </w:rPr>
        <w:t>磋商小组</w:t>
      </w:r>
      <w:r>
        <w:rPr>
          <w:rFonts w:hint="eastAsia"/>
          <w:i w:val="0"/>
          <w:iCs w:val="0"/>
          <w:color w:val="auto"/>
          <w:highlight w:val="none"/>
          <w:lang w:val="en-US" w:eastAsia="zh-CN"/>
        </w:rPr>
        <w:t>、采购人和采购代理机构施加任何影响都可能导致其</w:t>
      </w:r>
      <w:r>
        <w:rPr>
          <w:rFonts w:hint="eastAsia"/>
          <w:b/>
          <w:bCs/>
          <w:i w:val="0"/>
          <w:iCs w:val="0"/>
          <w:color w:val="auto"/>
          <w:highlight w:val="none"/>
          <w:lang w:val="en-US" w:eastAsia="zh-CN"/>
        </w:rPr>
        <w:t>响应无效</w:t>
      </w:r>
      <w:r>
        <w:rPr>
          <w:rFonts w:hint="eastAsia"/>
          <w:i w:val="0"/>
          <w:iCs w:val="0"/>
          <w:color w:val="auto"/>
          <w:highlight w:val="none"/>
          <w:lang w:val="en-US" w:eastAsia="zh-CN"/>
        </w:rPr>
        <w:t>。</w:t>
      </w:r>
    </w:p>
    <w:p w14:paraId="67DE196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 电子招投标的应急措施</w:t>
      </w:r>
    </w:p>
    <w:p w14:paraId="40C422BF">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27.5.1电子开启、评审如出现下列原因，导致系统无法正常运行或无法正常评审时，应采取应急措施。</w:t>
      </w:r>
    </w:p>
    <w:p w14:paraId="4420F39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（1）系统服务器发生故障，无法访问或无法使用系统；</w:t>
      </w:r>
    </w:p>
    <w:p w14:paraId="28E034B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（2）系统的软件或数据库出现错误，不能进行正常操作；</w:t>
      </w:r>
    </w:p>
    <w:p w14:paraId="08E58AC6">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（3）系统发现有安全漏洞，有潜在的泄密危险；</w:t>
      </w:r>
    </w:p>
    <w:p w14:paraId="1C5B770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（4）病毒发作或受到外来病毒的攻击；</w:t>
      </w:r>
    </w:p>
    <w:p w14:paraId="45AC175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（5）出现其他不可抗拒的客观原因造成开评标系统无法正常使用。</w:t>
      </w:r>
    </w:p>
    <w:p w14:paraId="7B05A5B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出现上述情况时，应对未开启的暂停开启。已在系统内开启、评审的立即停止。采取应急措施时，必须对原有资料及信息作出妥善保密处理。</w:t>
      </w:r>
    </w:p>
    <w:p w14:paraId="3C2F79F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27.5.2因系统原因导致供应商均无法解密电子响应文件时，采购代理机构可在开启现场直接导入供应商在递交响应文件截止时间前递交的未加密的电子响应文件进行开启、评审。</w:t>
      </w:r>
    </w:p>
    <w:p w14:paraId="280DDAB9">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27.6 供应商瑕疵滞后发现的处理规则</w:t>
      </w:r>
    </w:p>
    <w:p w14:paraId="11E85EA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en-US" w:eastAsia="zh-CN"/>
        </w:rPr>
      </w:pPr>
      <w:r>
        <w:rPr>
          <w:rFonts w:hint="eastAsia"/>
          <w:i w:val="0"/>
          <w:iCs w:val="0"/>
          <w:color w:val="auto"/>
          <w:highlight w:val="none"/>
          <w:lang w:val="en-US" w:eastAsia="zh-CN"/>
        </w:rPr>
        <w:t>27.6.1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w:t>
      </w:r>
      <w:r>
        <w:rPr>
          <w:rFonts w:hint="eastAsia" w:ascii="宋体" w:hAnsi="宋体" w:eastAsia="宋体"/>
          <w:i w:val="0"/>
          <w:iCs w:val="0"/>
          <w:color w:val="auto"/>
          <w:highlight w:val="none"/>
          <w:lang w:val="en-US" w:eastAsia="zh-CN"/>
        </w:rPr>
        <w:t>承担。</w:t>
      </w:r>
    </w:p>
    <w:p w14:paraId="5000462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1" w:name="_Toc470172692"/>
      <w:bookmarkStart w:id="222" w:name="_Toc109899563"/>
      <w:bookmarkStart w:id="223" w:name="_Toc46771670"/>
      <w:bookmarkStart w:id="224" w:name="_Toc109899982"/>
      <w:bookmarkStart w:id="225" w:name="_Toc163493616"/>
      <w:bookmarkStart w:id="226" w:name="_Toc109900401"/>
      <w:bookmarkStart w:id="227" w:name="_Toc109897464"/>
      <w:r>
        <w:rPr>
          <w:rFonts w:hint="eastAsia" w:ascii="宋体" w:hAnsi="宋体" w:eastAsia="宋体" w:cs="宋体"/>
          <w:b/>
          <w:bCs/>
          <w:color w:val="auto"/>
          <w:kern w:val="2"/>
          <w:sz w:val="24"/>
          <w:szCs w:val="24"/>
          <w:highlight w:val="none"/>
          <w:lang w:val="en-US" w:eastAsia="zh-CN" w:bidi="ar-SA"/>
        </w:rPr>
        <w:t>（八）成交</w:t>
      </w:r>
      <w:bookmarkEnd w:id="221"/>
      <w:bookmarkEnd w:id="222"/>
      <w:bookmarkEnd w:id="223"/>
      <w:bookmarkEnd w:id="224"/>
      <w:bookmarkEnd w:id="225"/>
      <w:bookmarkEnd w:id="226"/>
      <w:bookmarkEnd w:id="227"/>
    </w:p>
    <w:p w14:paraId="59C81E9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28" w:name="_Toc109899564"/>
      <w:bookmarkStart w:id="229" w:name="_Toc46771671"/>
      <w:bookmarkStart w:id="230" w:name="_Toc52960584"/>
      <w:bookmarkStart w:id="231" w:name="_Toc51674242"/>
      <w:bookmarkStart w:id="232" w:name="_Toc109899983"/>
      <w:bookmarkStart w:id="233" w:name="_Toc109897465"/>
      <w:bookmarkStart w:id="234" w:name="_Toc48846140"/>
      <w:bookmarkStart w:id="235" w:name="_Toc109900402"/>
      <w:bookmarkStart w:id="236" w:name="_Toc52962758"/>
      <w:bookmarkStart w:id="237" w:name="_Toc48688820"/>
      <w:bookmarkStart w:id="238" w:name="_Toc46772272"/>
      <w:bookmarkStart w:id="239" w:name="_Hlk143533953"/>
      <w:r>
        <w:rPr>
          <w:rFonts w:hint="eastAsia" w:ascii="宋体" w:hAnsi="宋体" w:eastAsia="宋体" w:cs="宋体"/>
          <w:b/>
          <w:bCs/>
          <w:color w:val="auto"/>
          <w:kern w:val="2"/>
          <w:sz w:val="24"/>
          <w:szCs w:val="24"/>
          <w:highlight w:val="none"/>
          <w:lang w:val="en-US" w:eastAsia="zh-CN" w:bidi="ar-SA"/>
        </w:rPr>
        <w:t>28.确定成交供应商</w:t>
      </w:r>
      <w:bookmarkEnd w:id="228"/>
      <w:bookmarkEnd w:id="229"/>
      <w:bookmarkEnd w:id="230"/>
      <w:bookmarkEnd w:id="231"/>
      <w:bookmarkEnd w:id="232"/>
      <w:bookmarkEnd w:id="233"/>
      <w:bookmarkEnd w:id="234"/>
      <w:bookmarkEnd w:id="235"/>
      <w:bookmarkEnd w:id="236"/>
      <w:bookmarkEnd w:id="237"/>
      <w:bookmarkEnd w:id="238"/>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i w:val="0"/>
          <w:iCs w:val="0"/>
          <w:snapToGrid w:val="0"/>
          <w:color w:val="auto"/>
          <w:highlight w:val="none"/>
          <w:lang w:val="zh-CN"/>
        </w:rPr>
      </w:pPr>
      <w:r>
        <w:rPr>
          <w:rFonts w:hint="eastAsia" w:cs="仿宋_GB2312"/>
          <w:i w:val="0"/>
          <w:iCs w:val="0"/>
          <w:snapToGrid w:val="0"/>
          <w:color w:val="auto"/>
          <w:highlight w:val="none"/>
          <w:lang w:val="en-US" w:eastAsia="zh-CN"/>
        </w:rPr>
        <w:t>28</w:t>
      </w:r>
      <w:r>
        <w:rPr>
          <w:rFonts w:hint="eastAsia" w:cs="仿宋_GB2312"/>
          <w:i w:val="0"/>
          <w:iCs w:val="0"/>
          <w:snapToGrid w:val="0"/>
          <w:color w:val="auto"/>
          <w:highlight w:val="none"/>
          <w:lang w:val="zh-CN"/>
        </w:rPr>
        <w:t>.1</w:t>
      </w:r>
      <w:r>
        <w:rPr>
          <w:rFonts w:hint="eastAsia"/>
          <w:i w:val="0"/>
          <w:iCs w:val="0"/>
          <w:snapToGrid w:val="0"/>
          <w:color w:val="auto"/>
          <w:highlight w:val="none"/>
          <w:lang w:val="zh-CN"/>
        </w:rPr>
        <w:t>确定成交供应商详见“供应商须知前附表”。</w:t>
      </w:r>
    </w:p>
    <w:p w14:paraId="4B64349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29.成交结果公告</w:t>
      </w:r>
    </w:p>
    <w:p w14:paraId="165444EA">
      <w:pPr>
        <w:pStyle w:val="35"/>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cs="仿宋_GB2312"/>
          <w:i w:val="0"/>
          <w:iCs w:val="0"/>
          <w:snapToGrid w:val="0"/>
          <w:color w:val="auto"/>
          <w:highlight w:val="none"/>
          <w:lang w:val="en-US" w:eastAsia="zh-CN"/>
        </w:rPr>
        <w:t>29</w:t>
      </w:r>
      <w:r>
        <w:rPr>
          <w:rFonts w:hint="eastAsia" w:cs="仿宋_GB2312"/>
          <w:i w:val="0"/>
          <w:iCs w:val="0"/>
          <w:snapToGrid w:val="0"/>
          <w:color w:val="auto"/>
          <w:highlight w:val="none"/>
          <w:lang w:val="zh-CN"/>
        </w:rPr>
        <w:t>.</w:t>
      </w:r>
      <w:r>
        <w:rPr>
          <w:rFonts w:cs="仿宋_GB2312"/>
          <w:i w:val="0"/>
          <w:iCs w:val="0"/>
          <w:snapToGrid w:val="0"/>
          <w:color w:val="auto"/>
          <w:highlight w:val="none"/>
          <w:lang w:val="zh-CN"/>
        </w:rPr>
        <w:t>1</w:t>
      </w:r>
      <w:r>
        <w:rPr>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i w:val="0"/>
          <w:iCs w:val="0"/>
          <w:color w:val="auto"/>
          <w:highlight w:val="none"/>
          <w:lang w:eastAsia="zh-CN" w:bidi="ar"/>
        </w:rPr>
        <w:t>、</w:t>
      </w:r>
      <w:r>
        <w:rPr>
          <w:rFonts w:hint="eastAsia"/>
          <w:bCs/>
          <w:i w:val="0"/>
          <w:iCs w:val="0"/>
          <w:color w:val="auto"/>
          <w:highlight w:val="none"/>
          <w:lang w:eastAsia="zh-CN"/>
        </w:rPr>
        <w:t>成交</w:t>
      </w:r>
      <w:r>
        <w:rPr>
          <w:rFonts w:hint="eastAsia"/>
          <w:bCs/>
          <w:i w:val="0"/>
          <w:iCs w:val="0"/>
          <w:color w:val="auto"/>
          <w:highlight w:val="none"/>
          <w:lang w:val="en-US" w:eastAsia="zh-CN"/>
        </w:rPr>
        <w:t>供应商</w:t>
      </w:r>
      <w:r>
        <w:rPr>
          <w:rFonts w:hint="eastAsia" w:ascii="宋体" w:hAnsi="宋体" w:eastAsia="宋体"/>
          <w:bCs/>
          <w:i w:val="0"/>
          <w:iCs w:val="0"/>
          <w:color w:val="auto"/>
          <w:highlight w:val="none"/>
          <w:lang w:val="en-US" w:eastAsia="zh-CN"/>
        </w:rPr>
        <w:t>的评审总得分</w:t>
      </w:r>
      <w:r>
        <w:rPr>
          <w:i w:val="0"/>
          <w:iCs w:val="0"/>
          <w:color w:val="auto"/>
          <w:highlight w:val="none"/>
          <w:lang w:bidi="ar"/>
        </w:rPr>
        <w:t>随成交结果同时公告。</w:t>
      </w:r>
    </w:p>
    <w:p w14:paraId="31CA8053">
      <w:pPr>
        <w:pStyle w:val="35"/>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bCs/>
          <w:i w:val="0"/>
          <w:iCs w:val="0"/>
          <w:color w:val="auto"/>
          <w:highlight w:val="none"/>
          <w:lang w:val="en-US" w:eastAsia="zh-CN"/>
        </w:rPr>
        <w:t>29</w:t>
      </w:r>
      <w:r>
        <w:rPr>
          <w:bCs/>
          <w:i w:val="0"/>
          <w:iCs w:val="0"/>
          <w:color w:val="auto"/>
          <w:highlight w:val="none"/>
        </w:rPr>
        <w:t>.2</w:t>
      </w:r>
      <w:r>
        <w:rPr>
          <w:rFonts w:hint="eastAsia"/>
          <w:bCs/>
          <w:i w:val="0"/>
          <w:iCs w:val="0"/>
          <w:color w:val="auto"/>
          <w:highlight w:val="none"/>
          <w:lang w:eastAsia="zh-CN"/>
        </w:rPr>
        <w:t>成交</w:t>
      </w:r>
      <w:r>
        <w:rPr>
          <w:rFonts w:hint="eastAsia"/>
          <w:bCs/>
          <w:i w:val="0"/>
          <w:iCs w:val="0"/>
          <w:color w:val="auto"/>
          <w:highlight w:val="none"/>
          <w:lang w:val="en-US" w:eastAsia="zh-CN"/>
        </w:rPr>
        <w:t>人</w:t>
      </w:r>
      <w:r>
        <w:rPr>
          <w:rFonts w:hint="eastAsia"/>
          <w:bCs/>
          <w:i w:val="0"/>
          <w:iCs w:val="0"/>
          <w:color w:val="auto"/>
          <w:highlight w:val="none"/>
          <w:lang w:eastAsia="zh-CN"/>
        </w:rPr>
        <w:t>为中小企业</w:t>
      </w:r>
      <w:r>
        <w:rPr>
          <w:rFonts w:hint="eastAsia"/>
          <w:bCs/>
          <w:i w:val="0"/>
          <w:iCs w:val="0"/>
          <w:color w:val="auto"/>
          <w:highlight w:val="none"/>
          <w:lang w:val="en-US" w:eastAsia="zh-CN"/>
        </w:rPr>
        <w:t>享受中小企业扶持政策的</w:t>
      </w:r>
      <w:r>
        <w:rPr>
          <w:rFonts w:hint="eastAsia"/>
          <w:bCs/>
          <w:i w:val="0"/>
          <w:iCs w:val="0"/>
          <w:color w:val="auto"/>
          <w:highlight w:val="none"/>
          <w:lang w:eastAsia="zh-CN"/>
        </w:rPr>
        <w:t>，其“中小企业声明函”随成交结果同时公告。成交</w:t>
      </w:r>
      <w:r>
        <w:rPr>
          <w:rFonts w:hint="eastAsia"/>
          <w:bCs/>
          <w:i w:val="0"/>
          <w:iCs w:val="0"/>
          <w:color w:val="auto"/>
          <w:highlight w:val="none"/>
          <w:lang w:val="en-US" w:eastAsia="zh-CN"/>
        </w:rPr>
        <w:t>人</w:t>
      </w:r>
      <w:r>
        <w:rPr>
          <w:rFonts w:hint="eastAsia"/>
          <w:bCs/>
          <w:i w:val="0"/>
          <w:iCs w:val="0"/>
          <w:color w:val="auto"/>
          <w:highlight w:val="none"/>
          <w:lang w:eastAsia="zh-CN"/>
        </w:rPr>
        <w:t>为残疾人福利性单位的</w:t>
      </w:r>
      <w:r>
        <w:rPr>
          <w:rFonts w:hint="eastAsia" w:ascii="宋体" w:hAnsi="宋体" w:eastAsia="宋体"/>
          <w:bCs/>
          <w:i w:val="0"/>
          <w:iCs w:val="0"/>
          <w:color w:val="auto"/>
          <w:highlight w:val="none"/>
          <w:lang w:eastAsia="zh-CN"/>
        </w:rPr>
        <w:t>，其</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残疾人福利性单位声明函</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随成交结果同时公告</w:t>
      </w:r>
      <w:r>
        <w:rPr>
          <w:rFonts w:hint="eastAsia"/>
          <w:i w:val="0"/>
          <w:iCs w:val="0"/>
          <w:color w:val="auto"/>
          <w:highlight w:val="none"/>
          <w:lang w:bidi="ar"/>
        </w:rPr>
        <w:t>。</w:t>
      </w:r>
    </w:p>
    <w:p w14:paraId="4CB6B36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30.成交通知书</w:t>
      </w:r>
    </w:p>
    <w:p w14:paraId="3F3AC502">
      <w:pPr>
        <w:pStyle w:val="35"/>
        <w:keepNext w:val="0"/>
        <w:keepLines w:val="0"/>
        <w:pageBreakBefore w:val="0"/>
        <w:widowControl w:val="0"/>
        <w:kinsoku/>
        <w:overflowPunct/>
        <w:topLinePunct w:val="0"/>
        <w:bidi w:val="0"/>
        <w:ind w:firstLine="48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30</w:t>
      </w:r>
      <w:r>
        <w:rPr>
          <w:rFonts w:cs="仿宋_GB2312"/>
          <w:i w:val="0"/>
          <w:iCs w:val="0"/>
          <w:snapToGrid w:val="0"/>
          <w:color w:val="auto"/>
          <w:highlight w:val="none"/>
          <w:lang w:val="zh-CN"/>
        </w:rPr>
        <w:t>.1</w:t>
      </w:r>
      <w:r>
        <w:rPr>
          <w:rFonts w:hint="eastAsia" w:cs="仿宋_GB2312"/>
          <w:i w:val="0"/>
          <w:iCs w:val="0"/>
          <w:snapToGrid w:val="0"/>
          <w:color w:val="auto"/>
          <w:highlight w:val="none"/>
          <w:lang w:val="zh-CN"/>
        </w:rPr>
        <w:t>发布成交结果公告同时向成交供应商发出成交通知书。成交通知书是合同的组成部分,对成交供应商和采购人具有同等法律效力。</w:t>
      </w:r>
    </w:p>
    <w:p w14:paraId="3E2C2D8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0" w:name="_Toc163493617"/>
      <w:r>
        <w:rPr>
          <w:rFonts w:hint="eastAsia" w:ascii="宋体" w:hAnsi="宋体" w:eastAsia="宋体" w:cs="宋体"/>
          <w:b/>
          <w:bCs/>
          <w:color w:val="auto"/>
          <w:kern w:val="2"/>
          <w:sz w:val="24"/>
          <w:szCs w:val="24"/>
          <w:highlight w:val="none"/>
          <w:lang w:val="en-US" w:eastAsia="zh-CN" w:bidi="ar-SA"/>
        </w:rPr>
        <w:t>（九）签订合同</w:t>
      </w:r>
      <w:bookmarkEnd w:id="240"/>
    </w:p>
    <w:p w14:paraId="6F87142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1" w:name="_Toc46772273"/>
      <w:bookmarkStart w:id="242" w:name="_Toc46771672"/>
      <w:bookmarkStart w:id="243" w:name="_Toc48688821"/>
      <w:bookmarkStart w:id="244" w:name="_Toc109897466"/>
      <w:bookmarkStart w:id="245" w:name="_Toc109899984"/>
      <w:bookmarkStart w:id="246" w:name="_Toc52960585"/>
      <w:bookmarkStart w:id="247" w:name="_Toc109900403"/>
      <w:bookmarkStart w:id="248" w:name="_Toc48846141"/>
      <w:bookmarkStart w:id="249" w:name="_Toc51674243"/>
      <w:bookmarkStart w:id="250" w:name="_Toc52962759"/>
      <w:bookmarkStart w:id="251" w:name="_Toc109899565"/>
      <w:r>
        <w:rPr>
          <w:rFonts w:hint="eastAsia" w:ascii="宋体" w:hAnsi="宋体" w:eastAsia="宋体" w:cs="宋体"/>
          <w:b/>
          <w:bCs/>
          <w:color w:val="auto"/>
          <w:kern w:val="2"/>
          <w:sz w:val="24"/>
          <w:szCs w:val="24"/>
          <w:highlight w:val="none"/>
          <w:lang w:val="en-US" w:eastAsia="zh-CN" w:bidi="ar-SA"/>
        </w:rPr>
        <w:t>31.履约保证金</w:t>
      </w:r>
    </w:p>
    <w:p w14:paraId="2934878C">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.1在签订合同前，</w:t>
      </w:r>
      <w:r>
        <w:rPr>
          <w:rFonts w:hint="eastAsia"/>
          <w:i w:val="0"/>
          <w:iCs w:val="0"/>
          <w:color w:val="auto"/>
          <w:highlight w:val="none"/>
        </w:rPr>
        <w:t>成交供应商</w:t>
      </w:r>
      <w:r>
        <w:rPr>
          <w:i w:val="0"/>
          <w:iCs w:val="0"/>
          <w:color w:val="auto"/>
          <w:highlight w:val="none"/>
        </w:rPr>
        <w:t>应按“</w:t>
      </w:r>
      <w:r>
        <w:rPr>
          <w:rFonts w:hint="eastAsia"/>
          <w:i w:val="0"/>
          <w:iCs w:val="0"/>
          <w:color w:val="auto"/>
          <w:highlight w:val="none"/>
        </w:rPr>
        <w:t>供应商</w:t>
      </w:r>
      <w:r>
        <w:rPr>
          <w:i w:val="0"/>
          <w:iCs w:val="0"/>
          <w:color w:val="auto"/>
          <w:highlight w:val="none"/>
        </w:rPr>
        <w:t>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.2</w:t>
      </w:r>
      <w:r>
        <w:rPr>
          <w:rFonts w:hint="eastAsia"/>
          <w:i w:val="0"/>
          <w:iCs w:val="0"/>
          <w:color w:val="auto"/>
          <w:highlight w:val="none"/>
        </w:rPr>
        <w:t>成交供应商</w:t>
      </w:r>
      <w:r>
        <w:rPr>
          <w:i w:val="0"/>
          <w:iCs w:val="0"/>
          <w:color w:val="auto"/>
          <w:highlight w:val="none"/>
        </w:rPr>
        <w:t>不能按本章第3</w:t>
      </w:r>
      <w:r>
        <w:rPr>
          <w:rFonts w:hint="eastAsia"/>
          <w:i w:val="0"/>
          <w:iCs w:val="0"/>
          <w:color w:val="auto"/>
          <w:highlight w:val="none"/>
          <w:lang w:val="en-US" w:eastAsia="zh-CN"/>
        </w:rPr>
        <w:t>1</w:t>
      </w:r>
      <w:r>
        <w:rPr>
          <w:i w:val="0"/>
          <w:iCs w:val="0"/>
          <w:color w:val="auto"/>
          <w:highlight w:val="none"/>
        </w:rPr>
        <w:t>.1项要求提交履约担保的，视为放弃</w:t>
      </w:r>
      <w:r>
        <w:rPr>
          <w:rFonts w:hint="eastAsia"/>
          <w:i w:val="0"/>
          <w:iCs w:val="0"/>
          <w:color w:val="auto"/>
          <w:highlight w:val="none"/>
        </w:rPr>
        <w:t>成交</w:t>
      </w:r>
      <w:r>
        <w:rPr>
          <w:i w:val="0"/>
          <w:iCs w:val="0"/>
          <w:color w:val="auto"/>
          <w:highlight w:val="none"/>
        </w:rPr>
        <w:t>，给采购人造成损失的，</w:t>
      </w:r>
      <w:r>
        <w:rPr>
          <w:rFonts w:hint="eastAsia"/>
          <w:i w:val="0"/>
          <w:iCs w:val="0"/>
          <w:color w:val="auto"/>
          <w:highlight w:val="none"/>
        </w:rPr>
        <w:t>成交供应商</w:t>
      </w:r>
      <w:r>
        <w:rPr>
          <w:i w:val="0"/>
          <w:iCs w:val="0"/>
          <w:color w:val="auto"/>
          <w:highlight w:val="none"/>
        </w:rPr>
        <w:t>还应当承担民事责任。</w:t>
      </w:r>
    </w:p>
    <w:p w14:paraId="2B0382DC">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32.签订合同</w:t>
      </w:r>
      <w:bookmarkEnd w:id="241"/>
      <w:bookmarkEnd w:id="242"/>
      <w:bookmarkEnd w:id="243"/>
      <w:bookmarkEnd w:id="244"/>
      <w:bookmarkEnd w:id="245"/>
      <w:bookmarkEnd w:id="246"/>
      <w:bookmarkEnd w:id="247"/>
      <w:bookmarkEnd w:id="248"/>
      <w:bookmarkEnd w:id="249"/>
      <w:bookmarkEnd w:id="250"/>
      <w:bookmarkEnd w:id="251"/>
    </w:p>
    <w:p w14:paraId="3E1F8F97">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snapToGrid w:val="0"/>
          <w:color w:val="auto"/>
          <w:highlight w:val="none"/>
          <w:lang w:val="zh-CN"/>
        </w:rPr>
        <w:t>3</w:t>
      </w:r>
      <w:r>
        <w:rPr>
          <w:rFonts w:hint="eastAsia"/>
          <w:i w:val="0"/>
          <w:iCs w:val="0"/>
          <w:snapToGrid w:val="0"/>
          <w:color w:val="auto"/>
          <w:highlight w:val="none"/>
          <w:lang w:val="en-US" w:eastAsia="zh-CN"/>
        </w:rPr>
        <w:t>2</w:t>
      </w:r>
      <w:r>
        <w:rPr>
          <w:i w:val="0"/>
          <w:iCs w:val="0"/>
          <w:snapToGrid w:val="0"/>
          <w:color w:val="auto"/>
          <w:highlight w:val="none"/>
          <w:lang w:val="zh-CN"/>
        </w:rPr>
        <w:t>.1</w:t>
      </w:r>
      <w:r>
        <w:rPr>
          <w:rFonts w:hint="eastAsia"/>
          <w:i w:val="0"/>
          <w:iCs w:val="0"/>
          <w:snapToGrid w:val="0"/>
          <w:color w:val="auto"/>
          <w:highlight w:val="none"/>
          <w:lang w:val="zh-CN"/>
        </w:rPr>
        <w:t>采购人与成交供应商应当在成交通知书发出之日起</w:t>
      </w:r>
      <w:r>
        <w:rPr>
          <w:rFonts w:hint="eastAsia"/>
          <w:i w:val="0"/>
          <w:iCs w:val="0"/>
          <w:snapToGrid w:val="0"/>
          <w:color w:val="auto"/>
          <w:highlight w:val="none"/>
          <w:lang w:val="en-US" w:eastAsia="zh-CN"/>
        </w:rPr>
        <w:t>25</w:t>
      </w:r>
      <w:r>
        <w:rPr>
          <w:rFonts w:hint="eastAsia"/>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i w:val="0"/>
          <w:iCs w:val="0"/>
          <w:color w:val="auto"/>
          <w:highlight w:val="none"/>
        </w:rPr>
        <w:t>采购人因不可抗力原因迟延签订合同的，应当自不可抗力事由消除之日起</w:t>
      </w:r>
      <w:r>
        <w:rPr>
          <w:i w:val="0"/>
          <w:iCs w:val="0"/>
          <w:color w:val="auto"/>
          <w:highlight w:val="none"/>
        </w:rPr>
        <w:t>7日内完成合同签订事宜。</w:t>
      </w:r>
      <w:r>
        <w:rPr>
          <w:rFonts w:hint="eastAsia"/>
          <w:i w:val="0"/>
          <w:iCs w:val="0"/>
          <w:color w:val="auto"/>
          <w:highlight w:val="none"/>
        </w:rPr>
        <w:t>所签订的合同不得对</w:t>
      </w:r>
      <w:r>
        <w:rPr>
          <w:rFonts w:hint="eastAsia"/>
          <w:i w:val="0"/>
          <w:iCs w:val="0"/>
          <w:color w:val="auto"/>
          <w:highlight w:val="none"/>
          <w:lang w:val="en-US" w:eastAsia="zh-CN"/>
        </w:rPr>
        <w:t>磋商</w:t>
      </w:r>
      <w:r>
        <w:rPr>
          <w:rFonts w:hint="eastAsia"/>
          <w:i w:val="0"/>
          <w:iCs w:val="0"/>
          <w:color w:val="auto"/>
          <w:highlight w:val="none"/>
        </w:rPr>
        <w:t>文件和</w:t>
      </w:r>
      <w:r>
        <w:rPr>
          <w:rFonts w:hint="eastAsia"/>
          <w:i w:val="0"/>
          <w:iCs w:val="0"/>
          <w:color w:val="auto"/>
          <w:highlight w:val="none"/>
          <w:lang w:val="en-US" w:eastAsia="zh-CN"/>
        </w:rPr>
        <w:t>成交供应商响应</w:t>
      </w:r>
      <w:r>
        <w:rPr>
          <w:rFonts w:hint="eastAsia"/>
          <w:i w:val="0"/>
          <w:iCs w:val="0"/>
          <w:color w:val="auto"/>
          <w:highlight w:val="none"/>
        </w:rPr>
        <w:t>文件作实质性修改。</w:t>
      </w:r>
      <w:r>
        <w:rPr>
          <w:rFonts w:hint="eastAsia"/>
          <w:i w:val="0"/>
          <w:iCs w:val="0"/>
          <w:color w:val="auto"/>
          <w:highlight w:val="none"/>
          <w:lang w:val="en-US" w:eastAsia="zh-CN"/>
        </w:rPr>
        <w:t>成交</w:t>
      </w:r>
      <w:r>
        <w:rPr>
          <w:rFonts w:hint="eastAsia"/>
          <w:i w:val="0"/>
          <w:iCs w:val="0"/>
          <w:color w:val="auto"/>
          <w:highlight w:val="none"/>
        </w:rPr>
        <w:t>人无正当理由拒签合同，给采购人造成损失的，</w:t>
      </w:r>
      <w:r>
        <w:rPr>
          <w:rFonts w:hint="eastAsia"/>
          <w:i w:val="0"/>
          <w:iCs w:val="0"/>
          <w:color w:val="auto"/>
          <w:highlight w:val="none"/>
          <w:lang w:val="en-US" w:eastAsia="zh-CN"/>
        </w:rPr>
        <w:t>成交</w:t>
      </w:r>
      <w:r>
        <w:rPr>
          <w:rFonts w:hint="eastAsia"/>
          <w:i w:val="0"/>
          <w:iCs w:val="0"/>
          <w:color w:val="auto"/>
          <w:highlight w:val="none"/>
        </w:rPr>
        <w:t>人还应当承担民事责任。</w:t>
      </w:r>
    </w:p>
    <w:p w14:paraId="4F6A5CF0">
      <w:pPr>
        <w:pStyle w:val="35"/>
        <w:keepNext w:val="0"/>
        <w:keepLines w:val="0"/>
        <w:pageBreakBefore w:val="0"/>
        <w:widowControl w:val="0"/>
        <w:kinsoku/>
        <w:overflowPunct/>
        <w:topLinePunct w:val="0"/>
        <w:bidi w:val="0"/>
        <w:ind w:firstLine="480"/>
        <w:textAlignment w:val="auto"/>
        <w:rPr>
          <w:i w:val="0"/>
          <w:iCs w:val="0"/>
          <w:color w:val="auto"/>
          <w:highlight w:val="none"/>
          <w:lang w:val="zh-CN"/>
        </w:rPr>
      </w:pPr>
      <w:r>
        <w:rPr>
          <w:i w:val="0"/>
          <w:iCs w:val="0"/>
          <w:color w:val="auto"/>
          <w:highlight w:val="none"/>
        </w:rPr>
        <w:t>3</w:t>
      </w:r>
      <w:r>
        <w:rPr>
          <w:rFonts w:hint="eastAsia"/>
          <w:i w:val="0"/>
          <w:iCs w:val="0"/>
          <w:color w:val="auto"/>
          <w:highlight w:val="none"/>
          <w:lang w:val="en-US" w:eastAsia="zh-CN"/>
        </w:rPr>
        <w:t>2</w:t>
      </w:r>
      <w:r>
        <w:rPr>
          <w:i w:val="0"/>
          <w:iCs w:val="0"/>
          <w:color w:val="auto"/>
          <w:highlight w:val="none"/>
        </w:rPr>
        <w:t>.2</w:t>
      </w:r>
      <w:r>
        <w:rPr>
          <w:rFonts w:hint="eastAsia"/>
          <w:i w:val="0"/>
          <w:iCs w:val="0"/>
          <w:color w:val="auto"/>
          <w:highlight w:val="none"/>
          <w:lang w:val="zh-CN"/>
        </w:rPr>
        <w:t>成交供应商拒绝签订政府采购合同的，采购人可以</w:t>
      </w:r>
      <w:r>
        <w:rPr>
          <w:rFonts w:hint="eastAsia"/>
          <w:i w:val="0"/>
          <w:iCs w:val="0"/>
          <w:color w:val="auto"/>
          <w:highlight w:val="none"/>
          <w:lang w:val="en-US" w:eastAsia="zh-CN"/>
        </w:rPr>
        <w:t>按照</w:t>
      </w:r>
      <w:r>
        <w:rPr>
          <w:rFonts w:hint="eastAsia"/>
          <w:i w:val="0"/>
          <w:iCs w:val="0"/>
          <w:color w:val="auto"/>
          <w:highlight w:val="none"/>
          <w:lang w:val="zh-CN"/>
        </w:rPr>
        <w:t>《政府采购竞争性磋商采购方式管理暂行办法》（财库</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2014</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bCs/>
          <w:i w:val="0"/>
          <w:iCs w:val="0"/>
          <w:color w:val="auto"/>
          <w:highlight w:val="none"/>
        </w:rPr>
        <w:t>.3</w:t>
      </w:r>
      <w:r>
        <w:rPr>
          <w:rFonts w:hint="eastAsia"/>
          <w:i w:val="0"/>
          <w:iCs w:val="0"/>
          <w:color w:val="auto"/>
          <w:highlight w:val="none"/>
        </w:rPr>
        <w:t>采购人和</w:t>
      </w:r>
      <w:r>
        <w:rPr>
          <w:rFonts w:hint="eastAsia"/>
          <w:i w:val="0"/>
          <w:iCs w:val="0"/>
          <w:color w:val="auto"/>
          <w:highlight w:val="none"/>
          <w:lang w:val="en-US" w:eastAsia="zh-CN"/>
        </w:rPr>
        <w:t>成交</w:t>
      </w:r>
      <w:r>
        <w:rPr>
          <w:rFonts w:hint="eastAsia"/>
          <w:i w:val="0"/>
          <w:iCs w:val="0"/>
          <w:color w:val="auto"/>
          <w:highlight w:val="none"/>
        </w:rPr>
        <w:t>供应商不得向对方提出任何不合理的要求，作为签订合同的条件，双方不得私下订立背离合同实质性内容的协议。</w:t>
      </w:r>
    </w:p>
    <w:p w14:paraId="0EC5E584">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32.4联合体成交的，联合体各方应当共同与采购人签订合同，就采购合同约定的事项向采购人承担连带责任。</w:t>
      </w:r>
    </w:p>
    <w:p w14:paraId="137E1005">
      <w:pPr>
        <w:pStyle w:val="35"/>
        <w:keepNext w:val="0"/>
        <w:keepLines w:val="0"/>
        <w:pageBreakBefore w:val="0"/>
        <w:widowControl w:val="0"/>
        <w:kinsoku/>
        <w:overflowPunct/>
        <w:topLinePunct w:val="0"/>
        <w:bidi w:val="0"/>
        <w:ind w:firstLine="480"/>
        <w:textAlignment w:val="auto"/>
        <w:rPr>
          <w:rFonts w:hint="eastAsia"/>
          <w:b/>
          <w:bCs/>
          <w:i w:val="0"/>
          <w:iCs w:val="0"/>
          <w:color w:val="auto"/>
          <w:highlight w:val="none"/>
          <w:lang w:val="en-US" w:eastAsia="zh-CN"/>
        </w:rPr>
      </w:pPr>
      <w:r>
        <w:rPr>
          <w:rFonts w:hint="eastAsia"/>
          <w:i w:val="0"/>
          <w:iCs w:val="0"/>
          <w:color w:val="auto"/>
          <w:highlight w:val="none"/>
          <w:lang w:val="en-US" w:eastAsia="zh-CN"/>
        </w:rPr>
        <w:t>32.5本项目的非主体、非关键性工作是否允许分包，见“供应商须知前附表”。</w:t>
      </w:r>
      <w:r>
        <w:rPr>
          <w:rFonts w:hint="eastAsia"/>
          <w:i w:val="0"/>
          <w:iCs w:val="0"/>
          <w:color w:val="auto"/>
          <w:highlight w:val="none"/>
        </w:rPr>
        <w:t>供应商未遵守竞争性磋商文件分包规定的，其</w:t>
      </w:r>
      <w:r>
        <w:rPr>
          <w:rFonts w:hint="eastAsia"/>
          <w:b/>
          <w:bCs/>
          <w:i w:val="0"/>
          <w:iCs w:val="0"/>
          <w:color w:val="auto"/>
          <w:highlight w:val="none"/>
        </w:rPr>
        <w:t>响应无效</w:t>
      </w:r>
      <w:r>
        <w:rPr>
          <w:rFonts w:hint="eastAsia"/>
          <w:i w:val="0"/>
          <w:iCs w:val="0"/>
          <w:color w:val="auto"/>
          <w:highlight w:val="none"/>
        </w:rPr>
        <w:t>。</w:t>
      </w:r>
      <w:r>
        <w:rPr>
          <w:rFonts w:hint="eastAsia"/>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b/>
          <w:bCs/>
          <w:i w:val="0"/>
          <w:iCs w:val="0"/>
          <w:color w:val="auto"/>
          <w:highlight w:val="none"/>
          <w:lang w:val="en-US" w:eastAsia="zh-CN"/>
        </w:rPr>
        <w:t>成交无效</w:t>
      </w:r>
      <w:r>
        <w:rPr>
          <w:rFonts w:hint="eastAsia"/>
          <w:i w:val="0"/>
          <w:iCs w:val="0"/>
          <w:color w:val="auto"/>
          <w:highlight w:val="none"/>
          <w:lang w:val="en-US" w:eastAsia="zh-CN"/>
        </w:rPr>
        <w:t>。成交供应商就采购项目和分包项目向采购人负责，分包供应商就分包项目承担责任。</w:t>
      </w:r>
      <w:r>
        <w:rPr>
          <w:rFonts w:hint="eastAsia"/>
          <w:b/>
          <w:bCs/>
          <w:i w:val="0"/>
          <w:iCs w:val="0"/>
          <w:color w:val="auto"/>
          <w:highlight w:val="none"/>
          <w:lang w:val="en-US" w:eastAsia="zh-CN"/>
        </w:rPr>
        <w:t>政府采购合同不能转包。</w:t>
      </w:r>
    </w:p>
    <w:p w14:paraId="0341BE1D">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采购合同履行中，采购人需追加与合同标的相同的</w:t>
      </w:r>
      <w:r>
        <w:rPr>
          <w:rFonts w:hint="eastAsia"/>
          <w:i w:val="0"/>
          <w:iCs w:val="0"/>
          <w:color w:val="auto"/>
          <w:highlight w:val="none"/>
          <w:lang w:val="en-US" w:eastAsia="zh-CN"/>
        </w:rPr>
        <w:t>货物、工程或者服务</w:t>
      </w:r>
      <w:r>
        <w:rPr>
          <w:rFonts w:hint="eastAsia"/>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32.7</w:t>
      </w:r>
      <w:r>
        <w:rPr>
          <w:rFonts w:hint="eastAsia" w:ascii="宋体" w:hAnsi="宋体" w:eastAsia="宋体"/>
          <w:i w:val="0"/>
          <w:iCs w:val="0"/>
          <w:color w:val="auto"/>
          <w:highlight w:val="none"/>
          <w:lang w:val="en-US" w:eastAsia="zh-CN"/>
        </w:rPr>
        <w:t>采购人应于签订合同之日起2个工作日内在政采云平台备案公示。</w:t>
      </w:r>
    </w:p>
    <w:bookmarkEnd w:id="239"/>
    <w:p w14:paraId="4252B45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2" w:name="_Toc109900404"/>
      <w:bookmarkStart w:id="253" w:name="_Toc46771673"/>
      <w:bookmarkStart w:id="254" w:name="_Toc163493618"/>
      <w:bookmarkStart w:id="255" w:name="_Toc109899985"/>
      <w:bookmarkStart w:id="256" w:name="_Toc109897467"/>
      <w:bookmarkStart w:id="257" w:name="_Toc109899566"/>
      <w:bookmarkStart w:id="258" w:name="_Toc470172693"/>
      <w:r>
        <w:rPr>
          <w:rFonts w:hint="eastAsia" w:ascii="宋体" w:hAnsi="宋体" w:eastAsia="宋体" w:cs="宋体"/>
          <w:b/>
          <w:bCs/>
          <w:color w:val="auto"/>
          <w:kern w:val="2"/>
          <w:sz w:val="24"/>
          <w:szCs w:val="24"/>
          <w:highlight w:val="none"/>
          <w:lang w:val="en-US" w:eastAsia="zh-CN" w:bidi="ar-SA"/>
        </w:rPr>
        <w:t>（十）质疑和投诉</w:t>
      </w:r>
      <w:bookmarkEnd w:id="252"/>
      <w:bookmarkEnd w:id="253"/>
      <w:bookmarkEnd w:id="254"/>
      <w:bookmarkEnd w:id="255"/>
      <w:bookmarkEnd w:id="256"/>
      <w:bookmarkEnd w:id="257"/>
    </w:p>
    <w:p w14:paraId="000ACFE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59" w:name="_Toc48846143"/>
      <w:bookmarkStart w:id="260" w:name="_Toc109899567"/>
      <w:bookmarkStart w:id="261" w:name="_Toc51674245"/>
      <w:bookmarkStart w:id="262" w:name="_Toc48688823"/>
      <w:bookmarkStart w:id="263" w:name="_Toc52962761"/>
      <w:bookmarkStart w:id="264" w:name="_Toc46772275"/>
      <w:bookmarkStart w:id="265" w:name="_Toc109900405"/>
      <w:bookmarkStart w:id="266" w:name="_Toc109899986"/>
      <w:bookmarkStart w:id="267" w:name="_Toc109897468"/>
      <w:bookmarkStart w:id="268" w:name="_Toc46771674"/>
      <w:bookmarkStart w:id="269" w:name="_Toc52960587"/>
      <w:r>
        <w:rPr>
          <w:rFonts w:hint="eastAsia" w:ascii="宋体" w:hAnsi="宋体" w:eastAsia="宋体" w:cs="宋体"/>
          <w:b/>
          <w:bCs/>
          <w:color w:val="auto"/>
          <w:kern w:val="2"/>
          <w:sz w:val="24"/>
          <w:szCs w:val="24"/>
          <w:highlight w:val="none"/>
          <w:lang w:val="en-US" w:eastAsia="zh-CN" w:bidi="ar-SA"/>
        </w:rPr>
        <w:t>33.质疑</w:t>
      </w:r>
      <w:bookmarkEnd w:id="259"/>
      <w:bookmarkEnd w:id="260"/>
      <w:bookmarkEnd w:id="261"/>
      <w:bookmarkEnd w:id="262"/>
      <w:bookmarkEnd w:id="263"/>
      <w:bookmarkEnd w:id="264"/>
      <w:bookmarkEnd w:id="265"/>
      <w:bookmarkEnd w:id="266"/>
      <w:bookmarkEnd w:id="267"/>
      <w:bookmarkEnd w:id="268"/>
      <w:bookmarkEnd w:id="269"/>
    </w:p>
    <w:p w14:paraId="097AA162">
      <w:pPr>
        <w:pStyle w:val="35"/>
        <w:keepNext w:val="0"/>
        <w:keepLines w:val="0"/>
        <w:pageBreakBefore w:val="0"/>
        <w:widowControl w:val="0"/>
        <w:kinsoku/>
        <w:overflowPunct/>
        <w:topLinePunct w:val="0"/>
        <w:autoSpaceDE/>
        <w:autoSpaceDN/>
        <w:bidi w:val="0"/>
        <w:adjustRightInd/>
        <w:textAlignment w:val="auto"/>
        <w:rPr>
          <w:rFonts w:hint="default"/>
          <w:i w:val="0"/>
          <w:iCs w:val="0"/>
          <w:color w:val="auto"/>
          <w:highlight w:val="none"/>
          <w:lang w:val="en-US" w:eastAsia="zh-CN"/>
        </w:rPr>
      </w:pPr>
      <w:r>
        <w:rPr>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lang w:val="zh-CN"/>
        </w:rPr>
        <w:t>.1</w:t>
      </w:r>
      <w:r>
        <w:rPr>
          <w:rFonts w:hint="eastAsia"/>
          <w:i w:val="0"/>
          <w:iCs w:val="0"/>
          <w:color w:val="auto"/>
          <w:highlight w:val="none"/>
        </w:rPr>
        <w:t>供应商认为</w:t>
      </w:r>
      <w:r>
        <w:rPr>
          <w:rFonts w:hint="eastAsia"/>
          <w:i w:val="0"/>
          <w:iCs w:val="0"/>
          <w:color w:val="auto"/>
          <w:highlight w:val="none"/>
          <w:lang w:eastAsia="zh-CN"/>
        </w:rPr>
        <w:t>磋商</w:t>
      </w:r>
      <w:r>
        <w:rPr>
          <w:rFonts w:hint="eastAsia"/>
          <w:i w:val="0"/>
          <w:iCs w:val="0"/>
          <w:color w:val="auto"/>
          <w:highlight w:val="none"/>
        </w:rPr>
        <w:t>文件、</w:t>
      </w:r>
      <w:r>
        <w:rPr>
          <w:rFonts w:hint="eastAsia"/>
          <w:i w:val="0"/>
          <w:iCs w:val="0"/>
          <w:color w:val="auto"/>
          <w:highlight w:val="none"/>
          <w:lang w:eastAsia="zh-CN"/>
        </w:rPr>
        <w:t>评审</w:t>
      </w:r>
      <w:r>
        <w:rPr>
          <w:rFonts w:hint="eastAsia"/>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i w:val="0"/>
          <w:iCs w:val="0"/>
          <w:color w:val="auto"/>
          <w:highlight w:val="none"/>
          <w:lang w:eastAsia="zh-CN"/>
        </w:rPr>
        <w:t>，</w:t>
      </w:r>
      <w:r>
        <w:rPr>
          <w:rFonts w:hint="eastAsia"/>
          <w:i w:val="0"/>
          <w:iCs w:val="0"/>
          <w:color w:val="auto"/>
          <w:highlight w:val="none"/>
          <w:lang w:val="en-US" w:eastAsia="zh-CN"/>
        </w:rPr>
        <w:t>详见“供应商须知前附表”</w:t>
      </w:r>
      <w:r>
        <w:rPr>
          <w:rFonts w:hint="eastAsia"/>
          <w:i w:val="0"/>
          <w:iCs w:val="0"/>
          <w:color w:val="auto"/>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3</w:t>
      </w:r>
      <w:r>
        <w:rPr>
          <w:rFonts w:hint="eastAsia"/>
          <w:i w:val="0"/>
          <w:iCs w:val="0"/>
          <w:color w:val="auto"/>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33.3</w:t>
      </w:r>
      <w:r>
        <w:rPr>
          <w:rFonts w:hint="eastAsia"/>
          <w:i w:val="0"/>
          <w:iCs w:val="0"/>
          <w:color w:val="auto"/>
          <w:highlight w:val="none"/>
        </w:rPr>
        <w:t>潜在供应商已依法获取其可质疑的</w:t>
      </w:r>
      <w:r>
        <w:rPr>
          <w:rFonts w:hint="eastAsia"/>
          <w:i w:val="0"/>
          <w:iCs w:val="0"/>
          <w:color w:val="auto"/>
          <w:highlight w:val="none"/>
          <w:lang w:eastAsia="zh-CN"/>
        </w:rPr>
        <w:t>磋商</w:t>
      </w:r>
      <w:r>
        <w:rPr>
          <w:rFonts w:hint="eastAsia"/>
          <w:i w:val="0"/>
          <w:iCs w:val="0"/>
          <w:color w:val="auto"/>
          <w:highlight w:val="none"/>
        </w:rPr>
        <w:t>文件的，可以对该文件提出质疑。对</w:t>
      </w:r>
      <w:r>
        <w:rPr>
          <w:rFonts w:hint="eastAsia"/>
          <w:i w:val="0"/>
          <w:iCs w:val="0"/>
          <w:color w:val="auto"/>
          <w:highlight w:val="none"/>
          <w:lang w:eastAsia="zh-CN"/>
        </w:rPr>
        <w:t>磋商</w:t>
      </w:r>
      <w:r>
        <w:rPr>
          <w:rFonts w:hint="eastAsia"/>
          <w:i w:val="0"/>
          <w:iCs w:val="0"/>
          <w:color w:val="auto"/>
          <w:highlight w:val="none"/>
        </w:rPr>
        <w:t>文件提出质疑的，应当在获取</w:t>
      </w:r>
      <w:r>
        <w:rPr>
          <w:rFonts w:hint="eastAsia"/>
          <w:i w:val="0"/>
          <w:iCs w:val="0"/>
          <w:color w:val="auto"/>
          <w:highlight w:val="none"/>
          <w:lang w:eastAsia="zh-CN"/>
        </w:rPr>
        <w:t>磋商</w:t>
      </w:r>
      <w:r>
        <w:rPr>
          <w:rFonts w:hint="eastAsia"/>
          <w:i w:val="0"/>
          <w:iCs w:val="0"/>
          <w:color w:val="auto"/>
          <w:highlight w:val="none"/>
        </w:rPr>
        <w:t>文件或者</w:t>
      </w:r>
      <w:r>
        <w:rPr>
          <w:rFonts w:hint="eastAsia"/>
          <w:i w:val="0"/>
          <w:iCs w:val="0"/>
          <w:color w:val="auto"/>
          <w:highlight w:val="none"/>
          <w:lang w:eastAsia="zh-CN"/>
        </w:rPr>
        <w:t>磋商</w:t>
      </w:r>
      <w:r>
        <w:rPr>
          <w:rFonts w:hint="eastAsia"/>
          <w:i w:val="0"/>
          <w:iCs w:val="0"/>
          <w:color w:val="auto"/>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33.4</w:t>
      </w:r>
      <w:r>
        <w:rPr>
          <w:rFonts w:hint="eastAsia"/>
          <w:i w:val="0"/>
          <w:iCs w:val="0"/>
          <w:color w:val="auto"/>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）质疑项目的名称、编号；</w:t>
      </w:r>
    </w:p>
    <w:p w14:paraId="1AA8BB7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D032AB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）必要的法律依据；</w:t>
      </w:r>
    </w:p>
    <w:p w14:paraId="2E14DE4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）提出质疑的日期。</w:t>
      </w:r>
    </w:p>
    <w:p w14:paraId="553B627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.5质疑函不符合上述要求的，采购人或代理机构应书面告知具体事项，质疑人应当按要求进行修改或补充，并在质疑有效期限内提交。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rPr>
        <w:t>.</w:t>
      </w:r>
      <w:r>
        <w:rPr>
          <w:rFonts w:hint="eastAsia"/>
          <w:i w:val="0"/>
          <w:iCs w:val="0"/>
          <w:snapToGrid w:val="0"/>
          <w:color w:val="auto"/>
          <w:highlight w:val="none"/>
          <w:lang w:val="en-US" w:eastAsia="zh-CN"/>
        </w:rPr>
        <w:t>6供应商</w:t>
      </w:r>
      <w:r>
        <w:rPr>
          <w:rFonts w:hint="eastAsia"/>
          <w:i w:val="0"/>
          <w:iCs w:val="0"/>
          <w:snapToGrid w:val="0"/>
          <w:color w:val="auto"/>
          <w:highlight w:val="none"/>
        </w:rPr>
        <w:t>进行虚假和恶意</w:t>
      </w:r>
      <w:r>
        <w:rPr>
          <w:rFonts w:hint="eastAsia"/>
          <w:i w:val="0"/>
          <w:iCs w:val="0"/>
          <w:snapToGrid w:val="0"/>
          <w:color w:val="auto"/>
          <w:highlight w:val="none"/>
          <w:lang w:val="en-US" w:eastAsia="zh-CN"/>
        </w:rPr>
        <w:t>质疑投诉</w:t>
      </w:r>
      <w:r>
        <w:rPr>
          <w:rFonts w:hint="eastAsia"/>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lang w:val="en-US" w:eastAsia="zh-CN"/>
        </w:rPr>
        <w:t>33.7</w:t>
      </w:r>
      <w:r>
        <w:rPr>
          <w:rFonts w:hint="eastAsia"/>
          <w:i w:val="0"/>
          <w:iCs w:val="0"/>
          <w:color w:val="auto"/>
          <w:highlight w:val="none"/>
        </w:rPr>
        <w:t>质疑函</w:t>
      </w:r>
      <w:r>
        <w:rPr>
          <w:rFonts w:hint="eastAsia"/>
          <w:i w:val="0"/>
          <w:iCs w:val="0"/>
          <w:color w:val="auto"/>
          <w:highlight w:val="none"/>
          <w:lang w:val="en-US" w:eastAsia="zh-CN"/>
        </w:rPr>
        <w:t>应当使用中文，并采用财政部门制定的范本。</w:t>
      </w:r>
    </w:p>
    <w:p w14:paraId="007DBE4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0" w:name="_Toc48846144"/>
      <w:bookmarkStart w:id="271" w:name="_Toc48688824"/>
      <w:bookmarkStart w:id="272" w:name="_Toc46771675"/>
      <w:bookmarkStart w:id="273" w:name="_Toc52960588"/>
      <w:bookmarkStart w:id="274" w:name="_Toc109899568"/>
      <w:bookmarkStart w:id="275" w:name="_Toc109899987"/>
      <w:bookmarkStart w:id="276" w:name="_Toc109900406"/>
      <w:bookmarkStart w:id="277" w:name="_Toc52962762"/>
      <w:bookmarkStart w:id="278" w:name="_Toc109897469"/>
      <w:bookmarkStart w:id="279" w:name="_Toc51674246"/>
      <w:bookmarkStart w:id="280" w:name="_Toc46772276"/>
      <w:r>
        <w:rPr>
          <w:rFonts w:hint="eastAsia" w:ascii="宋体" w:hAnsi="宋体" w:eastAsia="宋体" w:cs="宋体"/>
          <w:b/>
          <w:bCs/>
          <w:color w:val="auto"/>
          <w:kern w:val="2"/>
          <w:sz w:val="24"/>
          <w:szCs w:val="24"/>
          <w:highlight w:val="none"/>
          <w:lang w:val="en-US" w:eastAsia="zh-CN" w:bidi="ar-SA"/>
        </w:rPr>
        <w:t>34.质疑答复</w:t>
      </w:r>
      <w:bookmarkEnd w:id="270"/>
      <w:bookmarkEnd w:id="271"/>
      <w:bookmarkEnd w:id="272"/>
      <w:bookmarkEnd w:id="273"/>
      <w:bookmarkEnd w:id="274"/>
      <w:bookmarkEnd w:id="275"/>
      <w:bookmarkEnd w:id="276"/>
      <w:bookmarkEnd w:id="277"/>
      <w:bookmarkEnd w:id="278"/>
      <w:bookmarkEnd w:id="279"/>
      <w:bookmarkEnd w:id="280"/>
    </w:p>
    <w:p w14:paraId="43D7F91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i w:val="0"/>
          <w:iCs w:val="0"/>
          <w:snapToGrid w:val="0"/>
          <w:color w:val="auto"/>
          <w:highlight w:val="none"/>
        </w:rPr>
        <w:t>3</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w:t>
      </w:r>
      <w:r>
        <w:rPr>
          <w:rFonts w:hint="eastAsia" w:ascii="宋体" w:hAnsi="宋体" w:eastAsia="宋体"/>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textAlignment w:val="auto"/>
        <w:rPr>
          <w:rFonts w:hint="default"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34.2供应商对评审过程、成交结果提出质疑的，采购人、采购代理机构可以组织原竞争性磋商小组协助答复质疑。</w:t>
      </w:r>
    </w:p>
    <w:p w14:paraId="14E02A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1</w:t>
      </w:r>
      <w:r>
        <w:rPr>
          <w:rFonts w:hint="eastAsia" w:ascii="宋体" w:hAnsi="宋体" w:eastAsia="宋体"/>
          <w:i w:val="0"/>
          <w:iCs w:val="0"/>
          <w:color w:val="auto"/>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2</w:t>
      </w:r>
      <w:r>
        <w:rPr>
          <w:rFonts w:hint="eastAsia" w:ascii="宋体" w:hAnsi="宋体" w:eastAsia="宋体"/>
          <w:i w:val="0"/>
          <w:iCs w:val="0"/>
          <w:color w:val="auto"/>
          <w:highlight w:val="none"/>
          <w:lang w:val="zh-CN" w:eastAsia="zh-CN"/>
        </w:rPr>
        <w:t>）收到质疑函的日期、质疑项目名称及编号；</w:t>
      </w:r>
    </w:p>
    <w:p w14:paraId="18D7215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3</w:t>
      </w:r>
      <w:r>
        <w:rPr>
          <w:rFonts w:hint="eastAsia" w:ascii="宋体" w:hAnsi="宋体" w:eastAsia="宋体"/>
          <w:i w:val="0"/>
          <w:iCs w:val="0"/>
          <w:color w:val="auto"/>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4</w:t>
      </w:r>
      <w:r>
        <w:rPr>
          <w:rFonts w:hint="eastAsia" w:ascii="宋体" w:hAnsi="宋体" w:eastAsia="宋体"/>
          <w:i w:val="0"/>
          <w:iCs w:val="0"/>
          <w:color w:val="auto"/>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5</w:t>
      </w:r>
      <w:r>
        <w:rPr>
          <w:rFonts w:hint="eastAsia" w:ascii="宋体" w:hAnsi="宋体" w:eastAsia="宋体"/>
          <w:i w:val="0"/>
          <w:iCs w:val="0"/>
          <w:color w:val="auto"/>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en-US" w:eastAsia="zh-CN"/>
        </w:rPr>
        <w:t>34.3</w:t>
      </w:r>
      <w:r>
        <w:rPr>
          <w:rFonts w:hint="eastAsia" w:ascii="宋体" w:hAnsi="宋体" w:eastAsia="宋体"/>
          <w:i w:val="0"/>
          <w:iCs w:val="0"/>
          <w:color w:val="auto"/>
          <w:highlight w:val="none"/>
          <w:lang w:val="zh-CN" w:eastAsia="zh-CN"/>
        </w:rPr>
        <w:t>质疑答复的内容不得涉及商业秘密。</w:t>
      </w:r>
    </w:p>
    <w:p w14:paraId="64A43DE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35.投诉</w:t>
      </w:r>
    </w:p>
    <w:p w14:paraId="34C5EAA0">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35.1</w:t>
      </w:r>
      <w:r>
        <w:rPr>
          <w:rFonts w:hint="eastAsia"/>
          <w:i w:val="0"/>
          <w:iCs w:val="0"/>
          <w:color w:val="auto"/>
          <w:highlight w:val="none"/>
        </w:rPr>
        <w:t>质疑供应商对采购人、采购代理机构的答复不满意，或者采购人、采购代理机构未在规定时间内作出答复的，可以在答复期满后15个工作日内向</w:t>
      </w:r>
      <w:r>
        <w:rPr>
          <w:rFonts w:hint="eastAsia"/>
          <w:i w:val="0"/>
          <w:iCs w:val="0"/>
          <w:color w:val="auto"/>
          <w:highlight w:val="none"/>
          <w:lang w:val="en-US" w:eastAsia="zh-CN"/>
        </w:rPr>
        <w:t>同级政府采购监督管理部门</w:t>
      </w:r>
      <w:r>
        <w:rPr>
          <w:rFonts w:hint="eastAsia"/>
          <w:i w:val="0"/>
          <w:iCs w:val="0"/>
          <w:color w:val="auto"/>
          <w:highlight w:val="none"/>
        </w:rPr>
        <w:t>提起投诉。</w:t>
      </w:r>
    </w:p>
    <w:p w14:paraId="7AE3C0F6">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35.2</w:t>
      </w:r>
      <w:r>
        <w:rPr>
          <w:rFonts w:hint="eastAsia"/>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CFD3E0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）法律依据；</w:t>
      </w:r>
    </w:p>
    <w:p w14:paraId="35FA6A4A">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）提起投诉的日期。</w:t>
      </w:r>
    </w:p>
    <w:p w14:paraId="4FC7C3A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textAlignment w:val="auto"/>
        <w:rPr>
          <w:rFonts w:hint="eastAsia"/>
          <w:bCs/>
          <w:i w:val="0"/>
          <w:iCs w:val="0"/>
          <w:color w:val="auto"/>
          <w:highlight w:val="none"/>
        </w:rPr>
      </w:pPr>
      <w:r>
        <w:rPr>
          <w:rFonts w:hint="eastAsia"/>
          <w:i w:val="0"/>
          <w:iCs w:val="0"/>
          <w:color w:val="auto"/>
          <w:highlight w:val="none"/>
          <w:lang w:val="en-US" w:eastAsia="zh-CN"/>
        </w:rPr>
        <w:t>35.3</w:t>
      </w:r>
      <w:r>
        <w:rPr>
          <w:rFonts w:hint="eastAsia"/>
          <w:i w:val="0"/>
          <w:iCs w:val="0"/>
          <w:color w:val="auto"/>
          <w:highlight w:val="none"/>
        </w:rPr>
        <w:t>供应商</w:t>
      </w:r>
      <w:r>
        <w:rPr>
          <w:rFonts w:hint="eastAsia"/>
          <w:i w:val="0"/>
          <w:iCs w:val="0"/>
          <w:color w:val="auto"/>
          <w:highlight w:val="none"/>
          <w:lang w:val="en-US" w:eastAsia="zh-CN"/>
        </w:rPr>
        <w:t>质疑、</w:t>
      </w:r>
      <w:r>
        <w:rPr>
          <w:rFonts w:hint="eastAsia"/>
          <w:i w:val="0"/>
          <w:iCs w:val="0"/>
          <w:color w:val="auto"/>
          <w:highlight w:val="none"/>
        </w:rPr>
        <w:t>投诉</w:t>
      </w:r>
      <w:r>
        <w:rPr>
          <w:rFonts w:hint="eastAsia"/>
          <w:i w:val="0"/>
          <w:iCs w:val="0"/>
          <w:color w:val="auto"/>
          <w:highlight w:val="none"/>
          <w:lang w:val="en-US" w:eastAsia="zh-CN"/>
        </w:rPr>
        <w:t>应当有明确的请求和必要的证明材料</w:t>
      </w:r>
      <w:r>
        <w:rPr>
          <w:rFonts w:hint="eastAsia"/>
          <w:i w:val="0"/>
          <w:iCs w:val="0"/>
          <w:color w:val="auto"/>
          <w:highlight w:val="none"/>
          <w:lang w:eastAsia="zh-CN"/>
        </w:rPr>
        <w:t>。</w:t>
      </w:r>
      <w:r>
        <w:rPr>
          <w:rFonts w:hint="eastAsia"/>
          <w:i w:val="0"/>
          <w:iCs w:val="0"/>
          <w:color w:val="auto"/>
          <w:highlight w:val="none"/>
        </w:rPr>
        <w:t>供应商投诉的事项不得超出</w:t>
      </w:r>
      <w:r>
        <w:rPr>
          <w:rFonts w:hint="eastAsia"/>
          <w:i w:val="0"/>
          <w:iCs w:val="0"/>
          <w:color w:val="auto"/>
          <w:highlight w:val="none"/>
          <w:lang w:val="en-US" w:eastAsia="zh-CN"/>
        </w:rPr>
        <w:t>已</w:t>
      </w:r>
      <w:r>
        <w:rPr>
          <w:rFonts w:hint="eastAsia"/>
          <w:i w:val="0"/>
          <w:iCs w:val="0"/>
          <w:color w:val="auto"/>
          <w:highlight w:val="none"/>
        </w:rPr>
        <w:t>质疑事项的范围，但基于质疑答复内容提出的投诉事项除外</w:t>
      </w:r>
      <w:r>
        <w:rPr>
          <w:rFonts w:hint="eastAsia"/>
          <w:bCs/>
          <w:i w:val="0"/>
          <w:iCs w:val="0"/>
          <w:color w:val="auto"/>
          <w:highlight w:val="none"/>
        </w:rPr>
        <w:t>。</w:t>
      </w:r>
    </w:p>
    <w:p w14:paraId="6BEA34E3">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i w:val="0"/>
          <w:iCs w:val="0"/>
          <w:snapToGrid w:val="0"/>
          <w:color w:val="auto"/>
          <w:highlight w:val="none"/>
          <w:lang w:val="en-US" w:eastAsia="zh-CN"/>
        </w:rPr>
        <w:t>35.4</w:t>
      </w:r>
      <w:r>
        <w:rPr>
          <w:rFonts w:hint="eastAsia"/>
          <w:i w:val="0"/>
          <w:iCs w:val="0"/>
          <w:color w:val="auto"/>
          <w:highlight w:val="none"/>
          <w:lang w:val="en-US" w:eastAsia="zh-CN"/>
        </w:rPr>
        <w:t>投诉书应当使用中文，并采用财政部门制定的范本。</w:t>
      </w:r>
    </w:p>
    <w:bookmarkEnd w:id="23"/>
    <w:bookmarkEnd w:id="258"/>
    <w:p w14:paraId="072EB10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1" w:name="_Toc163493619"/>
      <w:bookmarkStart w:id="282" w:name="_Toc109897471"/>
      <w:bookmarkStart w:id="283" w:name="_Toc109899989"/>
      <w:bookmarkStart w:id="284" w:name="_Toc109899570"/>
      <w:bookmarkStart w:id="285" w:name="_Hlk60570485"/>
      <w:bookmarkStart w:id="286" w:name="_Toc109900408"/>
      <w:r>
        <w:rPr>
          <w:rFonts w:hint="eastAsia" w:ascii="宋体" w:hAnsi="宋体" w:eastAsia="宋体" w:cs="宋体"/>
          <w:b/>
          <w:bCs/>
          <w:color w:val="auto"/>
          <w:kern w:val="2"/>
          <w:sz w:val="24"/>
          <w:szCs w:val="24"/>
          <w:highlight w:val="none"/>
          <w:lang w:val="en-US" w:eastAsia="zh-CN" w:bidi="ar-SA"/>
        </w:rPr>
        <w:t>（十一）采购代理服务费</w:t>
      </w:r>
      <w:bookmarkEnd w:id="281"/>
    </w:p>
    <w:p w14:paraId="3283230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36.收取方式和标准</w:t>
      </w:r>
    </w:p>
    <w:p w14:paraId="0F0CA960">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6</w:t>
      </w:r>
      <w:r>
        <w:rPr>
          <w:rFonts w:hint="eastAsia"/>
          <w:i w:val="0"/>
          <w:iCs w:val="0"/>
          <w:color w:val="auto"/>
          <w:highlight w:val="none"/>
        </w:rPr>
        <w:t>.1采购代理机构按“供应商须知前附表”规定的方式和标准收取采购代理服务费。</w:t>
      </w:r>
    </w:p>
    <w:p w14:paraId="5E6F96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287"/>
    </w:p>
    <w:p w14:paraId="02780A3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8" w:name="_Toc140132806"/>
      <w:bookmarkStart w:id="289" w:name="_Toc161600338"/>
      <w:r>
        <w:rPr>
          <w:rFonts w:hint="eastAsia" w:ascii="宋体" w:hAnsi="宋体" w:eastAsia="宋体" w:cs="宋体"/>
          <w:b/>
          <w:bCs/>
          <w:color w:val="auto"/>
          <w:kern w:val="2"/>
          <w:sz w:val="24"/>
          <w:szCs w:val="24"/>
          <w:highlight w:val="none"/>
          <w:lang w:val="en-US" w:eastAsia="zh-CN" w:bidi="ar-SA"/>
        </w:rPr>
        <w:t>37.无效</w:t>
      </w:r>
      <w:bookmarkEnd w:id="288"/>
      <w:bookmarkEnd w:id="289"/>
      <w:r>
        <w:rPr>
          <w:rFonts w:hint="eastAsia" w:ascii="宋体" w:hAnsi="宋体" w:eastAsia="宋体" w:cs="宋体"/>
          <w:b/>
          <w:bCs/>
          <w:color w:val="auto"/>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7</w:t>
      </w:r>
      <w:r>
        <w:rPr>
          <w:rFonts w:hint="eastAsia"/>
          <w:i w:val="0"/>
          <w:iCs w:val="0"/>
          <w:color w:val="auto"/>
          <w:highlight w:val="none"/>
        </w:rPr>
        <w:t>.1响应文件存在“第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评审方法及标准”规定的</w:t>
      </w:r>
      <w:r>
        <w:rPr>
          <w:rFonts w:hint="eastAsia"/>
          <w:b/>
          <w:bCs/>
          <w:i w:val="0"/>
          <w:iCs w:val="0"/>
          <w:color w:val="auto"/>
          <w:highlight w:val="none"/>
        </w:rPr>
        <w:t>响应无效</w:t>
      </w:r>
      <w:r>
        <w:rPr>
          <w:rFonts w:hint="eastAsia"/>
          <w:i w:val="0"/>
          <w:iCs w:val="0"/>
          <w:color w:val="auto"/>
          <w:highlight w:val="none"/>
        </w:rPr>
        <w:t>情形的，做</w:t>
      </w:r>
      <w:r>
        <w:rPr>
          <w:rFonts w:hint="eastAsia"/>
          <w:b/>
          <w:bCs/>
          <w:i w:val="0"/>
          <w:iCs w:val="0"/>
          <w:color w:val="auto"/>
          <w:highlight w:val="none"/>
        </w:rPr>
        <w:t>无效响应</w:t>
      </w:r>
      <w:r>
        <w:rPr>
          <w:rFonts w:hint="eastAsia"/>
          <w:i w:val="0"/>
          <w:iCs w:val="0"/>
          <w:color w:val="auto"/>
          <w:highlight w:val="none"/>
        </w:rPr>
        <w:t>处理。</w:t>
      </w:r>
    </w:p>
    <w:p w14:paraId="631C56D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38.终止采购活动</w:t>
      </w:r>
    </w:p>
    <w:p w14:paraId="65CAB1F7">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lang w:val="en-US" w:eastAsia="zh-CN"/>
        </w:rPr>
        <w:t>38</w:t>
      </w:r>
      <w:r>
        <w:rPr>
          <w:rFonts w:hint="eastAsia"/>
          <w:i w:val="0"/>
          <w:iCs w:val="0"/>
          <w:color w:val="auto"/>
          <w:highlight w:val="none"/>
        </w:rPr>
        <w:t>.1出现下列情形之一的，应当终止竞争性磋商采购活动，发布项目终止公告并说明原因，重新开展采购活动：</w:t>
      </w:r>
    </w:p>
    <w:p w14:paraId="3F03AB90">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（1）因情况变化，不再符合规定的竞争性磋商采购方式适用情形的；</w:t>
      </w:r>
    </w:p>
    <w:p w14:paraId="34F0BDE0">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（2）出现影响采购公正的违法、违规行为的；</w:t>
      </w:r>
    </w:p>
    <w:p w14:paraId="3EDE2978">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（3）在采购过程中符合要求的供应商或者报价未超过采购预算的供应商不足</w:t>
      </w:r>
      <w:r>
        <w:rPr>
          <w:i w:val="0"/>
          <w:iCs w:val="0"/>
          <w:color w:val="auto"/>
          <w:highlight w:val="none"/>
        </w:rPr>
        <w:t>3家的（市场竞争不充分的科研项目、需要扶持的科技成果转化项目以及政府购买服务项目&lt;含政府和社会资本合作项目&gt;）的</w:t>
      </w:r>
      <w:r>
        <w:rPr>
          <w:rFonts w:hint="eastAsia"/>
          <w:i w:val="0"/>
          <w:iCs w:val="0"/>
          <w:color w:val="auto"/>
          <w:highlight w:val="none"/>
        </w:rPr>
        <w:t>提交最后报价的供应商</w:t>
      </w:r>
      <w:r>
        <w:rPr>
          <w:i w:val="0"/>
          <w:iCs w:val="0"/>
          <w:color w:val="auto"/>
          <w:highlight w:val="none"/>
        </w:rPr>
        <w:t>可以为2家）</w:t>
      </w:r>
      <w:r>
        <w:rPr>
          <w:rFonts w:hint="eastAsia"/>
          <w:i w:val="0"/>
          <w:iCs w:val="0"/>
          <w:color w:val="auto"/>
          <w:highlight w:val="none"/>
        </w:rPr>
        <w:t>。</w:t>
      </w:r>
    </w:p>
    <w:p w14:paraId="62A80F80">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0" w:name="_Toc161600340"/>
      <w:bookmarkStart w:id="291" w:name="_Toc140132766"/>
      <w:bookmarkStart w:id="292" w:name="_Toc163493621"/>
      <w:r>
        <w:rPr>
          <w:rFonts w:hint="eastAsia" w:ascii="宋体" w:hAnsi="宋体" w:eastAsia="宋体" w:cs="宋体"/>
          <w:b/>
          <w:bCs/>
          <w:color w:val="auto"/>
          <w:kern w:val="2"/>
          <w:sz w:val="24"/>
          <w:szCs w:val="24"/>
          <w:highlight w:val="none"/>
          <w:lang w:val="en-US" w:eastAsia="zh-CN" w:bidi="ar-SA"/>
        </w:rPr>
        <w:t>（十三）落实政府采购政策</w:t>
      </w:r>
      <w:bookmarkEnd w:id="290"/>
      <w:bookmarkEnd w:id="291"/>
      <w:bookmarkEnd w:id="292"/>
      <w:r>
        <w:rPr>
          <w:rFonts w:hint="eastAsia" w:ascii="宋体" w:hAnsi="宋体" w:eastAsia="宋体" w:cs="宋体"/>
          <w:b/>
          <w:bCs/>
          <w:color w:val="auto"/>
          <w:kern w:val="2"/>
          <w:sz w:val="24"/>
          <w:szCs w:val="24"/>
          <w:highlight w:val="none"/>
          <w:lang w:val="en-US" w:eastAsia="zh-CN" w:bidi="ar-SA"/>
        </w:rPr>
        <w:t>（包括但不限于下列具体政策要求）</w:t>
      </w:r>
    </w:p>
    <w:p w14:paraId="1F7E860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3" w:name="_Toc161600342"/>
      <w:r>
        <w:rPr>
          <w:rFonts w:hint="eastAsia" w:ascii="宋体" w:hAnsi="宋体" w:eastAsia="宋体" w:cs="宋体"/>
          <w:b/>
          <w:bCs/>
          <w:color w:val="auto"/>
          <w:kern w:val="2"/>
          <w:sz w:val="24"/>
          <w:szCs w:val="24"/>
          <w:highlight w:val="none"/>
          <w:lang w:val="en-US" w:eastAsia="zh-CN" w:bidi="ar-SA"/>
        </w:rPr>
        <w:t>39.中小企业、监狱企业及残疾人福利性单位</w:t>
      </w:r>
      <w:bookmarkEnd w:id="293"/>
    </w:p>
    <w:p w14:paraId="35BD2DE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eastAsia"/>
          <w:i w:val="0"/>
          <w:iCs w:val="0"/>
          <w:snapToGrid w:val="0"/>
          <w:color w:val="auto"/>
          <w:highlight w:val="none"/>
        </w:rPr>
        <w:t>.1</w:t>
      </w:r>
      <w:r>
        <w:rPr>
          <w:rFonts w:hint="eastAsia"/>
          <w:i w:val="0"/>
          <w:iCs w:val="0"/>
          <w:snapToGrid w:val="0"/>
          <w:color w:val="auto"/>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i w:val="0"/>
          <w:iCs w:val="0"/>
          <w:snapToGrid w:val="0"/>
          <w:color w:val="auto"/>
          <w:highlight w:val="none"/>
          <w:lang w:val="en-US" w:eastAsia="zh-CN"/>
        </w:rPr>
        <w:t>2022</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19 </w:t>
      </w:r>
      <w:r>
        <w:rPr>
          <w:rFonts w:hint="eastAsia"/>
          <w:i w:val="0"/>
          <w:iCs w:val="0"/>
          <w:snapToGrid w:val="0"/>
          <w:color w:val="auto"/>
          <w:highlight w:val="none"/>
          <w:lang w:val="en-US" w:eastAsia="zh-CN"/>
        </w:rPr>
        <w:t>号）、《政府采购促进中小企业发展管理办法》（财库〔</w:t>
      </w:r>
      <w:r>
        <w:rPr>
          <w:rFonts w:hint="default"/>
          <w:i w:val="0"/>
          <w:iCs w:val="0"/>
          <w:snapToGrid w:val="0"/>
          <w:color w:val="auto"/>
          <w:highlight w:val="none"/>
          <w:lang w:val="en-US" w:eastAsia="zh-CN"/>
        </w:rPr>
        <w:t>2020</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46 </w:t>
      </w:r>
      <w:r>
        <w:rPr>
          <w:rFonts w:hint="eastAsia"/>
          <w:i w:val="0"/>
          <w:iCs w:val="0"/>
          <w:snapToGrid w:val="0"/>
          <w:color w:val="auto"/>
          <w:highlight w:val="none"/>
          <w:lang w:val="en-US" w:eastAsia="zh-CN"/>
        </w:rPr>
        <w:t>号）、《关于印发中小企业划型标准规定的通知》（工信部联企业〔</w:t>
      </w:r>
      <w:r>
        <w:rPr>
          <w:rFonts w:hint="default"/>
          <w:i w:val="0"/>
          <w:iCs w:val="0"/>
          <w:snapToGrid w:val="0"/>
          <w:color w:val="auto"/>
          <w:highlight w:val="none"/>
          <w:lang w:val="en-US" w:eastAsia="zh-CN"/>
        </w:rPr>
        <w:t>2011</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300 </w:t>
      </w:r>
      <w:r>
        <w:rPr>
          <w:rFonts w:hint="eastAsia"/>
          <w:i w:val="0"/>
          <w:iCs w:val="0"/>
          <w:snapToGrid w:val="0"/>
          <w:color w:val="auto"/>
          <w:highlight w:val="none"/>
          <w:lang w:val="en-US" w:eastAsia="zh-CN"/>
        </w:rPr>
        <w:t xml:space="preserve">号）、《金融业企业划型标准规定》（〔2015〕309 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eastAsia="zh-CN"/>
        </w:rPr>
      </w:pPr>
      <w:r>
        <w:rPr>
          <w:rFonts w:hint="eastAsia"/>
          <w:i w:val="0"/>
          <w:iCs w:val="0"/>
          <w:snapToGrid w:val="0"/>
          <w:color w:val="auto"/>
          <w:highlight w:val="none"/>
          <w:lang w:val="en-US" w:eastAsia="zh-CN"/>
        </w:rPr>
        <w:t>39</w:t>
      </w:r>
      <w:r>
        <w:rPr>
          <w:rFonts w:hint="eastAsia"/>
          <w:i w:val="0"/>
          <w:iCs w:val="0"/>
          <w:snapToGrid w:val="0"/>
          <w:color w:val="auto"/>
          <w:highlight w:val="none"/>
        </w:rPr>
        <w:t>.</w:t>
      </w:r>
      <w:r>
        <w:rPr>
          <w:rFonts w:hint="eastAsia"/>
          <w:i w:val="0"/>
          <w:iCs w:val="0"/>
          <w:snapToGrid w:val="0"/>
          <w:color w:val="auto"/>
          <w:highlight w:val="none"/>
          <w:lang w:val="en-US" w:eastAsia="zh-CN"/>
        </w:rPr>
        <w:t>2</w:t>
      </w:r>
      <w:r>
        <w:rPr>
          <w:rFonts w:hint="eastAsia"/>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i w:val="0"/>
          <w:iCs w:val="0"/>
          <w:snapToGrid w:val="0"/>
          <w:color w:val="auto"/>
          <w:highlight w:val="none"/>
          <w:lang w:eastAsia="zh-CN"/>
        </w:rPr>
        <w:t>需享受中小企业相关政策的，且</w:t>
      </w:r>
      <w:r>
        <w:rPr>
          <w:rFonts w:hint="eastAsia"/>
          <w:i w:val="0"/>
          <w:iCs w:val="0"/>
          <w:snapToGrid w:val="0"/>
          <w:color w:val="auto"/>
          <w:highlight w:val="none"/>
        </w:rPr>
        <w:t>符合上述文件规定的，</w:t>
      </w:r>
      <w:r>
        <w:rPr>
          <w:rFonts w:hint="eastAsia"/>
          <w:i w:val="0"/>
          <w:iCs w:val="0"/>
          <w:snapToGrid w:val="0"/>
          <w:color w:val="auto"/>
          <w:highlight w:val="none"/>
          <w:lang w:eastAsia="zh-CN"/>
        </w:rPr>
        <w:t>应按本磋商文件规定格式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w:t>
      </w:r>
      <w:r>
        <w:rPr>
          <w:rFonts w:hint="eastAsia"/>
          <w:i w:val="0"/>
          <w:iCs w:val="0"/>
          <w:snapToGrid w:val="0"/>
          <w:color w:val="auto"/>
          <w:highlight w:val="none"/>
        </w:rPr>
        <w:t>，评审时，磋商小组将依据</w:t>
      </w:r>
      <w:r>
        <w:rPr>
          <w:rFonts w:hint="eastAsia"/>
          <w:i w:val="0"/>
          <w:iCs w:val="0"/>
          <w:snapToGrid w:val="0"/>
          <w:color w:val="auto"/>
          <w:highlight w:val="none"/>
          <w:lang w:eastAsia="zh-CN"/>
        </w:rPr>
        <w:t>本磋商文件</w:t>
      </w:r>
      <w:r>
        <w:rPr>
          <w:rFonts w:hint="eastAsia"/>
          <w:i w:val="0"/>
          <w:iCs w:val="0"/>
          <w:snapToGrid w:val="0"/>
          <w:color w:val="auto"/>
          <w:highlight w:val="none"/>
        </w:rPr>
        <w:t>“供应商须知前附表”规定的报价扣除比例，对供应商报价进行价格扣除，用扣除后的价格参与评审</w:t>
      </w:r>
      <w:r>
        <w:rPr>
          <w:rFonts w:hint="eastAsia"/>
          <w:i w:val="0"/>
          <w:iCs w:val="0"/>
          <w:snapToGrid w:val="0"/>
          <w:color w:val="auto"/>
          <w:highlight w:val="none"/>
          <w:lang w:eastAsia="zh-CN"/>
        </w:rPr>
        <w:t>；磋商公告中明确项目专门面向中小企业采购的，“</w:t>
      </w:r>
      <w:r>
        <w:rPr>
          <w:rFonts w:hint="eastAsia"/>
          <w:i w:val="0"/>
          <w:iCs w:val="0"/>
          <w:snapToGrid w:val="0"/>
          <w:color w:val="auto"/>
          <w:highlight w:val="none"/>
        </w:rPr>
        <w:t>中小企业声明函</w:t>
      </w:r>
      <w:r>
        <w:rPr>
          <w:rFonts w:hint="eastAsia"/>
          <w:i w:val="0"/>
          <w:iCs w:val="0"/>
          <w:snapToGrid w:val="0"/>
          <w:color w:val="auto"/>
          <w:highlight w:val="none"/>
          <w:lang w:eastAsia="zh-CN"/>
        </w:rPr>
        <w:t>”为资格要求文件，</w:t>
      </w:r>
      <w:r>
        <w:rPr>
          <w:rFonts w:hint="eastAsia"/>
          <w:i w:val="0"/>
          <w:iCs w:val="0"/>
          <w:snapToGrid w:val="0"/>
          <w:color w:val="auto"/>
          <w:highlight w:val="none"/>
        </w:rPr>
        <w:t>供应商</w:t>
      </w:r>
      <w:r>
        <w:rPr>
          <w:rFonts w:hint="eastAsia"/>
          <w:i w:val="0"/>
          <w:iCs w:val="0"/>
          <w:snapToGrid w:val="0"/>
          <w:color w:val="auto"/>
          <w:highlight w:val="none"/>
          <w:lang w:eastAsia="zh-CN"/>
        </w:rPr>
        <w:t>参与磋商须按本磋商文件规定格式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”等作为资格证明文件。</w:t>
      </w:r>
    </w:p>
    <w:p w14:paraId="4D5E12BD">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 xml:space="preserve">39.3供应商提供的货物、工程或者服务符合下列情形的，享受中小企业扶持政策： </w:t>
      </w:r>
    </w:p>
    <w:p w14:paraId="28856AB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1</w:t>
      </w:r>
      <w:r>
        <w:rPr>
          <w:rFonts w:hint="eastAsia"/>
          <w:i w:val="0"/>
          <w:iCs w:val="0"/>
          <w:snapToGrid w:val="0"/>
          <w:color w:val="auto"/>
          <w:highlight w:val="none"/>
          <w:lang w:val="en-US" w:eastAsia="zh-CN"/>
        </w:rPr>
        <w:t xml:space="preserve">在货物采购项目中，货物由中小企业制造，即货物由中小企业生产且使用该中小企业商号或者注册商标； </w:t>
      </w:r>
    </w:p>
    <w:p w14:paraId="54A96D92">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2</w:t>
      </w:r>
      <w:r>
        <w:rPr>
          <w:rFonts w:hint="eastAsia"/>
          <w:i w:val="0"/>
          <w:iCs w:val="0"/>
          <w:snapToGrid w:val="0"/>
          <w:color w:val="auto"/>
          <w:highlight w:val="none"/>
          <w:lang w:val="en-US" w:eastAsia="zh-CN"/>
        </w:rPr>
        <w:t xml:space="preserve">在工程采购项目中，工程由中小企业承建，即工程施工单位为中小企业； </w:t>
      </w:r>
    </w:p>
    <w:p w14:paraId="48F17DE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3</w:t>
      </w:r>
      <w:r>
        <w:rPr>
          <w:rFonts w:hint="eastAsia"/>
          <w:i w:val="0"/>
          <w:iCs w:val="0"/>
          <w:snapToGrid w:val="0"/>
          <w:color w:val="auto"/>
          <w:highlight w:val="none"/>
          <w:lang w:val="en-US" w:eastAsia="zh-CN"/>
        </w:rPr>
        <w:t>在服务采购项目中，服务由中小企业承接，即提供服务的人员为中小企业依照《中华人民共和国劳动合同法》订立劳动合同的从业人员。</w:t>
      </w:r>
    </w:p>
    <w:p w14:paraId="6564F25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i w:val="0"/>
          <w:iCs w:val="0"/>
          <w:snapToGrid w:val="0"/>
          <w:color w:val="auto"/>
          <w:highlight w:val="none"/>
          <w:lang w:val="en-US" w:eastAsia="zh-CN"/>
        </w:rPr>
        <w:t>.</w:t>
      </w:r>
      <w:r>
        <w:rPr>
          <w:rFonts w:hint="eastAsia"/>
          <w:i w:val="0"/>
          <w:iCs w:val="0"/>
          <w:snapToGrid w:val="0"/>
          <w:color w:val="auto"/>
          <w:highlight w:val="none"/>
          <w:lang w:val="en-US" w:eastAsia="zh-CN"/>
        </w:rPr>
        <w:t>4</w:t>
      </w:r>
      <w:r>
        <w:rPr>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在货物采购项目中，供应商提供的货物既有中小企业制造货物，也有大型企业制造货物的，不享受中小企业扶持政策。 </w:t>
      </w:r>
    </w:p>
    <w:p w14:paraId="74FFF5B0">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5</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以联合体形式参加政府采购活动，联合体各方均为中小企业的，联合体视同中小企业。其中，联合体各方均为小微企业的，联合体视同小微企业。    </w:t>
      </w:r>
    </w:p>
    <w:p w14:paraId="4ACE7CFF">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 xml:space="preserve">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6</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安置的残疾人占本单位在职职工人数的比例不低于 </w:t>
      </w:r>
      <w:r>
        <w:rPr>
          <w:rFonts w:hint="default"/>
          <w:i w:val="0"/>
          <w:iCs w:val="0"/>
          <w:snapToGrid w:val="0"/>
          <w:color w:val="auto"/>
          <w:highlight w:val="none"/>
          <w:lang w:val="en-US" w:eastAsia="zh-CN"/>
        </w:rPr>
        <w:t xml:space="preserve">25% </w:t>
      </w:r>
      <w:r>
        <w:rPr>
          <w:rFonts w:hint="eastAsia"/>
          <w:i w:val="0"/>
          <w:iCs w:val="0"/>
          <w:snapToGrid w:val="0"/>
          <w:color w:val="auto"/>
          <w:highlight w:val="none"/>
          <w:lang w:val="en-US" w:eastAsia="zh-CN"/>
        </w:rPr>
        <w:t xml:space="preserve">（含 </w:t>
      </w:r>
      <w:r>
        <w:rPr>
          <w:rFonts w:hint="default"/>
          <w:i w:val="0"/>
          <w:iCs w:val="0"/>
          <w:snapToGrid w:val="0"/>
          <w:color w:val="auto"/>
          <w:highlight w:val="none"/>
          <w:lang w:val="en-US" w:eastAsia="zh-CN"/>
        </w:rPr>
        <w:t>25%</w:t>
      </w:r>
      <w:r>
        <w:rPr>
          <w:rFonts w:hint="eastAsia"/>
          <w:i w:val="0"/>
          <w:iCs w:val="0"/>
          <w:snapToGrid w:val="0"/>
          <w:color w:val="auto"/>
          <w:highlight w:val="none"/>
          <w:lang w:val="en-US" w:eastAsia="zh-CN"/>
        </w:rPr>
        <w:t xml:space="preserve">），并且安置的残疾人人数不少于 </w:t>
      </w:r>
      <w:r>
        <w:rPr>
          <w:rFonts w:hint="default"/>
          <w:i w:val="0"/>
          <w:iCs w:val="0"/>
          <w:snapToGrid w:val="0"/>
          <w:color w:val="auto"/>
          <w:highlight w:val="none"/>
          <w:lang w:val="en-US" w:eastAsia="zh-CN"/>
        </w:rPr>
        <w:t xml:space="preserve">10 </w:t>
      </w:r>
      <w:r>
        <w:rPr>
          <w:rFonts w:hint="eastAsia"/>
          <w:i w:val="0"/>
          <w:iCs w:val="0"/>
          <w:snapToGrid w:val="0"/>
          <w:color w:val="auto"/>
          <w:highlight w:val="none"/>
          <w:lang w:val="en-US" w:eastAsia="zh-CN"/>
        </w:rPr>
        <w:t xml:space="preserve">人（含 </w:t>
      </w:r>
      <w:r>
        <w:rPr>
          <w:rFonts w:hint="default"/>
          <w:i w:val="0"/>
          <w:iCs w:val="0"/>
          <w:snapToGrid w:val="0"/>
          <w:color w:val="auto"/>
          <w:highlight w:val="none"/>
          <w:lang w:val="en-US" w:eastAsia="zh-CN"/>
        </w:rPr>
        <w:t>10</w:t>
      </w:r>
      <w:r>
        <w:rPr>
          <w:rFonts w:hint="eastAsia"/>
          <w:i w:val="0"/>
          <w:iCs w:val="0"/>
          <w:snapToGrid w:val="0"/>
          <w:color w:val="auto"/>
          <w:highlight w:val="none"/>
          <w:lang w:val="en-US" w:eastAsia="zh-CN"/>
        </w:rPr>
        <w:t xml:space="preserve">人）； </w:t>
      </w:r>
    </w:p>
    <w:p w14:paraId="69558579">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依法与安置的每位残疾人签订了1年以上（含1年）的劳动合同或服务协议； </w:t>
      </w:r>
    </w:p>
    <w:p w14:paraId="40185FCE">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 xml:space="preserve">为安置的每位残疾人按月足额缴纳了基本养老保险、基本医疗保险、失业保险、工伤保险和生育保险等社会保险费； </w:t>
      </w:r>
    </w:p>
    <w:p w14:paraId="45EC5F9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 xml:space="preserve">通过银行等金融机构向安置的每位残疾人，按月支付了不低于单位所在区县适用的经省级人民政府批准的月最低工资标准的工资； </w:t>
      </w:r>
    </w:p>
    <w:p w14:paraId="1C5031C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.5 </w:t>
      </w:r>
      <w:r>
        <w:rPr>
          <w:rFonts w:hint="eastAsia"/>
          <w:i w:val="0"/>
          <w:iCs w:val="0"/>
          <w:snapToGrid w:val="0"/>
          <w:color w:val="auto"/>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78AAEEE">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.6 </w:t>
      </w:r>
      <w:r>
        <w:rPr>
          <w:rFonts w:hint="eastAsia"/>
          <w:i w:val="0"/>
          <w:iCs w:val="0"/>
          <w:snapToGrid w:val="0"/>
          <w:color w:val="auto"/>
          <w:highlight w:val="none"/>
          <w:lang w:val="en-US" w:eastAsia="zh-CN"/>
        </w:rPr>
        <w:t>前款所称残疾人是指法定劳动年龄内，持有《中华人民共和国残疾人证》或者《中华人民共和国残疾军人证（</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至 </w:t>
      </w:r>
      <w:r>
        <w:rPr>
          <w:rFonts w:hint="default"/>
          <w:i w:val="0"/>
          <w:iCs w:val="0"/>
          <w:snapToGrid w:val="0"/>
          <w:color w:val="auto"/>
          <w:highlight w:val="none"/>
          <w:lang w:val="en-US" w:eastAsia="zh-CN"/>
        </w:rPr>
        <w:t xml:space="preserve">8 </w:t>
      </w:r>
      <w:r>
        <w:rPr>
          <w:rFonts w:hint="eastAsia"/>
          <w:i w:val="0"/>
          <w:iCs w:val="0"/>
          <w:snapToGrid w:val="0"/>
          <w:color w:val="auto"/>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D1237DB">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8</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本项目是否专门面向中小企业预留采购份额见“第一章 竞争性磋商邀请”。</w:t>
      </w:r>
    </w:p>
    <w:p w14:paraId="5A70CB6C">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9</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采购标的对应的中小企业划分标准所属行业见“供应商须知前附表”。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10小微企业价格评审优惠的政策调整：见“第四章 评审方法及标准”。</w:t>
      </w:r>
    </w:p>
    <w:p w14:paraId="76C0345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94" w:name="_Toc161600343"/>
      <w:r>
        <w:rPr>
          <w:rFonts w:hint="eastAsia" w:ascii="宋体" w:hAnsi="宋体" w:eastAsia="宋体" w:cs="宋体"/>
          <w:b/>
          <w:bCs/>
          <w:color w:val="auto"/>
          <w:kern w:val="2"/>
          <w:sz w:val="24"/>
          <w:szCs w:val="24"/>
          <w:highlight w:val="none"/>
          <w:lang w:val="en-US" w:eastAsia="zh-CN" w:bidi="ar-SA"/>
        </w:rPr>
        <w:t>40.政府采购节能产品、环境标志产品</w:t>
      </w:r>
      <w:bookmarkEnd w:id="294"/>
    </w:p>
    <w:p w14:paraId="64FC5172">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i w:val="0"/>
          <w:iCs w:val="0"/>
          <w:snapToGrid w:val="0"/>
          <w:color w:val="auto"/>
          <w:highlight w:val="none"/>
          <w:lang w:val="en-US" w:eastAsia="zh-CN"/>
        </w:rPr>
        <w:t>2019</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9 </w:t>
      </w:r>
      <w:r>
        <w:rPr>
          <w:rFonts w:hint="eastAsia"/>
          <w:i w:val="0"/>
          <w:iCs w:val="0"/>
          <w:snapToGrid w:val="0"/>
          <w:color w:val="auto"/>
          <w:highlight w:val="none"/>
          <w:lang w:val="en-US" w:eastAsia="zh-CN"/>
        </w:rPr>
        <w:t xml:space="preserve">号）、《关于印发环境标志产品政府采购品目清单的通知》（财库〔2019〕18号）、《关于印发节能产品政府采购品目清单的通知》（财库〔2019〕19号）的规定。 </w:t>
      </w:r>
    </w:p>
    <w:p w14:paraId="017FF1A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如本项目采购产品属于实施政府强制采购品目清单范围的节能产品，则供应商所报产品必须获得国家确定的认证机构出具的、处于有效期之内的节能产品认证证书，否则</w:t>
      </w:r>
      <w:r>
        <w:rPr>
          <w:rFonts w:hint="eastAsia"/>
          <w:b/>
          <w:bCs/>
          <w:i w:val="0"/>
          <w:iCs w:val="0"/>
          <w:snapToGrid w:val="0"/>
          <w:color w:val="auto"/>
          <w:highlight w:val="none"/>
          <w:lang w:val="en-US" w:eastAsia="zh-CN"/>
        </w:rPr>
        <w:t>响应无效</w:t>
      </w:r>
      <w:r>
        <w:rPr>
          <w:rFonts w:hint="eastAsia"/>
          <w:i w:val="0"/>
          <w:iCs w:val="0"/>
          <w:snapToGrid w:val="0"/>
          <w:color w:val="auto"/>
          <w:highlight w:val="none"/>
          <w:lang w:val="en-US" w:eastAsia="zh-CN"/>
        </w:rPr>
        <w:t xml:space="preserve">。 </w:t>
      </w:r>
    </w:p>
    <w:p w14:paraId="73ADF023">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非政府强制采购的节能产品或环境标志产品，依据品目清单和认证证书实施政府优先采购。优先采购的具体规定见“第四章 评审方法及标准”（如涉及）。</w:t>
      </w:r>
    </w:p>
    <w:p w14:paraId="1E54CD45">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snapToGrid w:val="0"/>
          <w:color w:val="auto"/>
          <w:highlight w:val="none"/>
          <w:lang w:val="en-US" w:eastAsia="zh-CN"/>
        </w:rPr>
        <w:t>40.5 供应商</w:t>
      </w:r>
      <w:r>
        <w:rPr>
          <w:rFonts w:hint="eastAsia"/>
          <w:i w:val="0"/>
          <w:iCs w:val="0"/>
          <w:snapToGrid w:val="0"/>
          <w:color w:val="auto"/>
          <w:highlight w:val="none"/>
        </w:rPr>
        <w:t>所</w:t>
      </w:r>
      <w:r>
        <w:rPr>
          <w:rFonts w:hint="eastAsia"/>
          <w:i w:val="0"/>
          <w:iCs w:val="0"/>
          <w:snapToGrid w:val="0"/>
          <w:color w:val="auto"/>
          <w:highlight w:val="none"/>
          <w:lang w:val="en-US" w:eastAsia="zh-CN"/>
        </w:rPr>
        <w:t>报</w:t>
      </w:r>
      <w:r>
        <w:rPr>
          <w:rFonts w:hint="eastAsia"/>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i w:val="0"/>
          <w:iCs w:val="0"/>
          <w:snapToGrid w:val="0"/>
          <w:color w:val="auto"/>
          <w:highlight w:val="none"/>
          <w:lang w:val="en-US" w:eastAsia="zh-CN"/>
        </w:rPr>
        <w:t>报</w:t>
      </w:r>
      <w:r>
        <w:rPr>
          <w:rFonts w:hint="eastAsia"/>
          <w:i w:val="0"/>
          <w:iCs w:val="0"/>
          <w:snapToGrid w:val="0"/>
          <w:color w:val="auto"/>
          <w:highlight w:val="none"/>
        </w:rPr>
        <w:t>产品不一致的，视为未提供。属于政府强制采购产品的，</w:t>
      </w:r>
      <w:r>
        <w:rPr>
          <w:i w:val="0"/>
          <w:iCs w:val="0"/>
          <w:snapToGrid w:val="0"/>
          <w:color w:val="auto"/>
          <w:highlight w:val="none"/>
        </w:rPr>
        <w:t>已作为</w:t>
      </w:r>
      <w:r>
        <w:rPr>
          <w:rFonts w:hint="eastAsia"/>
          <w:i w:val="0"/>
          <w:iCs w:val="0"/>
          <w:snapToGrid w:val="0"/>
          <w:color w:val="auto"/>
          <w:highlight w:val="none"/>
          <w:lang w:val="en-US" w:eastAsia="zh-CN"/>
        </w:rPr>
        <w:t>响应</w:t>
      </w:r>
      <w:r>
        <w:rPr>
          <w:i w:val="0"/>
          <w:iCs w:val="0"/>
          <w:snapToGrid w:val="0"/>
          <w:color w:val="auto"/>
          <w:highlight w:val="none"/>
        </w:rPr>
        <w:t>时强制性要求不再给予</w:t>
      </w:r>
      <w:r>
        <w:rPr>
          <w:rFonts w:hint="eastAsia"/>
          <w:i w:val="0"/>
          <w:iCs w:val="0"/>
          <w:snapToGrid w:val="0"/>
          <w:color w:val="auto"/>
          <w:highlight w:val="none"/>
          <w:lang w:val="en-US" w:eastAsia="zh-CN"/>
        </w:rPr>
        <w:t>评审优惠</w:t>
      </w:r>
      <w:r>
        <w:rPr>
          <w:rFonts w:hint="eastAsia"/>
          <w:i w:val="0"/>
          <w:iCs w:val="0"/>
          <w:snapToGrid w:val="0"/>
          <w:color w:val="auto"/>
          <w:highlight w:val="none"/>
        </w:rPr>
        <w:t>，未提供认证证书的视为</w:t>
      </w:r>
      <w:r>
        <w:rPr>
          <w:rFonts w:hint="eastAsia"/>
          <w:b/>
          <w:bCs/>
          <w:i w:val="0"/>
          <w:iCs w:val="0"/>
          <w:snapToGrid w:val="0"/>
          <w:color w:val="auto"/>
          <w:highlight w:val="none"/>
        </w:rPr>
        <w:t>无效响应</w:t>
      </w:r>
      <w:r>
        <w:rPr>
          <w:rFonts w:hint="eastAsia"/>
          <w:i w:val="0"/>
          <w:iCs w:val="0"/>
          <w:snapToGrid w:val="0"/>
          <w:color w:val="auto"/>
          <w:highlight w:val="none"/>
        </w:rPr>
        <w:t>。属于</w:t>
      </w:r>
      <w:r>
        <w:rPr>
          <w:rFonts w:hint="eastAsia"/>
          <w:i w:val="0"/>
          <w:iCs w:val="0"/>
          <w:snapToGrid w:val="0"/>
          <w:color w:val="auto"/>
          <w:highlight w:val="none"/>
          <w:lang w:val="en-US" w:eastAsia="zh-CN"/>
        </w:rPr>
        <w:t>优先采购</w:t>
      </w:r>
      <w:r>
        <w:rPr>
          <w:rFonts w:hint="eastAsia"/>
          <w:i w:val="0"/>
          <w:iCs w:val="0"/>
          <w:snapToGrid w:val="0"/>
          <w:color w:val="auto"/>
          <w:highlight w:val="none"/>
        </w:rPr>
        <w:t>节能产品政府采购品目清单、环境标志产品政府采购品目清单</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创新产品</w:t>
      </w:r>
      <w:r>
        <w:rPr>
          <w:rFonts w:hint="eastAsia"/>
          <w:i w:val="0"/>
          <w:iCs w:val="0"/>
          <w:snapToGrid w:val="0"/>
          <w:color w:val="auto"/>
          <w:highlight w:val="none"/>
        </w:rPr>
        <w:t>范围的，按照“</w:t>
      </w:r>
      <w:r>
        <w:rPr>
          <w:rFonts w:hint="eastAsia"/>
          <w:i w:val="0"/>
          <w:iCs w:val="0"/>
          <w:snapToGrid w:val="0"/>
          <w:color w:val="auto"/>
          <w:highlight w:val="none"/>
          <w:lang w:val="en-US" w:eastAsia="zh-CN"/>
        </w:rPr>
        <w:t>第四章 评审方法及标准</w:t>
      </w:r>
      <w:r>
        <w:rPr>
          <w:rFonts w:hint="eastAsia"/>
          <w:i w:val="0"/>
          <w:iCs w:val="0"/>
          <w:snapToGrid w:val="0"/>
          <w:color w:val="auto"/>
          <w:highlight w:val="none"/>
        </w:rPr>
        <w:t>”中相关规定</w:t>
      </w:r>
      <w:r>
        <w:rPr>
          <w:rFonts w:hint="eastAsia"/>
          <w:i w:val="0"/>
          <w:iCs w:val="0"/>
          <w:color w:val="auto"/>
          <w:highlight w:val="none"/>
          <w:lang w:val="en-US" w:eastAsia="zh-CN"/>
        </w:rPr>
        <w:t>在评审时给予</w:t>
      </w:r>
      <w:r>
        <w:rPr>
          <w:rFonts w:hint="eastAsia"/>
          <w:i w:val="0"/>
          <w:iCs w:val="0"/>
          <w:snapToGrid w:val="0"/>
          <w:color w:val="auto"/>
          <w:highlight w:val="none"/>
          <w:lang w:val="en-US" w:eastAsia="zh-CN"/>
        </w:rPr>
        <w:t>优惠</w:t>
      </w:r>
      <w:r>
        <w:rPr>
          <w:rFonts w:hint="eastAsia"/>
          <w:i w:val="0"/>
          <w:iCs w:val="0"/>
          <w:color w:val="auto"/>
          <w:highlight w:val="none"/>
          <w:lang w:val="en-US" w:eastAsia="zh-CN"/>
        </w:rPr>
        <w:t>，具体详见</w:t>
      </w:r>
      <w:r>
        <w:rPr>
          <w:rFonts w:hint="eastAsia"/>
          <w:i w:val="0"/>
          <w:iCs w:val="0"/>
          <w:snapToGrid w:val="0"/>
          <w:color w:val="auto"/>
          <w:highlight w:val="none"/>
          <w:lang w:val="en-US" w:eastAsia="zh-CN"/>
        </w:rPr>
        <w:t>“供应商须知前附表”及</w:t>
      </w:r>
      <w:r>
        <w:rPr>
          <w:rFonts w:hint="eastAsia"/>
          <w:i w:val="0"/>
          <w:iCs w:val="0"/>
          <w:color w:val="auto"/>
          <w:highlight w:val="none"/>
          <w:lang w:val="en-US" w:eastAsia="zh-CN"/>
        </w:rPr>
        <w:t>“第四章 评审方法及标准”</w:t>
      </w:r>
      <w:r>
        <w:rPr>
          <w:rFonts w:hint="eastAsia"/>
          <w:i w:val="0"/>
          <w:iCs w:val="0"/>
          <w:color w:val="auto"/>
          <w:highlight w:val="none"/>
        </w:rPr>
        <w:t>。</w:t>
      </w:r>
    </w:p>
    <w:p w14:paraId="17C511E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41.正版软件</w:t>
      </w:r>
    </w:p>
    <w:p w14:paraId="3480636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41.1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42.网络安全专用产品 </w:t>
      </w:r>
    </w:p>
    <w:p w14:paraId="4CF97C4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43.采购需求标准 </w:t>
      </w:r>
    </w:p>
    <w:bookmarkEnd w:id="282"/>
    <w:bookmarkEnd w:id="283"/>
    <w:bookmarkEnd w:id="284"/>
    <w:bookmarkEnd w:id="285"/>
    <w:bookmarkEnd w:id="286"/>
    <w:p w14:paraId="1251808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bookmarkStart w:id="295" w:name="_Toc109900412"/>
      <w:bookmarkStart w:id="296" w:name="_Toc109899574"/>
      <w:bookmarkStart w:id="297" w:name="_Toc109899993"/>
      <w:bookmarkStart w:id="298" w:name="_Toc109897475"/>
      <w:bookmarkStart w:id="299" w:name="_Toc163493622"/>
      <w:r>
        <w:rPr>
          <w:rFonts w:hint="eastAsia"/>
          <w:i w:val="0"/>
          <w:iCs w:val="0"/>
          <w:snapToGrid w:val="0"/>
          <w:color w:val="auto"/>
          <w:highlight w:val="none"/>
          <w:lang w:val="en-US" w:eastAsia="zh-CN"/>
        </w:rPr>
        <w:t xml:space="preserve">43.1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43.2 绿色数据中心政府采购需求标准（试行） </w:t>
      </w:r>
    </w:p>
    <w:p w14:paraId="2BAD2545">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43.3台式计算机政府采购需求标准</w:t>
      </w:r>
    </w:p>
    <w:p w14:paraId="7FE94F3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43.4便携式计算机政府采购需求标准</w:t>
      </w:r>
    </w:p>
    <w:p w14:paraId="56D621A3">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43.5一体式计算机政府采购需求标准</w:t>
      </w:r>
    </w:p>
    <w:p w14:paraId="7A06F60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43.6工作站政府采购需求标准</w:t>
      </w:r>
    </w:p>
    <w:p w14:paraId="401E483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43.7通用服务器政府采购需求标准</w:t>
      </w:r>
    </w:p>
    <w:p w14:paraId="6FE6FE7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43.8操作系统政府采购需求标准</w:t>
      </w:r>
    </w:p>
    <w:p w14:paraId="71E70859">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43.9数据库政府采购需求标准</w:t>
      </w:r>
    </w:p>
    <w:p w14:paraId="4096E2F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43.10物业管理服务政府采购需求标准（办公场所类）（试行）</w:t>
      </w:r>
    </w:p>
    <w:p w14:paraId="0169F247">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（十四）政府采购合同融资政策</w:t>
      </w:r>
      <w:bookmarkEnd w:id="295"/>
      <w:bookmarkEnd w:id="296"/>
      <w:bookmarkEnd w:id="297"/>
      <w:bookmarkEnd w:id="298"/>
      <w:bookmarkEnd w:id="299"/>
    </w:p>
    <w:p w14:paraId="78CE466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0" w:name="_Toc161600345"/>
      <w:bookmarkStart w:id="301" w:name="_Toc109897476"/>
      <w:r>
        <w:rPr>
          <w:rFonts w:hint="eastAsia" w:ascii="宋体" w:hAnsi="宋体" w:eastAsia="宋体" w:cs="宋体"/>
          <w:b/>
          <w:bCs/>
          <w:color w:val="auto"/>
          <w:kern w:val="2"/>
          <w:sz w:val="24"/>
          <w:szCs w:val="24"/>
          <w:highlight w:val="none"/>
          <w:lang w:val="en-US" w:eastAsia="zh-CN" w:bidi="ar-SA"/>
        </w:rPr>
        <w:t>44.政府采购合同融资政策</w:t>
      </w:r>
      <w:bookmarkEnd w:id="300"/>
    </w:p>
    <w:p w14:paraId="59269D3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4</w:t>
      </w:r>
      <w:r>
        <w:rPr>
          <w:rFonts w:hint="eastAsia"/>
          <w:i w:val="0"/>
          <w:iCs w:val="0"/>
          <w:color w:val="auto"/>
          <w:highlight w:val="none"/>
          <w:lang w:val="en-US" w:eastAsia="zh-CN"/>
        </w:rPr>
        <w:t>4</w:t>
      </w:r>
      <w:r>
        <w:rPr>
          <w:rFonts w:hint="eastAsia"/>
          <w:i w:val="0"/>
          <w:iCs w:val="0"/>
          <w:color w:val="auto"/>
          <w:highlight w:val="none"/>
        </w:rPr>
        <w:t>.1政府采购合同融资政策：见供应商须知前附表。</w:t>
      </w:r>
    </w:p>
    <w:p w14:paraId="032E5A3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2" w:name="_Toc109899994"/>
      <w:bookmarkStart w:id="303" w:name="_Toc163493623"/>
      <w:bookmarkStart w:id="304" w:name="_Toc109899575"/>
      <w:bookmarkStart w:id="305" w:name="_Toc109900413"/>
      <w:r>
        <w:rPr>
          <w:rFonts w:hint="eastAsia" w:ascii="宋体" w:hAnsi="宋体" w:eastAsia="宋体" w:cs="宋体"/>
          <w:b/>
          <w:bCs/>
          <w:color w:val="auto"/>
          <w:kern w:val="2"/>
          <w:sz w:val="24"/>
          <w:szCs w:val="24"/>
          <w:highlight w:val="none"/>
          <w:lang w:val="en-US" w:eastAsia="zh-CN" w:bidi="ar-SA"/>
        </w:rPr>
        <w:t>（十五）其他</w:t>
      </w:r>
      <w:bookmarkEnd w:id="301"/>
      <w:bookmarkEnd w:id="302"/>
      <w:bookmarkEnd w:id="303"/>
      <w:bookmarkEnd w:id="304"/>
      <w:bookmarkEnd w:id="305"/>
    </w:p>
    <w:p w14:paraId="0C2C4C1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6" w:name="_Toc161600347"/>
      <w:r>
        <w:rPr>
          <w:rFonts w:hint="eastAsia" w:ascii="宋体" w:hAnsi="宋体" w:eastAsia="宋体" w:cs="宋体"/>
          <w:b/>
          <w:bCs/>
          <w:color w:val="auto"/>
          <w:kern w:val="2"/>
          <w:sz w:val="24"/>
          <w:szCs w:val="24"/>
          <w:highlight w:val="none"/>
          <w:lang w:val="en-US" w:eastAsia="zh-CN" w:bidi="ar-SA"/>
        </w:rPr>
        <w:t>45.需要补充的其他内容</w:t>
      </w:r>
      <w:bookmarkEnd w:id="306"/>
    </w:p>
    <w:p w14:paraId="3957C993">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4</w:t>
      </w:r>
      <w:r>
        <w:rPr>
          <w:rFonts w:hint="eastAsia"/>
          <w:i w:val="0"/>
          <w:iCs w:val="0"/>
          <w:color w:val="auto"/>
          <w:highlight w:val="none"/>
          <w:lang w:val="en-US" w:eastAsia="zh-CN"/>
        </w:rPr>
        <w:t>5</w:t>
      </w:r>
      <w:r>
        <w:rPr>
          <w:rFonts w:hint="eastAsia"/>
          <w:i w:val="0"/>
          <w:iCs w:val="0"/>
          <w:color w:val="auto"/>
          <w:highlight w:val="none"/>
        </w:rPr>
        <w:t>.1需要补充的其他内容：见供应商须知前附表。</w:t>
      </w:r>
    </w:p>
    <w:p w14:paraId="740594B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7" w:name="_Toc109899995"/>
      <w:bookmarkStart w:id="308" w:name="_Toc109897477"/>
      <w:bookmarkStart w:id="309" w:name="_Toc109899576"/>
      <w:bookmarkStart w:id="310" w:name="_Toc109900414"/>
      <w:r>
        <w:rPr>
          <w:rFonts w:hint="eastAsia" w:ascii="宋体" w:hAnsi="宋体" w:eastAsia="宋体" w:cs="宋体"/>
          <w:b/>
          <w:bCs/>
          <w:color w:val="auto"/>
          <w:kern w:val="2"/>
          <w:sz w:val="24"/>
          <w:szCs w:val="24"/>
          <w:highlight w:val="none"/>
          <w:lang w:val="en-US" w:eastAsia="zh-CN" w:bidi="ar-SA"/>
        </w:rPr>
        <w:t>46.适用法律</w:t>
      </w:r>
      <w:bookmarkEnd w:id="307"/>
      <w:bookmarkEnd w:id="308"/>
      <w:bookmarkEnd w:id="309"/>
      <w:bookmarkEnd w:id="310"/>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szCs w:val="24"/>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.1</w:t>
      </w:r>
      <w:r>
        <w:rPr>
          <w:rFonts w:hint="eastAsia" w:cs="仿宋_GB2312"/>
          <w:i w:val="0"/>
          <w:iCs w:val="0"/>
          <w:snapToGrid w:val="0"/>
          <w:color w:val="auto"/>
          <w:szCs w:val="24"/>
          <w:highlight w:val="none"/>
          <w:lang w:val="zh-CN"/>
        </w:rPr>
        <w:t>采购人、采购代理机构及供应商的一切采购活动均适用《</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政府采购法实施条例》、</w:t>
      </w:r>
      <w:r>
        <w:rPr>
          <w:rFonts w:hint="eastAsia" w:cs="宋体"/>
          <w:i w:val="0"/>
          <w:iCs w:val="0"/>
          <w:color w:val="auto"/>
          <w:szCs w:val="24"/>
          <w:highlight w:val="none"/>
        </w:rPr>
        <w:t>《政府采购竞争性磋商采购方式管理暂行办法》（财库〔</w:t>
      </w:r>
      <w:r>
        <w:rPr>
          <w:rFonts w:cs="宋体"/>
          <w:i w:val="0"/>
          <w:iCs w:val="0"/>
          <w:color w:val="auto"/>
          <w:szCs w:val="24"/>
          <w:highlight w:val="none"/>
        </w:rPr>
        <w:t>2014〕214号</w:t>
      </w:r>
      <w:r>
        <w:rPr>
          <w:rFonts w:hint="eastAsia" w:cs="宋体"/>
          <w:i w:val="0"/>
          <w:iCs w:val="0"/>
          <w:color w:val="auto"/>
          <w:szCs w:val="24"/>
          <w:highlight w:val="none"/>
        </w:rPr>
        <w:t>）</w:t>
      </w:r>
      <w:r>
        <w:rPr>
          <w:rFonts w:hint="eastAsia" w:cs="仿宋_GB2312"/>
          <w:i w:val="0"/>
          <w:iCs w:val="0"/>
          <w:snapToGrid w:val="0"/>
          <w:color w:val="auto"/>
          <w:szCs w:val="24"/>
          <w:highlight w:val="none"/>
          <w:lang w:val="zh-CN"/>
        </w:rPr>
        <w:t>及相关法律法规。</w:t>
      </w:r>
    </w:p>
    <w:p w14:paraId="7EF83039">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.2</w:t>
      </w:r>
      <w:r>
        <w:rPr>
          <w:rFonts w:hint="eastAsia"/>
          <w:i w:val="0"/>
          <w:iCs w:val="0"/>
          <w:snapToGrid w:val="0"/>
          <w:color w:val="auto"/>
          <w:highlight w:val="none"/>
          <w:lang w:val="zh-CN"/>
        </w:rPr>
        <w:t>政府采购合同的履行、违约责任和解决争议的方法等适用《</w:t>
      </w:r>
      <w:r>
        <w:rPr>
          <w:rFonts w:hint="eastAsia"/>
          <w:i w:val="0"/>
          <w:iCs w:val="0"/>
          <w:snapToGrid w:val="0"/>
          <w:color w:val="auto"/>
          <w:highlight w:val="none"/>
        </w:rPr>
        <w:t>中华人民共和国</w:t>
      </w:r>
      <w:r>
        <w:rPr>
          <w:rFonts w:hint="eastAsia"/>
          <w:i w:val="0"/>
          <w:iCs w:val="0"/>
          <w:snapToGrid w:val="0"/>
          <w:color w:val="auto"/>
          <w:highlight w:val="none"/>
          <w:lang w:val="zh-CN"/>
        </w:rPr>
        <w:t>民法典》。</w:t>
      </w:r>
    </w:p>
    <w:p w14:paraId="5A91431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1" w:name="_Toc155185887"/>
      <w:bookmarkStart w:id="312" w:name="_Toc161600349"/>
      <w:r>
        <w:rPr>
          <w:rFonts w:hint="eastAsia" w:ascii="宋体" w:hAnsi="宋体" w:eastAsia="宋体" w:cs="宋体"/>
          <w:b/>
          <w:bCs/>
          <w:color w:val="auto"/>
          <w:kern w:val="2"/>
          <w:sz w:val="24"/>
          <w:szCs w:val="24"/>
          <w:highlight w:val="none"/>
          <w:lang w:val="en-US" w:eastAsia="zh-CN" w:bidi="ar-SA"/>
        </w:rPr>
        <w:t>47.解释权</w:t>
      </w:r>
      <w:bookmarkEnd w:id="311"/>
      <w:bookmarkEnd w:id="312"/>
    </w:p>
    <w:p w14:paraId="02BEF40F">
      <w:pPr>
        <w:pStyle w:val="35"/>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lang w:val="en-US" w:eastAsia="zh-CN"/>
        </w:rPr>
        <w:t>47</w:t>
      </w:r>
      <w:r>
        <w:rPr>
          <w:rFonts w:hint="eastAsia"/>
          <w:i w:val="0"/>
          <w:iCs w:val="0"/>
          <w:snapToGrid w:val="0"/>
          <w:color w:val="auto"/>
          <w:highlight w:val="none"/>
        </w:rPr>
        <w:t>.1本竞争性磋商文件最终解释权归采购人或采购代理机构所有。</w:t>
      </w:r>
    </w:p>
    <w:p w14:paraId="6A67B13D">
      <w:pPr>
        <w:pStyle w:val="35"/>
        <w:ind w:firstLine="480"/>
        <w:rPr>
          <w:i w:val="0"/>
          <w:iCs w:val="0"/>
          <w:color w:val="auto"/>
          <w:highlight w:val="none"/>
        </w:rPr>
      </w:pPr>
    </w:p>
    <w:p w14:paraId="216F1C6D">
      <w:pPr>
        <w:pStyle w:val="35"/>
        <w:ind w:firstLine="480"/>
        <w:rPr>
          <w:i w:val="0"/>
          <w:iCs w:val="0"/>
          <w:color w:val="auto"/>
          <w:highlight w:val="none"/>
        </w:rPr>
      </w:pPr>
    </w:p>
    <w:p w14:paraId="4003F8BB">
      <w:pPr>
        <w:rPr>
          <w:rFonts w:hint="eastAsia" w:ascii="宋体" w:hAnsi="宋体" w:eastAsia="宋体" w:cs="宋体"/>
          <w:b/>
          <w:bCs/>
          <w:color w:val="auto"/>
          <w:kern w:val="44"/>
          <w:sz w:val="36"/>
          <w:szCs w:val="36"/>
          <w:highlight w:val="none"/>
          <w:lang w:val="en-US" w:eastAsia="zh-CN" w:bidi="ar-SA"/>
        </w:rPr>
      </w:pPr>
      <w:bookmarkStart w:id="313" w:name="_Toc163493624"/>
      <w:bookmarkStart w:id="314" w:name="_Toc6519"/>
      <w:bookmarkStart w:id="315" w:name="_Toc1431"/>
      <w:bookmarkStart w:id="316" w:name="_Toc19001"/>
      <w:r>
        <w:rPr>
          <w:rFonts w:hint="eastAsia" w:ascii="宋体" w:hAnsi="宋体" w:eastAsia="宋体" w:cs="宋体"/>
          <w:b/>
          <w:bCs/>
          <w:color w:val="auto"/>
          <w:kern w:val="44"/>
          <w:sz w:val="36"/>
          <w:szCs w:val="36"/>
          <w:highlight w:val="none"/>
          <w:lang w:val="en-US" w:eastAsia="zh-CN" w:bidi="ar-SA"/>
        </w:rPr>
        <w:br w:type="page"/>
      </w:r>
    </w:p>
    <w:p w14:paraId="39B2275E">
      <w:pPr>
        <w:pStyle w:val="3"/>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17" w:name="_Toc5241"/>
      <w:r>
        <w:rPr>
          <w:rFonts w:hint="eastAsia" w:ascii="宋体" w:hAnsi="宋体" w:eastAsia="宋体" w:cs="宋体"/>
          <w:b/>
          <w:bCs/>
          <w:color w:val="auto"/>
          <w:kern w:val="44"/>
          <w:sz w:val="36"/>
          <w:szCs w:val="36"/>
          <w:highlight w:val="none"/>
          <w:lang w:val="en-US" w:eastAsia="zh-CN" w:bidi="ar-SA"/>
        </w:rPr>
        <w:t>第三章 项目采购需求</w:t>
      </w:r>
      <w:bookmarkEnd w:id="313"/>
      <w:bookmarkEnd w:id="314"/>
      <w:bookmarkEnd w:id="315"/>
      <w:bookmarkEnd w:id="316"/>
      <w:bookmarkEnd w:id="317"/>
    </w:p>
    <w:tbl>
      <w:tblPr>
        <w:tblStyle w:val="64"/>
        <w:tblW w:w="4998" w:type="pct"/>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53"/>
        <w:gridCol w:w="1317"/>
        <w:gridCol w:w="6766"/>
      </w:tblGrid>
      <w:tr w14:paraId="25C6F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48EDAE0D">
            <w:pPr>
              <w:pStyle w:val="66"/>
              <w:bidi w:val="0"/>
              <w:jc w:val="center"/>
            </w:pPr>
            <w:bookmarkStart w:id="318" w:name="_Toc163493631"/>
            <w:bookmarkStart w:id="319" w:name="_Toc13240"/>
            <w:bookmarkStart w:id="320" w:name="_Toc12018"/>
            <w:bookmarkStart w:id="321" w:name="_Toc28710"/>
            <w:r>
              <w:t>序号</w:t>
            </w:r>
          </w:p>
        </w:tc>
        <w:tc>
          <w:tcPr>
            <w:tcW w:w="745" w:type="pct"/>
            <w:vAlign w:val="center"/>
          </w:tcPr>
          <w:p w14:paraId="7E8E4741">
            <w:pPr>
              <w:pStyle w:val="66"/>
              <w:bidi w:val="0"/>
              <w:jc w:val="center"/>
            </w:pPr>
            <w:r>
              <w:t>条款名称</w:t>
            </w:r>
          </w:p>
        </w:tc>
        <w:tc>
          <w:tcPr>
            <w:tcW w:w="3828" w:type="pct"/>
            <w:vAlign w:val="center"/>
          </w:tcPr>
          <w:p w14:paraId="1AE48665">
            <w:pPr>
              <w:pStyle w:val="66"/>
              <w:bidi w:val="0"/>
            </w:pPr>
            <w:r>
              <w:t>说   明</w:t>
            </w:r>
          </w:p>
        </w:tc>
      </w:tr>
      <w:tr w14:paraId="7F45E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09D824C3">
            <w:pPr>
              <w:pStyle w:val="66"/>
              <w:bidi w:val="0"/>
              <w:jc w:val="center"/>
            </w:pPr>
            <w:r>
              <w:t>1</w:t>
            </w:r>
          </w:p>
        </w:tc>
        <w:tc>
          <w:tcPr>
            <w:tcW w:w="745" w:type="pct"/>
            <w:vAlign w:val="center"/>
          </w:tcPr>
          <w:p w14:paraId="2952A342">
            <w:pPr>
              <w:pStyle w:val="66"/>
              <w:bidi w:val="0"/>
              <w:jc w:val="center"/>
              <w:rPr>
                <w:color w:val="auto"/>
              </w:rPr>
            </w:pPr>
            <w:r>
              <w:rPr>
                <w:color w:val="auto"/>
              </w:rPr>
              <w:t>资格要求</w:t>
            </w:r>
          </w:p>
        </w:tc>
        <w:tc>
          <w:tcPr>
            <w:tcW w:w="3828" w:type="pct"/>
            <w:vAlign w:val="center"/>
          </w:tcPr>
          <w:p w14:paraId="0C6F3F85">
            <w:pPr>
              <w:pStyle w:val="66"/>
              <w:bidi w:val="0"/>
              <w:jc w:val="both"/>
              <w:rPr>
                <w:color w:val="auto"/>
              </w:rPr>
            </w:pPr>
            <w:r>
              <w:rPr>
                <w:color w:val="auto"/>
              </w:rPr>
              <w:t>详见本项目磋商文件第一部分投标邀请“供应商资格要求 ”。</w:t>
            </w:r>
          </w:p>
        </w:tc>
      </w:tr>
      <w:tr w14:paraId="13AD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68BBBDB1">
            <w:pPr>
              <w:pStyle w:val="66"/>
              <w:bidi w:val="0"/>
              <w:jc w:val="center"/>
            </w:pPr>
            <w:r>
              <w:t>2</w:t>
            </w:r>
          </w:p>
        </w:tc>
        <w:tc>
          <w:tcPr>
            <w:tcW w:w="745" w:type="pct"/>
            <w:vAlign w:val="center"/>
          </w:tcPr>
          <w:p w14:paraId="5A43A303">
            <w:pPr>
              <w:pStyle w:val="66"/>
              <w:bidi w:val="0"/>
              <w:jc w:val="center"/>
              <w:rPr>
                <w:color w:val="auto"/>
                <w:highlight w:val="none"/>
              </w:rPr>
            </w:pPr>
            <w:r>
              <w:rPr>
                <w:color w:val="auto"/>
                <w:highlight w:val="none"/>
              </w:rPr>
              <w:t>★完工期</w:t>
            </w:r>
          </w:p>
        </w:tc>
        <w:tc>
          <w:tcPr>
            <w:tcW w:w="3828" w:type="pct"/>
            <w:vAlign w:val="center"/>
          </w:tcPr>
          <w:p w14:paraId="57F4F41F">
            <w:pPr>
              <w:pStyle w:val="66"/>
              <w:bidi w:val="0"/>
              <w:jc w:val="both"/>
              <w:rPr>
                <w:color w:val="auto"/>
                <w:highlight w:val="none"/>
              </w:rPr>
            </w:pPr>
            <w:r>
              <w:rPr>
                <w:color w:val="auto"/>
                <w:highlight w:val="none"/>
              </w:rPr>
              <w:t>合同签订后</w:t>
            </w:r>
            <w:r>
              <w:rPr>
                <w:rFonts w:hint="eastAsia"/>
                <w:color w:val="auto"/>
                <w:highlight w:val="none"/>
                <w:lang w:val="en-US" w:eastAsia="zh-CN"/>
              </w:rPr>
              <w:t>60</w:t>
            </w:r>
            <w:r>
              <w:rPr>
                <w:color w:val="auto"/>
                <w:highlight w:val="none"/>
              </w:rPr>
              <w:t>日历天</w:t>
            </w:r>
            <w:bookmarkStart w:id="903" w:name="_GoBack"/>
            <w:bookmarkEnd w:id="903"/>
          </w:p>
        </w:tc>
      </w:tr>
      <w:tr w14:paraId="6340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410ADF8E">
            <w:pPr>
              <w:pStyle w:val="66"/>
              <w:bidi w:val="0"/>
              <w:jc w:val="center"/>
            </w:pPr>
            <w:r>
              <w:t>3</w:t>
            </w:r>
          </w:p>
        </w:tc>
        <w:tc>
          <w:tcPr>
            <w:tcW w:w="745" w:type="pct"/>
            <w:vAlign w:val="center"/>
          </w:tcPr>
          <w:p w14:paraId="61B908D3">
            <w:pPr>
              <w:pStyle w:val="66"/>
              <w:bidi w:val="0"/>
              <w:jc w:val="center"/>
            </w:pPr>
            <w:r>
              <w:t>★保修期</w:t>
            </w:r>
          </w:p>
        </w:tc>
        <w:tc>
          <w:tcPr>
            <w:tcW w:w="3828" w:type="pct"/>
            <w:vAlign w:val="center"/>
          </w:tcPr>
          <w:p w14:paraId="3F75101F">
            <w:pPr>
              <w:pStyle w:val="66"/>
              <w:bidi w:val="0"/>
              <w:jc w:val="both"/>
              <w:rPr>
                <w:rFonts w:hint="default" w:eastAsia="宋体"/>
                <w:lang w:val="en-US" w:eastAsia="zh-CN"/>
              </w:rPr>
            </w:pPr>
            <w:r>
              <w:rPr>
                <w:rFonts w:hint="eastAsia"/>
                <w:lang w:val="en-US" w:eastAsia="zh-CN"/>
              </w:rPr>
              <w:t>2年</w:t>
            </w:r>
          </w:p>
        </w:tc>
      </w:tr>
      <w:tr w14:paraId="17D3F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4C732881">
            <w:pPr>
              <w:pStyle w:val="66"/>
              <w:bidi w:val="0"/>
              <w:jc w:val="center"/>
            </w:pPr>
            <w:r>
              <w:t>4</w:t>
            </w:r>
          </w:p>
        </w:tc>
        <w:tc>
          <w:tcPr>
            <w:tcW w:w="745" w:type="pct"/>
            <w:vAlign w:val="center"/>
          </w:tcPr>
          <w:p w14:paraId="67461FB7">
            <w:pPr>
              <w:pStyle w:val="66"/>
              <w:bidi w:val="0"/>
              <w:jc w:val="center"/>
            </w:pPr>
            <w:r>
              <w:t>施工地点</w:t>
            </w:r>
          </w:p>
        </w:tc>
        <w:tc>
          <w:tcPr>
            <w:tcW w:w="3828" w:type="pct"/>
            <w:vAlign w:val="center"/>
          </w:tcPr>
          <w:p w14:paraId="1F6BB5FC">
            <w:pPr>
              <w:pStyle w:val="66"/>
              <w:bidi w:val="0"/>
              <w:jc w:val="both"/>
              <w:rPr>
                <w:rFonts w:hint="default"/>
                <w:lang w:val="en-US" w:eastAsia="zh-CN"/>
              </w:rPr>
            </w:pPr>
            <w:r>
              <w:rPr>
                <w:rFonts w:hint="eastAsia"/>
                <w:lang w:val="en-US" w:eastAsia="zh-CN"/>
              </w:rPr>
              <w:t>鄯善县鲁克沁镇第一中学内</w:t>
            </w:r>
          </w:p>
        </w:tc>
      </w:tr>
      <w:tr w14:paraId="64DAC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4A7D8239">
            <w:pPr>
              <w:pStyle w:val="66"/>
              <w:bidi w:val="0"/>
              <w:jc w:val="center"/>
            </w:pPr>
            <w:r>
              <w:t>5</w:t>
            </w:r>
          </w:p>
        </w:tc>
        <w:tc>
          <w:tcPr>
            <w:tcW w:w="745" w:type="pct"/>
            <w:vAlign w:val="center"/>
          </w:tcPr>
          <w:p w14:paraId="15A0F0E9">
            <w:pPr>
              <w:pStyle w:val="66"/>
              <w:bidi w:val="0"/>
              <w:jc w:val="center"/>
            </w:pPr>
            <w:r>
              <w:t>报价要求</w:t>
            </w:r>
          </w:p>
        </w:tc>
        <w:tc>
          <w:tcPr>
            <w:tcW w:w="3828" w:type="pct"/>
            <w:vAlign w:val="center"/>
          </w:tcPr>
          <w:p w14:paraId="59B05BA4">
            <w:pPr>
              <w:pStyle w:val="66"/>
              <w:bidi w:val="0"/>
              <w:jc w:val="both"/>
            </w:pPr>
            <w:r>
              <w:t>1、本项目的报价和结算支付均以人民币为货币单位。</w:t>
            </w:r>
          </w:p>
          <w:p w14:paraId="616A5B40">
            <w:pPr>
              <w:pStyle w:val="66"/>
              <w:bidi w:val="0"/>
              <w:jc w:val="both"/>
            </w:pPr>
            <w:r>
              <w:t>2、供应商报价应包括设计、采购、运输、安装、相关部门验收及保修期内的维护保养等所有含税费用， 以及供应商认为必要的其他货物、材料、工程、服务。</w:t>
            </w:r>
          </w:p>
          <w:p w14:paraId="18671733">
            <w:pPr>
              <w:pStyle w:val="66"/>
              <w:bidi w:val="0"/>
              <w:jc w:val="both"/>
            </w:pPr>
            <w:r>
              <w:t>3 、如出现任何遗漏内容需产生额外费用 ，均由成交供应商自行承担，采购人将不再另支付任何费用。</w:t>
            </w:r>
          </w:p>
          <w:p w14:paraId="280949E7">
            <w:pPr>
              <w:pStyle w:val="66"/>
              <w:bidi w:val="0"/>
              <w:jc w:val="both"/>
            </w:pPr>
            <w:r>
              <w:t>4、供应商的报价文件应包括单价和总价，总价是对采购的所有内容所计算的总价，为合同总价；其填报的明细单价则应是供应商对本采购项目所包含的具体的服务进行详细列示的计算单价。</w:t>
            </w:r>
          </w:p>
          <w:p w14:paraId="2DF79E7E">
            <w:pPr>
              <w:pStyle w:val="66"/>
              <w:bidi w:val="0"/>
              <w:jc w:val="both"/>
            </w:pPr>
            <w:r>
              <w:t>5、供应商应被认为在填报报价之前， 已经仔细阅读了本磋商文件的所有有关章节以及审查了所有相关资料， 已确保本次磋商的所有磋商范围内的各种价格风险均已包含在磋商的报价内。</w:t>
            </w:r>
          </w:p>
        </w:tc>
      </w:tr>
      <w:tr w14:paraId="3A0D3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5D5663E1">
            <w:pPr>
              <w:pStyle w:val="66"/>
              <w:bidi w:val="0"/>
              <w:jc w:val="center"/>
            </w:pPr>
            <w:r>
              <w:t>6</w:t>
            </w:r>
          </w:p>
        </w:tc>
        <w:tc>
          <w:tcPr>
            <w:tcW w:w="745" w:type="pct"/>
            <w:vAlign w:val="center"/>
          </w:tcPr>
          <w:p w14:paraId="762E1374">
            <w:pPr>
              <w:pStyle w:val="66"/>
              <w:bidi w:val="0"/>
              <w:jc w:val="center"/>
            </w:pPr>
            <w:r>
              <w:t>质量要求和质量保修期</w:t>
            </w:r>
          </w:p>
        </w:tc>
        <w:tc>
          <w:tcPr>
            <w:tcW w:w="3828" w:type="pct"/>
            <w:vAlign w:val="center"/>
          </w:tcPr>
          <w:p w14:paraId="663078A7">
            <w:pPr>
              <w:pStyle w:val="66"/>
              <w:bidi w:val="0"/>
              <w:jc w:val="both"/>
            </w:pPr>
            <w:r>
              <w:t>1、质量：符合国家有关施工质量验收标准的合格工程或合同约定。工程规范以现行的或承担具体施工任务期间国家和行业新颁布施行的规范、规程为准。</w:t>
            </w:r>
          </w:p>
          <w:p w14:paraId="1050284F">
            <w:pPr>
              <w:pStyle w:val="66"/>
              <w:bidi w:val="0"/>
              <w:jc w:val="both"/>
            </w:pPr>
            <w:r>
              <w:t>2、材料、设备、施工须达到现行中华人民共和国以及省、自治区、直辖市或行业的工程建设标准、规范的要求及验收标准及有关规范为质量评定验收标准。</w:t>
            </w:r>
          </w:p>
          <w:p w14:paraId="3ACF6F7C">
            <w:pPr>
              <w:pStyle w:val="66"/>
              <w:bidi w:val="0"/>
              <w:jc w:val="both"/>
            </w:pPr>
            <w:r>
              <w:t>3、质量保修期：按国务院《建设工程质量管理条例》第四十条相关规定执行。</w:t>
            </w:r>
          </w:p>
          <w:p w14:paraId="5B742360">
            <w:pPr>
              <w:pStyle w:val="66"/>
              <w:bidi w:val="0"/>
              <w:jc w:val="both"/>
            </w:pPr>
            <w:r>
              <w:t>4、质量保修响应时间：属于保修范围的项目，应在接到采购人通知后的24小时内内派人保修。如未能在规定时间内派人保修的，采购人可自行或委托第三方保修，费用由成交供应商支付。发生紧急抢修事故的，成交供应商在接到通知后，应立即到达事故现场抢修。</w:t>
            </w:r>
          </w:p>
        </w:tc>
      </w:tr>
      <w:tr w14:paraId="3FA7B3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321E828C">
            <w:pPr>
              <w:pStyle w:val="66"/>
              <w:bidi w:val="0"/>
              <w:jc w:val="center"/>
            </w:pPr>
            <w:r>
              <w:t>7</w:t>
            </w:r>
          </w:p>
        </w:tc>
        <w:tc>
          <w:tcPr>
            <w:tcW w:w="745" w:type="pct"/>
            <w:vAlign w:val="center"/>
          </w:tcPr>
          <w:p w14:paraId="49E846CE">
            <w:pPr>
              <w:pStyle w:val="66"/>
              <w:bidi w:val="0"/>
              <w:jc w:val="center"/>
            </w:pPr>
            <w:r>
              <w:t>验收</w:t>
            </w:r>
          </w:p>
        </w:tc>
        <w:tc>
          <w:tcPr>
            <w:tcW w:w="3828" w:type="pct"/>
            <w:vAlign w:val="center"/>
          </w:tcPr>
          <w:p w14:paraId="0146CE88">
            <w:pPr>
              <w:pStyle w:val="66"/>
              <w:bidi w:val="0"/>
              <w:jc w:val="both"/>
            </w:pPr>
            <w:r>
              <w:t>1、采购人在收到成交供应商提交的竣工报告后组织验收，并在验收后14天内予以认可或提出修改意见。验收不合格，成交供应商应按要求修改后再次提请采购人验收，并承担因自身原因造成修改的费用。</w:t>
            </w:r>
          </w:p>
          <w:p w14:paraId="2A6E7536">
            <w:pPr>
              <w:pStyle w:val="66"/>
              <w:bidi w:val="0"/>
              <w:jc w:val="both"/>
            </w:pPr>
            <w:r>
              <w:t>2、采购人在收到成交供应商提交的竣工报告后不组织验收，或验收后不提出修改意见，视为竣工报告已被认可。</w:t>
            </w:r>
          </w:p>
          <w:p w14:paraId="2D7E3BA8">
            <w:pPr>
              <w:pStyle w:val="66"/>
              <w:bidi w:val="0"/>
              <w:jc w:val="both"/>
            </w:pPr>
            <w:r>
              <w:t>3、验收时如发现所交付的设备有短装、次品、损坏或其它不符合竞价文件规定之情形者，采购人应做出详尽的现场记录，或由用户和成交供应商双方签署备忘录。此现场记录或备忘录可用作补充、缺失和更换损坏部件的有效证据。由此产生的有关费用由成交供应商承担。</w:t>
            </w:r>
          </w:p>
          <w:p w14:paraId="615BBD1F">
            <w:pPr>
              <w:pStyle w:val="66"/>
              <w:bidi w:val="0"/>
              <w:jc w:val="both"/>
            </w:pPr>
            <w:r>
              <w:t>4 、竣工报告被认可 ，则表明已完成合同工程 ，并视为通过竣工验收，采购人应向成交供应商颁发工程竣工验收证书。</w:t>
            </w:r>
          </w:p>
        </w:tc>
      </w:tr>
      <w:tr w14:paraId="4A379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5" w:type="pct"/>
            <w:vAlign w:val="center"/>
          </w:tcPr>
          <w:p w14:paraId="0EB58010">
            <w:pPr>
              <w:pStyle w:val="66"/>
              <w:bidi w:val="0"/>
              <w:jc w:val="center"/>
            </w:pPr>
            <w:r>
              <w:t>8</w:t>
            </w:r>
          </w:p>
        </w:tc>
        <w:tc>
          <w:tcPr>
            <w:tcW w:w="745" w:type="pct"/>
            <w:vAlign w:val="center"/>
          </w:tcPr>
          <w:p w14:paraId="00FAD151">
            <w:pPr>
              <w:pStyle w:val="66"/>
              <w:bidi w:val="0"/>
              <w:jc w:val="center"/>
            </w:pPr>
            <w:r>
              <w:t>付款方式</w:t>
            </w:r>
          </w:p>
        </w:tc>
        <w:tc>
          <w:tcPr>
            <w:tcW w:w="3828" w:type="pct"/>
            <w:vAlign w:val="center"/>
          </w:tcPr>
          <w:p w14:paraId="104D4D07">
            <w:pPr>
              <w:pStyle w:val="66"/>
              <w:bidi w:val="0"/>
              <w:jc w:val="both"/>
            </w:pPr>
            <w:r>
              <w:rPr>
                <w:rFonts w:hint="eastAsia"/>
                <w:color w:val="auto"/>
                <w:highlight w:val="none"/>
                <w:lang w:eastAsia="zh-CN"/>
              </w:rPr>
              <w:t>预付款按合同价（扣暂列金额）的30%，</w:t>
            </w:r>
            <w:r>
              <w:rPr>
                <w:rFonts w:hint="eastAsia"/>
                <w:color w:val="auto"/>
                <w:highlight w:val="none"/>
              </w:rPr>
              <w:t>工程进度款按月结算，每月支付80%的进度款。工程累计付款至签约合同价（不含暂列金）的80%时停止支付，工程竣工验收合格后十五日内付款至合同价的97%，结算价款的3%作为工程质量保修金。确认增减的变更工程价款，作为调整（减）合同价款与工程进度款同期支付。验收后付款及变更项目付款，需经建设单位审核批准后付款。</w:t>
            </w:r>
          </w:p>
        </w:tc>
      </w:tr>
      <w:tr w14:paraId="43C75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425" w:type="pct"/>
            <w:vAlign w:val="center"/>
          </w:tcPr>
          <w:p w14:paraId="0D7EE2CE">
            <w:pPr>
              <w:pStyle w:val="66"/>
              <w:bidi w:val="0"/>
              <w:jc w:val="center"/>
            </w:pPr>
            <w:r>
              <w:t>9</w:t>
            </w:r>
          </w:p>
        </w:tc>
        <w:tc>
          <w:tcPr>
            <w:tcW w:w="745" w:type="pct"/>
            <w:vAlign w:val="center"/>
          </w:tcPr>
          <w:p w14:paraId="1B2E9DF7">
            <w:pPr>
              <w:pStyle w:val="66"/>
              <w:bidi w:val="0"/>
              <w:jc w:val="center"/>
            </w:pPr>
            <w:r>
              <w:t>项目要求</w:t>
            </w:r>
          </w:p>
        </w:tc>
        <w:tc>
          <w:tcPr>
            <w:tcW w:w="3828" w:type="pct"/>
            <w:vAlign w:val="center"/>
          </w:tcPr>
          <w:p w14:paraId="78E19A44">
            <w:pPr>
              <w:pStyle w:val="66"/>
              <w:bidi w:val="0"/>
              <w:jc w:val="both"/>
            </w:pPr>
            <w:r>
              <w:t>1、成交人必须遵照采购人的管理及安排，按采购人的内容、质量、时间要求制作,所有的服务必须达到采购人的要求。</w:t>
            </w:r>
          </w:p>
          <w:p w14:paraId="410B8ED3">
            <w:pPr>
              <w:pStyle w:val="66"/>
              <w:bidi w:val="0"/>
              <w:jc w:val="both"/>
            </w:pPr>
            <w:r>
              <w:t>2、项目建设工作完成后应按要求及时清理现场工作。</w:t>
            </w:r>
          </w:p>
          <w:p w14:paraId="27B1997B">
            <w:pPr>
              <w:pStyle w:val="66"/>
              <w:bidi w:val="0"/>
              <w:jc w:val="both"/>
            </w:pPr>
            <w:r>
              <w:t>3、★成交供应商必须在施工过程中注意自身及周边安全，负责施工过程中的所有事故处理和费用。</w:t>
            </w:r>
          </w:p>
          <w:p w14:paraId="2B060486">
            <w:pPr>
              <w:pStyle w:val="66"/>
              <w:bidi w:val="0"/>
              <w:jc w:val="both"/>
            </w:pPr>
            <w:r>
              <w:t>4、为便于与采购人就活动细节等方面进行适时沟通联系、及时处理和反馈,并使项目按质、按量、按时、有序实施，成交人应保证有固定专人负责联络工作。本项目必须有一个完善且固定的策划和组织管理团队，供应商须在响应文件中详细列出参与本项目的人员名单。</w:t>
            </w:r>
          </w:p>
        </w:tc>
      </w:tr>
      <w:tr w14:paraId="11245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426" w:type="pct"/>
            <w:vAlign w:val="center"/>
          </w:tcPr>
          <w:p w14:paraId="3EE8F4E2">
            <w:pPr>
              <w:pStyle w:val="66"/>
              <w:bidi w:val="0"/>
              <w:jc w:val="center"/>
            </w:pPr>
            <w:r>
              <w:t>10</w:t>
            </w:r>
          </w:p>
        </w:tc>
        <w:tc>
          <w:tcPr>
            <w:tcW w:w="745" w:type="pct"/>
            <w:vAlign w:val="center"/>
          </w:tcPr>
          <w:p w14:paraId="2D3FC308">
            <w:pPr>
              <w:pStyle w:val="66"/>
              <w:bidi w:val="0"/>
              <w:jc w:val="center"/>
            </w:pPr>
            <w:r>
              <w:t>其它要求</w:t>
            </w:r>
          </w:p>
        </w:tc>
        <w:tc>
          <w:tcPr>
            <w:tcW w:w="3828" w:type="pct"/>
            <w:vAlign w:val="center"/>
          </w:tcPr>
          <w:p w14:paraId="0156E70D">
            <w:pPr>
              <w:pStyle w:val="66"/>
              <w:bidi w:val="0"/>
              <w:jc w:val="both"/>
            </w:pPr>
          </w:p>
          <w:p w14:paraId="355FBCCA">
            <w:pPr>
              <w:pStyle w:val="66"/>
              <w:bidi w:val="0"/>
              <w:jc w:val="both"/>
            </w:pPr>
            <w:r>
              <w:t>1、成交供应商施工前后，需负责原有</w:t>
            </w:r>
            <w:r>
              <w:rPr>
                <w:rFonts w:hint="eastAsia"/>
                <w:lang w:val="en-US" w:eastAsia="zh-CN"/>
              </w:rPr>
              <w:t>地</w:t>
            </w:r>
            <w:r>
              <w:t>面拆旧，杂物清理及外运；</w:t>
            </w:r>
          </w:p>
          <w:p w14:paraId="25318532">
            <w:pPr>
              <w:pStyle w:val="66"/>
              <w:bidi w:val="0"/>
              <w:jc w:val="both"/>
            </w:pPr>
            <w:r>
              <w:t>2、成交供应商需严格按照采购人需求及设计图保质保量施工，不得偷工减料；</w:t>
            </w:r>
          </w:p>
          <w:p w14:paraId="131C0A66">
            <w:pPr>
              <w:pStyle w:val="66"/>
              <w:bidi w:val="0"/>
              <w:jc w:val="both"/>
            </w:pPr>
            <w:r>
              <w:t>3、施工中使用的原材料必须为原厂全新材料，不得翻旧利旧，保证设计效果质量。</w:t>
            </w:r>
          </w:p>
        </w:tc>
      </w:tr>
    </w:tbl>
    <w:p w14:paraId="73EEC633">
      <w:pPr>
        <w:pStyle w:val="12"/>
        <w:spacing w:line="309" w:lineRule="auto"/>
      </w:pPr>
    </w:p>
    <w:p w14:paraId="0FA10948">
      <w:pPr>
        <w:rPr>
          <w:rFonts w:ascii="仿宋" w:hAnsi="仿宋" w:eastAsia="仿宋" w:cs="仿宋"/>
          <w:b/>
          <w:bCs/>
          <w:spacing w:val="-9"/>
          <w:sz w:val="24"/>
          <w:szCs w:val="24"/>
        </w:rPr>
      </w:pPr>
      <w:r>
        <w:rPr>
          <w:rFonts w:ascii="仿宋" w:hAnsi="仿宋" w:eastAsia="仿宋" w:cs="仿宋"/>
          <w:b/>
          <w:bCs/>
          <w:spacing w:val="-9"/>
          <w:sz w:val="24"/>
          <w:szCs w:val="24"/>
        </w:rPr>
        <w:br w:type="page"/>
      </w:r>
    </w:p>
    <w:p w14:paraId="011D44EB">
      <w:pPr>
        <w:spacing w:before="78" w:line="222" w:lineRule="auto"/>
        <w:ind w:left="3947"/>
        <w:rPr>
          <w:rFonts w:ascii="仿宋" w:hAnsi="仿宋" w:eastAsia="仿宋" w:cs="仿宋"/>
          <w:sz w:val="24"/>
          <w:szCs w:val="24"/>
        </w:rPr>
      </w:pPr>
      <w:r>
        <w:rPr>
          <w:rFonts w:ascii="仿宋" w:hAnsi="仿宋" w:eastAsia="仿宋" w:cs="仿宋"/>
          <w:b/>
          <w:bCs/>
          <w:spacing w:val="-9"/>
          <w:sz w:val="24"/>
          <w:szCs w:val="24"/>
        </w:rPr>
        <w:t>II</w:t>
      </w:r>
      <w:r>
        <w:rPr>
          <w:rFonts w:ascii="仿宋" w:hAnsi="仿宋" w:eastAsia="仿宋" w:cs="仿宋"/>
          <w:spacing w:val="9"/>
          <w:sz w:val="24"/>
          <w:szCs w:val="24"/>
        </w:rPr>
        <w:t xml:space="preserve">  </w:t>
      </w:r>
      <w:r>
        <w:rPr>
          <w:rFonts w:ascii="仿宋" w:hAnsi="仿宋" w:eastAsia="仿宋" w:cs="仿宋"/>
          <w:b/>
          <w:bCs/>
          <w:spacing w:val="-9"/>
          <w:sz w:val="24"/>
          <w:szCs w:val="24"/>
        </w:rPr>
        <w:t>技术要求</w:t>
      </w:r>
    </w:p>
    <w:p w14:paraId="79C68DFE">
      <w:pPr>
        <w:spacing w:before="152" w:line="221" w:lineRule="auto"/>
        <w:ind w:left="484"/>
        <w:rPr>
          <w:rFonts w:ascii="仿宋" w:hAnsi="仿宋" w:eastAsia="仿宋" w:cs="仿宋"/>
          <w:sz w:val="24"/>
          <w:szCs w:val="24"/>
        </w:rPr>
      </w:pPr>
      <w:r>
        <w:rPr>
          <w:rFonts w:ascii="仿宋" w:hAnsi="仿宋" w:eastAsia="仿宋" w:cs="仿宋"/>
          <w:b/>
          <w:bCs/>
          <w:spacing w:val="-5"/>
          <w:sz w:val="24"/>
          <w:szCs w:val="24"/>
        </w:rPr>
        <w:t>一、工程量清单</w:t>
      </w:r>
    </w:p>
    <w:p w14:paraId="5A42411A">
      <w:pPr>
        <w:spacing w:before="151" w:line="221" w:lineRule="auto"/>
        <w:ind w:left="491"/>
        <w:outlineLvl w:val="1"/>
        <w:rPr>
          <w:rFonts w:ascii="仿宋" w:hAnsi="仿宋" w:eastAsia="仿宋" w:cs="仿宋"/>
          <w:sz w:val="24"/>
          <w:szCs w:val="24"/>
        </w:rPr>
      </w:pPr>
      <w:r>
        <w:rPr>
          <w:rFonts w:ascii="仿宋" w:hAnsi="仿宋" w:eastAsia="仿宋" w:cs="仿宋"/>
          <w:b/>
          <w:bCs/>
          <w:spacing w:val="-8"/>
          <w:sz w:val="24"/>
          <w:szCs w:val="24"/>
        </w:rPr>
        <w:t>1.</w:t>
      </w:r>
      <w:r>
        <w:rPr>
          <w:rFonts w:ascii="仿宋" w:hAnsi="仿宋" w:eastAsia="仿宋" w:cs="仿宋"/>
          <w:spacing w:val="29"/>
          <w:sz w:val="24"/>
          <w:szCs w:val="24"/>
        </w:rPr>
        <w:t xml:space="preserve"> </w:t>
      </w:r>
      <w:r>
        <w:rPr>
          <w:rFonts w:ascii="仿宋" w:hAnsi="仿宋" w:eastAsia="仿宋" w:cs="仿宋"/>
          <w:b/>
          <w:bCs/>
          <w:spacing w:val="-8"/>
          <w:sz w:val="24"/>
          <w:szCs w:val="24"/>
        </w:rPr>
        <w:t>工程量清单说明</w:t>
      </w:r>
    </w:p>
    <w:p w14:paraId="3F3758B2">
      <w:pPr>
        <w:spacing w:before="149" w:line="339" w:lineRule="auto"/>
        <w:ind w:firstLine="490"/>
        <w:rPr>
          <w:rFonts w:ascii="仿宋" w:hAnsi="仿宋" w:eastAsia="仿宋" w:cs="仿宋"/>
          <w:sz w:val="24"/>
          <w:szCs w:val="24"/>
        </w:rPr>
      </w:pPr>
      <w:r>
        <w:rPr>
          <w:rFonts w:ascii="仿宋" w:hAnsi="仿宋" w:eastAsia="仿宋" w:cs="仿宋"/>
          <w:spacing w:val="5"/>
          <w:sz w:val="24"/>
          <w:szCs w:val="24"/>
        </w:rPr>
        <w:t>1.1 本工程量清单是根据谈判文件中包括的、有合同约束力的图纸以及有关工程量清单的国家标准、行业标准、合同条款中约定的工程量计算规则编制。约定计量规则中没有的子目，其工程量按照有合同约束力的图纸所标示尺寸的理论净量计</w:t>
      </w:r>
      <w:r>
        <w:rPr>
          <w:rFonts w:ascii="仿宋" w:hAnsi="仿宋" w:eastAsia="仿宋" w:cs="仿宋"/>
          <w:spacing w:val="-1"/>
          <w:sz w:val="24"/>
          <w:szCs w:val="24"/>
        </w:rPr>
        <w:t>算。计量采用中华人民共和国法定计量单位。</w:t>
      </w:r>
    </w:p>
    <w:p w14:paraId="472DE117">
      <w:pPr>
        <w:spacing w:before="1" w:line="338" w:lineRule="auto"/>
        <w:ind w:firstLine="491"/>
        <w:rPr>
          <w:rFonts w:ascii="仿宋" w:hAnsi="仿宋" w:eastAsia="仿宋" w:cs="仿宋"/>
          <w:sz w:val="24"/>
          <w:szCs w:val="24"/>
        </w:rPr>
      </w:pPr>
      <w:r>
        <w:rPr>
          <w:rFonts w:ascii="仿宋" w:hAnsi="仿宋" w:eastAsia="仿宋" w:cs="仿宋"/>
          <w:spacing w:val="5"/>
          <w:sz w:val="24"/>
          <w:szCs w:val="24"/>
        </w:rPr>
        <w:t>1.2 本工程量清单应与谈判文件中的供应商须知、通用合同条款、专用合同条</w:t>
      </w:r>
      <w:r>
        <w:rPr>
          <w:rFonts w:ascii="仿宋" w:hAnsi="仿宋" w:eastAsia="仿宋" w:cs="仿宋"/>
          <w:spacing w:val="-1"/>
          <w:sz w:val="24"/>
          <w:szCs w:val="24"/>
        </w:rPr>
        <w:t>款、技术标准和要求及图纸等一起阅读和理解。</w:t>
      </w:r>
    </w:p>
    <w:p w14:paraId="68B5BDA1">
      <w:pPr>
        <w:spacing w:before="2" w:line="338" w:lineRule="auto"/>
        <w:ind w:right="2" w:firstLine="490"/>
        <w:rPr>
          <w:rFonts w:ascii="仿宋" w:hAnsi="仿宋" w:eastAsia="仿宋" w:cs="仿宋"/>
          <w:sz w:val="24"/>
          <w:szCs w:val="24"/>
        </w:rPr>
      </w:pPr>
      <w:r>
        <w:rPr>
          <w:rFonts w:ascii="仿宋" w:hAnsi="仿宋" w:eastAsia="仿宋" w:cs="仿宋"/>
          <w:spacing w:val="5"/>
          <w:sz w:val="24"/>
          <w:szCs w:val="24"/>
        </w:rPr>
        <w:t>1.3 本工程量清单仅是投标报价的共同基础，实际工程计量和工程价款的</w:t>
      </w:r>
      <w:r>
        <w:rPr>
          <w:rFonts w:ascii="仿宋" w:hAnsi="仿宋" w:eastAsia="仿宋" w:cs="仿宋"/>
          <w:spacing w:val="4"/>
          <w:sz w:val="24"/>
          <w:szCs w:val="24"/>
        </w:rPr>
        <w:t>支付</w:t>
      </w:r>
      <w:r>
        <w:rPr>
          <w:rFonts w:ascii="仿宋" w:hAnsi="仿宋" w:eastAsia="仿宋" w:cs="仿宋"/>
          <w:spacing w:val="-2"/>
          <w:sz w:val="24"/>
          <w:szCs w:val="24"/>
        </w:rPr>
        <w:t>应遵循合同条款的约定和第七章“技术标准和要求</w:t>
      </w:r>
      <w:r>
        <w:rPr>
          <w:rFonts w:ascii="仿宋" w:hAnsi="仿宋" w:eastAsia="仿宋" w:cs="仿宋"/>
          <w:spacing w:val="-79"/>
          <w:sz w:val="24"/>
          <w:szCs w:val="24"/>
        </w:rPr>
        <w:t xml:space="preserve"> </w:t>
      </w:r>
      <w:r>
        <w:rPr>
          <w:rFonts w:ascii="仿宋" w:hAnsi="仿宋" w:eastAsia="仿宋" w:cs="仿宋"/>
          <w:spacing w:val="-2"/>
          <w:sz w:val="24"/>
          <w:szCs w:val="24"/>
        </w:rPr>
        <w:t>”的有关规定。</w:t>
      </w:r>
    </w:p>
    <w:p w14:paraId="0FBACDAC">
      <w:pPr>
        <w:spacing w:line="220" w:lineRule="auto"/>
        <w:ind w:left="491"/>
        <w:rPr>
          <w:rFonts w:ascii="仿宋" w:hAnsi="仿宋" w:eastAsia="仿宋" w:cs="仿宋"/>
          <w:sz w:val="24"/>
          <w:szCs w:val="24"/>
        </w:rPr>
      </w:pPr>
      <w:r>
        <w:rPr>
          <w:rFonts w:ascii="仿宋" w:hAnsi="仿宋" w:eastAsia="仿宋" w:cs="仿宋"/>
          <w:sz w:val="24"/>
          <w:szCs w:val="24"/>
        </w:rPr>
        <w:t>1.4 补充子目工程量计算规则及子目工</w:t>
      </w:r>
      <w:r>
        <w:rPr>
          <w:rFonts w:ascii="仿宋" w:hAnsi="仿宋" w:eastAsia="仿宋" w:cs="仿宋"/>
          <w:spacing w:val="-1"/>
          <w:sz w:val="24"/>
          <w:szCs w:val="24"/>
        </w:rPr>
        <w:t>作内容说明：</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w:t>
      </w:r>
    </w:p>
    <w:p w14:paraId="6948A26F">
      <w:pPr>
        <w:spacing w:before="153" w:line="222" w:lineRule="auto"/>
        <w:ind w:left="476"/>
        <w:outlineLvl w:val="1"/>
        <w:rPr>
          <w:rFonts w:ascii="仿宋" w:hAnsi="仿宋" w:eastAsia="仿宋" w:cs="仿宋"/>
          <w:sz w:val="24"/>
          <w:szCs w:val="24"/>
        </w:rPr>
      </w:pPr>
      <w:r>
        <w:rPr>
          <w:rFonts w:ascii="仿宋" w:hAnsi="仿宋" w:eastAsia="仿宋" w:cs="仿宋"/>
          <w:b/>
          <w:bCs/>
          <w:spacing w:val="-5"/>
          <w:sz w:val="24"/>
          <w:szCs w:val="24"/>
        </w:rPr>
        <w:t>2.</w:t>
      </w:r>
      <w:r>
        <w:rPr>
          <w:rFonts w:ascii="仿宋" w:hAnsi="仿宋" w:eastAsia="仿宋" w:cs="仿宋"/>
          <w:spacing w:val="15"/>
          <w:sz w:val="24"/>
          <w:szCs w:val="24"/>
        </w:rPr>
        <w:t xml:space="preserve"> </w:t>
      </w:r>
      <w:r>
        <w:rPr>
          <w:rFonts w:ascii="仿宋" w:hAnsi="仿宋" w:eastAsia="仿宋" w:cs="仿宋"/>
          <w:b/>
          <w:bCs/>
          <w:spacing w:val="-5"/>
          <w:sz w:val="24"/>
          <w:szCs w:val="24"/>
        </w:rPr>
        <w:t>投标报价说明</w:t>
      </w:r>
    </w:p>
    <w:p w14:paraId="6681161D">
      <w:pPr>
        <w:spacing w:before="152" w:line="338" w:lineRule="auto"/>
        <w:ind w:left="5" w:right="2" w:firstLine="470"/>
        <w:rPr>
          <w:rFonts w:ascii="仿宋" w:hAnsi="仿宋" w:eastAsia="仿宋" w:cs="仿宋"/>
          <w:sz w:val="24"/>
          <w:szCs w:val="24"/>
        </w:rPr>
      </w:pPr>
      <w:r>
        <w:rPr>
          <w:rFonts w:ascii="仿宋" w:hAnsi="仿宋" w:eastAsia="仿宋" w:cs="仿宋"/>
          <w:spacing w:val="10"/>
          <w:sz w:val="24"/>
          <w:szCs w:val="24"/>
        </w:rPr>
        <w:t>2.1 投标报价应根据谈判文件中的有关计价要求，并按照下列依据</w:t>
      </w:r>
      <w:r>
        <w:rPr>
          <w:rFonts w:ascii="仿宋" w:hAnsi="仿宋" w:eastAsia="仿宋" w:cs="仿宋"/>
          <w:spacing w:val="-37"/>
          <w:sz w:val="24"/>
          <w:szCs w:val="24"/>
        </w:rPr>
        <w:t xml:space="preserve"> </w:t>
      </w:r>
      <w:r>
        <w:rPr>
          <w:rFonts w:ascii="仿宋" w:hAnsi="仿宋" w:eastAsia="仿宋" w:cs="仿宋"/>
          <w:spacing w:val="10"/>
          <w:sz w:val="24"/>
          <w:szCs w:val="24"/>
        </w:rPr>
        <w:t>自主报价</w:t>
      </w:r>
      <w:r>
        <w:rPr>
          <w:rFonts w:ascii="仿宋" w:hAnsi="仿宋" w:eastAsia="仿宋" w:cs="仿宋"/>
          <w:spacing w:val="-6"/>
          <w:sz w:val="24"/>
          <w:szCs w:val="24"/>
        </w:rPr>
        <w:t>（另附）</w:t>
      </w:r>
    </w:p>
    <w:p w14:paraId="63B1D834">
      <w:pPr>
        <w:spacing w:before="2" w:line="338" w:lineRule="auto"/>
        <w:ind w:left="1" w:right="2" w:firstLine="474"/>
        <w:rPr>
          <w:rFonts w:ascii="仿宋" w:hAnsi="仿宋" w:eastAsia="仿宋" w:cs="仿宋"/>
          <w:sz w:val="24"/>
          <w:szCs w:val="24"/>
        </w:rPr>
      </w:pPr>
      <w:r>
        <w:rPr>
          <w:rFonts w:ascii="仿宋" w:hAnsi="仿宋" w:eastAsia="仿宋" w:cs="仿宋"/>
          <w:spacing w:val="5"/>
          <w:sz w:val="24"/>
          <w:szCs w:val="24"/>
        </w:rPr>
        <w:t>2.2 工程量清单中的每一子目须填入单价或价格，且只允许有一个报价。工程量清单中供应商没有填入单价或价格的子目，其费用视为已分摊在工程量清单中其</w:t>
      </w:r>
      <w:r>
        <w:rPr>
          <w:rFonts w:ascii="仿宋" w:hAnsi="仿宋" w:eastAsia="仿宋" w:cs="仿宋"/>
          <w:spacing w:val="-2"/>
          <w:sz w:val="24"/>
          <w:szCs w:val="24"/>
        </w:rPr>
        <w:t>他相关子目的单价或价格之中。</w:t>
      </w:r>
    </w:p>
    <w:p w14:paraId="665A3B02">
      <w:pPr>
        <w:spacing w:before="2" w:line="338" w:lineRule="auto"/>
        <w:ind w:left="1" w:right="2" w:firstLine="474"/>
        <w:rPr>
          <w:rFonts w:ascii="仿宋" w:hAnsi="仿宋" w:eastAsia="仿宋" w:cs="仿宋"/>
          <w:sz w:val="24"/>
          <w:szCs w:val="24"/>
        </w:rPr>
      </w:pPr>
      <w:r>
        <w:rPr>
          <w:rFonts w:ascii="仿宋" w:hAnsi="仿宋" w:eastAsia="仿宋" w:cs="仿宋"/>
          <w:spacing w:val="5"/>
          <w:sz w:val="24"/>
          <w:szCs w:val="24"/>
        </w:rPr>
        <w:t>2.3 工程量清单中标价的单价或金额，应包括所需的人工费、材料和施工机具</w:t>
      </w:r>
      <w:r>
        <w:rPr>
          <w:rFonts w:ascii="仿宋" w:hAnsi="仿宋" w:eastAsia="仿宋" w:cs="仿宋"/>
          <w:spacing w:val="-1"/>
          <w:sz w:val="24"/>
          <w:szCs w:val="24"/>
        </w:rPr>
        <w:t>使用费和企业管理费、利润以及一定范围内的风险费用等。</w:t>
      </w:r>
    </w:p>
    <w:p w14:paraId="7B0C2C04">
      <w:pPr>
        <w:spacing w:before="2" w:line="338" w:lineRule="auto"/>
        <w:ind w:firstLine="475"/>
        <w:rPr>
          <w:rFonts w:ascii="仿宋" w:hAnsi="仿宋" w:eastAsia="仿宋" w:cs="仿宋"/>
          <w:sz w:val="24"/>
          <w:szCs w:val="24"/>
        </w:rPr>
      </w:pPr>
      <w:r>
        <w:rPr>
          <w:rFonts w:ascii="仿宋" w:hAnsi="仿宋" w:eastAsia="仿宋" w:cs="仿宋"/>
          <w:spacing w:val="5"/>
          <w:sz w:val="24"/>
          <w:szCs w:val="24"/>
        </w:rPr>
        <w:t>2.4 投标总报价为供应商完成招标范围所述的全部工程内容的体现和完成该工程项目的成本、管理费、技术措施费、利润、风险费及政策性文件规定的不可竞争费用、规费和税金等所有费用，以及所有根据合同或其它原因由供应商支付的税金</w:t>
      </w:r>
      <w:r>
        <w:rPr>
          <w:rFonts w:ascii="仿宋" w:hAnsi="仿宋" w:eastAsia="仿宋" w:cs="仿宋"/>
          <w:spacing w:val="-2"/>
          <w:sz w:val="24"/>
          <w:szCs w:val="24"/>
        </w:rPr>
        <w:t>和其它应缴纳的费用。</w:t>
      </w:r>
    </w:p>
    <w:p w14:paraId="02AB2360">
      <w:pPr>
        <w:spacing w:line="222" w:lineRule="auto"/>
        <w:ind w:left="476"/>
        <w:rPr>
          <w:rFonts w:ascii="仿宋" w:hAnsi="仿宋" w:eastAsia="仿宋" w:cs="仿宋"/>
          <w:sz w:val="24"/>
          <w:szCs w:val="24"/>
        </w:rPr>
      </w:pPr>
      <w:r>
        <w:rPr>
          <w:rFonts w:ascii="仿宋" w:hAnsi="仿宋" w:eastAsia="仿宋" w:cs="仿宋"/>
          <w:spacing w:val="1"/>
          <w:sz w:val="24"/>
          <w:szCs w:val="24"/>
        </w:rPr>
        <w:t>2.5  暂列金额的数量及拟用子目的说明</w:t>
      </w:r>
      <w:r>
        <w:rPr>
          <w:rFonts w:ascii="仿宋" w:hAnsi="仿宋" w:eastAsia="仿宋" w:cs="仿宋"/>
          <w:spacing w:val="-18"/>
          <w:sz w:val="24"/>
          <w:szCs w:val="24"/>
        </w:rPr>
        <w:t>：（</w:t>
      </w:r>
      <w:r>
        <w:rPr>
          <w:rFonts w:ascii="仿宋" w:hAnsi="仿宋" w:eastAsia="仿宋" w:cs="仿宋"/>
          <w:spacing w:val="1"/>
          <w:sz w:val="24"/>
          <w:szCs w:val="24"/>
        </w:rPr>
        <w:t>另附）</w:t>
      </w:r>
    </w:p>
    <w:p w14:paraId="18F093CB">
      <w:pPr>
        <w:spacing w:before="152" w:line="222" w:lineRule="auto"/>
        <w:ind w:left="478"/>
        <w:outlineLvl w:val="1"/>
        <w:rPr>
          <w:rFonts w:ascii="仿宋" w:hAnsi="仿宋" w:eastAsia="仿宋" w:cs="仿宋"/>
          <w:sz w:val="24"/>
          <w:szCs w:val="24"/>
        </w:rPr>
      </w:pPr>
      <w:r>
        <w:rPr>
          <w:rFonts w:ascii="仿宋" w:hAnsi="仿宋" w:eastAsia="仿宋" w:cs="仿宋"/>
          <w:b/>
          <w:bCs/>
          <w:spacing w:val="-7"/>
          <w:sz w:val="24"/>
          <w:szCs w:val="24"/>
        </w:rPr>
        <w:t>3.</w:t>
      </w:r>
      <w:r>
        <w:rPr>
          <w:rFonts w:ascii="仿宋" w:hAnsi="仿宋" w:eastAsia="仿宋" w:cs="仿宋"/>
          <w:spacing w:val="17"/>
          <w:sz w:val="24"/>
          <w:szCs w:val="24"/>
        </w:rPr>
        <w:t xml:space="preserve"> </w:t>
      </w:r>
      <w:r>
        <w:rPr>
          <w:rFonts w:ascii="仿宋" w:hAnsi="仿宋" w:eastAsia="仿宋" w:cs="仿宋"/>
          <w:b/>
          <w:bCs/>
          <w:spacing w:val="-7"/>
          <w:sz w:val="24"/>
          <w:szCs w:val="24"/>
        </w:rPr>
        <w:t>其他说明</w:t>
      </w:r>
    </w:p>
    <w:p w14:paraId="3A109568">
      <w:pPr>
        <w:spacing w:before="151" w:line="221" w:lineRule="auto"/>
        <w:ind w:left="472"/>
        <w:outlineLvl w:val="1"/>
        <w:rPr>
          <w:rFonts w:ascii="仿宋" w:hAnsi="仿宋" w:eastAsia="仿宋" w:cs="仿宋"/>
          <w:sz w:val="24"/>
          <w:szCs w:val="24"/>
        </w:rPr>
      </w:pPr>
      <w:r>
        <w:rPr>
          <w:rFonts w:ascii="仿宋" w:hAnsi="仿宋" w:eastAsia="仿宋" w:cs="仿宋"/>
          <w:b/>
          <w:bCs/>
          <w:spacing w:val="-3"/>
          <w:sz w:val="24"/>
          <w:szCs w:val="24"/>
        </w:rPr>
        <w:t>4.</w:t>
      </w:r>
      <w:r>
        <w:rPr>
          <w:rFonts w:ascii="仿宋" w:hAnsi="仿宋" w:eastAsia="仿宋" w:cs="仿宋"/>
          <w:spacing w:val="-3"/>
          <w:sz w:val="24"/>
          <w:szCs w:val="24"/>
        </w:rPr>
        <w:t xml:space="preserve"> </w:t>
      </w:r>
      <w:r>
        <w:rPr>
          <w:rFonts w:ascii="仿宋" w:hAnsi="仿宋" w:eastAsia="仿宋" w:cs="仿宋"/>
          <w:b/>
          <w:bCs/>
          <w:spacing w:val="-3"/>
          <w:sz w:val="24"/>
          <w:szCs w:val="24"/>
        </w:rPr>
        <w:t>工程量清单（另附）</w:t>
      </w:r>
    </w:p>
    <w:p w14:paraId="56E7BB6D">
      <w:pPr>
        <w:spacing w:before="152" w:line="223" w:lineRule="auto"/>
        <w:ind w:left="488"/>
        <w:rPr>
          <w:rFonts w:ascii="仿宋" w:hAnsi="仿宋" w:eastAsia="仿宋" w:cs="仿宋"/>
          <w:sz w:val="24"/>
          <w:szCs w:val="24"/>
          <w:highlight w:val="yellow"/>
        </w:rPr>
      </w:pPr>
    </w:p>
    <w:p w14:paraId="031C9D16">
      <w:pPr>
        <w:spacing w:line="223" w:lineRule="auto"/>
        <w:rPr>
          <w:rFonts w:ascii="仿宋" w:hAnsi="仿宋" w:eastAsia="仿宋" w:cs="仿宋"/>
          <w:sz w:val="24"/>
          <w:szCs w:val="24"/>
        </w:rPr>
        <w:sectPr>
          <w:footerReference r:id="rId7" w:type="default"/>
          <w:pgSz w:w="11910" w:h="16840"/>
          <w:pgMar w:top="1431" w:right="1530" w:bottom="1247" w:left="1546" w:header="0" w:footer="1013" w:gutter="0"/>
          <w:pgNumType w:fmt="decimal" w:start="1"/>
          <w:cols w:space="720" w:num="1"/>
        </w:sectPr>
      </w:pPr>
    </w:p>
    <w:p w14:paraId="36488A0C">
      <w:pPr>
        <w:pStyle w:val="12"/>
      </w:pPr>
    </w:p>
    <w:p w14:paraId="28FA21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322" w:name="_Toc16785"/>
      <w:r>
        <w:rPr>
          <w:rFonts w:hint="eastAsia" w:ascii="宋体" w:hAnsi="宋体" w:eastAsia="宋体" w:cs="宋体"/>
          <w:b/>
          <w:bCs/>
          <w:color w:val="auto"/>
          <w:kern w:val="44"/>
          <w:sz w:val="36"/>
          <w:szCs w:val="36"/>
          <w:highlight w:val="none"/>
          <w:lang w:val="en-US" w:eastAsia="zh-CN" w:bidi="ar-SA"/>
        </w:rPr>
        <w:t>第四章 评审方法及标准</w:t>
      </w:r>
      <w:bookmarkEnd w:id="318"/>
      <w:bookmarkEnd w:id="319"/>
      <w:bookmarkEnd w:id="320"/>
      <w:bookmarkEnd w:id="321"/>
      <w:bookmarkEnd w:id="322"/>
    </w:p>
    <w:p w14:paraId="3C2D838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323" w:name="_Toc163493632"/>
      <w:bookmarkStart w:id="324" w:name="_Toc23622"/>
      <w:bookmarkStart w:id="325" w:name="_Toc13889"/>
      <w:bookmarkStart w:id="326" w:name="_Toc264"/>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323"/>
      <w:bookmarkEnd w:id="324"/>
      <w:bookmarkEnd w:id="325"/>
      <w:bookmarkEnd w:id="326"/>
    </w:p>
    <w:p w14:paraId="53640E9C">
      <w:pPr>
        <w:pStyle w:val="35"/>
        <w:ind w:firstLine="480"/>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327" w:name="_Toc163493633"/>
      <w:bookmarkStart w:id="328" w:name="_Toc21122"/>
      <w:bookmarkStart w:id="329" w:name="_Toc8046"/>
      <w:bookmarkStart w:id="330" w:name="_Toc1495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327"/>
      <w:bookmarkEnd w:id="328"/>
      <w:bookmarkEnd w:id="329"/>
      <w:bookmarkEnd w:id="330"/>
    </w:p>
    <w:p w14:paraId="2541236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31"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331"/>
    </w:p>
    <w:p w14:paraId="64549C54">
      <w:pPr>
        <w:tabs>
          <w:tab w:val="left" w:pos="312"/>
        </w:tabs>
        <w:wordWrap w:val="0"/>
        <w:adjustRightInd w:val="0"/>
        <w:snapToGrid w:val="0"/>
        <w:ind w:firstLine="480" w:firstLineChars="200"/>
        <w:rPr>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4DAF073">
      <w:pPr>
        <w:pStyle w:val="35"/>
        <w:ind w:firstLine="480"/>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通过</w:t>
      </w:r>
      <w:r>
        <w:rPr>
          <w:rFonts w:hint="eastAsia" w:cs="宋体"/>
          <w:i w:val="0"/>
          <w:iCs w:val="0"/>
          <w:color w:val="auto"/>
          <w:highlight w:val="none"/>
        </w:rPr>
        <w:t>资格性审查和符合性审查</w:t>
      </w:r>
      <w:r>
        <w:rPr>
          <w:rFonts w:hint="eastAsia" w:cs="宋体"/>
          <w:i w:val="0"/>
          <w:iCs w:val="0"/>
          <w:color w:val="auto"/>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480155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32" w:name="_Toc163493635"/>
      <w:bookmarkStart w:id="333" w:name="_Hlk158124046"/>
      <w:bookmarkStart w:id="334" w:name="_Toc102114946"/>
      <w:bookmarkStart w:id="335" w:name="_Toc102119879"/>
      <w:bookmarkStart w:id="336" w:name="_Toc102116048"/>
      <w:bookmarkStart w:id="337" w:name="_Toc102057744"/>
      <w:bookmarkStart w:id="338" w:name="_Toc102056244"/>
      <w:bookmarkStart w:id="339" w:name="_Toc102116178"/>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332"/>
    </w:p>
    <w:p w14:paraId="4E589A43">
      <w:pPr>
        <w:pStyle w:val="35"/>
        <w:ind w:firstLine="480"/>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5"/>
        <w:ind w:firstLine="480"/>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333"/>
    <w:p w14:paraId="27E4E05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40"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磋商程序</w:t>
      </w:r>
      <w:bookmarkEnd w:id="340"/>
    </w:p>
    <w:p w14:paraId="3B21DF86">
      <w:pPr>
        <w:pStyle w:val="35"/>
        <w:ind w:firstLine="480"/>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1.第一轮磋商</w:t>
      </w:r>
    </w:p>
    <w:p w14:paraId="2DE3353A">
      <w:pPr>
        <w:pStyle w:val="35"/>
        <w:ind w:firstLine="480"/>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51723349">
      <w:pPr>
        <w:pStyle w:val="35"/>
        <w:ind w:firstLine="480"/>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5"/>
        <w:ind w:firstLine="480"/>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5"/>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5"/>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2.多轮磋商</w:t>
      </w:r>
    </w:p>
    <w:p w14:paraId="07D8F4C4">
      <w:pPr>
        <w:pStyle w:val="35"/>
        <w:ind w:firstLine="480"/>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5"/>
        <w:ind w:firstLine="480"/>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3E4F4312">
      <w:pPr>
        <w:pStyle w:val="35"/>
        <w:ind w:firstLine="480"/>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7172DA31">
      <w:pPr>
        <w:pStyle w:val="35"/>
        <w:ind w:firstLine="480"/>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43FE82F">
      <w:pPr>
        <w:pStyle w:val="35"/>
        <w:ind w:firstLine="480"/>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5"/>
        <w:ind w:firstLine="480"/>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24098F81">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21548021">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4E1BDE3A">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4EE75050">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2FC6DFE7">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5DE843A7">
      <w:pPr>
        <w:pStyle w:val="35"/>
        <w:ind w:firstLine="480"/>
        <w:rPr>
          <w:rFonts w:ascii="宋体" w:hAnsi="宋体" w:eastAsia="宋体"/>
          <w:i w:val="0"/>
          <w:iCs w:val="0"/>
          <w:color w:val="auto"/>
          <w:highlight w:val="none"/>
        </w:rPr>
      </w:pP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b/>
          <w:bCs/>
          <w:i w:val="0"/>
          <w:iCs w:val="0"/>
          <w:color w:val="auto"/>
          <w:highlight w:val="none"/>
          <w:lang w:val="zh-CN"/>
        </w:rPr>
        <w:t>无效</w:t>
      </w:r>
      <w:r>
        <w:rPr>
          <w:rFonts w:hint="eastAsia" w:ascii="宋体" w:hAnsi="宋体" w:eastAsia="宋体"/>
          <w:b/>
          <w:bCs/>
          <w:i w:val="0"/>
          <w:iCs w:val="0"/>
          <w:color w:val="auto"/>
          <w:highlight w:val="none"/>
          <w:lang w:val="zh-CN"/>
        </w:rPr>
        <w:t>响应</w:t>
      </w:r>
      <w:r>
        <w:rPr>
          <w:rFonts w:hint="eastAsia" w:ascii="宋体" w:hAnsi="宋体" w:eastAsia="宋体"/>
          <w:i w:val="0"/>
          <w:iCs w:val="0"/>
          <w:color w:val="auto"/>
          <w:highlight w:val="none"/>
          <w:lang w:val="zh-CN"/>
        </w:rPr>
        <w:t>处理</w:t>
      </w:r>
      <w:r>
        <w:rPr>
          <w:rFonts w:ascii="宋体" w:hAnsi="宋体" w:eastAsia="宋体"/>
          <w:i w:val="0"/>
          <w:iCs w:val="0"/>
          <w:color w:val="auto"/>
          <w:highlight w:val="none"/>
          <w:lang w:val="zh-CN"/>
        </w:rPr>
        <w:t>。</w:t>
      </w:r>
    </w:p>
    <w:p w14:paraId="492B1BCC">
      <w:pPr>
        <w:tabs>
          <w:tab w:val="left" w:pos="993"/>
        </w:tabs>
        <w:wordWrap w:val="0"/>
        <w:adjustRightInd w:val="0"/>
        <w:snapToGrid w:val="0"/>
        <w:ind w:firstLine="480" w:firstLineChars="200"/>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w:t>
      </w:r>
      <w:r>
        <w:rPr>
          <w:rFonts w:hint="eastAsia"/>
          <w:i w:val="0"/>
          <w:iCs w:val="0"/>
          <w:color w:val="auto"/>
          <w:highlight w:val="none"/>
          <w:lang w:val="en-US" w:eastAsia="zh-CN"/>
        </w:rPr>
        <w:t>，</w:t>
      </w:r>
      <w:r>
        <w:rPr>
          <w:rFonts w:hint="eastAsia" w:ascii="宋体" w:hAnsi="宋体" w:eastAsia="宋体"/>
          <w:i w:val="0"/>
          <w:iCs w:val="0"/>
          <w:color w:val="auto"/>
          <w:highlight w:val="none"/>
          <w:lang w:val="en-US" w:eastAsia="zh-CN"/>
        </w:rPr>
        <w:t>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1" w:name="_Toc102116179"/>
      <w:bookmarkStart w:id="342" w:name="_Toc102119880"/>
      <w:bookmarkStart w:id="343" w:name="_Toc102116049"/>
      <w:bookmarkStart w:id="344" w:name="_Toc102057745"/>
      <w:bookmarkStart w:id="345" w:name="_Toc102056245"/>
      <w:bookmarkStart w:id="346" w:name="_Toc102114947"/>
      <w:r>
        <w:rPr>
          <w:rFonts w:hint="eastAsia" w:ascii="宋体" w:hAnsi="宋体" w:eastAsia="宋体" w:cs="宋体"/>
          <w:b/>
          <w:bCs/>
          <w:color w:val="auto"/>
          <w:kern w:val="2"/>
          <w:sz w:val="24"/>
          <w:szCs w:val="24"/>
          <w:highlight w:val="none"/>
          <w:lang w:val="en-US" w:eastAsia="zh-CN" w:bidi="ar-SA"/>
        </w:rPr>
        <w:t>4.商务技术评审</w:t>
      </w:r>
    </w:p>
    <w:p w14:paraId="2D2ED263">
      <w:pPr>
        <w:pStyle w:val="35"/>
        <w:ind w:firstLine="480"/>
        <w:rPr>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334"/>
    <w:bookmarkEnd w:id="335"/>
    <w:bookmarkEnd w:id="336"/>
    <w:bookmarkEnd w:id="337"/>
    <w:bookmarkEnd w:id="338"/>
    <w:bookmarkEnd w:id="339"/>
    <w:bookmarkEnd w:id="341"/>
    <w:bookmarkEnd w:id="342"/>
    <w:bookmarkEnd w:id="343"/>
    <w:bookmarkEnd w:id="344"/>
    <w:bookmarkEnd w:id="345"/>
    <w:bookmarkEnd w:id="346"/>
    <w:p w14:paraId="11B2A5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47" w:name="_Toc102056247"/>
      <w:bookmarkStart w:id="348" w:name="_Toc102116051"/>
      <w:bookmarkStart w:id="349" w:name="_Toc102116181"/>
      <w:bookmarkStart w:id="350" w:name="_Toc102114949"/>
      <w:bookmarkStart w:id="351" w:name="_Toc102119882"/>
      <w:bookmarkStart w:id="352" w:name="_Toc102057747"/>
      <w:r>
        <w:rPr>
          <w:rFonts w:hint="eastAsia" w:ascii="宋体" w:hAnsi="宋体" w:eastAsia="宋体" w:cs="宋体"/>
          <w:b/>
          <w:bCs/>
          <w:color w:val="auto"/>
          <w:kern w:val="2"/>
          <w:sz w:val="24"/>
          <w:szCs w:val="24"/>
          <w:highlight w:val="none"/>
          <w:lang w:val="en-US" w:eastAsia="zh-CN" w:bidi="ar-SA"/>
        </w:rPr>
        <w:t>5.报价评</w:t>
      </w:r>
      <w:bookmarkEnd w:id="347"/>
      <w:bookmarkEnd w:id="348"/>
      <w:bookmarkEnd w:id="349"/>
      <w:bookmarkEnd w:id="350"/>
      <w:bookmarkEnd w:id="351"/>
      <w:bookmarkEnd w:id="352"/>
      <w:r>
        <w:rPr>
          <w:rFonts w:hint="eastAsia" w:ascii="宋体" w:hAnsi="宋体" w:eastAsia="宋体" w:cs="宋体"/>
          <w:b/>
          <w:bCs/>
          <w:color w:val="auto"/>
          <w:kern w:val="2"/>
          <w:sz w:val="24"/>
          <w:szCs w:val="24"/>
          <w:highlight w:val="none"/>
          <w:lang w:val="en-US" w:eastAsia="zh-CN" w:bidi="ar-SA"/>
        </w:rPr>
        <w:t>审</w:t>
      </w:r>
    </w:p>
    <w:p w14:paraId="055B48E8">
      <w:pPr>
        <w:pStyle w:val="35"/>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报价合理性说明：磋商</w:t>
      </w:r>
      <w:r>
        <w:rPr>
          <w:i w:val="0"/>
          <w:iCs w:val="0"/>
          <w:color w:val="auto"/>
          <w:highlight w:val="none"/>
          <w:lang w:val="zh-CN"/>
        </w:rPr>
        <w:t>小组认为供应商的</w:t>
      </w:r>
      <w:r>
        <w:rPr>
          <w:rFonts w:hint="eastAsia"/>
          <w:i w:val="0"/>
          <w:iCs w:val="0"/>
          <w:color w:val="auto"/>
          <w:highlight w:val="none"/>
          <w:lang w:val="zh-CN"/>
        </w:rPr>
        <w:t>最后</w:t>
      </w:r>
      <w:r>
        <w:rPr>
          <w:i w:val="0"/>
          <w:iCs w:val="0"/>
          <w:color w:val="auto"/>
          <w:highlight w:val="none"/>
          <w:lang w:val="zh-CN"/>
        </w:rPr>
        <w:t>报价明显低于其他供应商</w:t>
      </w:r>
      <w:r>
        <w:rPr>
          <w:rFonts w:hint="eastAsia"/>
          <w:i w:val="0"/>
          <w:iCs w:val="0"/>
          <w:color w:val="auto"/>
          <w:highlight w:val="none"/>
          <w:lang w:val="zh-CN"/>
        </w:rPr>
        <w:t>最后</w:t>
      </w:r>
      <w:r>
        <w:rPr>
          <w:i w:val="0"/>
          <w:iCs w:val="0"/>
          <w:color w:val="auto"/>
          <w:highlight w:val="none"/>
          <w:lang w:val="zh-CN"/>
        </w:rPr>
        <w:t>报价，有可能影响</w:t>
      </w:r>
      <w:r>
        <w:rPr>
          <w:rFonts w:hint="eastAsia"/>
          <w:i w:val="0"/>
          <w:iCs w:val="0"/>
          <w:color w:val="auto"/>
          <w:highlight w:val="none"/>
          <w:lang w:val="en-US" w:eastAsia="zh-CN"/>
        </w:rPr>
        <w:t>工程</w:t>
      </w:r>
      <w:r>
        <w:rPr>
          <w:i w:val="0"/>
          <w:iCs w:val="0"/>
          <w:color w:val="auto"/>
          <w:highlight w:val="none"/>
          <w:lang w:val="zh-CN"/>
        </w:rPr>
        <w:t>质量或者不能诚信履约的，应当要求其</w:t>
      </w:r>
      <w:r>
        <w:rPr>
          <w:rFonts w:hint="eastAsia"/>
          <w:i w:val="0"/>
          <w:iCs w:val="0"/>
          <w:color w:val="auto"/>
          <w:highlight w:val="none"/>
          <w:lang w:val="zh-CN"/>
        </w:rPr>
        <w:t>在</w:t>
      </w:r>
      <w:r>
        <w:rPr>
          <w:i w:val="0"/>
          <w:iCs w:val="0"/>
          <w:color w:val="auto"/>
          <w:highlight w:val="none"/>
          <w:lang w:val="zh-CN"/>
        </w:rPr>
        <w:t>合理的时间内提供说明，必要时提交相关证明材料；供应商不能证明其</w:t>
      </w:r>
      <w:r>
        <w:rPr>
          <w:rFonts w:hint="eastAsia"/>
          <w:i w:val="0"/>
          <w:iCs w:val="0"/>
          <w:color w:val="auto"/>
          <w:highlight w:val="none"/>
          <w:lang w:val="zh-CN"/>
        </w:rPr>
        <w:t>最后</w:t>
      </w:r>
      <w:r>
        <w:rPr>
          <w:i w:val="0"/>
          <w:iCs w:val="0"/>
          <w:color w:val="auto"/>
          <w:highlight w:val="none"/>
          <w:lang w:val="zh-CN"/>
        </w:rPr>
        <w:t>报价合理性的，</w:t>
      </w:r>
      <w:r>
        <w:rPr>
          <w:rFonts w:hint="eastAsia"/>
          <w:i w:val="0"/>
          <w:iCs w:val="0"/>
          <w:color w:val="auto"/>
          <w:highlight w:val="none"/>
          <w:lang w:val="zh-CN"/>
        </w:rPr>
        <w:t>磋商</w:t>
      </w:r>
      <w:r>
        <w:rPr>
          <w:i w:val="0"/>
          <w:iCs w:val="0"/>
          <w:color w:val="auto"/>
          <w:highlight w:val="none"/>
          <w:lang w:val="zh-CN"/>
        </w:rPr>
        <w:t>小组</w:t>
      </w:r>
      <w:r>
        <w:rPr>
          <w:rFonts w:hint="eastAsia"/>
          <w:i w:val="0"/>
          <w:iCs w:val="0"/>
          <w:color w:val="auto"/>
          <w:highlight w:val="none"/>
          <w:lang w:val="zh-CN"/>
        </w:rPr>
        <w:t>应当将其作</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i w:val="0"/>
          <w:iCs w:val="0"/>
          <w:color w:val="auto"/>
          <w:highlight w:val="none"/>
          <w:lang w:val="zh-CN"/>
        </w:rPr>
        <w:t>。</w:t>
      </w:r>
    </w:p>
    <w:p w14:paraId="1B3E8B52">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5.1.1供应商应根据答疑内容在规定的时间内提供说明和相关证明材料，磋商小组认定相关证明材料对此报价的说明或者证明材料可以佐证此报价的工程质量和具有诚信履约能力，予以通过审查；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5.1.2供应商提供的说明或者证明材料必须按照国家相关规定，逐项对其报价作详细陈述，并由法定代表人或者其授权代表签字确认并加盖公章；</w:t>
      </w:r>
    </w:p>
    <w:p w14:paraId="3E3AF71F">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5.1.3供应商不能合理说明或者不能提供相关证明材料的，由磋商小组认定该供应商以低于成本报价竞标，有可能影响工程质量或者不能诚信履约，应当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53EA78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5.1.4供应商也可以有预见性地准备好上述要求的书面说明和相关证明材料并加盖公章。</w:t>
      </w:r>
    </w:p>
    <w:p w14:paraId="776AF5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zh-CN"/>
        </w:rPr>
        <w:t>5.2</w:t>
      </w:r>
      <w:r>
        <w:rPr>
          <w:rFonts w:hint="eastAsia"/>
          <w:color w:val="auto"/>
          <w:sz w:val="24"/>
          <w:szCs w:val="24"/>
          <w:highlight w:val="none"/>
          <w:lang w:val="en-US" w:eastAsia="zh-CN"/>
        </w:rPr>
        <w:t>.</w:t>
      </w:r>
      <w:r>
        <w:rPr>
          <w:rFonts w:hint="eastAsia"/>
          <w:b/>
          <w:bCs/>
          <w:color w:val="auto"/>
          <w:sz w:val="24"/>
          <w:szCs w:val="24"/>
          <w:highlight w:val="none"/>
        </w:rPr>
        <w:t>政府采购异常低价审查</w:t>
      </w:r>
    </w:p>
    <w:p w14:paraId="2D307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5.2.1</w:t>
      </w:r>
      <w:r>
        <w:rPr>
          <w:rFonts w:hint="eastAsia"/>
          <w:color w:val="auto"/>
          <w:sz w:val="24"/>
          <w:szCs w:val="24"/>
          <w:highlight w:val="none"/>
        </w:rPr>
        <w:t>政府采购评审中出现下列情形之一的，评审委员会应当启动异常低价投标（响应）审查程序：</w:t>
      </w:r>
    </w:p>
    <w:p w14:paraId="724298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投标（响应）报价低于全部通过符合性审查供应商投标（响应）报价平均值50%的，即投标（响应）报价&lt;全部通过符合性审查供应商投标（响应）报价平均值×50%；</w:t>
      </w:r>
    </w:p>
    <w:p w14:paraId="2333ED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rPr>
        <w:t>投标（响应）报价低于通过符合性审查的次低报价供应商投标（响应）报价50%的，即投标（响应）报价&lt;通过符合性审查的次低报价供应商投标（响应）报价×50%；</w:t>
      </w:r>
    </w:p>
    <w:p w14:paraId="773EAD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投标（响应）报价低于采购项目最高限价45%的，即投标（响应）报价&lt;采购项目最高限价×45%；</w:t>
      </w:r>
    </w:p>
    <w:p w14:paraId="2A69B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评审委员会基于专业判断，认为供应商报价过低，有可能影响产品质量或者不能诚信履约的其他情形。</w:t>
      </w:r>
    </w:p>
    <w:p w14:paraId="504757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5.2.2</w:t>
      </w:r>
      <w:r>
        <w:rPr>
          <w:rFonts w:hint="eastAsia"/>
          <w:color w:val="auto"/>
          <w:sz w:val="24"/>
          <w:szCs w:val="24"/>
          <w:highlight w:val="none"/>
        </w:rPr>
        <w:t>评审委员会启动异常低价投标（响应）审查后，属于前述第</w:t>
      </w: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rFonts w:hint="eastAsia"/>
          <w:color w:val="auto"/>
          <w:sz w:val="24"/>
          <w:szCs w:val="24"/>
          <w:highlight w:val="none"/>
        </w:rPr>
        <w:t>项至第</w:t>
      </w: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C34D6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i w:val="0"/>
          <w:iCs w:val="0"/>
          <w:color w:val="auto"/>
          <w:highlight w:val="none"/>
          <w:lang w:val="zh-CN"/>
        </w:rPr>
      </w:pPr>
      <w:r>
        <w:rPr>
          <w:rFonts w:hint="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BF777A">
      <w:pPr>
        <w:pStyle w:val="35"/>
        <w:ind w:firstLine="480"/>
        <w:rPr>
          <w:i w:val="0"/>
          <w:iCs w:val="0"/>
          <w:color w:val="auto"/>
          <w:highlight w:val="none"/>
          <w:lang w:val="zh-CN"/>
        </w:rPr>
      </w:pPr>
      <w:r>
        <w:rPr>
          <w:rFonts w:hint="eastAsia"/>
          <w:i w:val="0"/>
          <w:iCs w:val="0"/>
          <w:color w:val="auto"/>
          <w:highlight w:val="none"/>
          <w:lang w:val="zh-CN"/>
        </w:rPr>
        <w:t>5</w:t>
      </w:r>
      <w:r>
        <w:rPr>
          <w:rFonts w:hint="eastAsia"/>
          <w:i w:val="0"/>
          <w:iCs w:val="0"/>
          <w:color w:val="auto"/>
          <w:highlight w:val="none"/>
          <w:lang w:val="en-US" w:eastAsia="zh-CN"/>
        </w:rPr>
        <w:t>.3</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35"/>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2014FEF">
      <w:pPr>
        <w:pStyle w:val="35"/>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35"/>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35"/>
        <w:numPr>
          <w:ilvl w:val="0"/>
          <w:numId w:val="0"/>
        </w:numPr>
        <w:shd w:val="clear" w:color="auto" w:fill="FFFFFF" w:themeFill="background1"/>
        <w:ind w:firstLine="480" w:firstLineChars="200"/>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45719F7">
      <w:pPr>
        <w:pStyle w:val="35"/>
        <w:numPr>
          <w:ilvl w:val="0"/>
          <w:numId w:val="0"/>
        </w:numPr>
        <w:shd w:val="clear" w:color="auto" w:fill="FFFFFF" w:themeFill="background1"/>
        <w:ind w:firstLine="480" w:firstLineChars="200"/>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5"/>
        <w:ind w:firstLine="480"/>
        <w:rPr>
          <w:rFonts w:hint="eastAsia"/>
          <w:i w:val="0"/>
          <w:iCs w:val="0"/>
          <w:color w:val="auto"/>
          <w:highlight w:val="none"/>
          <w:lang w:val="zh-CN"/>
        </w:rPr>
      </w:pPr>
      <w:r>
        <w:rPr>
          <w:i w:val="0"/>
          <w:iCs w:val="0"/>
          <w:color w:val="auto"/>
          <w:highlight w:val="none"/>
          <w:lang w:val="zh-CN"/>
        </w:rPr>
        <w:t>5.</w:t>
      </w:r>
      <w:r>
        <w:rPr>
          <w:rFonts w:hint="eastAsia"/>
          <w:i w:val="0"/>
          <w:iCs w:val="0"/>
          <w:color w:val="auto"/>
          <w:highlight w:val="none"/>
          <w:lang w:val="en-US" w:eastAsia="zh-CN"/>
        </w:rPr>
        <w:t>4</w:t>
      </w:r>
      <w:r>
        <w:rPr>
          <w:i w:val="0"/>
          <w:iCs w:val="0"/>
          <w:color w:val="auto"/>
          <w:highlight w:val="none"/>
          <w:lang w:val="zh-CN"/>
        </w:rPr>
        <w:t>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5AC352D">
      <w:pPr>
        <w:pStyle w:val="35"/>
        <w:ind w:firstLine="480"/>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35"/>
        <w:ind w:firstLine="480"/>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3" w:name="_Toc102056249"/>
      <w:bookmarkStart w:id="354" w:name="_Toc102116183"/>
      <w:bookmarkStart w:id="355" w:name="_Toc102114951"/>
      <w:bookmarkStart w:id="356" w:name="_Toc102119884"/>
      <w:bookmarkStart w:id="357" w:name="_Toc102057749"/>
      <w:bookmarkStart w:id="358" w:name="_Toc102116053"/>
      <w:bookmarkStart w:id="359" w:name="_Toc102119885"/>
      <w:bookmarkStart w:id="360" w:name="_Toc102116054"/>
      <w:bookmarkStart w:id="361" w:name="_Toc102057750"/>
      <w:bookmarkStart w:id="362" w:name="_Toc102116184"/>
      <w:bookmarkStart w:id="363" w:name="_Toc102056250"/>
      <w:bookmarkStart w:id="364" w:name="_Toc102114952"/>
      <w:r>
        <w:rPr>
          <w:rFonts w:hint="eastAsia" w:ascii="宋体" w:hAnsi="宋体" w:eastAsia="宋体" w:cs="宋体"/>
          <w:b/>
          <w:bCs/>
          <w:color w:val="auto"/>
          <w:kern w:val="2"/>
          <w:sz w:val="24"/>
          <w:szCs w:val="24"/>
          <w:highlight w:val="none"/>
          <w:lang w:val="en-US" w:eastAsia="zh-CN" w:bidi="ar-SA"/>
        </w:rPr>
        <w:t>6.计分办法</w:t>
      </w:r>
      <w:bookmarkEnd w:id="353"/>
      <w:bookmarkEnd w:id="354"/>
      <w:bookmarkEnd w:id="355"/>
      <w:bookmarkEnd w:id="356"/>
      <w:bookmarkEnd w:id="357"/>
      <w:bookmarkEnd w:id="358"/>
      <w:r>
        <w:rPr>
          <w:rFonts w:hint="eastAsia" w:ascii="宋体" w:hAnsi="宋体" w:eastAsia="宋体" w:cs="宋体"/>
          <w:b/>
          <w:bCs/>
          <w:color w:val="auto"/>
          <w:kern w:val="2"/>
          <w:sz w:val="24"/>
          <w:szCs w:val="24"/>
          <w:highlight w:val="none"/>
          <w:lang w:val="en-US" w:eastAsia="zh-CN" w:bidi="ar-SA"/>
        </w:rPr>
        <w:t>及复核</w:t>
      </w:r>
    </w:p>
    <w:p w14:paraId="3C92B2FD">
      <w:pPr>
        <w:pStyle w:val="35"/>
        <w:ind w:firstLine="480"/>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ED690F0">
      <w:pPr>
        <w:pStyle w:val="35"/>
        <w:ind w:firstLine="480"/>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5"/>
        <w:ind w:firstLine="480"/>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3DE5652F">
      <w:pPr>
        <w:pStyle w:val="35"/>
        <w:ind w:firstLine="480"/>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7EA074D">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5B7DD6FF">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3B75BF42">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10B8F738">
      <w:pPr>
        <w:pStyle w:val="35"/>
        <w:ind w:firstLine="480"/>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502A4CD0">
      <w:pPr>
        <w:pStyle w:val="35"/>
        <w:ind w:firstLine="480"/>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5"/>
        <w:ind w:firstLine="480"/>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6.5采购人或者采购代理机构不得通过对供应商进行考察等方式改变评审结果。</w:t>
      </w:r>
    </w:p>
    <w:p w14:paraId="1F8EBB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359"/>
      <w:bookmarkEnd w:id="360"/>
      <w:bookmarkEnd w:id="361"/>
      <w:bookmarkEnd w:id="362"/>
      <w:bookmarkEnd w:id="363"/>
      <w:bookmarkEnd w:id="364"/>
    </w:p>
    <w:p w14:paraId="2AE7A31A">
      <w:pPr>
        <w:pStyle w:val="35"/>
        <w:ind w:firstLine="480"/>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从质量和服务均能满足磋商文件实质性要求的供应商中，按照综合得分由高到低的顺序推荐3名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；得分相同且最后报价相同的，按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p>
    <w:p w14:paraId="110BB818">
      <w:pPr>
        <w:pStyle w:val="35"/>
        <w:ind w:firstLine="480"/>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5"/>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5"/>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F68AA68">
      <w:pPr>
        <w:pStyle w:val="35"/>
        <w:ind w:firstLine="480"/>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5" w:name="_Toc102057718"/>
      <w:bookmarkStart w:id="366" w:name="_Toc102116022"/>
      <w:bookmarkStart w:id="367" w:name="_Toc102119853"/>
      <w:bookmarkStart w:id="368" w:name="_Toc102114920"/>
      <w:bookmarkStart w:id="369" w:name="_Toc102116152"/>
      <w:bookmarkStart w:id="370" w:name="_Toc102056218"/>
      <w:r>
        <w:rPr>
          <w:rFonts w:hint="eastAsia" w:ascii="宋体" w:hAnsi="宋体" w:eastAsia="宋体" w:cs="宋体"/>
          <w:b/>
          <w:bCs/>
          <w:color w:val="auto"/>
          <w:kern w:val="2"/>
          <w:sz w:val="24"/>
          <w:szCs w:val="24"/>
          <w:highlight w:val="none"/>
          <w:lang w:val="en-US" w:eastAsia="zh-CN" w:bidi="ar-SA"/>
        </w:rPr>
        <w:t>9.停止评审的情形</w:t>
      </w:r>
      <w:bookmarkEnd w:id="365"/>
      <w:bookmarkEnd w:id="366"/>
      <w:bookmarkEnd w:id="367"/>
      <w:bookmarkEnd w:id="368"/>
      <w:bookmarkEnd w:id="369"/>
      <w:bookmarkEnd w:id="370"/>
    </w:p>
    <w:p w14:paraId="58A3D9D5">
      <w:pPr>
        <w:keepNext w:val="0"/>
        <w:keepLines w:val="0"/>
        <w:widowControl/>
        <w:suppressLineNumbers w:val="0"/>
        <w:ind w:firstLine="480" w:firstLineChars="200"/>
        <w:jc w:val="left"/>
        <w:rPr>
          <w:rFonts w:hint="eastAsia" w:ascii="宋体" w:hAnsi="宋体" w:eastAsia="宋体" w:cstheme="minorBidi"/>
          <w:i w:val="0"/>
          <w:iCs w:val="0"/>
          <w:color w:val="auto"/>
          <w:kern w:val="2"/>
          <w:sz w:val="24"/>
          <w:szCs w:val="22"/>
          <w:highlight w:val="none"/>
          <w:lang w:val="zh-CN" w:eastAsia="zh-CN" w:bidi="ar-SA"/>
        </w:rPr>
      </w:pPr>
      <w:r>
        <w:rPr>
          <w:rFonts w:hint="eastAsia"/>
          <w:i w:val="0"/>
          <w:iCs w:val="0"/>
          <w:color w:val="auto"/>
          <w:highlight w:val="none"/>
          <w:lang w:val="en-US" w:eastAsia="zh-CN"/>
        </w:rPr>
        <w:t>9</w:t>
      </w:r>
      <w:r>
        <w:rPr>
          <w:i w:val="0"/>
          <w:iCs w:val="0"/>
          <w:color w:val="auto"/>
          <w:highlight w:val="none"/>
          <w:lang w:val="zh-CN"/>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5"/>
        <w:ind w:firstLine="480"/>
        <w:rPr>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371" w:name="_Toc19396"/>
      <w:bookmarkStart w:id="372" w:name="_Toc7088"/>
      <w:bookmarkStart w:id="373" w:name="_Toc25559"/>
      <w:bookmarkStart w:id="374" w:name="_Toc163493637"/>
      <w:bookmarkStart w:id="375" w:name="_Toc163493639"/>
      <w:bookmarkStart w:id="376" w:name="_Toc156490348"/>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371"/>
      <w:bookmarkEnd w:id="372"/>
      <w:bookmarkEnd w:id="373"/>
    </w:p>
    <w:p w14:paraId="4F57A39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i w:val="0"/>
          <w:iCs w:val="0"/>
          <w:color w:val="auto"/>
          <w:highlight w:val="none"/>
          <w:shd w:val="clear" w:color="auto" w:fill="FFFFFF" w:themeFill="background1"/>
          <w:lang w:val="en-US" w:eastAsia="zh-CN"/>
        </w:rPr>
      </w:pPr>
      <w:bookmarkStart w:id="377" w:name="_Toc6838"/>
      <w:bookmarkStart w:id="378" w:name="_Toc22354"/>
      <w:bookmarkStart w:id="379" w:name="_Toc8486"/>
      <w:r>
        <w:rPr>
          <w:rFonts w:hint="eastAsia"/>
          <w:i w:val="0"/>
          <w:iCs w:val="0"/>
          <w:color w:val="auto"/>
          <w:highlight w:val="none"/>
          <w:shd w:val="clear" w:color="auto" w:fill="FFFFFF" w:themeFill="background1"/>
          <w:lang w:val="en-US" w:eastAsia="zh-CN"/>
        </w:rPr>
        <w:t>/</w:t>
      </w:r>
    </w:p>
    <w:p w14:paraId="567263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374"/>
      <w:bookmarkEnd w:id="377"/>
      <w:bookmarkEnd w:id="378"/>
      <w:bookmarkEnd w:id="379"/>
    </w:p>
    <w:p w14:paraId="32B0EEA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0"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380"/>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5"/>
        <w:gridCol w:w="1900"/>
        <w:gridCol w:w="5604"/>
        <w:gridCol w:w="1625"/>
      </w:tblGrid>
      <w:tr w14:paraId="7C61E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4" w:hRule="atLeast"/>
          <w:jc w:val="center"/>
        </w:trPr>
        <w:tc>
          <w:tcPr>
            <w:tcW w:w="414" w:type="pct"/>
            <w:shd w:val="clear" w:color="auto" w:fill="D8D8D8" w:themeFill="background1" w:themeFillShade="D9"/>
            <w:vAlign w:val="center"/>
          </w:tcPr>
          <w:p w14:paraId="6BBF1BDC">
            <w:pPr>
              <w:pStyle w:val="46"/>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序号</w:t>
            </w:r>
          </w:p>
        </w:tc>
        <w:tc>
          <w:tcPr>
            <w:tcW w:w="954" w:type="pct"/>
            <w:shd w:val="clear" w:color="auto" w:fill="D8D8D8" w:themeFill="background1" w:themeFillShade="D9"/>
            <w:vAlign w:val="center"/>
          </w:tcPr>
          <w:p w14:paraId="20249EEC">
            <w:pPr>
              <w:pStyle w:val="46"/>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审查因素</w:t>
            </w:r>
          </w:p>
        </w:tc>
        <w:tc>
          <w:tcPr>
            <w:tcW w:w="2814" w:type="pct"/>
            <w:shd w:val="clear" w:color="auto" w:fill="D8D8D8" w:themeFill="background1" w:themeFillShade="D9"/>
            <w:vAlign w:val="center"/>
          </w:tcPr>
          <w:p w14:paraId="47534B1D">
            <w:pPr>
              <w:pStyle w:val="46"/>
              <w:spacing w:line="240" w:lineRule="auto"/>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审查内容</w:t>
            </w:r>
          </w:p>
        </w:tc>
        <w:tc>
          <w:tcPr>
            <w:tcW w:w="816" w:type="pct"/>
            <w:shd w:val="clear" w:color="auto" w:fill="D8D8D8" w:themeFill="background1" w:themeFillShade="D9"/>
            <w:vAlign w:val="center"/>
          </w:tcPr>
          <w:p w14:paraId="5D4AD6EF">
            <w:pPr>
              <w:pStyle w:val="46"/>
              <w:spacing w:line="240" w:lineRule="auto"/>
              <w:jc w:val="center"/>
              <w:rPr>
                <w:rFonts w:hint="eastAsia" w:ascii="宋体" w:hAnsi="宋体" w:eastAsia="宋体" w:cs="宋体"/>
                <w:b/>
                <w:bCs/>
                <w:i w:val="0"/>
                <w:iCs w:val="0"/>
                <w:color w:val="auto"/>
                <w:sz w:val="24"/>
                <w:szCs w:val="24"/>
                <w:highlight w:val="none"/>
                <w:lang w:val="en-US" w:eastAsia="zh-CN"/>
              </w:rPr>
            </w:pPr>
            <w:r>
              <w:rPr>
                <w:rFonts w:hint="eastAsia" w:ascii="宋体" w:hAnsi="宋体" w:eastAsia="宋体" w:cs="宋体"/>
                <w:b/>
                <w:bCs/>
                <w:i w:val="0"/>
                <w:iCs w:val="0"/>
                <w:color w:val="auto"/>
                <w:sz w:val="24"/>
                <w:szCs w:val="24"/>
                <w:highlight w:val="none"/>
                <w:lang w:val="en-US" w:eastAsia="zh-CN"/>
              </w:rPr>
              <w:t>格式要求</w:t>
            </w:r>
          </w:p>
        </w:tc>
      </w:tr>
      <w:tr w14:paraId="36C65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8" w:hRule="atLeast"/>
          <w:jc w:val="center"/>
        </w:trPr>
        <w:tc>
          <w:tcPr>
            <w:tcW w:w="414" w:type="pct"/>
            <w:shd w:val="clear" w:color="auto" w:fill="FFFFFF" w:themeFill="background1"/>
            <w:vAlign w:val="center"/>
          </w:tcPr>
          <w:p w14:paraId="7201FEF3">
            <w:pPr>
              <w:pStyle w:val="46"/>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351E8011">
            <w:pPr>
              <w:pStyle w:val="4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具有独立承担民事责任的能力</w:t>
            </w:r>
          </w:p>
        </w:tc>
        <w:tc>
          <w:tcPr>
            <w:tcW w:w="2814" w:type="pct"/>
            <w:shd w:val="clear" w:color="auto" w:fill="FFFFFF" w:themeFill="background1"/>
            <w:vAlign w:val="center"/>
          </w:tcPr>
          <w:p w14:paraId="06CFC71C">
            <w:pPr>
              <w:pStyle w:val="46"/>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须提供在中华人民共和国境内注册的法人或其他组织或自然人的营业执照副本或事业法人登记证或执业许可证或身份证等相关证明扫描件；（除身份证外其余证件须加盖电子印章）</w:t>
            </w:r>
          </w:p>
        </w:tc>
        <w:tc>
          <w:tcPr>
            <w:tcW w:w="816" w:type="pct"/>
            <w:shd w:val="clear" w:color="auto" w:fill="FFFFFF" w:themeFill="background1"/>
            <w:vAlign w:val="center"/>
          </w:tcPr>
          <w:p w14:paraId="00E688CB">
            <w:pPr>
              <w:pStyle w:val="46"/>
              <w:spacing w:line="240" w:lineRule="auto"/>
              <w:jc w:val="center"/>
              <w:rPr>
                <w:rFonts w:hint="eastAsia" w:ascii="宋体" w:hAnsi="宋体" w:eastAsia="宋体" w:cs="宋体"/>
                <w:b/>
                <w:bCs/>
                <w:i w:val="0"/>
                <w:iCs w:val="0"/>
                <w:color w:val="auto"/>
                <w:sz w:val="24"/>
                <w:szCs w:val="24"/>
                <w:highlight w:val="none"/>
              </w:rPr>
            </w:pPr>
          </w:p>
        </w:tc>
      </w:tr>
      <w:tr w14:paraId="46A1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78" w:hRule="atLeast"/>
          <w:jc w:val="center"/>
        </w:trPr>
        <w:tc>
          <w:tcPr>
            <w:tcW w:w="414" w:type="pct"/>
            <w:shd w:val="clear" w:color="auto" w:fill="FFFFFF" w:themeFill="background1"/>
            <w:vAlign w:val="center"/>
          </w:tcPr>
          <w:p w14:paraId="272B18EE">
            <w:pPr>
              <w:pStyle w:val="46"/>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40132D29">
            <w:pPr>
              <w:pStyle w:val="46"/>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sz w:val="24"/>
              </w:rPr>
              <w:t>具有良好的商业信誉和健全的财务会计制度</w:t>
            </w:r>
          </w:p>
        </w:tc>
        <w:tc>
          <w:tcPr>
            <w:tcW w:w="2814" w:type="pct"/>
            <w:shd w:val="clear" w:color="auto" w:fill="FFFFFF" w:themeFill="background1"/>
            <w:vAlign w:val="center"/>
          </w:tcPr>
          <w:p w14:paraId="0D7A6EA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sz w:val="24"/>
                <w:szCs w:val="24"/>
                <w:highlight w:val="none"/>
                <w:lang w:val="en-US" w:eastAsia="zh-CN"/>
              </w:rPr>
            </w:pPr>
            <w:r>
              <w:rPr>
                <w:rFonts w:hint="eastAsia" w:ascii="仿宋" w:hAnsi="仿宋" w:eastAsia="仿宋" w:cs="宋体"/>
                <w:b w:val="0"/>
                <w:snapToGrid w:val="0"/>
                <w:kern w:val="2"/>
                <w:sz w:val="24"/>
                <w:szCs w:val="22"/>
                <w:lang w:val="en-US" w:eastAsia="zh-CN" w:bidi="ar-SA"/>
              </w:rPr>
              <w:t>提供会计师事务所出具的2024年度或2025年度财务审计报告或财务报表或银行在开标日前一个月内开具的银行资信证明或投标担保函（成立不足一个月的供应商无需提供）；（所有扫描件必须提供原件扫描件）</w:t>
            </w:r>
          </w:p>
        </w:tc>
        <w:tc>
          <w:tcPr>
            <w:tcW w:w="816" w:type="pct"/>
            <w:shd w:val="clear" w:color="auto" w:fill="FFFFFF" w:themeFill="background1"/>
            <w:vAlign w:val="center"/>
          </w:tcPr>
          <w:p w14:paraId="3E8CCB7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75F2F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8" w:hRule="atLeast"/>
          <w:jc w:val="center"/>
        </w:trPr>
        <w:tc>
          <w:tcPr>
            <w:tcW w:w="414" w:type="pct"/>
            <w:shd w:val="clear" w:color="auto" w:fill="FFFFFF" w:themeFill="background1"/>
            <w:vAlign w:val="center"/>
          </w:tcPr>
          <w:p w14:paraId="6A1E5107">
            <w:pPr>
              <w:pStyle w:val="46"/>
              <w:numPr>
                <w:ilvl w:val="0"/>
                <w:numId w:val="1"/>
              </w:numPr>
              <w:spacing w:line="240" w:lineRule="auto"/>
              <w:ind w:left="425" w:leftChars="0" w:hanging="425" w:firstLineChars="0"/>
              <w:jc w:val="center"/>
              <w:rPr>
                <w:rFonts w:hint="eastAsia" w:ascii="宋体" w:hAnsi="宋体" w:eastAsia="宋体" w:cs="宋体"/>
                <w:b/>
                <w:bCs/>
                <w:i w:val="0"/>
                <w:iCs w:val="0"/>
                <w:color w:val="auto"/>
                <w:kern w:val="2"/>
                <w:sz w:val="24"/>
                <w:szCs w:val="24"/>
                <w:highlight w:val="none"/>
                <w:lang w:val="en-US" w:eastAsia="zh-CN" w:bidi="ar-SA"/>
              </w:rPr>
            </w:pPr>
          </w:p>
        </w:tc>
        <w:tc>
          <w:tcPr>
            <w:tcW w:w="954" w:type="pct"/>
            <w:shd w:val="clear" w:color="auto" w:fill="FFFFFF" w:themeFill="background1"/>
            <w:vAlign w:val="center"/>
          </w:tcPr>
          <w:p w14:paraId="4CDE69FA">
            <w:pPr>
              <w:pStyle w:val="46"/>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仿宋" w:hAnsi="仿宋" w:eastAsia="仿宋" w:cs="宋体"/>
                <w:b w:val="0"/>
                <w:snapToGrid w:val="0"/>
                <w:kern w:val="2"/>
                <w:sz w:val="24"/>
                <w:szCs w:val="22"/>
                <w:lang w:val="en-US" w:eastAsia="zh-CN" w:bidi="ar-SA"/>
              </w:rPr>
              <w:t>有依法缴纳税收和依法缴纳社会保障资金的记录</w:t>
            </w:r>
          </w:p>
        </w:tc>
        <w:tc>
          <w:tcPr>
            <w:tcW w:w="2814" w:type="pct"/>
            <w:shd w:val="clear" w:color="auto" w:fill="FFFFFF" w:themeFill="background1"/>
            <w:vAlign w:val="center"/>
          </w:tcPr>
          <w:p w14:paraId="2C013921">
            <w:pPr>
              <w:keepNext w:val="0"/>
              <w:keepLines w:val="0"/>
              <w:suppressLineNumbers w:val="0"/>
              <w:shd w:val="clear" w:color="auto" w:fill="FFFFFF"/>
              <w:spacing w:before="0" w:beforeAutospacing="0" w:after="0" w:afterAutospacing="0" w:line="360" w:lineRule="exact"/>
              <w:ind w:left="0" w:right="0"/>
              <w:rPr>
                <w:rFonts w:hint="eastAsia" w:ascii="仿宋" w:hAnsi="仿宋" w:eastAsia="仿宋" w:cs="宋体"/>
                <w:b w:val="0"/>
                <w:snapToGrid w:val="0"/>
                <w:kern w:val="2"/>
                <w:sz w:val="24"/>
                <w:szCs w:val="22"/>
                <w:lang w:val="en-US" w:eastAsia="zh-CN" w:bidi="ar-SA"/>
              </w:rPr>
            </w:pPr>
            <w:r>
              <w:rPr>
                <w:rFonts w:hint="eastAsia" w:ascii="仿宋" w:hAnsi="仿宋" w:eastAsia="仿宋" w:cs="宋体"/>
                <w:b w:val="0"/>
                <w:snapToGrid w:val="0"/>
                <w:kern w:val="2"/>
                <w:sz w:val="24"/>
                <w:szCs w:val="22"/>
                <w:lang w:val="en-US" w:eastAsia="zh-CN" w:bidi="ar-SA"/>
              </w:rPr>
              <w:t xml:space="preserve">须提供投标文件递交截止日期之前六个月内（2026年1月-6月）任何1个月的纳税记录或证明文件（依法免税的应提供相应文件说明）（加盖电子印章）； </w:t>
            </w:r>
          </w:p>
          <w:p w14:paraId="3B78D8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spacing w:val="-6"/>
                <w:kern w:val="0"/>
                <w:sz w:val="24"/>
                <w:szCs w:val="24"/>
                <w:highlight w:val="none"/>
                <w:lang w:val="en-US" w:eastAsia="zh-CN" w:bidi="ar"/>
              </w:rPr>
            </w:pPr>
            <w:r>
              <w:rPr>
                <w:rFonts w:hint="eastAsia" w:ascii="仿宋" w:hAnsi="仿宋" w:eastAsia="仿宋" w:cs="宋体"/>
                <w:b w:val="0"/>
                <w:snapToGrid w:val="0"/>
                <w:kern w:val="2"/>
                <w:sz w:val="24"/>
                <w:szCs w:val="22"/>
                <w:lang w:val="en-US" w:eastAsia="zh-CN" w:bidi="ar-SA"/>
              </w:rPr>
              <w:t>须提供投标文件递交截止日期之前六个月内（2026年1月-6月）为员工缴纳社会保障资金的证明材料原件或扫描件投标人加盖电子印章（任意一个月即可）（依法不需要缴纳社会保障资金的应提供相应文件说明）（加盖电子印章）；</w:t>
            </w:r>
          </w:p>
        </w:tc>
        <w:tc>
          <w:tcPr>
            <w:tcW w:w="816" w:type="pct"/>
            <w:shd w:val="clear" w:color="auto" w:fill="FFFFFF" w:themeFill="background1"/>
            <w:vAlign w:val="center"/>
          </w:tcPr>
          <w:p w14:paraId="5A266C3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2FD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6" w:hRule="atLeast"/>
          <w:jc w:val="center"/>
        </w:trPr>
        <w:tc>
          <w:tcPr>
            <w:tcW w:w="414" w:type="pct"/>
            <w:shd w:val="clear" w:color="auto" w:fill="FFFFFF" w:themeFill="background1"/>
            <w:vAlign w:val="center"/>
          </w:tcPr>
          <w:p w14:paraId="1EC766D2">
            <w:pPr>
              <w:pStyle w:val="46"/>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1897038F">
            <w:pPr>
              <w:pStyle w:val="46"/>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具有履行合同所必需的设备和专业技术能力</w:t>
            </w:r>
          </w:p>
        </w:tc>
        <w:tc>
          <w:tcPr>
            <w:tcW w:w="2814" w:type="pct"/>
            <w:shd w:val="clear" w:color="auto" w:fill="FFFFFF" w:themeFill="background1"/>
            <w:vAlign w:val="center"/>
          </w:tcPr>
          <w:p w14:paraId="5FA76516">
            <w:pPr>
              <w:pStyle w:val="46"/>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须提供具有履行合同所必需的设备和专业技术能力相关证明材料或声明；（加盖电子印章）</w:t>
            </w:r>
          </w:p>
        </w:tc>
        <w:tc>
          <w:tcPr>
            <w:tcW w:w="816" w:type="pct"/>
            <w:shd w:val="clear" w:color="auto" w:fill="FFFFFF" w:themeFill="background1"/>
            <w:vAlign w:val="center"/>
          </w:tcPr>
          <w:p w14:paraId="13D533E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6D95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27" w:hRule="atLeast"/>
          <w:jc w:val="center"/>
        </w:trPr>
        <w:tc>
          <w:tcPr>
            <w:tcW w:w="414" w:type="pct"/>
            <w:shd w:val="clear" w:color="auto" w:fill="FFFFFF" w:themeFill="background1"/>
            <w:vAlign w:val="center"/>
          </w:tcPr>
          <w:p w14:paraId="7A441417">
            <w:pPr>
              <w:pStyle w:val="46"/>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2F4D8F33">
            <w:pPr>
              <w:pStyle w:val="46"/>
              <w:spacing w:line="240" w:lineRule="auto"/>
              <w:jc w:val="center"/>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color w:val="000000"/>
                <w:kern w:val="2"/>
                <w:sz w:val="24"/>
                <w:szCs w:val="24"/>
                <w:lang w:val="en-US" w:eastAsia="zh-CN" w:bidi="ar-SA"/>
              </w:rPr>
              <w:t>无重大违法记录声明书</w:t>
            </w:r>
          </w:p>
        </w:tc>
        <w:tc>
          <w:tcPr>
            <w:tcW w:w="2814" w:type="pct"/>
            <w:shd w:val="clear" w:color="auto" w:fill="FFFFFF" w:themeFill="background1"/>
            <w:vAlign w:val="center"/>
          </w:tcPr>
          <w:p w14:paraId="577D4994">
            <w:pPr>
              <w:pStyle w:val="46"/>
              <w:keepNext w:val="0"/>
              <w:keepLines w:val="0"/>
              <w:pageBreakBefore w:val="0"/>
              <w:widowControl w:val="0"/>
              <w:kinsoku/>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须提供参加政府采购活动前三年内，在经营活动中没有重大违法记录的书面声明；（加盖电子印章）</w:t>
            </w:r>
          </w:p>
        </w:tc>
        <w:tc>
          <w:tcPr>
            <w:tcW w:w="816" w:type="pct"/>
            <w:shd w:val="clear" w:color="auto" w:fill="FFFFFF" w:themeFill="background1"/>
            <w:vAlign w:val="center"/>
          </w:tcPr>
          <w:p w14:paraId="405A3C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r w14:paraId="727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414" w:type="pct"/>
            <w:shd w:val="clear" w:color="auto" w:fill="FFFFFF" w:themeFill="background1"/>
            <w:vAlign w:val="center"/>
          </w:tcPr>
          <w:p w14:paraId="004A5DB4">
            <w:pPr>
              <w:pStyle w:val="46"/>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5897B1A2">
            <w:pPr>
              <w:pStyle w:val="4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 w:val="0"/>
                <w:color w:val="000000"/>
                <w:kern w:val="2"/>
                <w:sz w:val="24"/>
                <w:szCs w:val="24"/>
                <w:lang w:val="en-US" w:eastAsia="zh-CN" w:bidi="ar-SA"/>
              </w:rPr>
              <w:t>投标保证金缴纳凭证</w:t>
            </w:r>
          </w:p>
        </w:tc>
        <w:tc>
          <w:tcPr>
            <w:tcW w:w="2814" w:type="pct"/>
            <w:shd w:val="clear" w:color="auto" w:fill="FFFFFF" w:themeFill="background1"/>
            <w:vAlign w:val="center"/>
          </w:tcPr>
          <w:p w14:paraId="385FFF97">
            <w:pPr>
              <w:pStyle w:val="46"/>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宋体"/>
                <w:b w:val="0"/>
                <w:snapToGrid w:val="0"/>
                <w:kern w:val="2"/>
                <w:sz w:val="24"/>
                <w:szCs w:val="22"/>
                <w:lang w:val="en-US" w:eastAsia="zh-CN" w:bidi="ar-SA"/>
              </w:rPr>
              <w:t>须提供投标保证金缴纳凭证（打印件或复印件或电子保函相关资料）；（加盖电子印章）</w:t>
            </w:r>
          </w:p>
        </w:tc>
        <w:tc>
          <w:tcPr>
            <w:tcW w:w="816" w:type="pct"/>
            <w:shd w:val="clear" w:color="auto" w:fill="FFFFFF" w:themeFill="background1"/>
            <w:vAlign w:val="center"/>
          </w:tcPr>
          <w:p w14:paraId="2A6362E1">
            <w:pPr>
              <w:pStyle w:val="46"/>
              <w:spacing w:line="240" w:lineRule="auto"/>
              <w:jc w:val="center"/>
              <w:rPr>
                <w:rFonts w:hint="eastAsia" w:ascii="宋体" w:hAnsi="宋体" w:eastAsia="宋体" w:cs="宋体"/>
                <w:b/>
                <w:bCs/>
                <w:i w:val="0"/>
                <w:iCs w:val="0"/>
                <w:color w:val="auto"/>
                <w:sz w:val="24"/>
                <w:szCs w:val="24"/>
                <w:highlight w:val="none"/>
              </w:rPr>
            </w:pPr>
          </w:p>
        </w:tc>
      </w:tr>
      <w:tr w14:paraId="08B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12" w:hRule="atLeast"/>
          <w:jc w:val="center"/>
        </w:trPr>
        <w:tc>
          <w:tcPr>
            <w:tcW w:w="414" w:type="pct"/>
            <w:shd w:val="clear" w:color="auto" w:fill="FFFFFF" w:themeFill="background1"/>
            <w:vAlign w:val="center"/>
          </w:tcPr>
          <w:p w14:paraId="01F04192">
            <w:pPr>
              <w:pStyle w:val="46"/>
              <w:numPr>
                <w:ilvl w:val="0"/>
                <w:numId w:val="1"/>
              </w:numPr>
              <w:spacing w:line="240" w:lineRule="auto"/>
              <w:ind w:left="425" w:leftChars="0" w:hanging="425" w:firstLineChars="0"/>
              <w:jc w:val="center"/>
              <w:rPr>
                <w:rFonts w:hint="eastAsia"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7CE95C7E">
            <w:pPr>
              <w:pStyle w:val="4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 w:val="0"/>
                <w:color w:val="000000"/>
                <w:kern w:val="2"/>
                <w:sz w:val="24"/>
                <w:szCs w:val="24"/>
                <w:lang w:val="en-US" w:eastAsia="zh-CN" w:bidi="ar-SA"/>
              </w:rPr>
              <w:t>中小企业声明函</w:t>
            </w:r>
          </w:p>
        </w:tc>
        <w:tc>
          <w:tcPr>
            <w:tcW w:w="2814" w:type="pct"/>
            <w:shd w:val="clear" w:color="auto" w:fill="FFFFFF" w:themeFill="background1"/>
            <w:vAlign w:val="center"/>
          </w:tcPr>
          <w:p w14:paraId="3AB391B0">
            <w:pPr>
              <w:pStyle w:val="46"/>
              <w:spacing w:line="240" w:lineRule="auto"/>
              <w:jc w:val="both"/>
              <w:rPr>
                <w:rFonts w:hint="eastAsia" w:ascii="宋体" w:hAnsi="宋体" w:eastAsia="宋体" w:cs="宋体"/>
                <w:i w:val="0"/>
                <w:iCs w:val="0"/>
                <w:color w:val="auto"/>
                <w:sz w:val="24"/>
                <w:szCs w:val="24"/>
                <w:highlight w:val="none"/>
                <w:lang w:val="en-US" w:eastAsia="zh-CN"/>
              </w:rPr>
            </w:pPr>
            <w:r>
              <w:rPr>
                <w:rFonts w:hint="eastAsia" w:ascii="仿宋" w:hAnsi="仿宋" w:eastAsia="仿宋" w:cs="仿宋"/>
                <w:bCs/>
                <w:color w:val="auto"/>
                <w:kern w:val="0"/>
                <w:sz w:val="24"/>
              </w:rPr>
              <w:t>中小企业声明函，原件的扫描件</w:t>
            </w:r>
            <w:r>
              <w:rPr>
                <w:rFonts w:hint="eastAsia" w:ascii="仿宋" w:hAnsi="仿宋" w:eastAsia="仿宋" w:cs="仿宋"/>
                <w:color w:val="auto"/>
                <w:sz w:val="24"/>
              </w:rPr>
              <w:t>（按</w:t>
            </w:r>
            <w:r>
              <w:rPr>
                <w:rFonts w:hint="eastAsia" w:ascii="仿宋" w:hAnsi="仿宋" w:eastAsia="仿宋" w:cs="仿宋"/>
                <w:color w:val="auto"/>
                <w:sz w:val="24"/>
                <w:lang w:eastAsia="zh-CN"/>
              </w:rPr>
              <w:t>招标</w:t>
            </w:r>
            <w:r>
              <w:rPr>
                <w:rFonts w:hint="eastAsia" w:ascii="仿宋" w:hAnsi="仿宋" w:eastAsia="仿宋" w:cs="仿宋"/>
                <w:color w:val="auto"/>
                <w:sz w:val="24"/>
              </w:rPr>
              <w:t>文件给定格式提供</w:t>
            </w:r>
          </w:p>
        </w:tc>
        <w:tc>
          <w:tcPr>
            <w:tcW w:w="816" w:type="pct"/>
            <w:shd w:val="clear" w:color="auto" w:fill="FFFFFF" w:themeFill="background1"/>
            <w:vAlign w:val="center"/>
          </w:tcPr>
          <w:p w14:paraId="5641E503">
            <w:pPr>
              <w:pStyle w:val="46"/>
              <w:spacing w:line="240" w:lineRule="auto"/>
              <w:jc w:val="center"/>
              <w:rPr>
                <w:rFonts w:hint="eastAsia" w:ascii="宋体" w:hAnsi="宋体" w:eastAsia="宋体" w:cs="宋体"/>
                <w:b/>
                <w:bCs/>
                <w:i w:val="0"/>
                <w:iCs w:val="0"/>
                <w:color w:val="auto"/>
                <w:sz w:val="24"/>
                <w:szCs w:val="24"/>
                <w:highlight w:val="none"/>
              </w:rPr>
            </w:pPr>
          </w:p>
        </w:tc>
      </w:tr>
      <w:tr w14:paraId="7F38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02" w:hRule="atLeast"/>
          <w:jc w:val="center"/>
        </w:trPr>
        <w:tc>
          <w:tcPr>
            <w:tcW w:w="414" w:type="pct"/>
            <w:shd w:val="clear" w:color="auto" w:fill="FFFFFF" w:themeFill="background1"/>
            <w:vAlign w:val="center"/>
          </w:tcPr>
          <w:p w14:paraId="6DAF77C7">
            <w:pPr>
              <w:pStyle w:val="46"/>
              <w:numPr>
                <w:ilvl w:val="0"/>
                <w:numId w:val="1"/>
              </w:numPr>
              <w:spacing w:line="240" w:lineRule="auto"/>
              <w:ind w:left="425" w:leftChars="0" w:hanging="425" w:firstLineChars="0"/>
              <w:jc w:val="center"/>
              <w:rPr>
                <w:rFonts w:hint="default" w:cs="宋体"/>
                <w:b/>
                <w:bCs/>
                <w:i w:val="0"/>
                <w:iCs w:val="0"/>
                <w:color w:val="auto"/>
                <w:sz w:val="24"/>
                <w:szCs w:val="24"/>
                <w:highlight w:val="none"/>
                <w:lang w:val="en-US" w:eastAsia="zh-CN"/>
              </w:rPr>
            </w:pPr>
          </w:p>
        </w:tc>
        <w:tc>
          <w:tcPr>
            <w:tcW w:w="954" w:type="pct"/>
            <w:shd w:val="clear" w:color="auto" w:fill="FFFFFF" w:themeFill="background1"/>
            <w:vAlign w:val="center"/>
          </w:tcPr>
          <w:p w14:paraId="4BF85E12">
            <w:pPr>
              <w:pStyle w:val="46"/>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特定资质</w:t>
            </w:r>
          </w:p>
        </w:tc>
        <w:tc>
          <w:tcPr>
            <w:tcW w:w="2814" w:type="pct"/>
            <w:shd w:val="clear" w:color="auto" w:fill="FFFFFF" w:themeFill="background1"/>
            <w:vAlign w:val="center"/>
          </w:tcPr>
          <w:p w14:paraId="5DBEA4D7">
            <w:pPr>
              <w:pStyle w:val="46"/>
              <w:spacing w:line="240" w:lineRule="auto"/>
              <w:jc w:val="both"/>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须具有有效的建筑工程施工总承包三级及以上资质、具有有效的安全生产许可证，并在人员、设备、资金等方面具有相应的施工能力；（2）项目负责人要求：应具备合格有效期内的建筑工程专业贰级以上（含）注册建造师执业资格、有效的安全生产考核合格证（B类），且未担任其他在施建设工程项目的项目负责人。（加盖电子印章）</w:t>
            </w:r>
          </w:p>
        </w:tc>
        <w:tc>
          <w:tcPr>
            <w:tcW w:w="816" w:type="pct"/>
            <w:shd w:val="clear" w:color="auto" w:fill="FFFFFF" w:themeFill="background1"/>
            <w:vAlign w:val="center"/>
          </w:tcPr>
          <w:p w14:paraId="12DBF4CA">
            <w:pPr>
              <w:pStyle w:val="46"/>
              <w:spacing w:line="240" w:lineRule="auto"/>
              <w:jc w:val="center"/>
              <w:rPr>
                <w:rFonts w:hint="eastAsia" w:ascii="宋体" w:hAnsi="宋体" w:eastAsia="宋体" w:cs="宋体"/>
                <w:b/>
                <w:bCs/>
                <w:i w:val="0"/>
                <w:iCs w:val="0"/>
                <w:color w:val="auto"/>
                <w:sz w:val="24"/>
                <w:szCs w:val="24"/>
                <w:highlight w:val="none"/>
              </w:rPr>
            </w:pPr>
          </w:p>
        </w:tc>
      </w:tr>
      <w:tr w14:paraId="24B0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09" w:hRule="atLeast"/>
          <w:jc w:val="center"/>
        </w:trPr>
        <w:tc>
          <w:tcPr>
            <w:tcW w:w="414" w:type="pct"/>
            <w:shd w:val="clear" w:color="auto" w:fill="FFFFFF" w:themeFill="background1"/>
            <w:vAlign w:val="center"/>
          </w:tcPr>
          <w:p w14:paraId="2E685703">
            <w:pPr>
              <w:pStyle w:val="46"/>
              <w:numPr>
                <w:ilvl w:val="0"/>
                <w:numId w:val="1"/>
              </w:numPr>
              <w:spacing w:line="240" w:lineRule="auto"/>
              <w:ind w:left="425" w:leftChars="0" w:hanging="425" w:firstLineChars="0"/>
              <w:jc w:val="center"/>
              <w:rPr>
                <w:rFonts w:hint="default" w:ascii="宋体" w:hAnsi="宋体" w:eastAsia="宋体" w:cs="宋体"/>
                <w:b/>
                <w:bCs/>
                <w:i w:val="0"/>
                <w:iCs w:val="0"/>
                <w:color w:val="auto"/>
                <w:sz w:val="24"/>
                <w:szCs w:val="24"/>
                <w:highlight w:val="none"/>
                <w:lang w:val="en-US" w:eastAsia="zh-CN"/>
              </w:rPr>
            </w:pPr>
          </w:p>
        </w:tc>
        <w:tc>
          <w:tcPr>
            <w:tcW w:w="954" w:type="pct"/>
            <w:shd w:val="clear" w:color="auto" w:fill="FFFFFF" w:themeFill="background1"/>
            <w:vAlign w:val="center"/>
          </w:tcPr>
          <w:p w14:paraId="4C3B1497">
            <w:pPr>
              <w:pStyle w:val="46"/>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法定代表人须提供法定代表人资格证明书及身份证或法定代表人授权委托书及被授权人身份证；</w:t>
            </w:r>
          </w:p>
        </w:tc>
        <w:tc>
          <w:tcPr>
            <w:tcW w:w="2814" w:type="pct"/>
            <w:shd w:val="clear" w:color="auto" w:fill="FFFFFF" w:themeFill="background1"/>
            <w:vAlign w:val="center"/>
          </w:tcPr>
          <w:p w14:paraId="4F4ABC38">
            <w:pPr>
              <w:pStyle w:val="46"/>
              <w:spacing w:line="240" w:lineRule="auto"/>
              <w:jc w:val="center"/>
              <w:rPr>
                <w:rFonts w:hint="eastAsia" w:ascii="仿宋" w:hAnsi="仿宋" w:eastAsia="仿宋" w:cs="仿宋"/>
                <w:bCs/>
                <w:color w:val="auto"/>
                <w:kern w:val="0"/>
                <w:sz w:val="24"/>
                <w:lang w:val="en-US" w:eastAsia="zh-CN"/>
              </w:rPr>
            </w:pPr>
            <w:r>
              <w:rPr>
                <w:rFonts w:hint="eastAsia" w:ascii="仿宋" w:hAnsi="仿宋" w:eastAsia="仿宋" w:cs="仿宋"/>
                <w:bCs/>
                <w:color w:val="auto"/>
                <w:kern w:val="0"/>
                <w:sz w:val="24"/>
                <w:lang w:val="en-US" w:eastAsia="zh-CN"/>
              </w:rPr>
              <w:t>须提供法定代表人资格证明书及身份证或法定代表人授权委托书及被授权人身份证，均为原件的扫描件；（加盖电子印章）</w:t>
            </w:r>
          </w:p>
        </w:tc>
        <w:tc>
          <w:tcPr>
            <w:tcW w:w="816" w:type="pct"/>
            <w:shd w:val="clear" w:color="auto" w:fill="FFFFFF" w:themeFill="background1"/>
            <w:vAlign w:val="center"/>
          </w:tcPr>
          <w:p w14:paraId="69EB42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p>
        </w:tc>
      </w:tr>
    </w:tbl>
    <w:p w14:paraId="53A41A5F">
      <w:pPr>
        <w:spacing w:line="360" w:lineRule="auto"/>
        <w:rPr>
          <w:b/>
          <w:bCs/>
          <w:i w:val="0"/>
          <w:iCs w:val="0"/>
          <w:color w:val="auto"/>
          <w:sz w:val="28"/>
          <w:szCs w:val="28"/>
          <w:highlight w:val="none"/>
        </w:rPr>
      </w:pPr>
      <w:r>
        <w:rPr>
          <w:rFonts w:hint="eastAsia"/>
          <w:b/>
          <w:bCs/>
          <w:i w:val="0"/>
          <w:iCs w:val="0"/>
          <w:color w:val="auto"/>
          <w:sz w:val="28"/>
          <w:szCs w:val="28"/>
          <w:highlight w:val="none"/>
        </w:rPr>
        <w:t>备注：</w:t>
      </w:r>
    </w:p>
    <w:p w14:paraId="509818B3">
      <w:pPr>
        <w:pStyle w:val="39"/>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8"/>
          <w:szCs w:val="28"/>
          <w:highlight w:val="none"/>
        </w:rPr>
      </w:pPr>
      <w:r>
        <w:rPr>
          <w:i w:val="0"/>
          <w:iCs w:val="0"/>
          <w:color w:val="auto"/>
          <w:sz w:val="28"/>
          <w:szCs w:val="28"/>
          <w:highlight w:val="none"/>
        </w:rPr>
        <w:t>1.</w:t>
      </w:r>
      <w:r>
        <w:rPr>
          <w:rFonts w:hint="eastAsia"/>
          <w:i w:val="0"/>
          <w:iCs w:val="0"/>
          <w:color w:val="auto"/>
          <w:sz w:val="28"/>
          <w:szCs w:val="28"/>
          <w:highlight w:val="none"/>
          <w:lang w:eastAsia="zh-CN"/>
        </w:rPr>
        <w:t>供应商须按上表格式要求提供相关证明文件</w:t>
      </w:r>
      <w:r>
        <w:rPr>
          <w:rFonts w:hint="eastAsia"/>
          <w:i w:val="0"/>
          <w:iCs w:val="0"/>
          <w:color w:val="auto"/>
          <w:sz w:val="28"/>
          <w:szCs w:val="28"/>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8"/>
          <w:szCs w:val="28"/>
          <w:highlight w:val="none"/>
          <w:lang w:eastAsia="zh-CN"/>
        </w:rPr>
        <w:t>，</w:t>
      </w:r>
      <w:r>
        <w:rPr>
          <w:rFonts w:hint="eastAsia"/>
          <w:i w:val="0"/>
          <w:iCs w:val="0"/>
          <w:color w:val="auto"/>
          <w:sz w:val="28"/>
          <w:szCs w:val="28"/>
          <w:highlight w:val="none"/>
        </w:rPr>
        <w:t>责任由供应商</w:t>
      </w:r>
      <w:r>
        <w:rPr>
          <w:rFonts w:hint="eastAsia"/>
          <w:i w:val="0"/>
          <w:iCs w:val="0"/>
          <w:color w:val="auto"/>
          <w:sz w:val="28"/>
          <w:szCs w:val="28"/>
          <w:highlight w:val="none"/>
          <w:lang w:val="en-US" w:eastAsia="zh-CN"/>
        </w:rPr>
        <w:t>承担</w:t>
      </w:r>
      <w:r>
        <w:rPr>
          <w:rFonts w:hint="eastAsia"/>
          <w:i w:val="0"/>
          <w:iCs w:val="0"/>
          <w:color w:val="auto"/>
          <w:sz w:val="28"/>
          <w:szCs w:val="28"/>
          <w:highlight w:val="none"/>
        </w:rPr>
        <w:t>。</w:t>
      </w:r>
    </w:p>
    <w:p w14:paraId="5E74E935">
      <w:pPr>
        <w:pStyle w:val="39"/>
        <w:keepNext w:val="0"/>
        <w:keepLines w:val="0"/>
        <w:pageBreakBefore w:val="0"/>
        <w:widowControl w:val="0"/>
        <w:numPr>
          <w:ilvl w:val="0"/>
          <w:numId w:val="0"/>
        </w:numPr>
        <w:kinsoku/>
        <w:overflowPunct/>
        <w:topLinePunct w:val="0"/>
        <w:autoSpaceDE/>
        <w:autoSpaceDN/>
        <w:bidi w:val="0"/>
        <w:adjustRightInd/>
        <w:snapToGrid/>
        <w:spacing w:line="360" w:lineRule="auto"/>
        <w:ind w:firstLine="560" w:firstLineChars="200"/>
        <w:textAlignment w:val="auto"/>
        <w:rPr>
          <w:rFonts w:hint="eastAsia"/>
          <w:i w:val="0"/>
          <w:iCs w:val="0"/>
          <w:color w:val="auto"/>
          <w:sz w:val="28"/>
          <w:szCs w:val="28"/>
          <w:highlight w:val="none"/>
        </w:rPr>
      </w:pPr>
      <w:r>
        <w:rPr>
          <w:rFonts w:hint="eastAsia" w:cstheme="minorBidi"/>
          <w:i w:val="0"/>
          <w:iCs w:val="0"/>
          <w:color w:val="auto"/>
          <w:kern w:val="2"/>
          <w:sz w:val="28"/>
          <w:szCs w:val="28"/>
          <w:highlight w:val="none"/>
          <w:lang w:val="en-US" w:eastAsia="zh-CN" w:bidi="ar-SA"/>
        </w:rPr>
        <w:t>2</w:t>
      </w:r>
      <w:r>
        <w:rPr>
          <w:rFonts w:ascii="宋体" w:hAnsi="宋体" w:eastAsia="宋体" w:cstheme="minorBidi"/>
          <w:i w:val="0"/>
          <w:iCs w:val="0"/>
          <w:color w:val="auto"/>
          <w:kern w:val="2"/>
          <w:sz w:val="28"/>
          <w:szCs w:val="28"/>
          <w:highlight w:val="none"/>
          <w:lang w:val="en-US" w:eastAsia="zh-CN" w:bidi="ar-SA"/>
        </w:rPr>
        <w:t>.</w:t>
      </w:r>
      <w:r>
        <w:rPr>
          <w:rFonts w:hint="eastAsia"/>
          <w:i w:val="0"/>
          <w:iCs w:val="0"/>
          <w:color w:val="auto"/>
          <w:sz w:val="28"/>
          <w:szCs w:val="28"/>
          <w:highlight w:val="none"/>
        </w:rPr>
        <w:t>对于响应文件中有任意一条不满足上表要求的</w:t>
      </w:r>
      <w:r>
        <w:rPr>
          <w:rFonts w:hint="eastAsia"/>
          <w:i w:val="0"/>
          <w:iCs w:val="0"/>
          <w:color w:val="auto"/>
          <w:sz w:val="28"/>
          <w:szCs w:val="28"/>
          <w:highlight w:val="none"/>
          <w:lang w:eastAsia="zh-CN"/>
        </w:rPr>
        <w:t>，</w:t>
      </w:r>
      <w:r>
        <w:rPr>
          <w:rFonts w:hint="eastAsia"/>
          <w:i w:val="0"/>
          <w:iCs w:val="0"/>
          <w:color w:val="auto"/>
          <w:sz w:val="28"/>
          <w:szCs w:val="28"/>
          <w:highlight w:val="none"/>
        </w:rPr>
        <w:t>将导致其</w:t>
      </w:r>
      <w:r>
        <w:rPr>
          <w:rFonts w:hint="eastAsia"/>
          <w:b/>
          <w:bCs/>
          <w:i w:val="0"/>
          <w:iCs w:val="0"/>
          <w:color w:val="auto"/>
          <w:sz w:val="28"/>
          <w:szCs w:val="28"/>
          <w:highlight w:val="none"/>
        </w:rPr>
        <w:t>响应无效</w:t>
      </w:r>
      <w:r>
        <w:rPr>
          <w:rFonts w:hint="eastAsia"/>
          <w:i w:val="0"/>
          <w:iCs w:val="0"/>
          <w:color w:val="auto"/>
          <w:sz w:val="28"/>
          <w:szCs w:val="28"/>
          <w:highlight w:val="none"/>
        </w:rPr>
        <w:t>，不</w:t>
      </w:r>
      <w:r>
        <w:rPr>
          <w:rFonts w:hint="eastAsia"/>
          <w:i w:val="0"/>
          <w:iCs w:val="0"/>
          <w:color w:val="auto"/>
          <w:sz w:val="28"/>
          <w:szCs w:val="28"/>
          <w:highlight w:val="none"/>
          <w:lang w:val="en-US" w:eastAsia="zh-CN"/>
        </w:rPr>
        <w:t>得</w:t>
      </w:r>
      <w:r>
        <w:rPr>
          <w:rFonts w:hint="eastAsia"/>
          <w:i w:val="0"/>
          <w:iCs w:val="0"/>
          <w:color w:val="auto"/>
          <w:sz w:val="28"/>
          <w:szCs w:val="28"/>
          <w:highlight w:val="none"/>
        </w:rPr>
        <w:t>进入下一项评审。</w:t>
      </w:r>
    </w:p>
    <w:p w14:paraId="72E0CBEB">
      <w:pPr>
        <w:rPr>
          <w:rFonts w:hint="eastAsia"/>
          <w:i w:val="0"/>
          <w:iCs w:val="0"/>
          <w:color w:val="auto"/>
          <w:sz w:val="21"/>
          <w:szCs w:val="21"/>
          <w:highlight w:val="none"/>
        </w:rPr>
      </w:pPr>
      <w:r>
        <w:rPr>
          <w:rFonts w:hint="eastAsia"/>
          <w:i w:val="0"/>
          <w:iCs w:val="0"/>
          <w:color w:val="auto"/>
          <w:sz w:val="21"/>
          <w:szCs w:val="21"/>
          <w:highlight w:val="none"/>
        </w:rPr>
        <w:br w:type="page"/>
      </w:r>
    </w:p>
    <w:p w14:paraId="1428DB74">
      <w:pPr>
        <w:pStyle w:val="39"/>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i w:val="0"/>
          <w:iCs w:val="0"/>
          <w:color w:val="auto"/>
          <w:sz w:val="21"/>
          <w:szCs w:val="21"/>
          <w:highlight w:val="none"/>
        </w:rPr>
      </w:pPr>
    </w:p>
    <w:p w14:paraId="613615C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375"/>
      <w:bookmarkEnd w:id="376"/>
    </w:p>
    <w:tbl>
      <w:tblPr>
        <w:tblStyle w:val="29"/>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4"/>
        <w:gridCol w:w="6081"/>
        <w:gridCol w:w="1083"/>
        <w:gridCol w:w="1366"/>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15" w:type="pct"/>
            <w:vMerge w:val="restart"/>
            <w:shd w:val="clear" w:color="auto" w:fill="D8D8D8" w:themeFill="background1" w:themeFillShade="D9"/>
            <w:vAlign w:val="center"/>
          </w:tcPr>
          <w:p w14:paraId="3B188FC3">
            <w:pPr>
              <w:pStyle w:val="66"/>
              <w:bidi w:val="0"/>
              <w:rPr>
                <w:rFonts w:hint="eastAsia"/>
                <w:lang w:val="zh-CN"/>
              </w:rPr>
            </w:pPr>
            <w:r>
              <w:rPr>
                <w:rFonts w:hint="eastAsia"/>
                <w:lang w:val="zh-CN"/>
              </w:rPr>
              <w:t>序号</w:t>
            </w:r>
          </w:p>
        </w:tc>
        <w:tc>
          <w:tcPr>
            <w:tcW w:w="3054" w:type="pct"/>
            <w:vMerge w:val="restart"/>
            <w:shd w:val="clear" w:color="auto" w:fill="D8D8D8" w:themeFill="background1" w:themeFillShade="D9"/>
            <w:vAlign w:val="center"/>
          </w:tcPr>
          <w:p w14:paraId="44B32FDC">
            <w:pPr>
              <w:pStyle w:val="66"/>
              <w:bidi w:val="0"/>
              <w:rPr>
                <w:rFonts w:hint="eastAsia"/>
                <w:lang w:val="zh-CN"/>
              </w:rPr>
            </w:pPr>
            <w:r>
              <w:rPr>
                <w:rFonts w:hint="eastAsia"/>
                <w:lang w:val="zh-CN"/>
              </w:rPr>
              <w:t>审查内容</w:t>
            </w:r>
          </w:p>
        </w:tc>
        <w:tc>
          <w:tcPr>
            <w:tcW w:w="1230" w:type="pct"/>
            <w:gridSpan w:val="2"/>
            <w:shd w:val="clear" w:color="auto" w:fill="D8D8D8" w:themeFill="background1" w:themeFillShade="D9"/>
            <w:vAlign w:val="center"/>
          </w:tcPr>
          <w:p w14:paraId="2724C461">
            <w:pPr>
              <w:pStyle w:val="66"/>
              <w:bidi w:val="0"/>
              <w:rPr>
                <w:rFonts w:hint="eastAsia"/>
                <w:lang w:val="en-US" w:eastAsia="zh-CN"/>
              </w:rPr>
            </w:pPr>
            <w:r>
              <w:rPr>
                <w:rFonts w:hint="eastAsia"/>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715" w:type="pct"/>
            <w:vMerge w:val="continue"/>
            <w:shd w:val="clear" w:color="auto" w:fill="D8D8D8" w:themeFill="background1" w:themeFillShade="D9"/>
            <w:vAlign w:val="center"/>
          </w:tcPr>
          <w:p w14:paraId="1859AA86">
            <w:pPr>
              <w:pStyle w:val="66"/>
              <w:bidi w:val="0"/>
              <w:rPr>
                <w:rFonts w:hint="eastAsia"/>
                <w:lang w:val="zh-CN"/>
              </w:rPr>
            </w:pPr>
          </w:p>
        </w:tc>
        <w:tc>
          <w:tcPr>
            <w:tcW w:w="3054" w:type="pct"/>
            <w:vMerge w:val="continue"/>
            <w:shd w:val="clear" w:color="auto" w:fill="D8D8D8" w:themeFill="background1" w:themeFillShade="D9"/>
            <w:vAlign w:val="center"/>
          </w:tcPr>
          <w:p w14:paraId="2128C077">
            <w:pPr>
              <w:pStyle w:val="66"/>
              <w:bidi w:val="0"/>
              <w:rPr>
                <w:rFonts w:hint="eastAsia"/>
                <w:lang w:val="zh-CN"/>
              </w:rPr>
            </w:pPr>
          </w:p>
        </w:tc>
        <w:tc>
          <w:tcPr>
            <w:tcW w:w="544" w:type="pct"/>
            <w:shd w:val="clear" w:color="auto" w:fill="D8D8D8" w:themeFill="background1" w:themeFillShade="D9"/>
            <w:vAlign w:val="center"/>
          </w:tcPr>
          <w:p w14:paraId="0CAA21D7">
            <w:pPr>
              <w:pStyle w:val="66"/>
              <w:bidi w:val="0"/>
              <w:rPr>
                <w:rFonts w:hint="eastAsia"/>
                <w:lang w:val="en-US" w:eastAsia="zh-CN"/>
              </w:rPr>
            </w:pPr>
            <w:r>
              <w:rPr>
                <w:rFonts w:hint="eastAsia"/>
                <w:lang w:val="en-US" w:eastAsia="zh-CN"/>
              </w:rPr>
              <w:t>符合</w:t>
            </w:r>
          </w:p>
        </w:tc>
        <w:tc>
          <w:tcPr>
            <w:tcW w:w="685" w:type="pct"/>
            <w:shd w:val="clear" w:color="auto" w:fill="D8D8D8" w:themeFill="background1" w:themeFillShade="D9"/>
            <w:vAlign w:val="center"/>
          </w:tcPr>
          <w:p w14:paraId="15D1F439">
            <w:pPr>
              <w:pStyle w:val="66"/>
              <w:bidi w:val="0"/>
              <w:rPr>
                <w:rFonts w:hint="eastAsia"/>
                <w:lang w:val="en-US" w:eastAsia="zh-CN"/>
              </w:rPr>
            </w:pPr>
            <w:r>
              <w:rPr>
                <w:rFonts w:hint="eastAsia"/>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715" w:type="pct"/>
            <w:shd w:val="clear" w:color="auto" w:fill="auto"/>
            <w:vAlign w:val="center"/>
          </w:tcPr>
          <w:p w14:paraId="4A515C07">
            <w:pPr>
              <w:pStyle w:val="66"/>
              <w:bidi w:val="0"/>
              <w:rPr>
                <w:rFonts w:hint="eastAsia"/>
                <w:lang w:val="zh-CN"/>
              </w:rPr>
            </w:pPr>
            <w:r>
              <w:rPr>
                <w:rFonts w:hint="eastAsia"/>
                <w:lang w:val="zh-CN" w:eastAsia="zh-CN"/>
              </w:rPr>
              <w:t>1</w:t>
            </w:r>
          </w:p>
        </w:tc>
        <w:tc>
          <w:tcPr>
            <w:tcW w:w="3054" w:type="pct"/>
            <w:shd w:val="clear" w:color="auto" w:fill="auto"/>
            <w:vAlign w:val="center"/>
          </w:tcPr>
          <w:p w14:paraId="0FA4ED80">
            <w:pPr>
              <w:pStyle w:val="66"/>
              <w:bidi w:val="0"/>
              <w:rPr>
                <w:rFonts w:hint="eastAsia"/>
                <w:lang w:val="zh-CN" w:eastAsia="zh-CN"/>
              </w:rPr>
            </w:pPr>
            <w:r>
              <w:rPr>
                <w:rFonts w:hint="eastAsia"/>
                <w:lang w:val="zh-CN"/>
              </w:rPr>
              <w:t>响应文件的编制、签字及盖章是否符合磋商文件的要求。</w:t>
            </w:r>
          </w:p>
        </w:tc>
        <w:tc>
          <w:tcPr>
            <w:tcW w:w="544" w:type="pct"/>
            <w:shd w:val="clear" w:color="auto" w:fill="auto"/>
            <w:vAlign w:val="center"/>
          </w:tcPr>
          <w:p w14:paraId="1E1F1EB1">
            <w:pPr>
              <w:pStyle w:val="66"/>
              <w:bidi w:val="0"/>
              <w:rPr>
                <w:rFonts w:hint="eastAsia"/>
                <w:lang w:val="zh-CN"/>
              </w:rPr>
            </w:pPr>
          </w:p>
        </w:tc>
        <w:tc>
          <w:tcPr>
            <w:tcW w:w="685" w:type="pct"/>
            <w:shd w:val="clear" w:color="auto" w:fill="auto"/>
            <w:vAlign w:val="center"/>
          </w:tcPr>
          <w:p w14:paraId="35325BAA">
            <w:pPr>
              <w:pStyle w:val="66"/>
              <w:bidi w:val="0"/>
              <w:rPr>
                <w:rFonts w:hint="eastAsia"/>
                <w:lang w:val="zh-CN"/>
              </w:rPr>
            </w:pPr>
          </w:p>
        </w:tc>
      </w:tr>
      <w:tr w14:paraId="6BB8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715" w:type="pct"/>
            <w:shd w:val="clear" w:color="auto" w:fill="auto"/>
            <w:vAlign w:val="center"/>
          </w:tcPr>
          <w:p w14:paraId="70154C2F">
            <w:pPr>
              <w:pStyle w:val="66"/>
              <w:bidi w:val="0"/>
              <w:rPr>
                <w:rFonts w:hint="eastAsia"/>
                <w:lang w:val="zh-CN" w:eastAsia="zh-CN"/>
              </w:rPr>
            </w:pPr>
            <w:r>
              <w:rPr>
                <w:rFonts w:hint="eastAsia"/>
                <w:lang w:val="zh-CN" w:eastAsia="zh-CN"/>
              </w:rPr>
              <w:t>2</w:t>
            </w:r>
          </w:p>
        </w:tc>
        <w:tc>
          <w:tcPr>
            <w:tcW w:w="3054" w:type="pct"/>
            <w:shd w:val="clear" w:color="auto" w:fill="auto"/>
            <w:vAlign w:val="center"/>
          </w:tcPr>
          <w:p w14:paraId="6D95F485">
            <w:pPr>
              <w:pStyle w:val="66"/>
              <w:bidi w:val="0"/>
              <w:rPr>
                <w:rFonts w:hint="eastAsia"/>
                <w:lang w:val="zh-CN" w:eastAsia="zh-CN"/>
              </w:rPr>
            </w:pPr>
            <w:r>
              <w:t>磋商报价（首次报价或最后报价）是否</w:t>
            </w:r>
            <w:r>
              <w:rPr>
                <w:rFonts w:hint="eastAsia"/>
                <w:lang w:val="en-US" w:eastAsia="zh-CN"/>
              </w:rPr>
              <w:t>未</w:t>
            </w:r>
            <w:r>
              <w:t>超过磋商文件中规定的控制价的。</w:t>
            </w:r>
          </w:p>
        </w:tc>
        <w:tc>
          <w:tcPr>
            <w:tcW w:w="544" w:type="pct"/>
            <w:shd w:val="clear" w:color="auto" w:fill="auto"/>
            <w:vAlign w:val="center"/>
          </w:tcPr>
          <w:p w14:paraId="4C63B966">
            <w:pPr>
              <w:pStyle w:val="66"/>
              <w:bidi w:val="0"/>
              <w:rPr>
                <w:rFonts w:hint="eastAsia"/>
                <w:lang w:val="zh-CN"/>
              </w:rPr>
            </w:pPr>
          </w:p>
        </w:tc>
        <w:tc>
          <w:tcPr>
            <w:tcW w:w="685" w:type="pct"/>
            <w:shd w:val="clear" w:color="auto" w:fill="auto"/>
            <w:vAlign w:val="center"/>
          </w:tcPr>
          <w:p w14:paraId="5A615EFE">
            <w:pPr>
              <w:pStyle w:val="66"/>
              <w:bidi w:val="0"/>
              <w:rPr>
                <w:rFonts w:hint="eastAsia"/>
                <w:lang w:val="zh-CN"/>
              </w:rPr>
            </w:pPr>
          </w:p>
        </w:tc>
      </w:tr>
      <w:tr w14:paraId="591B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715" w:type="pct"/>
            <w:shd w:val="clear" w:color="auto" w:fill="auto"/>
            <w:vAlign w:val="center"/>
          </w:tcPr>
          <w:p w14:paraId="48860C47">
            <w:pPr>
              <w:pStyle w:val="66"/>
              <w:bidi w:val="0"/>
              <w:rPr>
                <w:rFonts w:hint="eastAsia"/>
                <w:lang w:val="zh-CN" w:eastAsia="zh-CN"/>
              </w:rPr>
            </w:pPr>
            <w:r>
              <w:rPr>
                <w:rFonts w:hint="eastAsia"/>
                <w:lang w:val="zh-CN" w:eastAsia="zh-CN"/>
              </w:rPr>
              <w:t>3</w:t>
            </w:r>
          </w:p>
        </w:tc>
        <w:tc>
          <w:tcPr>
            <w:tcW w:w="3054" w:type="pct"/>
            <w:shd w:val="clear" w:color="auto" w:fill="auto"/>
            <w:vAlign w:val="top"/>
          </w:tcPr>
          <w:p w14:paraId="02D97709">
            <w:pPr>
              <w:pStyle w:val="66"/>
              <w:bidi w:val="0"/>
              <w:rPr>
                <w:rFonts w:hint="eastAsia"/>
                <w:lang w:val="en-US" w:eastAsia="zh-CN"/>
              </w:rPr>
            </w:pPr>
            <w:r>
              <w:t>响应文件</w:t>
            </w:r>
            <w:r>
              <w:rPr>
                <w:rFonts w:hint="eastAsia"/>
                <w:lang w:val="en-US" w:eastAsia="zh-CN"/>
              </w:rPr>
              <w:t>未</w:t>
            </w:r>
            <w:r>
              <w:t>含有采购人不能接受的附加条件的。</w:t>
            </w:r>
          </w:p>
        </w:tc>
        <w:tc>
          <w:tcPr>
            <w:tcW w:w="544" w:type="pct"/>
            <w:shd w:val="clear" w:color="auto" w:fill="auto"/>
            <w:vAlign w:val="center"/>
          </w:tcPr>
          <w:p w14:paraId="18835E98">
            <w:pPr>
              <w:pStyle w:val="66"/>
              <w:bidi w:val="0"/>
              <w:rPr>
                <w:rFonts w:hint="eastAsia"/>
                <w:lang w:val="zh-CN"/>
              </w:rPr>
            </w:pPr>
          </w:p>
        </w:tc>
        <w:tc>
          <w:tcPr>
            <w:tcW w:w="685" w:type="pct"/>
            <w:shd w:val="clear" w:color="auto" w:fill="auto"/>
            <w:vAlign w:val="center"/>
          </w:tcPr>
          <w:p w14:paraId="32826E79">
            <w:pPr>
              <w:pStyle w:val="66"/>
              <w:bidi w:val="0"/>
              <w:rPr>
                <w:rFonts w:hint="eastAsia"/>
                <w:lang w:val="zh-CN"/>
              </w:rPr>
            </w:pPr>
          </w:p>
        </w:tc>
      </w:tr>
      <w:tr w14:paraId="7C77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715" w:type="pct"/>
            <w:shd w:val="clear" w:color="auto" w:fill="auto"/>
            <w:vAlign w:val="center"/>
          </w:tcPr>
          <w:p w14:paraId="0D25BA5B">
            <w:pPr>
              <w:pStyle w:val="66"/>
              <w:bidi w:val="0"/>
              <w:rPr>
                <w:rFonts w:hint="eastAsia"/>
                <w:lang w:val="zh-CN" w:eastAsia="zh-CN"/>
              </w:rPr>
            </w:pPr>
            <w:r>
              <w:rPr>
                <w:rFonts w:hint="eastAsia"/>
                <w:lang w:val="zh-CN" w:eastAsia="zh-CN"/>
              </w:rPr>
              <w:t>4</w:t>
            </w:r>
          </w:p>
        </w:tc>
        <w:tc>
          <w:tcPr>
            <w:tcW w:w="3054" w:type="pct"/>
            <w:shd w:val="clear" w:color="auto" w:fill="auto"/>
            <w:vAlign w:val="top"/>
          </w:tcPr>
          <w:p w14:paraId="3C241A91">
            <w:pPr>
              <w:pStyle w:val="66"/>
              <w:bidi w:val="0"/>
              <w:rPr>
                <w:rFonts w:hint="eastAsia"/>
                <w:lang w:val="zh-CN" w:eastAsia="zh-CN"/>
              </w:rPr>
            </w:pPr>
            <w:r>
              <w:t>磋商响应有效期是否满足磋商文件要求。</w:t>
            </w:r>
          </w:p>
        </w:tc>
        <w:tc>
          <w:tcPr>
            <w:tcW w:w="544" w:type="pct"/>
            <w:shd w:val="clear" w:color="auto" w:fill="auto"/>
            <w:vAlign w:val="center"/>
          </w:tcPr>
          <w:p w14:paraId="4B513014">
            <w:pPr>
              <w:pStyle w:val="66"/>
              <w:bidi w:val="0"/>
              <w:rPr>
                <w:rFonts w:hint="eastAsia"/>
                <w:lang w:val="zh-CN"/>
              </w:rPr>
            </w:pPr>
          </w:p>
        </w:tc>
        <w:tc>
          <w:tcPr>
            <w:tcW w:w="685" w:type="pct"/>
            <w:shd w:val="clear" w:color="auto" w:fill="auto"/>
            <w:vAlign w:val="center"/>
          </w:tcPr>
          <w:p w14:paraId="48AFA180">
            <w:pPr>
              <w:pStyle w:val="66"/>
              <w:bidi w:val="0"/>
              <w:rPr>
                <w:rFonts w:hint="eastAsia"/>
                <w:lang w:val="zh-CN"/>
              </w:rPr>
            </w:pPr>
          </w:p>
        </w:tc>
      </w:tr>
      <w:tr w14:paraId="2260F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715" w:type="pct"/>
            <w:shd w:val="clear" w:color="auto" w:fill="auto"/>
            <w:vAlign w:val="center"/>
          </w:tcPr>
          <w:p w14:paraId="5772C4C0">
            <w:pPr>
              <w:pStyle w:val="66"/>
              <w:bidi w:val="0"/>
              <w:rPr>
                <w:rFonts w:hint="eastAsia"/>
                <w:lang w:val="zh-CN" w:eastAsia="zh-CN"/>
              </w:rPr>
            </w:pPr>
            <w:r>
              <w:rPr>
                <w:rFonts w:hint="eastAsia"/>
                <w:lang w:val="zh-CN" w:eastAsia="zh-CN"/>
              </w:rPr>
              <w:t>5</w:t>
            </w:r>
          </w:p>
        </w:tc>
        <w:tc>
          <w:tcPr>
            <w:tcW w:w="3054" w:type="pct"/>
            <w:shd w:val="clear" w:color="auto" w:fill="auto"/>
            <w:vAlign w:val="center"/>
          </w:tcPr>
          <w:p w14:paraId="465B0180">
            <w:pPr>
              <w:pStyle w:val="66"/>
              <w:bidi w:val="0"/>
              <w:rPr>
                <w:rFonts w:hint="eastAsia"/>
                <w:lang w:val="en-US" w:eastAsia="zh-CN"/>
              </w:rPr>
            </w:pPr>
            <w:r>
              <w:t>施工招标项目工程量清单封面</w:t>
            </w:r>
            <w:r>
              <w:rPr>
                <w:rFonts w:hint="eastAsia"/>
                <w:lang w:val="en-US" w:eastAsia="zh-CN"/>
              </w:rPr>
              <w:t>是否</w:t>
            </w:r>
            <w:r>
              <w:t>有</w:t>
            </w:r>
            <w:r>
              <w:rPr>
                <w:rFonts w:hint="eastAsia"/>
                <w:lang w:val="en-US" w:eastAsia="zh-CN"/>
              </w:rPr>
              <w:t>注册造价师</w:t>
            </w:r>
            <w:r>
              <w:t>签字和印章（由</w:t>
            </w:r>
            <w:r>
              <w:rPr>
                <w:rFonts w:hint="eastAsia"/>
                <w:lang w:val="en-US" w:eastAsia="zh-CN"/>
              </w:rPr>
              <w:t>注册造价工程师</w:t>
            </w:r>
            <w:r>
              <w:t>在工程量清单封面签字并加盖执业印章）。</w:t>
            </w:r>
          </w:p>
        </w:tc>
        <w:tc>
          <w:tcPr>
            <w:tcW w:w="544" w:type="pct"/>
            <w:shd w:val="clear" w:color="auto" w:fill="auto"/>
            <w:vAlign w:val="center"/>
          </w:tcPr>
          <w:p w14:paraId="2C782F18">
            <w:pPr>
              <w:pStyle w:val="66"/>
              <w:bidi w:val="0"/>
              <w:rPr>
                <w:rFonts w:hint="eastAsia"/>
                <w:lang w:val="zh-CN"/>
              </w:rPr>
            </w:pPr>
          </w:p>
        </w:tc>
        <w:tc>
          <w:tcPr>
            <w:tcW w:w="685" w:type="pct"/>
            <w:shd w:val="clear" w:color="auto" w:fill="auto"/>
            <w:vAlign w:val="center"/>
          </w:tcPr>
          <w:p w14:paraId="163069B8">
            <w:pPr>
              <w:pStyle w:val="66"/>
              <w:bidi w:val="0"/>
              <w:rPr>
                <w:rFonts w:hint="eastAsia"/>
                <w:lang w:val="zh-CN"/>
              </w:rPr>
            </w:pPr>
          </w:p>
        </w:tc>
      </w:tr>
      <w:tr w14:paraId="37C4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715" w:type="pct"/>
            <w:shd w:val="clear" w:color="auto" w:fill="auto"/>
            <w:vAlign w:val="center"/>
          </w:tcPr>
          <w:p w14:paraId="31C12A1B">
            <w:pPr>
              <w:pStyle w:val="66"/>
              <w:bidi w:val="0"/>
              <w:rPr>
                <w:rFonts w:hint="eastAsia"/>
                <w:lang w:val="zh-CN" w:eastAsia="zh-CN"/>
              </w:rPr>
            </w:pPr>
            <w:r>
              <w:rPr>
                <w:rFonts w:hint="eastAsia"/>
                <w:lang w:val="zh-CN" w:eastAsia="zh-CN"/>
              </w:rPr>
              <w:t>6</w:t>
            </w:r>
          </w:p>
        </w:tc>
        <w:tc>
          <w:tcPr>
            <w:tcW w:w="3054" w:type="pct"/>
            <w:shd w:val="clear" w:color="auto" w:fill="auto"/>
            <w:vAlign w:val="center"/>
          </w:tcPr>
          <w:p w14:paraId="4803457A">
            <w:pPr>
              <w:pStyle w:val="66"/>
              <w:bidi w:val="0"/>
              <w:rPr>
                <w:rFonts w:hint="eastAsia"/>
                <w:lang w:val="zh-CN" w:eastAsia="zh-CN"/>
              </w:rPr>
            </w:pPr>
            <w:r>
              <w:rPr>
                <w:rFonts w:hint="eastAsia"/>
                <w:lang w:val="en-US" w:eastAsia="zh-CN"/>
              </w:rPr>
              <w:t>响应文件是否完全满足磋商文件的实质性条款（即标注★部分条款）且无负偏离的。</w:t>
            </w:r>
          </w:p>
        </w:tc>
        <w:tc>
          <w:tcPr>
            <w:tcW w:w="544" w:type="pct"/>
            <w:shd w:val="clear" w:color="auto" w:fill="auto"/>
            <w:vAlign w:val="center"/>
          </w:tcPr>
          <w:p w14:paraId="194FF3C2">
            <w:pPr>
              <w:pStyle w:val="66"/>
              <w:bidi w:val="0"/>
              <w:rPr>
                <w:rFonts w:hint="eastAsia"/>
                <w:lang w:val="zh-CN"/>
              </w:rPr>
            </w:pPr>
          </w:p>
        </w:tc>
        <w:tc>
          <w:tcPr>
            <w:tcW w:w="685" w:type="pct"/>
            <w:shd w:val="clear" w:color="auto" w:fill="auto"/>
            <w:vAlign w:val="center"/>
          </w:tcPr>
          <w:p w14:paraId="2372B823">
            <w:pPr>
              <w:pStyle w:val="66"/>
              <w:bidi w:val="0"/>
              <w:rPr>
                <w:rFonts w:hint="eastAsia"/>
                <w:lang w:val="zh-CN"/>
              </w:rPr>
            </w:pPr>
          </w:p>
        </w:tc>
      </w:tr>
      <w:tr w14:paraId="30B8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715" w:type="pct"/>
            <w:shd w:val="clear" w:color="auto" w:fill="auto"/>
            <w:vAlign w:val="center"/>
          </w:tcPr>
          <w:p w14:paraId="6C002E13">
            <w:pPr>
              <w:pStyle w:val="66"/>
              <w:bidi w:val="0"/>
              <w:rPr>
                <w:rFonts w:hint="eastAsia"/>
                <w:lang w:val="zh-CN" w:eastAsia="zh-CN"/>
              </w:rPr>
            </w:pPr>
            <w:r>
              <w:rPr>
                <w:rFonts w:hint="eastAsia"/>
                <w:lang w:val="en-US" w:eastAsia="zh-CN"/>
              </w:rPr>
              <w:t>7</w:t>
            </w:r>
          </w:p>
        </w:tc>
        <w:tc>
          <w:tcPr>
            <w:tcW w:w="3054" w:type="pct"/>
            <w:shd w:val="clear" w:color="auto" w:fill="auto"/>
            <w:vAlign w:val="center"/>
          </w:tcPr>
          <w:p w14:paraId="3E6052BB">
            <w:pPr>
              <w:pStyle w:val="66"/>
              <w:bidi w:val="0"/>
              <w:rPr>
                <w:rFonts w:hint="eastAsia"/>
                <w:lang w:val="zh-CN" w:eastAsia="zh-CN"/>
              </w:rPr>
            </w:pPr>
            <w:r>
              <w:rPr>
                <w:rFonts w:hint="eastAsia"/>
                <w:lang w:val="zh-CN" w:eastAsia="zh-CN"/>
              </w:rPr>
              <w:t>未改变磋商文件提供工程量清单中的项目编码、项目名称、项目特征、计量单位和工程量的。</w:t>
            </w:r>
          </w:p>
        </w:tc>
        <w:tc>
          <w:tcPr>
            <w:tcW w:w="544" w:type="pct"/>
            <w:shd w:val="clear" w:color="auto" w:fill="auto"/>
            <w:vAlign w:val="center"/>
          </w:tcPr>
          <w:p w14:paraId="1EA81190">
            <w:pPr>
              <w:pStyle w:val="66"/>
              <w:bidi w:val="0"/>
              <w:rPr>
                <w:rFonts w:hint="eastAsia"/>
                <w:lang w:val="zh-CN"/>
              </w:rPr>
            </w:pPr>
          </w:p>
        </w:tc>
        <w:tc>
          <w:tcPr>
            <w:tcW w:w="685" w:type="pct"/>
            <w:shd w:val="clear" w:color="auto" w:fill="auto"/>
            <w:vAlign w:val="center"/>
          </w:tcPr>
          <w:p w14:paraId="2394B23D">
            <w:pPr>
              <w:pStyle w:val="66"/>
              <w:bidi w:val="0"/>
              <w:rPr>
                <w:rFonts w:hint="eastAsia"/>
                <w:lang w:val="zh-CN"/>
              </w:rPr>
            </w:pPr>
          </w:p>
        </w:tc>
      </w:tr>
      <w:tr w14:paraId="56775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715" w:type="pct"/>
            <w:shd w:val="clear" w:color="auto" w:fill="auto"/>
            <w:vAlign w:val="center"/>
          </w:tcPr>
          <w:p w14:paraId="3CD6AABE">
            <w:pPr>
              <w:pStyle w:val="66"/>
              <w:bidi w:val="0"/>
              <w:rPr>
                <w:rFonts w:hint="default"/>
                <w:lang w:val="en-US" w:eastAsia="zh-CN"/>
              </w:rPr>
            </w:pPr>
            <w:r>
              <w:rPr>
                <w:rFonts w:hint="eastAsia"/>
                <w:lang w:val="en-US" w:eastAsia="zh-CN"/>
              </w:rPr>
              <w:t>8</w:t>
            </w:r>
          </w:p>
        </w:tc>
        <w:tc>
          <w:tcPr>
            <w:tcW w:w="3054" w:type="pct"/>
            <w:shd w:val="clear" w:color="auto" w:fill="auto"/>
            <w:vAlign w:val="center"/>
          </w:tcPr>
          <w:p w14:paraId="05CC0303">
            <w:pPr>
              <w:pStyle w:val="66"/>
              <w:bidi w:val="0"/>
              <w:rPr>
                <w:rFonts w:hint="eastAsia"/>
                <w:lang w:val="zh-CN"/>
              </w:rPr>
            </w:pPr>
            <w:r>
              <w:rPr>
                <w:rFonts w:hint="eastAsia"/>
                <w:lang w:val="en-US" w:eastAsia="zh-CN"/>
              </w:rPr>
              <w:t>未出现</w:t>
            </w:r>
            <w:r>
              <w:rPr>
                <w:rFonts w:hint="eastAsia"/>
                <w:lang w:val="zh-CN" w:eastAsia="zh-CN"/>
              </w:rPr>
              <w:t>法律、法规、规章以及本磋商文件规定属于</w:t>
            </w:r>
            <w:r>
              <w:rPr>
                <w:rFonts w:hint="eastAsia"/>
                <w:lang w:val="en-US" w:eastAsia="zh-CN"/>
              </w:rPr>
              <w:t>响应</w:t>
            </w:r>
            <w:r>
              <w:rPr>
                <w:rFonts w:hint="eastAsia"/>
                <w:lang w:val="zh-CN" w:eastAsia="zh-CN"/>
              </w:rPr>
              <w:t>无效的其他情形。</w:t>
            </w:r>
          </w:p>
        </w:tc>
        <w:tc>
          <w:tcPr>
            <w:tcW w:w="544" w:type="pct"/>
            <w:shd w:val="clear" w:color="auto" w:fill="auto"/>
            <w:vAlign w:val="center"/>
          </w:tcPr>
          <w:p w14:paraId="3A44DE13">
            <w:pPr>
              <w:pStyle w:val="66"/>
              <w:bidi w:val="0"/>
              <w:rPr>
                <w:rFonts w:hint="eastAsia"/>
                <w:lang w:val="zh-CN"/>
              </w:rPr>
            </w:pPr>
          </w:p>
        </w:tc>
        <w:tc>
          <w:tcPr>
            <w:tcW w:w="685" w:type="pct"/>
            <w:shd w:val="clear" w:color="auto" w:fill="auto"/>
            <w:vAlign w:val="center"/>
          </w:tcPr>
          <w:p w14:paraId="5D1C94D8">
            <w:pPr>
              <w:pStyle w:val="66"/>
              <w:bidi w:val="0"/>
              <w:rPr>
                <w:rFonts w:hint="eastAsia"/>
                <w:lang w:val="zh-CN"/>
              </w:rPr>
            </w:pPr>
          </w:p>
        </w:tc>
      </w:tr>
    </w:tbl>
    <w:p w14:paraId="4230CCFE">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3D420025">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381" w:name="_Toc16349364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bookmarkEnd w:id="381"/>
    </w:p>
    <w:p w14:paraId="06EEC6BD">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2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678"/>
        <w:gridCol w:w="1060"/>
        <w:gridCol w:w="6403"/>
      </w:tblGrid>
      <w:tr w14:paraId="5175C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411" w:type="pct"/>
            <w:shd w:val="clear" w:color="auto" w:fill="D8D8D8" w:themeFill="background1" w:themeFillShade="D9"/>
            <w:vAlign w:val="center"/>
          </w:tcPr>
          <w:p w14:paraId="4924CA4E">
            <w:pPr>
              <w:pStyle w:val="66"/>
              <w:bidi w:val="0"/>
              <w:rPr>
                <w:rFonts w:hint="eastAsia"/>
              </w:rPr>
            </w:pPr>
            <w:r>
              <w:rPr>
                <w:rFonts w:hint="eastAsia"/>
              </w:rPr>
              <w:t>评标项目</w:t>
            </w:r>
          </w:p>
        </w:tc>
        <w:tc>
          <w:tcPr>
            <w:tcW w:w="842" w:type="pct"/>
            <w:shd w:val="clear" w:color="auto" w:fill="D8D8D8" w:themeFill="background1" w:themeFillShade="D9"/>
            <w:vAlign w:val="center"/>
          </w:tcPr>
          <w:p w14:paraId="7A3DCB70">
            <w:pPr>
              <w:pStyle w:val="66"/>
              <w:bidi w:val="0"/>
              <w:rPr>
                <w:rFonts w:hint="eastAsia"/>
              </w:rPr>
            </w:pPr>
            <w:r>
              <w:rPr>
                <w:rFonts w:hint="eastAsia"/>
              </w:rPr>
              <w:t>评标分项</w:t>
            </w:r>
          </w:p>
        </w:tc>
        <w:tc>
          <w:tcPr>
            <w:tcW w:w="532" w:type="pct"/>
            <w:shd w:val="clear" w:color="auto" w:fill="D8D8D8" w:themeFill="background1" w:themeFillShade="D9"/>
            <w:vAlign w:val="center"/>
          </w:tcPr>
          <w:p w14:paraId="65B86E0D">
            <w:pPr>
              <w:pStyle w:val="66"/>
              <w:bidi w:val="0"/>
              <w:rPr>
                <w:rFonts w:hint="eastAsia"/>
              </w:rPr>
            </w:pPr>
            <w:r>
              <w:rPr>
                <w:rFonts w:hint="eastAsia"/>
              </w:rPr>
              <w:t>分值</w:t>
            </w:r>
          </w:p>
        </w:tc>
        <w:tc>
          <w:tcPr>
            <w:tcW w:w="3213" w:type="pct"/>
            <w:shd w:val="clear" w:color="auto" w:fill="D8D8D8" w:themeFill="background1" w:themeFillShade="D9"/>
            <w:vAlign w:val="center"/>
          </w:tcPr>
          <w:p w14:paraId="467A385D">
            <w:pPr>
              <w:pStyle w:val="66"/>
              <w:bidi w:val="0"/>
              <w:rPr>
                <w:rFonts w:hint="eastAsia"/>
              </w:rPr>
            </w:pPr>
            <w:r>
              <w:rPr>
                <w:rFonts w:hint="eastAsia"/>
              </w:rPr>
              <w:t>子项目及分值</w:t>
            </w:r>
          </w:p>
        </w:tc>
      </w:tr>
      <w:tr w14:paraId="159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Align w:val="center"/>
          </w:tcPr>
          <w:p w14:paraId="3C480381">
            <w:pPr>
              <w:pStyle w:val="66"/>
              <w:bidi w:val="0"/>
              <w:rPr>
                <w:rFonts w:hint="eastAsia"/>
              </w:rPr>
            </w:pPr>
            <w:r>
              <w:rPr>
                <w:rFonts w:hint="eastAsia"/>
              </w:rPr>
              <w:t>价格部分</w:t>
            </w:r>
          </w:p>
          <w:p w14:paraId="375F38AD">
            <w:pPr>
              <w:pStyle w:val="66"/>
              <w:bidi w:val="0"/>
              <w:rPr>
                <w:rFonts w:hint="eastAsia"/>
              </w:rPr>
            </w:pPr>
            <w:r>
              <w:rPr>
                <w:rFonts w:hint="eastAsia"/>
              </w:rPr>
              <w:t>（</w:t>
            </w:r>
            <w:r>
              <w:rPr>
                <w:rFonts w:hint="eastAsia"/>
                <w:lang w:val="en-US" w:eastAsia="zh-CN"/>
              </w:rPr>
              <w:t>30</w:t>
            </w:r>
            <w:r>
              <w:rPr>
                <w:rFonts w:hint="eastAsia"/>
              </w:rPr>
              <w:t>分）</w:t>
            </w:r>
          </w:p>
        </w:tc>
        <w:tc>
          <w:tcPr>
            <w:tcW w:w="842" w:type="pct"/>
            <w:tcBorders>
              <w:bottom w:val="single" w:color="auto" w:sz="4" w:space="0"/>
            </w:tcBorders>
            <w:vAlign w:val="center"/>
          </w:tcPr>
          <w:p w14:paraId="7C2CA7B7">
            <w:pPr>
              <w:pStyle w:val="66"/>
              <w:bidi w:val="0"/>
              <w:rPr>
                <w:rFonts w:hint="eastAsia"/>
              </w:rPr>
            </w:pPr>
            <w:r>
              <w:rPr>
                <w:rFonts w:hint="eastAsia"/>
                <w:lang w:val="en-US" w:eastAsia="zh-CN"/>
              </w:rPr>
              <w:t>最后</w:t>
            </w:r>
            <w:r>
              <w:rPr>
                <w:rFonts w:hint="eastAsia"/>
              </w:rPr>
              <w:t>报价</w:t>
            </w:r>
          </w:p>
        </w:tc>
        <w:tc>
          <w:tcPr>
            <w:tcW w:w="532" w:type="pct"/>
            <w:vAlign w:val="center"/>
          </w:tcPr>
          <w:p w14:paraId="036F3EE6">
            <w:pPr>
              <w:pStyle w:val="66"/>
              <w:bidi w:val="0"/>
              <w:rPr>
                <w:rFonts w:hint="eastAsia"/>
                <w:lang w:val="en-US" w:eastAsia="zh-CN"/>
              </w:rPr>
            </w:pPr>
            <w:r>
              <w:rPr>
                <w:rFonts w:hint="eastAsia"/>
                <w:lang w:val="en-US" w:eastAsia="zh-CN"/>
              </w:rPr>
              <w:t>30分</w:t>
            </w:r>
          </w:p>
        </w:tc>
        <w:tc>
          <w:tcPr>
            <w:tcW w:w="3213" w:type="pct"/>
            <w:vAlign w:val="center"/>
          </w:tcPr>
          <w:p w14:paraId="08440A10">
            <w:pPr>
              <w:pStyle w:val="66"/>
              <w:bidi w:val="0"/>
              <w:jc w:val="left"/>
              <w:rPr>
                <w:rFonts w:hint="eastAsia"/>
              </w:rPr>
            </w:pPr>
            <w:r>
              <w:rPr>
                <w:rFonts w:hint="eastAsia"/>
              </w:rPr>
              <w:t>综合评分法中的价格分统一采用低价优先法计算，即满足磋商文件要求（通过资格、符合性审查）且最后报价最低的供应商的价格（指价格核准后的价格，下同）为磋商基准价，其价格得分为满分。其他供应商的价格得分统一按照下列公式计算：磋商基准价=满足磋商文件要求（通过资格、符合性审查）且最后报价最低的供应商的价格（指价格核准后的价格 ，下同）磋商报价得分=(磋商基准价/最后磋商报价)×价格权重×100</w:t>
            </w:r>
          </w:p>
        </w:tc>
      </w:tr>
      <w:tr w14:paraId="1F710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restart"/>
            <w:vAlign w:val="center"/>
          </w:tcPr>
          <w:p w14:paraId="0EA62830">
            <w:pPr>
              <w:pStyle w:val="66"/>
              <w:bidi w:val="0"/>
              <w:rPr>
                <w:rFonts w:hint="eastAsia"/>
              </w:rPr>
            </w:pPr>
            <w:r>
              <w:rPr>
                <w:rFonts w:hint="eastAsia"/>
              </w:rPr>
              <w:t>商务部分</w:t>
            </w:r>
          </w:p>
          <w:p w14:paraId="6C0619A6">
            <w:pPr>
              <w:pStyle w:val="66"/>
              <w:bidi w:val="0"/>
              <w:rPr>
                <w:rFonts w:hint="eastAsia"/>
              </w:rPr>
            </w:pPr>
            <w:r>
              <w:rPr>
                <w:rFonts w:hint="eastAsia"/>
              </w:rPr>
              <w:t>（</w:t>
            </w:r>
            <w:r>
              <w:rPr>
                <w:rFonts w:hint="eastAsia"/>
                <w:lang w:val="en-US" w:eastAsia="zh-CN"/>
              </w:rPr>
              <w:t>10</w:t>
            </w:r>
            <w:r>
              <w:rPr>
                <w:rFonts w:hint="eastAsia"/>
              </w:rPr>
              <w:t>分）</w:t>
            </w:r>
          </w:p>
        </w:tc>
        <w:tc>
          <w:tcPr>
            <w:tcW w:w="842" w:type="pct"/>
            <w:tcBorders>
              <w:top w:val="single" w:color="auto" w:sz="4" w:space="0"/>
            </w:tcBorders>
            <w:vAlign w:val="center"/>
          </w:tcPr>
          <w:p w14:paraId="7B47B92D">
            <w:pPr>
              <w:pStyle w:val="66"/>
              <w:bidi w:val="0"/>
              <w:rPr>
                <w:rFonts w:hint="eastAsia"/>
              </w:rPr>
            </w:pPr>
            <w:r>
              <w:rPr>
                <w:rFonts w:hint="eastAsia"/>
              </w:rPr>
              <w:t>业绩</w:t>
            </w:r>
          </w:p>
        </w:tc>
        <w:tc>
          <w:tcPr>
            <w:tcW w:w="532" w:type="pct"/>
            <w:vAlign w:val="center"/>
          </w:tcPr>
          <w:p w14:paraId="4E7EA155">
            <w:pPr>
              <w:pStyle w:val="66"/>
              <w:bidi w:val="0"/>
              <w:rPr>
                <w:rFonts w:hint="eastAsia"/>
              </w:rPr>
            </w:pPr>
            <w:r>
              <w:rPr>
                <w:rFonts w:hint="eastAsia"/>
                <w:lang w:val="en-US" w:eastAsia="zh-CN"/>
              </w:rPr>
              <w:t>2分</w:t>
            </w:r>
          </w:p>
        </w:tc>
        <w:tc>
          <w:tcPr>
            <w:tcW w:w="3213" w:type="pct"/>
            <w:vAlign w:val="center"/>
          </w:tcPr>
          <w:p w14:paraId="00872C1F">
            <w:pPr>
              <w:pStyle w:val="66"/>
              <w:bidi w:val="0"/>
              <w:jc w:val="left"/>
              <w:rPr>
                <w:rFonts w:hint="eastAsia"/>
                <w:lang w:val="en-US" w:eastAsia="zh-CN"/>
              </w:rPr>
            </w:pPr>
            <w:r>
              <w:rPr>
                <w:rFonts w:hint="eastAsia"/>
                <w:color w:val="auto"/>
                <w:lang w:val="en-US" w:eastAsia="zh-CN"/>
              </w:rPr>
              <w:t>投标企业</w:t>
            </w:r>
            <w:r>
              <w:rPr>
                <w:rFonts w:hint="eastAsia"/>
                <w:color w:val="auto"/>
                <w:lang w:val="zh-CN" w:eastAsia="en-US"/>
              </w:rPr>
              <w:t>具有近三年（20</w:t>
            </w:r>
            <w:r>
              <w:rPr>
                <w:rFonts w:hint="eastAsia"/>
                <w:color w:val="auto"/>
                <w:lang w:val="en-US" w:eastAsia="zh-CN"/>
              </w:rPr>
              <w:t>23</w:t>
            </w:r>
            <w:r>
              <w:rPr>
                <w:rFonts w:hint="eastAsia"/>
                <w:color w:val="auto"/>
                <w:lang w:val="zh-CN" w:eastAsia="en-US"/>
              </w:rPr>
              <w:t>年</w:t>
            </w:r>
            <w:r>
              <w:rPr>
                <w:rFonts w:hint="eastAsia"/>
                <w:color w:val="auto"/>
                <w:lang w:val="en-US" w:eastAsia="zh-CN"/>
              </w:rPr>
              <w:t>05</w:t>
            </w:r>
            <w:r>
              <w:rPr>
                <w:rFonts w:hint="eastAsia"/>
                <w:color w:val="auto"/>
                <w:lang w:val="zh-CN" w:eastAsia="en-US"/>
              </w:rPr>
              <w:t>月</w:t>
            </w:r>
            <w:r>
              <w:rPr>
                <w:rFonts w:hint="eastAsia"/>
                <w:color w:val="auto"/>
                <w:lang w:val="en-US" w:eastAsia="zh-CN"/>
              </w:rPr>
              <w:t>26</w:t>
            </w:r>
            <w:r>
              <w:rPr>
                <w:rFonts w:hint="eastAsia"/>
                <w:color w:val="auto"/>
                <w:lang w:val="zh-CN" w:eastAsia="en-US"/>
              </w:rPr>
              <w:t>日至今）类似项目业绩，提供一个得</w:t>
            </w:r>
            <w:r>
              <w:rPr>
                <w:rFonts w:hint="eastAsia"/>
                <w:color w:val="auto"/>
                <w:lang w:val="en-US" w:eastAsia="zh-CN"/>
              </w:rPr>
              <w:t>1</w:t>
            </w:r>
            <w:r>
              <w:rPr>
                <w:rFonts w:hint="eastAsia"/>
                <w:color w:val="auto"/>
                <w:lang w:val="zh-CN" w:eastAsia="en-US"/>
              </w:rPr>
              <w:t>分，</w:t>
            </w:r>
            <w:r>
              <w:rPr>
                <w:rFonts w:hint="eastAsia"/>
                <w:color w:val="auto"/>
                <w:lang w:val="en-US" w:eastAsia="zh-CN"/>
              </w:rPr>
              <w:t>满分2分</w:t>
            </w:r>
            <w:r>
              <w:rPr>
                <w:rFonts w:hint="eastAsia"/>
                <w:color w:val="auto"/>
                <w:lang w:val="zh-CN" w:eastAsia="en-US"/>
              </w:rPr>
              <w:t>。（提供中标通知书</w:t>
            </w:r>
            <w:r>
              <w:rPr>
                <w:rFonts w:hint="eastAsia"/>
                <w:color w:val="auto"/>
                <w:lang w:val="en-US" w:eastAsia="zh-CN"/>
              </w:rPr>
              <w:t>及</w:t>
            </w:r>
            <w:r>
              <w:rPr>
                <w:rFonts w:hint="eastAsia"/>
                <w:color w:val="auto"/>
                <w:lang w:val="zh-CN" w:eastAsia="en-US"/>
              </w:rPr>
              <w:t>施工合同</w:t>
            </w:r>
            <w:r>
              <w:rPr>
                <w:rFonts w:hint="eastAsia"/>
                <w:color w:val="auto"/>
                <w:lang w:val="en-US" w:eastAsia="zh-CN"/>
              </w:rPr>
              <w:t>复印件加盖公章</w:t>
            </w:r>
            <w:r>
              <w:rPr>
                <w:rFonts w:hint="eastAsia"/>
                <w:color w:val="auto"/>
                <w:lang w:val="zh-CN" w:eastAsia="en-US"/>
              </w:rPr>
              <w:t>）</w:t>
            </w:r>
          </w:p>
        </w:tc>
      </w:tr>
      <w:tr w14:paraId="279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052C663E">
            <w:pPr>
              <w:pStyle w:val="66"/>
              <w:bidi w:val="0"/>
              <w:rPr>
                <w:rFonts w:hint="eastAsia"/>
              </w:rPr>
            </w:pPr>
          </w:p>
        </w:tc>
        <w:tc>
          <w:tcPr>
            <w:tcW w:w="842" w:type="pct"/>
            <w:tcBorders>
              <w:top w:val="single" w:color="auto" w:sz="4" w:space="0"/>
            </w:tcBorders>
            <w:vAlign w:val="center"/>
          </w:tcPr>
          <w:p w14:paraId="460AF2C5">
            <w:pPr>
              <w:pStyle w:val="66"/>
              <w:bidi w:val="0"/>
              <w:rPr>
                <w:rFonts w:hint="eastAsia"/>
              </w:rPr>
            </w:pPr>
            <w:r>
              <w:rPr>
                <w:rFonts w:hint="eastAsia"/>
              </w:rPr>
              <w:t>项目</w:t>
            </w:r>
            <w:r>
              <w:rPr>
                <w:rFonts w:hint="eastAsia"/>
                <w:lang w:val="en-US" w:eastAsia="zh-CN"/>
              </w:rPr>
              <w:t>管理团队</w:t>
            </w:r>
          </w:p>
        </w:tc>
        <w:tc>
          <w:tcPr>
            <w:tcW w:w="532" w:type="pct"/>
            <w:vAlign w:val="center"/>
          </w:tcPr>
          <w:p w14:paraId="628FC415">
            <w:pPr>
              <w:pStyle w:val="66"/>
              <w:bidi w:val="0"/>
              <w:rPr>
                <w:rFonts w:hint="eastAsia"/>
                <w:lang w:val="en-US" w:eastAsia="zh-CN"/>
              </w:rPr>
            </w:pPr>
            <w:r>
              <w:rPr>
                <w:rFonts w:hint="eastAsia"/>
                <w:lang w:val="en-US" w:eastAsia="zh-CN"/>
              </w:rPr>
              <w:t>6分</w:t>
            </w:r>
          </w:p>
        </w:tc>
        <w:tc>
          <w:tcPr>
            <w:tcW w:w="3213" w:type="pct"/>
            <w:vAlign w:val="center"/>
          </w:tcPr>
          <w:p w14:paraId="54A31BD6">
            <w:pPr>
              <w:pStyle w:val="66"/>
              <w:bidi w:val="0"/>
              <w:jc w:val="left"/>
              <w:rPr>
                <w:rFonts w:hint="eastAsia"/>
                <w:lang w:val="en-US" w:eastAsia="zh-CN"/>
              </w:rPr>
            </w:pPr>
            <w:r>
              <w:rPr>
                <w:rFonts w:hint="eastAsia"/>
                <w:lang w:val="en-US" w:eastAsia="zh-CN"/>
              </w:rPr>
              <w:t>项目管理机构关键岗位人员(除项目负责人外)具备相关专业中级及以上职称的，每提供一人得 1 分，最多得 4 分；在满足关键岗位基本配备的基础上，每增加一名关键岗位人员加0.5 分，最多加 2 分；本项最多得 6 分。</w:t>
            </w:r>
          </w:p>
          <w:p w14:paraId="57F2C719">
            <w:pPr>
              <w:pStyle w:val="66"/>
              <w:bidi w:val="0"/>
              <w:jc w:val="left"/>
              <w:rPr>
                <w:rFonts w:hint="eastAsia"/>
              </w:rPr>
            </w:pPr>
            <w:r>
              <w:rPr>
                <w:rFonts w:hint="eastAsia"/>
                <w:lang w:val="en-US" w:eastAsia="zh-CN"/>
              </w:rPr>
              <w:t>注：1、项目管理机构关键岗位人员是指建筑施工企业项目负责人（项目经理）、技术负责人、施工员、质量员、安全员。（提供人员相关人员证书扫描件。）</w:t>
            </w:r>
          </w:p>
        </w:tc>
      </w:tr>
      <w:tr w14:paraId="5E37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8DD28AD">
            <w:pPr>
              <w:pStyle w:val="66"/>
              <w:bidi w:val="0"/>
              <w:rPr>
                <w:rFonts w:hint="eastAsia"/>
              </w:rPr>
            </w:pPr>
          </w:p>
        </w:tc>
        <w:tc>
          <w:tcPr>
            <w:tcW w:w="842" w:type="pct"/>
            <w:vAlign w:val="center"/>
          </w:tcPr>
          <w:p w14:paraId="0232849C">
            <w:pPr>
              <w:pStyle w:val="66"/>
              <w:bidi w:val="0"/>
              <w:rPr>
                <w:rFonts w:hint="eastAsia"/>
                <w:lang w:val="en-US"/>
              </w:rPr>
            </w:pPr>
            <w:r>
              <w:rPr>
                <w:rFonts w:hint="eastAsia"/>
                <w:lang w:val="en-US" w:eastAsia="zh-CN"/>
              </w:rPr>
              <w:t>项目负责人</w:t>
            </w:r>
          </w:p>
        </w:tc>
        <w:tc>
          <w:tcPr>
            <w:tcW w:w="532" w:type="pct"/>
            <w:vAlign w:val="center"/>
          </w:tcPr>
          <w:p w14:paraId="5BCC7C00">
            <w:pPr>
              <w:pStyle w:val="66"/>
              <w:bidi w:val="0"/>
              <w:rPr>
                <w:rFonts w:hint="eastAsia"/>
                <w:color w:val="auto"/>
                <w:lang w:val="en-US" w:eastAsia="zh-CN"/>
              </w:rPr>
            </w:pPr>
            <w:r>
              <w:rPr>
                <w:rFonts w:hint="eastAsia"/>
                <w:color w:val="auto"/>
                <w:lang w:val="en-US" w:eastAsia="zh-CN"/>
              </w:rPr>
              <w:t>2分</w:t>
            </w:r>
          </w:p>
        </w:tc>
        <w:tc>
          <w:tcPr>
            <w:tcW w:w="3213" w:type="pct"/>
            <w:vAlign w:val="center"/>
          </w:tcPr>
          <w:p w14:paraId="56EF4027">
            <w:pPr>
              <w:pStyle w:val="66"/>
              <w:bidi w:val="0"/>
              <w:jc w:val="left"/>
              <w:rPr>
                <w:rFonts w:hint="default"/>
                <w:color w:val="auto"/>
                <w:lang w:val="en-US" w:eastAsia="zh-CN"/>
              </w:rPr>
            </w:pPr>
            <w:r>
              <w:rPr>
                <w:rFonts w:hint="eastAsia"/>
                <w:color w:val="auto"/>
                <w:lang w:val="en-US" w:eastAsia="zh-CN"/>
              </w:rPr>
              <w:t>具备相关专业高级职称及以上得2分；具备相关专业中级职称得1分；没有不得分。</w:t>
            </w:r>
          </w:p>
        </w:tc>
      </w:tr>
      <w:tr w14:paraId="105D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restart"/>
            <w:vAlign w:val="center"/>
          </w:tcPr>
          <w:p w14:paraId="009533AC">
            <w:pPr>
              <w:pStyle w:val="66"/>
              <w:bidi w:val="0"/>
              <w:rPr>
                <w:rFonts w:hint="eastAsia"/>
              </w:rPr>
            </w:pPr>
            <w:r>
              <w:rPr>
                <w:rFonts w:hint="eastAsia"/>
              </w:rPr>
              <w:t>技术部分</w:t>
            </w:r>
          </w:p>
          <w:p w14:paraId="3C5A6CF4">
            <w:pPr>
              <w:pStyle w:val="66"/>
              <w:bidi w:val="0"/>
              <w:rPr>
                <w:rFonts w:hint="eastAsia"/>
              </w:rPr>
            </w:pPr>
            <w:r>
              <w:rPr>
                <w:rFonts w:hint="eastAsia"/>
              </w:rPr>
              <w:t>（</w:t>
            </w:r>
            <w:r>
              <w:rPr>
                <w:rFonts w:hint="eastAsia"/>
                <w:lang w:val="en-US" w:eastAsia="zh-CN"/>
              </w:rPr>
              <w:t>60</w:t>
            </w:r>
            <w:r>
              <w:rPr>
                <w:rFonts w:hint="eastAsia"/>
              </w:rPr>
              <w:t>分）</w:t>
            </w:r>
          </w:p>
        </w:tc>
        <w:tc>
          <w:tcPr>
            <w:tcW w:w="842" w:type="pct"/>
            <w:tcBorders>
              <w:top w:val="single" w:color="auto" w:sz="4" w:space="0"/>
            </w:tcBorders>
            <w:vAlign w:val="center"/>
          </w:tcPr>
          <w:p w14:paraId="1ECFDBB7">
            <w:pPr>
              <w:pStyle w:val="66"/>
              <w:bidi w:val="0"/>
              <w:rPr>
                <w:rFonts w:hint="eastAsia"/>
              </w:rPr>
            </w:pPr>
            <w:r>
              <w:rPr>
                <w:rFonts w:hint="eastAsia"/>
                <w:lang w:val="en-US" w:eastAsia="zh-CN"/>
              </w:rPr>
              <w:t>施工组织设计或施工</w:t>
            </w:r>
            <w:r>
              <w:rPr>
                <w:rFonts w:hint="eastAsia"/>
              </w:rPr>
              <w:t>方案</w:t>
            </w:r>
          </w:p>
        </w:tc>
        <w:tc>
          <w:tcPr>
            <w:tcW w:w="532" w:type="pct"/>
            <w:vAlign w:val="center"/>
          </w:tcPr>
          <w:p w14:paraId="35C961A9">
            <w:pPr>
              <w:pStyle w:val="66"/>
              <w:bidi w:val="0"/>
              <w:rPr>
                <w:rFonts w:hint="eastAsia"/>
              </w:rPr>
            </w:pPr>
            <w:r>
              <w:rPr>
                <w:rFonts w:hint="eastAsia"/>
                <w:lang w:val="en-US" w:eastAsia="zh-CN"/>
              </w:rPr>
              <w:t>20分</w:t>
            </w:r>
          </w:p>
        </w:tc>
        <w:tc>
          <w:tcPr>
            <w:tcW w:w="3213" w:type="pct"/>
            <w:vAlign w:val="center"/>
          </w:tcPr>
          <w:p w14:paraId="5050357A">
            <w:pPr>
              <w:pStyle w:val="66"/>
              <w:bidi w:val="0"/>
              <w:jc w:val="left"/>
              <w:rPr>
                <w:rFonts w:hint="eastAsia"/>
              </w:rPr>
            </w:pPr>
            <w:r>
              <w:rPr>
                <w:rFonts w:hint="eastAsia"/>
                <w:lang w:val="en-US" w:eastAsia="zh-CN"/>
              </w:rPr>
              <w:t>施工组织设计或施工</w:t>
            </w:r>
            <w:r>
              <w:rPr>
                <w:rFonts w:hint="eastAsia"/>
              </w:rPr>
              <w:t xml:space="preserve">方案包括但不限于：①施工组织设计或施工方案符合工程实际情况②缩短工期措施③提高生产率措施④提高质量措施⑤降低消耗措施项目针对以上五部分要素，对项目的重点、难点进行分析。所有要素齐全且完全满足项目要求得 </w:t>
            </w:r>
            <w:r>
              <w:rPr>
                <w:rFonts w:hint="eastAsia"/>
                <w:lang w:val="en-US" w:eastAsia="zh-CN"/>
              </w:rPr>
              <w:t>20</w:t>
            </w:r>
            <w:r>
              <w:rPr>
                <w:rFonts w:hint="eastAsia"/>
              </w:rPr>
              <w:t xml:space="preserve"> 分，每缺一个要素扣</w:t>
            </w:r>
            <w:r>
              <w:rPr>
                <w:rFonts w:hint="eastAsia"/>
                <w:lang w:val="en-US" w:eastAsia="zh-CN"/>
              </w:rPr>
              <w:t>4</w:t>
            </w:r>
            <w:r>
              <w:rPr>
                <w:rFonts w:hint="eastAsia"/>
              </w:rPr>
              <w:t xml:space="preserve">分，每个要素里每有一处内容缺陷扣 </w:t>
            </w:r>
            <w:r>
              <w:rPr>
                <w:rFonts w:hint="eastAsia"/>
                <w:lang w:val="en-US" w:eastAsia="zh-CN"/>
              </w:rPr>
              <w:t>2</w:t>
            </w:r>
            <w:r>
              <w:rPr>
                <w:rFonts w:hint="eastAsia"/>
              </w:rPr>
              <w:t>分（扣完为止）。</w:t>
            </w:r>
          </w:p>
        </w:tc>
      </w:tr>
      <w:tr w14:paraId="1811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4E10105">
            <w:pPr>
              <w:pStyle w:val="66"/>
              <w:bidi w:val="0"/>
              <w:rPr>
                <w:rFonts w:hint="eastAsia"/>
              </w:rPr>
            </w:pPr>
          </w:p>
        </w:tc>
        <w:tc>
          <w:tcPr>
            <w:tcW w:w="842" w:type="pct"/>
            <w:vAlign w:val="center"/>
          </w:tcPr>
          <w:p w14:paraId="69144E03">
            <w:pPr>
              <w:pStyle w:val="66"/>
              <w:bidi w:val="0"/>
              <w:rPr>
                <w:rFonts w:hint="eastAsia"/>
                <w:lang w:val="en-US" w:eastAsia="zh-CN"/>
              </w:rPr>
            </w:pPr>
            <w:r>
              <w:rPr>
                <w:rFonts w:hint="eastAsia"/>
                <w:lang w:val="en-US" w:eastAsia="zh-CN"/>
              </w:rPr>
              <w:t>施工进度计划</w:t>
            </w:r>
          </w:p>
        </w:tc>
        <w:tc>
          <w:tcPr>
            <w:tcW w:w="532" w:type="pct"/>
            <w:vAlign w:val="center"/>
          </w:tcPr>
          <w:p w14:paraId="7922AA03">
            <w:pPr>
              <w:pStyle w:val="66"/>
              <w:bidi w:val="0"/>
              <w:rPr>
                <w:rFonts w:hint="eastAsia"/>
              </w:rPr>
            </w:pPr>
            <w:r>
              <w:rPr>
                <w:rFonts w:hint="eastAsia"/>
                <w:lang w:val="en-US" w:eastAsia="zh-CN"/>
              </w:rPr>
              <w:t>8分</w:t>
            </w:r>
          </w:p>
        </w:tc>
        <w:tc>
          <w:tcPr>
            <w:tcW w:w="3213" w:type="pct"/>
            <w:vAlign w:val="center"/>
          </w:tcPr>
          <w:p w14:paraId="08F1C419">
            <w:pPr>
              <w:pStyle w:val="66"/>
              <w:bidi w:val="0"/>
              <w:jc w:val="left"/>
              <w:rPr>
                <w:rFonts w:hint="eastAsia"/>
              </w:rPr>
            </w:pPr>
            <w:r>
              <w:t xml:space="preserve">施工进度计划包括但不限于：①空间计划；②时间计划，有关键时间节点；③施工进度执行情况保障措施；④协调保障措施；以上四部分要素齐全且完全满足项目要求得 </w:t>
            </w:r>
            <w:r>
              <w:rPr>
                <w:rFonts w:hint="eastAsia"/>
                <w:lang w:val="en-US" w:eastAsia="zh-CN"/>
              </w:rPr>
              <w:t>8</w:t>
            </w:r>
            <w:r>
              <w:t xml:space="preserve">分，每缺一个要素扣 </w:t>
            </w:r>
            <w:r>
              <w:rPr>
                <w:rFonts w:hint="eastAsia"/>
                <w:lang w:val="en-US" w:eastAsia="zh-CN"/>
              </w:rPr>
              <w:t>2</w:t>
            </w:r>
            <w:r>
              <w:t xml:space="preserve">分，每个要素里每有一处内容缺陷扣 </w:t>
            </w:r>
            <w:r>
              <w:rPr>
                <w:rFonts w:hint="eastAsia"/>
                <w:lang w:val="en-US" w:eastAsia="zh-CN"/>
              </w:rPr>
              <w:t>1</w:t>
            </w:r>
            <w:r>
              <w:t xml:space="preserve"> 分（扣完为止）。</w:t>
            </w:r>
          </w:p>
        </w:tc>
      </w:tr>
      <w:tr w14:paraId="58C0B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BC81CA5">
            <w:pPr>
              <w:pStyle w:val="66"/>
              <w:bidi w:val="0"/>
              <w:rPr>
                <w:rFonts w:hint="eastAsia"/>
              </w:rPr>
            </w:pPr>
          </w:p>
        </w:tc>
        <w:tc>
          <w:tcPr>
            <w:tcW w:w="842" w:type="pct"/>
            <w:vAlign w:val="center"/>
          </w:tcPr>
          <w:p w14:paraId="4FF5A0D7">
            <w:pPr>
              <w:pStyle w:val="66"/>
              <w:bidi w:val="0"/>
              <w:rPr>
                <w:rFonts w:hint="eastAsia"/>
                <w:lang w:val="en-US" w:eastAsia="zh-CN"/>
              </w:rPr>
            </w:pPr>
            <w:r>
              <w:rPr>
                <w:rFonts w:hint="eastAsia"/>
                <w:lang w:val="en-US" w:eastAsia="zh-CN"/>
              </w:rPr>
              <w:t>劳动力需用量计划</w:t>
            </w:r>
          </w:p>
        </w:tc>
        <w:tc>
          <w:tcPr>
            <w:tcW w:w="532" w:type="pct"/>
            <w:vAlign w:val="center"/>
          </w:tcPr>
          <w:p w14:paraId="124035BA">
            <w:pPr>
              <w:pStyle w:val="66"/>
              <w:bidi w:val="0"/>
              <w:rPr>
                <w:rFonts w:hint="eastAsia"/>
                <w:lang w:val="en-US" w:eastAsia="zh-CN"/>
              </w:rPr>
            </w:pPr>
            <w:r>
              <w:rPr>
                <w:rFonts w:hint="eastAsia"/>
                <w:lang w:val="en-US" w:eastAsia="zh-CN"/>
              </w:rPr>
              <w:t>6分</w:t>
            </w:r>
          </w:p>
        </w:tc>
        <w:tc>
          <w:tcPr>
            <w:tcW w:w="3213" w:type="pct"/>
            <w:vAlign w:val="center"/>
          </w:tcPr>
          <w:p w14:paraId="012BAC0B">
            <w:pPr>
              <w:pStyle w:val="66"/>
              <w:bidi w:val="0"/>
              <w:rPr>
                <w:rFonts w:hint="eastAsia"/>
                <w:lang w:val="en-US" w:eastAsia="zh-CN"/>
              </w:rPr>
            </w:pPr>
            <w:r>
              <w:t>劳动力需用量计划包括但不限于：①劳动力投入计划与施工部署、进场时间、退场时间；②劳动力调配方案。以上两部分要素齐全且完全满足项目要求得 6 分，每缺一个要素扣 3分，每个要素里每有一处内容缺陷扣 1</w:t>
            </w:r>
            <w:r>
              <w:rPr>
                <w:rFonts w:hint="eastAsia"/>
                <w:lang w:val="en-US" w:eastAsia="zh-CN"/>
              </w:rPr>
              <w:t>.5</w:t>
            </w:r>
            <w:r>
              <w:t xml:space="preserve"> 分（扣完为止）。</w:t>
            </w:r>
          </w:p>
        </w:tc>
      </w:tr>
      <w:tr w14:paraId="7FC3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46EA0BD2">
            <w:pPr>
              <w:pStyle w:val="66"/>
              <w:bidi w:val="0"/>
              <w:rPr>
                <w:rFonts w:hint="eastAsia"/>
              </w:rPr>
            </w:pPr>
          </w:p>
        </w:tc>
        <w:tc>
          <w:tcPr>
            <w:tcW w:w="842" w:type="pct"/>
            <w:vAlign w:val="center"/>
          </w:tcPr>
          <w:p w14:paraId="1E3D1F0F">
            <w:pPr>
              <w:pStyle w:val="66"/>
              <w:bidi w:val="0"/>
              <w:rPr>
                <w:rFonts w:hint="eastAsia"/>
                <w:lang w:val="en-US" w:eastAsia="zh-CN"/>
              </w:rPr>
            </w:pPr>
            <w:r>
              <w:rPr>
                <w:rFonts w:hint="eastAsia"/>
                <w:lang w:val="en-US" w:eastAsia="zh-CN"/>
              </w:rPr>
              <w:t>材料需用量计划</w:t>
            </w:r>
          </w:p>
        </w:tc>
        <w:tc>
          <w:tcPr>
            <w:tcW w:w="532" w:type="pct"/>
            <w:vAlign w:val="center"/>
          </w:tcPr>
          <w:p w14:paraId="6E2F3D30">
            <w:pPr>
              <w:pStyle w:val="66"/>
              <w:bidi w:val="0"/>
              <w:rPr>
                <w:rFonts w:hint="eastAsia"/>
                <w:lang w:val="en-US" w:eastAsia="zh-CN"/>
              </w:rPr>
            </w:pPr>
            <w:r>
              <w:rPr>
                <w:rFonts w:hint="eastAsia"/>
                <w:lang w:val="en-US" w:eastAsia="zh-CN"/>
              </w:rPr>
              <w:t>3分</w:t>
            </w:r>
          </w:p>
        </w:tc>
        <w:tc>
          <w:tcPr>
            <w:tcW w:w="3213" w:type="pct"/>
            <w:vAlign w:val="center"/>
          </w:tcPr>
          <w:p w14:paraId="3D66B0B7">
            <w:pPr>
              <w:pStyle w:val="66"/>
              <w:bidi w:val="0"/>
              <w:jc w:val="left"/>
              <w:rPr>
                <w:rFonts w:hint="eastAsia"/>
                <w:lang w:val="en-US" w:eastAsia="zh-CN"/>
              </w:rPr>
            </w:pPr>
            <w:r>
              <w:t>材料需用量计划包括但不限于：①材料投入计划、材料进场时间、进场批次、存储方案；②进场检验验收；③材料规格、用量与施工方法匹配。以上三部分要素齐全且完全满足项目要求得 3 分，每缺一个要素扣 1 分，每个要素里每有一处内容缺陷扣 0.5 分（扣完为止）</w:t>
            </w:r>
          </w:p>
        </w:tc>
      </w:tr>
      <w:tr w14:paraId="79941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FA335A6">
            <w:pPr>
              <w:pStyle w:val="66"/>
              <w:bidi w:val="0"/>
              <w:rPr>
                <w:rFonts w:hint="eastAsia"/>
              </w:rPr>
            </w:pPr>
          </w:p>
        </w:tc>
        <w:tc>
          <w:tcPr>
            <w:tcW w:w="842" w:type="pct"/>
            <w:vAlign w:val="center"/>
          </w:tcPr>
          <w:p w14:paraId="6A058CD5">
            <w:pPr>
              <w:pStyle w:val="66"/>
              <w:bidi w:val="0"/>
              <w:rPr>
                <w:rFonts w:hint="eastAsia"/>
                <w:lang w:val="en-US" w:eastAsia="zh-CN"/>
              </w:rPr>
            </w:pPr>
            <w:r>
              <w:rPr>
                <w:rFonts w:hint="eastAsia"/>
                <w:lang w:val="en-US" w:eastAsia="zh-CN"/>
              </w:rPr>
              <w:t>机械设备需用量计划</w:t>
            </w:r>
          </w:p>
        </w:tc>
        <w:tc>
          <w:tcPr>
            <w:tcW w:w="532" w:type="pct"/>
            <w:vAlign w:val="center"/>
          </w:tcPr>
          <w:p w14:paraId="7A5E9F67">
            <w:pPr>
              <w:pStyle w:val="66"/>
              <w:bidi w:val="0"/>
              <w:rPr>
                <w:rFonts w:hint="eastAsia"/>
                <w:lang w:val="en-US" w:eastAsia="zh-CN"/>
              </w:rPr>
            </w:pPr>
            <w:r>
              <w:rPr>
                <w:rFonts w:hint="eastAsia"/>
                <w:lang w:val="en-US" w:eastAsia="zh-CN"/>
              </w:rPr>
              <w:t>6分</w:t>
            </w:r>
          </w:p>
        </w:tc>
        <w:tc>
          <w:tcPr>
            <w:tcW w:w="3213" w:type="pct"/>
            <w:vAlign w:val="center"/>
          </w:tcPr>
          <w:p w14:paraId="30F65C7C">
            <w:pPr>
              <w:pStyle w:val="66"/>
              <w:bidi w:val="0"/>
              <w:jc w:val="left"/>
              <w:rPr>
                <w:rFonts w:hint="eastAsia"/>
                <w:lang w:val="en-US" w:eastAsia="zh-CN"/>
              </w:rPr>
            </w:pPr>
            <w:r>
              <w:t xml:space="preserve">机械设备需用量计划包括但不限于：①机械投入计划、机械设备进场时间、调试、退场时间（结合进度计划节点）、使用安排（各工序设备使用时段、操作人员配置）；②机械设备使用贴合安全施工部署；③各类机械设备的使用时段与施工方法、进度节点精准对应。以上三部分要素齐全且完全满足项目要求得 </w:t>
            </w:r>
            <w:r>
              <w:rPr>
                <w:rFonts w:hint="eastAsia"/>
                <w:lang w:val="en-US" w:eastAsia="zh-CN"/>
              </w:rPr>
              <w:t>6</w:t>
            </w:r>
            <w:r>
              <w:t xml:space="preserve"> 分，每缺一个要素扣 </w:t>
            </w:r>
            <w:r>
              <w:rPr>
                <w:rFonts w:hint="eastAsia"/>
                <w:lang w:val="en-US" w:eastAsia="zh-CN"/>
              </w:rPr>
              <w:t>2</w:t>
            </w:r>
            <w:r>
              <w:t xml:space="preserve"> 分，每个要素里每有一处内容缺陷扣 </w:t>
            </w:r>
            <w:r>
              <w:rPr>
                <w:rFonts w:hint="eastAsia"/>
                <w:lang w:val="en-US" w:eastAsia="zh-CN"/>
              </w:rPr>
              <w:t>1</w:t>
            </w:r>
            <w:r>
              <w:t xml:space="preserve"> 分（扣完为止）。</w:t>
            </w:r>
          </w:p>
        </w:tc>
      </w:tr>
      <w:tr w14:paraId="349B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5A13EAE">
            <w:pPr>
              <w:pStyle w:val="66"/>
              <w:bidi w:val="0"/>
              <w:rPr>
                <w:rFonts w:hint="eastAsia"/>
              </w:rPr>
            </w:pPr>
          </w:p>
        </w:tc>
        <w:tc>
          <w:tcPr>
            <w:tcW w:w="842" w:type="pct"/>
            <w:shd w:val="clear" w:color="auto" w:fill="auto"/>
            <w:vAlign w:val="center"/>
          </w:tcPr>
          <w:p w14:paraId="4009041A">
            <w:pPr>
              <w:pStyle w:val="66"/>
              <w:bidi w:val="0"/>
              <w:rPr>
                <w:rFonts w:hint="eastAsia"/>
                <w:lang w:val="en-US" w:eastAsia="zh-CN"/>
              </w:rPr>
            </w:pPr>
            <w:r>
              <w:rPr>
                <w:rFonts w:hint="eastAsia"/>
                <w:lang w:val="en-US" w:eastAsia="zh-CN"/>
              </w:rPr>
              <w:t>质量保证措施</w:t>
            </w:r>
          </w:p>
        </w:tc>
        <w:tc>
          <w:tcPr>
            <w:tcW w:w="532" w:type="pct"/>
            <w:shd w:val="clear" w:color="auto" w:fill="auto"/>
            <w:vAlign w:val="center"/>
          </w:tcPr>
          <w:p w14:paraId="56908100">
            <w:pPr>
              <w:pStyle w:val="66"/>
              <w:bidi w:val="0"/>
              <w:rPr>
                <w:rFonts w:hint="eastAsia"/>
                <w:lang w:val="en-US" w:eastAsia="zh-CN"/>
              </w:rPr>
            </w:pPr>
            <w:r>
              <w:rPr>
                <w:rFonts w:hint="eastAsia"/>
                <w:lang w:val="en-US" w:eastAsia="zh-CN"/>
              </w:rPr>
              <w:t>3分</w:t>
            </w:r>
          </w:p>
        </w:tc>
        <w:tc>
          <w:tcPr>
            <w:tcW w:w="3213" w:type="pct"/>
            <w:vAlign w:val="center"/>
          </w:tcPr>
          <w:p w14:paraId="3C9A73F2">
            <w:pPr>
              <w:pStyle w:val="66"/>
              <w:bidi w:val="0"/>
              <w:jc w:val="left"/>
              <w:rPr>
                <w:rFonts w:hint="eastAsia"/>
                <w:lang w:val="en-US" w:eastAsia="zh-CN"/>
              </w:rPr>
            </w:pPr>
            <w:r>
              <w:rPr>
                <w:lang w:val="en-US" w:eastAsia="zh-CN"/>
              </w:rPr>
              <w:t>质量保证措施包括但不限于：①技术组织措施；②质量目标明确、管理机构健全、职责分工明确。以上两部分要素齐全且完全满足项目要求得 3 分，每缺一个要素扣 1.5分，每个要素里每有一处内容缺陷扣 0.</w:t>
            </w:r>
            <w:r>
              <w:rPr>
                <w:rFonts w:hint="eastAsia"/>
                <w:lang w:val="en-US" w:eastAsia="zh-CN"/>
              </w:rPr>
              <w:t>7</w:t>
            </w:r>
            <w:r>
              <w:rPr>
                <w:lang w:val="en-US" w:eastAsia="zh-CN"/>
              </w:rPr>
              <w:t>5 分（扣完为止）</w:t>
            </w:r>
          </w:p>
        </w:tc>
      </w:tr>
      <w:tr w14:paraId="4F88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6846E630">
            <w:pPr>
              <w:pStyle w:val="66"/>
              <w:bidi w:val="0"/>
              <w:rPr>
                <w:rFonts w:hint="eastAsia"/>
              </w:rPr>
            </w:pPr>
          </w:p>
        </w:tc>
        <w:tc>
          <w:tcPr>
            <w:tcW w:w="842" w:type="pct"/>
            <w:shd w:val="clear" w:color="auto" w:fill="auto"/>
            <w:vAlign w:val="center"/>
          </w:tcPr>
          <w:p w14:paraId="02A939FA">
            <w:pPr>
              <w:pStyle w:val="66"/>
              <w:bidi w:val="0"/>
              <w:rPr>
                <w:rFonts w:hint="eastAsia"/>
                <w:lang w:val="en-US" w:eastAsia="zh-CN"/>
              </w:rPr>
            </w:pPr>
            <w:r>
              <w:rPr>
                <w:rFonts w:hint="eastAsia"/>
                <w:lang w:val="en-US" w:eastAsia="zh-CN"/>
              </w:rPr>
              <w:t>工期保证措施</w:t>
            </w:r>
          </w:p>
        </w:tc>
        <w:tc>
          <w:tcPr>
            <w:tcW w:w="532" w:type="pct"/>
            <w:shd w:val="clear" w:color="auto" w:fill="auto"/>
            <w:vAlign w:val="center"/>
          </w:tcPr>
          <w:p w14:paraId="6348A9BF">
            <w:pPr>
              <w:pStyle w:val="66"/>
              <w:bidi w:val="0"/>
              <w:rPr>
                <w:rFonts w:hint="eastAsia"/>
                <w:lang w:val="en-US" w:eastAsia="zh-CN"/>
              </w:rPr>
            </w:pPr>
            <w:r>
              <w:rPr>
                <w:rFonts w:hint="eastAsia"/>
                <w:lang w:val="en-US" w:eastAsia="zh-CN"/>
              </w:rPr>
              <w:t xml:space="preserve">4分 </w:t>
            </w:r>
          </w:p>
        </w:tc>
        <w:tc>
          <w:tcPr>
            <w:tcW w:w="3213" w:type="pct"/>
            <w:vAlign w:val="center"/>
          </w:tcPr>
          <w:p w14:paraId="159987CD">
            <w:pPr>
              <w:pStyle w:val="66"/>
              <w:bidi w:val="0"/>
              <w:jc w:val="left"/>
              <w:rPr>
                <w:rFonts w:hint="eastAsia"/>
                <w:lang w:val="en-US" w:eastAsia="zh-CN"/>
              </w:rPr>
            </w:pPr>
            <w:r>
              <w:rPr>
                <w:rFonts w:hint="eastAsia"/>
              </w:rPr>
              <w:t>工期保证措施</w:t>
            </w:r>
            <w:r>
              <w:t>包括但不限于：</w:t>
            </w:r>
            <w:r>
              <w:rPr>
                <w:rFonts w:hint="eastAsia"/>
                <w:lang w:val="en-US" w:eastAsia="zh-CN"/>
              </w:rPr>
              <w:t>1.</w:t>
            </w:r>
            <w:r>
              <w:rPr>
                <w:lang w:val="en-US" w:eastAsia="en-US"/>
              </w:rPr>
              <w:t>总工期及节点工期满足招标文件要求；</w:t>
            </w:r>
            <w:r>
              <w:rPr>
                <w:rFonts w:hint="eastAsia"/>
                <w:lang w:val="en-US" w:eastAsia="zh-CN"/>
              </w:rPr>
              <w:t>2.</w:t>
            </w:r>
            <w:r>
              <w:rPr>
                <w:lang w:val="en-US" w:eastAsia="en-US"/>
              </w:rPr>
              <w:t>施工进度计划内容全面，线路清晰、准确、完整</w:t>
            </w:r>
            <w:r>
              <w:rPr>
                <w:rFonts w:hint="eastAsia"/>
                <w:lang w:val="en-US" w:eastAsia="zh-CN"/>
              </w:rPr>
              <w:t>，</w:t>
            </w:r>
            <w:r>
              <w:rPr>
                <w:lang w:val="en-US" w:eastAsia="zh-CN"/>
              </w:rPr>
              <w:t xml:space="preserve">以上两部分要素齐全且完全满足项目要求得 </w:t>
            </w:r>
            <w:r>
              <w:rPr>
                <w:rFonts w:hint="eastAsia"/>
                <w:lang w:val="en-US" w:eastAsia="zh-CN"/>
              </w:rPr>
              <w:t>4</w:t>
            </w:r>
            <w:r>
              <w:rPr>
                <w:lang w:val="en-US" w:eastAsia="zh-CN"/>
              </w:rPr>
              <w:t>分，每缺一个要素扣</w:t>
            </w:r>
            <w:r>
              <w:rPr>
                <w:rFonts w:hint="eastAsia"/>
                <w:lang w:val="en-US" w:eastAsia="zh-CN"/>
              </w:rPr>
              <w:t>2</w:t>
            </w:r>
            <w:r>
              <w:rPr>
                <w:lang w:val="en-US" w:eastAsia="zh-CN"/>
              </w:rPr>
              <w:t xml:space="preserve">分，每个要素里每有一处内容缺陷扣 </w:t>
            </w:r>
            <w:r>
              <w:rPr>
                <w:rFonts w:hint="eastAsia"/>
                <w:lang w:val="en-US" w:eastAsia="zh-CN"/>
              </w:rPr>
              <w:t>1</w:t>
            </w:r>
            <w:r>
              <w:rPr>
                <w:lang w:val="en-US" w:eastAsia="zh-CN"/>
              </w:rPr>
              <w:t xml:space="preserve"> 分（扣完为止）</w:t>
            </w:r>
          </w:p>
        </w:tc>
      </w:tr>
      <w:tr w14:paraId="4BCB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23BBC6A0">
            <w:pPr>
              <w:pStyle w:val="66"/>
              <w:bidi w:val="0"/>
              <w:rPr>
                <w:rFonts w:hint="eastAsia"/>
              </w:rPr>
            </w:pPr>
          </w:p>
        </w:tc>
        <w:tc>
          <w:tcPr>
            <w:tcW w:w="842" w:type="pct"/>
            <w:shd w:val="clear" w:color="auto" w:fill="auto"/>
            <w:vAlign w:val="center"/>
          </w:tcPr>
          <w:p w14:paraId="0E4BC834">
            <w:pPr>
              <w:pStyle w:val="66"/>
              <w:bidi w:val="0"/>
              <w:rPr>
                <w:rFonts w:hint="eastAsia"/>
                <w:lang w:val="en-US" w:eastAsia="zh-CN"/>
              </w:rPr>
            </w:pPr>
            <w:r>
              <w:rPr>
                <w:rFonts w:hint="eastAsia"/>
                <w:lang w:val="en-US" w:eastAsia="zh-CN"/>
              </w:rPr>
              <w:t>安全文明保证措施</w:t>
            </w:r>
          </w:p>
        </w:tc>
        <w:tc>
          <w:tcPr>
            <w:tcW w:w="532" w:type="pct"/>
            <w:shd w:val="clear" w:color="auto" w:fill="auto"/>
            <w:vAlign w:val="center"/>
          </w:tcPr>
          <w:p w14:paraId="6AADF9CF">
            <w:pPr>
              <w:pStyle w:val="66"/>
              <w:bidi w:val="0"/>
              <w:rPr>
                <w:rFonts w:hint="eastAsia"/>
                <w:lang w:val="en-US" w:eastAsia="zh-CN"/>
              </w:rPr>
            </w:pPr>
            <w:r>
              <w:rPr>
                <w:rFonts w:hint="eastAsia"/>
                <w:lang w:val="en-US" w:eastAsia="zh-CN"/>
              </w:rPr>
              <w:t>7分</w:t>
            </w:r>
          </w:p>
        </w:tc>
        <w:tc>
          <w:tcPr>
            <w:tcW w:w="3213" w:type="pct"/>
            <w:vAlign w:val="center"/>
          </w:tcPr>
          <w:p w14:paraId="1C35F292">
            <w:pPr>
              <w:pStyle w:val="66"/>
              <w:bidi w:val="0"/>
              <w:jc w:val="left"/>
              <w:rPr>
                <w:rFonts w:hint="eastAsia"/>
                <w:lang w:val="en-US" w:eastAsia="zh-CN"/>
              </w:rPr>
            </w:pPr>
            <w:r>
              <w:t>安全文明保证措施包括但不限于：①高空作业安全管理制度；②岗位责任制；③安全操作规程；④明确各岗位安全职责（项目经理、安全员、作业人员）；⑤应急处置方案；⑥安全防护方案；⑦管理机构健全，职责分工明确。保证措施应符合国家及自治区规定的强制性标准并有针对性，同时要符合项目实际情况。以上七部分要素齐全且完全满足项目要求得 7 分，每缺一个要素扣 1 分，每个要素里每有一处内容缺陷扣 0.5 分（扣完为止）。</w:t>
            </w:r>
          </w:p>
        </w:tc>
      </w:tr>
      <w:tr w14:paraId="1E31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1" w:type="pct"/>
            <w:vMerge w:val="continue"/>
            <w:vAlign w:val="center"/>
          </w:tcPr>
          <w:p w14:paraId="3050CABA">
            <w:pPr>
              <w:pStyle w:val="66"/>
              <w:bidi w:val="0"/>
              <w:rPr>
                <w:rFonts w:hint="eastAsia"/>
              </w:rPr>
            </w:pPr>
          </w:p>
        </w:tc>
        <w:tc>
          <w:tcPr>
            <w:tcW w:w="842" w:type="pct"/>
            <w:tcBorders>
              <w:top w:val="single" w:color="auto" w:sz="4" w:space="0"/>
            </w:tcBorders>
            <w:vAlign w:val="center"/>
          </w:tcPr>
          <w:p w14:paraId="5417D7F6">
            <w:pPr>
              <w:pStyle w:val="66"/>
              <w:bidi w:val="0"/>
              <w:rPr>
                <w:rFonts w:hint="eastAsia"/>
              </w:rPr>
            </w:pPr>
            <w:r>
              <w:t>现场文明施工措施</w:t>
            </w:r>
          </w:p>
        </w:tc>
        <w:tc>
          <w:tcPr>
            <w:tcW w:w="532" w:type="pct"/>
            <w:vAlign w:val="center"/>
          </w:tcPr>
          <w:p w14:paraId="458346B8">
            <w:pPr>
              <w:pStyle w:val="66"/>
              <w:bidi w:val="0"/>
              <w:rPr>
                <w:rFonts w:hint="default"/>
                <w:lang w:val="en-US" w:eastAsia="zh-CN"/>
              </w:rPr>
            </w:pPr>
            <w:r>
              <w:rPr>
                <w:rFonts w:hint="eastAsia"/>
                <w:lang w:val="en-US" w:eastAsia="zh-CN"/>
              </w:rPr>
              <w:t>3分</w:t>
            </w:r>
          </w:p>
        </w:tc>
        <w:tc>
          <w:tcPr>
            <w:tcW w:w="3213" w:type="pct"/>
            <w:vAlign w:val="center"/>
          </w:tcPr>
          <w:p w14:paraId="5757178D">
            <w:pPr>
              <w:pStyle w:val="66"/>
              <w:bidi w:val="0"/>
              <w:jc w:val="left"/>
              <w:rPr>
                <w:rFonts w:hint="eastAsia"/>
              </w:rPr>
            </w:pPr>
            <w:r>
              <w:t>现场文明施工措施包括但不限于：①文明施工措施目标；②文明施工要点；③实施与监控措施。以上三部分要素齐全且完全满足项目要求得 3 分，每缺一个要素扣 1 分，每个要素里每有一处内容缺陷扣 0.5 分（扣完为止）。</w:t>
            </w:r>
          </w:p>
        </w:tc>
      </w:tr>
      <w:tr w14:paraId="1078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3" w:type="pct"/>
            <w:gridSpan w:val="2"/>
            <w:vAlign w:val="center"/>
          </w:tcPr>
          <w:p w14:paraId="1F1436FF">
            <w:pPr>
              <w:pStyle w:val="66"/>
              <w:bidi w:val="0"/>
              <w:rPr>
                <w:rFonts w:hint="eastAsia"/>
              </w:rPr>
            </w:pPr>
            <w:r>
              <w:rPr>
                <w:rFonts w:hint="eastAsia"/>
              </w:rPr>
              <w:t>合计</w:t>
            </w:r>
          </w:p>
        </w:tc>
        <w:tc>
          <w:tcPr>
            <w:tcW w:w="532" w:type="pct"/>
            <w:tcBorders>
              <w:bottom w:val="single" w:color="auto" w:sz="4" w:space="0"/>
            </w:tcBorders>
            <w:vAlign w:val="center"/>
          </w:tcPr>
          <w:p w14:paraId="2C7F1184">
            <w:pPr>
              <w:pStyle w:val="66"/>
              <w:bidi w:val="0"/>
              <w:rPr>
                <w:rFonts w:hint="eastAsia"/>
                <w:lang w:val="en-US" w:eastAsia="zh-CN"/>
              </w:rPr>
            </w:pPr>
            <w:r>
              <w:rPr>
                <w:rFonts w:hint="eastAsia"/>
              </w:rPr>
              <w:fldChar w:fldCharType="begin"/>
            </w:r>
            <w:r>
              <w:rPr>
                <w:rFonts w:hint="eastAsia"/>
              </w:rPr>
              <w:instrText xml:space="preserve"> =SUM(ABOVE) </w:instrText>
            </w:r>
            <w:r>
              <w:rPr>
                <w:rFonts w:hint="eastAsia"/>
              </w:rPr>
              <w:fldChar w:fldCharType="separate"/>
            </w:r>
            <w:r>
              <w:rPr>
                <w:rFonts w:hint="eastAsia"/>
              </w:rPr>
              <w:t>100</w:t>
            </w:r>
            <w:r>
              <w:rPr>
                <w:rFonts w:hint="eastAsia"/>
              </w:rPr>
              <w:fldChar w:fldCharType="end"/>
            </w:r>
            <w:r>
              <w:rPr>
                <w:rFonts w:hint="eastAsia"/>
                <w:lang w:val="en-US" w:eastAsia="zh-CN"/>
              </w:rPr>
              <w:t>分</w:t>
            </w:r>
          </w:p>
        </w:tc>
        <w:tc>
          <w:tcPr>
            <w:tcW w:w="3213" w:type="pct"/>
            <w:tcBorders>
              <w:bottom w:val="single" w:color="auto" w:sz="4" w:space="0"/>
            </w:tcBorders>
            <w:vAlign w:val="center"/>
          </w:tcPr>
          <w:p w14:paraId="7EBD69F8">
            <w:pPr>
              <w:pStyle w:val="66"/>
              <w:bidi w:val="0"/>
              <w:rPr>
                <w:rFonts w:hint="eastAsia"/>
              </w:rPr>
            </w:pPr>
          </w:p>
        </w:tc>
      </w:tr>
    </w:tbl>
    <w:p w14:paraId="023F762D">
      <w:pPr>
        <w:pStyle w:val="12"/>
        <w:rPr>
          <w:rFonts w:hint="eastAsia"/>
          <w:i w:val="0"/>
          <w:iCs w:val="0"/>
          <w:color w:val="auto"/>
          <w:highlight w:val="none"/>
          <w:lang w:val="zh-CN" w:eastAsia="zh-CN"/>
        </w:rPr>
      </w:pPr>
    </w:p>
    <w:p w14:paraId="68DF3781">
      <w:pPr>
        <w:rPr>
          <w:rFonts w:hint="eastAsia" w:ascii="宋体" w:hAnsi="宋体" w:eastAsia="宋体" w:cs="宋体"/>
          <w:b/>
          <w:bCs/>
          <w:color w:val="auto"/>
          <w:kern w:val="44"/>
          <w:sz w:val="36"/>
          <w:szCs w:val="36"/>
          <w:highlight w:val="none"/>
          <w:lang w:val="en-US" w:eastAsia="zh-CN" w:bidi="ar-SA"/>
        </w:rPr>
      </w:pPr>
      <w:bookmarkStart w:id="382" w:name="_Toc32707"/>
      <w:bookmarkStart w:id="383" w:name="_Toc13309"/>
      <w:bookmarkStart w:id="384" w:name="_Toc20335"/>
      <w:r>
        <w:rPr>
          <w:rFonts w:hint="eastAsia" w:ascii="宋体" w:hAnsi="宋体" w:eastAsia="宋体" w:cs="宋体"/>
          <w:b/>
          <w:bCs/>
          <w:color w:val="auto"/>
          <w:kern w:val="44"/>
          <w:sz w:val="36"/>
          <w:szCs w:val="36"/>
          <w:highlight w:val="none"/>
          <w:lang w:val="en-US" w:eastAsia="zh-CN" w:bidi="ar-SA"/>
        </w:rPr>
        <w:br w:type="page"/>
      </w:r>
    </w:p>
    <w:p w14:paraId="641B48DF">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i w:val="0"/>
          <w:iCs w:val="0"/>
          <w:color w:val="auto"/>
          <w:highlight w:val="none"/>
        </w:rPr>
      </w:pPr>
      <w:bookmarkStart w:id="385" w:name="_Toc991"/>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382"/>
      <w:bookmarkEnd w:id="383"/>
      <w:bookmarkEnd w:id="384"/>
      <w:bookmarkEnd w:id="385"/>
    </w:p>
    <w:p w14:paraId="5C8341E2">
      <w:pPr>
        <w:jc w:val="center"/>
        <w:rPr>
          <w:rFonts w:hint="eastAsia" w:eastAsia="宋体"/>
          <w:b/>
          <w:bCs/>
          <w:lang w:val="zh-CN" w:eastAsia="zh-CN"/>
        </w:rPr>
      </w:pPr>
      <w:r>
        <w:rPr>
          <w:rFonts w:hint="eastAsia"/>
          <w:b/>
          <w:bCs/>
          <w:lang w:val="zh-CN"/>
        </w:rPr>
        <w:t>（</w:t>
      </w:r>
      <w:r>
        <w:rPr>
          <w:rFonts w:hint="eastAsia"/>
          <w:b/>
          <w:bCs/>
        </w:rPr>
        <w:t>以最终签订合同为准</w:t>
      </w:r>
      <w:r>
        <w:rPr>
          <w:rFonts w:hint="eastAsia"/>
          <w:b/>
          <w:bCs/>
          <w:lang w:val="zh-CN"/>
        </w:rPr>
        <w:t>）</w:t>
      </w:r>
    </w:p>
    <w:p w14:paraId="35DFE698">
      <w:pPr>
        <w:rPr>
          <w:rFonts w:hint="eastAsia" w:ascii="Times New Roman" w:hAnsi="Times New Roman" w:eastAsia="仿宋_GB2312"/>
          <w:bCs/>
          <w:color w:val="000000"/>
          <w:sz w:val="32"/>
          <w:szCs w:val="32"/>
        </w:rPr>
      </w:pPr>
      <w:r>
        <w:rPr>
          <w:rFonts w:ascii="Times New Roman" w:hAnsi="Times New Roman" w:eastAsia="仿宋_GB2312"/>
          <w:bCs/>
          <w:color w:val="000000"/>
          <w:sz w:val="32"/>
          <w:szCs w:val="32"/>
        </w:rPr>
        <w:t>（GF—201</w:t>
      </w:r>
      <w:r>
        <w:rPr>
          <w:rFonts w:hint="eastAsia" w:ascii="Times New Roman" w:hAnsi="Times New Roman" w:eastAsia="仿宋_GB2312"/>
          <w:bCs/>
          <w:color w:val="000000"/>
          <w:sz w:val="32"/>
          <w:szCs w:val="32"/>
          <w:lang w:val="en-US" w:eastAsia="zh-CN"/>
        </w:rPr>
        <w:t>7</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0201</w:t>
      </w:r>
      <w:r>
        <w:rPr>
          <w:rFonts w:hint="eastAsia" w:ascii="Times New Roman" w:hAnsi="Times New Roman" w:eastAsia="仿宋_GB2312"/>
          <w:bCs/>
          <w:color w:val="000000"/>
          <w:sz w:val="32"/>
          <w:szCs w:val="32"/>
        </w:rPr>
        <w:t>）</w:t>
      </w:r>
    </w:p>
    <w:p w14:paraId="1CFC2A42">
      <w:pPr>
        <w:rPr>
          <w:rFonts w:ascii="Times New Roman" w:hAnsi="Times New Roman" w:eastAsia="华文中宋"/>
          <w:b/>
          <w:color w:val="000000"/>
          <w:sz w:val="72"/>
          <w:szCs w:val="52"/>
        </w:rPr>
      </w:pPr>
    </w:p>
    <w:p w14:paraId="7586234F">
      <w:pPr>
        <w:jc w:val="center"/>
        <w:rPr>
          <w:rFonts w:ascii="Times New Roman" w:hAnsi="Times New Roman" w:eastAsia="华文中宋"/>
          <w:b/>
          <w:color w:val="000000"/>
          <w:sz w:val="52"/>
          <w:szCs w:val="52"/>
        </w:rPr>
      </w:pPr>
      <w:r>
        <w:rPr>
          <w:rFonts w:ascii="Times New Roman" w:hAnsi="Times New Roman" w:eastAsia="华文中宋"/>
          <w:b/>
          <w:color w:val="000000"/>
          <w:sz w:val="72"/>
          <w:szCs w:val="52"/>
        </w:rPr>
        <w:t>建设工程施工合同</w:t>
      </w:r>
      <w:r>
        <w:rPr>
          <w:rFonts w:ascii="Times New Roman" w:hAnsi="Times New Roman" w:eastAsia="华文中宋"/>
          <w:b/>
          <w:color w:val="000000"/>
          <w:sz w:val="52"/>
          <w:szCs w:val="52"/>
        </w:rPr>
        <w:br w:type="textWrapping"/>
      </w:r>
    </w:p>
    <w:p w14:paraId="4001EA50">
      <w:pPr>
        <w:rPr>
          <w:rFonts w:ascii="Times New Roman" w:hAnsi="Times New Roman" w:eastAsia="华文中宋"/>
          <w:b/>
          <w:color w:val="000000"/>
          <w:sz w:val="52"/>
          <w:szCs w:val="52"/>
        </w:rPr>
      </w:pPr>
    </w:p>
    <w:p w14:paraId="6DE8F361">
      <w:pPr>
        <w:ind w:left="0" w:leftChars="0" w:firstLine="0" w:firstLineChars="0"/>
        <w:jc w:val="center"/>
        <w:rPr>
          <w:rFonts w:hint="eastAsia" w:ascii="Times New Roman" w:hAnsi="Times New Roman" w:eastAsia="华文中宋"/>
          <w:b/>
          <w:color w:val="000000"/>
          <w:sz w:val="52"/>
          <w:szCs w:val="52"/>
          <w:lang w:eastAsia="zh-CN"/>
        </w:rPr>
      </w:pPr>
      <w:r>
        <w:rPr>
          <w:rFonts w:ascii="Times New Roman" w:hAnsi="Times New Roman" w:eastAsia="华文中宋"/>
          <w:b/>
          <w:color w:val="000000"/>
          <w:sz w:val="52"/>
          <w:szCs w:val="52"/>
        </w:rPr>
        <w:t>（示范文本）</w:t>
      </w:r>
    </w:p>
    <w:p w14:paraId="76CD37E2">
      <w:pPr>
        <w:rPr>
          <w:rFonts w:hint="eastAsia" w:ascii="Times New Roman" w:hAnsi="Times New Roman" w:eastAsia="华文中宋"/>
          <w:b/>
          <w:color w:val="000000"/>
          <w:sz w:val="52"/>
          <w:szCs w:val="52"/>
          <w:lang w:eastAsia="zh-CN"/>
        </w:rPr>
      </w:pPr>
    </w:p>
    <w:p w14:paraId="200F857E">
      <w:pPr>
        <w:rPr>
          <w:rFonts w:hint="eastAsia" w:ascii="Times New Roman" w:hAnsi="Times New Roman" w:eastAsia="华文中宋"/>
          <w:b/>
          <w:color w:val="000000"/>
          <w:sz w:val="52"/>
          <w:szCs w:val="52"/>
          <w:lang w:eastAsia="zh-CN"/>
        </w:rPr>
      </w:pPr>
    </w:p>
    <w:p w14:paraId="5AF9CA7A">
      <w:pPr>
        <w:rPr>
          <w:rFonts w:hint="eastAsia" w:ascii="Times New Roman" w:hAnsi="Times New Roman" w:eastAsia="华文中宋"/>
          <w:b/>
          <w:color w:val="000000"/>
          <w:sz w:val="52"/>
          <w:szCs w:val="52"/>
          <w:lang w:eastAsia="zh-CN"/>
        </w:rPr>
      </w:pPr>
    </w:p>
    <w:p w14:paraId="6F711533">
      <w:pPr>
        <w:rPr>
          <w:rFonts w:hint="eastAsia" w:ascii="Times New Roman" w:hAnsi="Times New Roman" w:eastAsia="华文中宋"/>
          <w:b/>
          <w:color w:val="000000"/>
          <w:sz w:val="52"/>
          <w:szCs w:val="52"/>
          <w:lang w:eastAsia="zh-CN"/>
        </w:rPr>
      </w:pPr>
    </w:p>
    <w:p w14:paraId="3CA653D4">
      <w:pPr>
        <w:rPr>
          <w:rFonts w:hint="eastAsia" w:ascii="Times New Roman" w:hAnsi="Times New Roman" w:eastAsia="华文中宋"/>
          <w:b/>
          <w:color w:val="000000"/>
          <w:sz w:val="52"/>
          <w:szCs w:val="52"/>
          <w:lang w:eastAsia="zh-CN"/>
        </w:rPr>
      </w:pPr>
    </w:p>
    <w:p w14:paraId="5C8C3D00">
      <w:pPr>
        <w:rPr>
          <w:rFonts w:hint="eastAsia" w:ascii="Times New Roman" w:hAnsi="Times New Roman" w:eastAsia="华文中宋"/>
          <w:b/>
          <w:color w:val="000000"/>
          <w:sz w:val="52"/>
          <w:szCs w:val="52"/>
          <w:lang w:eastAsia="zh-CN"/>
        </w:rPr>
      </w:pPr>
    </w:p>
    <w:p w14:paraId="171A9313">
      <w:pPr>
        <w:rPr>
          <w:rFonts w:hint="eastAsia" w:ascii="Times New Roman" w:hAnsi="Times New Roman" w:eastAsia="华文中宋"/>
          <w:b/>
          <w:color w:val="000000"/>
          <w:sz w:val="52"/>
          <w:szCs w:val="52"/>
          <w:lang w:eastAsia="zh-CN"/>
        </w:rPr>
      </w:pPr>
    </w:p>
    <w:p w14:paraId="6FE29CA4">
      <w:pPr>
        <w:rPr>
          <w:rFonts w:hint="eastAsia" w:ascii="Times New Roman" w:hAnsi="Times New Roman" w:eastAsia="华文中宋"/>
          <w:b/>
          <w:color w:val="000000"/>
          <w:sz w:val="52"/>
          <w:szCs w:val="52"/>
          <w:lang w:eastAsia="zh-CN"/>
        </w:rPr>
      </w:pPr>
    </w:p>
    <w:p w14:paraId="393C2886">
      <w:pPr>
        <w:rPr>
          <w:rFonts w:hint="eastAsia" w:ascii="Times New Roman" w:hAnsi="Times New Roman" w:eastAsia="华文中宋"/>
          <w:b/>
          <w:color w:val="000000"/>
          <w:sz w:val="52"/>
          <w:szCs w:val="52"/>
          <w:lang w:eastAsia="zh-CN"/>
        </w:rPr>
      </w:pPr>
    </w:p>
    <w:p w14:paraId="4E502DA6">
      <w:pPr>
        <w:tabs>
          <w:tab w:val="left" w:pos="6160"/>
          <w:tab w:val="left" w:pos="6720"/>
        </w:tabs>
        <w:ind w:left="0" w:leftChars="0" w:right="3024" w:rightChars="1260" w:firstLine="1920" w:firstLineChars="800"/>
        <w:jc w:val="distribute"/>
        <w:rPr>
          <w:rFonts w:ascii="Times New Roman" w:hAnsi="Times New Roman"/>
          <w:b/>
          <w:color w:val="000000"/>
          <w:sz w:val="32"/>
          <w:szCs w:val="28"/>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4521200</wp:posOffset>
                </wp:positionH>
                <wp:positionV relativeFrom="paragraph">
                  <wp:posOffset>109855</wp:posOffset>
                </wp:positionV>
                <wp:extent cx="603885" cy="457200"/>
                <wp:effectExtent l="4445" t="4445" r="20320" b="14605"/>
                <wp:wrapNone/>
                <wp:docPr id="15" name="文本框 15"/>
                <wp:cNvGraphicFramePr/>
                <a:graphic xmlns:a="http://schemas.openxmlformats.org/drawingml/2006/main">
                  <a:graphicData uri="http://schemas.microsoft.com/office/word/2010/wordprocessingShape">
                    <wps:wsp>
                      <wps:cNvSpPr txBox="1"/>
                      <wps:spPr>
                        <a:xfrm>
                          <a:off x="0" y="0"/>
                          <a:ext cx="603885" cy="457200"/>
                        </a:xfrm>
                        <a:prstGeom prst="rect">
                          <a:avLst/>
                        </a:prstGeom>
                        <a:noFill/>
                        <a:ln w="9525" cap="flat" cmpd="sng">
                          <a:solidFill>
                            <a:srgbClr val="FFFFFF"/>
                          </a:solidFill>
                          <a:prstDash val="solid"/>
                          <a:miter/>
                          <a:headEnd type="none" w="med" len="med"/>
                          <a:tailEnd type="none" w="med" len="med"/>
                        </a:ln>
                        <a:effectLst/>
                      </wps:spPr>
                      <wps:txbx>
                        <w:txbxContent>
                          <w:p w14:paraId="10EE39E7">
                            <w:pPr>
                              <w:ind w:left="0" w:leftChars="0" w:firstLine="0" w:firstLineChars="0"/>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56pt;margin-top:8.65pt;height:36pt;width:47.55pt;z-index:251659264;mso-width-relative:page;mso-height-relative:page;" filled="f" stroked="t" coordsize="21600,21600" o:gfxdata="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3UvDZAAAACQEAAA8AAAAAAAAAAQAgAAAA&#10;IgAAAGRycy9kb3ducmV2LnhtbFBLAQIUABQAAAAIAIdO4kCA7NWTCgIAABwEAAAOAAAAAAAAAAEA&#10;IAAAACgBAABkcnMvZTJvRG9jLnhtbFBLBQYAAAAABgAGAFkBAACkBQAAAAA=&#10;">
                <v:fill on="f" focussize="0,0"/>
                <v:stroke color="#FFFFFF" joinstyle="miter"/>
                <v:imagedata o:title=""/>
                <o:lock v:ext="edit" aspectratio="f"/>
                <v:textbox>
                  <w:txbxContent>
                    <w:p w14:paraId="10EE39E7">
                      <w:pPr>
                        <w:ind w:left="0" w:leftChars="0" w:firstLine="0" w:firstLineChars="0"/>
                        <w:rPr>
                          <w:rFonts w:hint="eastAsia"/>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14:paraId="25604D6A">
      <w:pPr>
        <w:tabs>
          <w:tab w:val="left" w:pos="9520"/>
        </w:tabs>
        <w:ind w:left="0" w:leftChars="0" w:firstLine="1928" w:firstLineChars="600"/>
        <w:rPr>
          <w:rFonts w:hint="eastAsia" w:ascii="Times New Roman" w:hAnsi="Times New Roman" w:eastAsia="宋体"/>
          <w:b/>
          <w:color w:val="000000"/>
          <w:sz w:val="32"/>
          <w:szCs w:val="28"/>
          <w:lang w:eastAsia="zh-CN"/>
        </w:rPr>
      </w:pPr>
      <w:r>
        <w:rPr>
          <w:rFonts w:ascii="Times New Roman" w:hAnsi="Times New Roman"/>
          <w:b/>
          <w:color w:val="000000"/>
          <w:sz w:val="32"/>
          <w:szCs w:val="28"/>
        </w:rPr>
        <w:t>国</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家</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工</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商</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行</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政</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管</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理</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总</w:t>
      </w:r>
      <w:r>
        <w:rPr>
          <w:rFonts w:hint="eastAsia" w:ascii="Times New Roman" w:hAnsi="Times New Roman"/>
          <w:b/>
          <w:color w:val="000000"/>
          <w:sz w:val="32"/>
          <w:szCs w:val="28"/>
          <w:lang w:val="en-US" w:eastAsia="zh-CN"/>
        </w:rPr>
        <w:t xml:space="preserve">  </w:t>
      </w:r>
      <w:r>
        <w:rPr>
          <w:rFonts w:ascii="Times New Roman" w:hAnsi="Times New Roman"/>
          <w:b/>
          <w:color w:val="000000"/>
          <w:sz w:val="32"/>
          <w:szCs w:val="28"/>
        </w:rPr>
        <w:t>局</w:t>
      </w:r>
      <w:bookmarkStart w:id="386" w:name="_Toc296503025"/>
      <w:bookmarkStart w:id="387" w:name="_Toc296890982"/>
    </w:p>
    <w:p w14:paraId="21FCFBF4">
      <w:pPr>
        <w:rPr>
          <w:rFonts w:hint="eastAsia" w:ascii="Times New Roman" w:hAnsi="Times New Roman" w:eastAsia="华文中宋"/>
          <w:lang w:val="zh-CN"/>
        </w:rPr>
      </w:pPr>
      <w:r>
        <w:rPr>
          <w:rFonts w:hint="eastAsia" w:ascii="Times New Roman" w:hAnsi="Times New Roman" w:eastAsia="华文中宋"/>
          <w:lang w:val="zh-CN"/>
        </w:rPr>
        <w:br w:type="page"/>
      </w:r>
    </w:p>
    <w:p w14:paraId="7D729C4E">
      <w:pPr>
        <w:bidi w:val="0"/>
        <w:ind w:left="0" w:leftChars="0" w:firstLine="0" w:firstLineChars="0"/>
        <w:jc w:val="center"/>
        <w:rPr>
          <w:rFonts w:hint="eastAsia"/>
          <w:b/>
          <w:bCs/>
          <w:sz w:val="48"/>
          <w:szCs w:val="40"/>
          <w:lang w:val="zh-CN"/>
        </w:rPr>
      </w:pPr>
      <w:r>
        <w:rPr>
          <w:rFonts w:hint="eastAsia"/>
          <w:b/>
          <w:bCs/>
          <w:sz w:val="48"/>
          <w:szCs w:val="40"/>
          <w:lang w:val="zh-CN"/>
        </w:rPr>
        <w:t>说  明</w:t>
      </w:r>
    </w:p>
    <w:p w14:paraId="03088354">
      <w:pPr>
        <w:bidi w:val="0"/>
      </w:pPr>
      <w:r>
        <w:rPr>
          <w:rFonts w:hint="eastAsia"/>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w:t>
      </w:r>
      <w:r>
        <w:rPr>
          <w:rFonts w:hint="eastAsia"/>
          <w:lang w:val="en-US" w:eastAsia="zh-CN"/>
        </w:rPr>
        <w:t>2013</w:t>
      </w:r>
      <w:r>
        <w:rPr>
          <w:rFonts w:hint="eastAsia"/>
        </w:rPr>
        <w:t>-0201）进行了修订，制定了《建设工程施工合同（示范文本）》（GF-201</w:t>
      </w:r>
      <w:r>
        <w:rPr>
          <w:rFonts w:hint="eastAsia"/>
          <w:lang w:val="en-US" w:eastAsia="zh-CN"/>
        </w:rPr>
        <w:t>7</w:t>
      </w:r>
      <w:r>
        <w:rPr>
          <w:rFonts w:hint="eastAsia"/>
        </w:rPr>
        <w:t>-0201）（以下简称《示范文本》）。为了便于合同当事人使用《示范文本》，现就有关问题说明如下：</w:t>
      </w:r>
    </w:p>
    <w:p w14:paraId="49C3D346">
      <w:pPr>
        <w:bidi w:val="0"/>
        <w:rPr>
          <w:rFonts w:hint="eastAsia"/>
        </w:rPr>
      </w:pPr>
      <w:r>
        <w:rPr>
          <w:rFonts w:hint="eastAsia"/>
        </w:rPr>
        <w:t>一、《示范文本》的组成</w:t>
      </w:r>
    </w:p>
    <w:p w14:paraId="0C7A07F2">
      <w:pPr>
        <w:bidi w:val="0"/>
        <w:rPr>
          <w:rFonts w:hint="eastAsia"/>
        </w:rPr>
      </w:pPr>
      <w:r>
        <w:rPr>
          <w:rFonts w:hint="eastAsia"/>
        </w:rPr>
        <w:t>《示范文本》由合同协议书、通用合同条款和专用合同条款三部分组成。</w:t>
      </w:r>
    </w:p>
    <w:p w14:paraId="5618768A">
      <w:pPr>
        <w:bidi w:val="0"/>
        <w:rPr>
          <w:rFonts w:hint="eastAsia"/>
        </w:rPr>
      </w:pPr>
      <w:r>
        <w:rPr>
          <w:rFonts w:hint="eastAsia"/>
        </w:rPr>
        <w:t>（一）合同协议书</w:t>
      </w:r>
    </w:p>
    <w:p w14:paraId="6CEE6B94">
      <w:pPr>
        <w:bidi w:val="0"/>
        <w:rPr>
          <w:rFonts w:hint="eastAsia"/>
        </w:rPr>
      </w:pPr>
      <w:r>
        <w:rPr>
          <w:rFonts w:hint="eastAsia"/>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6216D7BF">
      <w:pPr>
        <w:bidi w:val="0"/>
        <w:rPr>
          <w:rFonts w:hint="eastAsia"/>
        </w:rPr>
      </w:pPr>
      <w:r>
        <w:rPr>
          <w:rFonts w:hint="eastAsia"/>
        </w:rPr>
        <w:t>（二）通用合同条款</w:t>
      </w:r>
    </w:p>
    <w:p w14:paraId="07A27C59">
      <w:pPr>
        <w:bidi w:val="0"/>
        <w:rPr>
          <w:rFonts w:hint="eastAsia"/>
        </w:rPr>
      </w:pPr>
      <w:r>
        <w:rPr>
          <w:rFonts w:hint="eastAsia"/>
        </w:rPr>
        <w:t>通用合同条款是合同当事人根据《中华人民共和国建筑法》、《中华人民共和国合同法》等法律法规的规定，就工程建设的实施及相关事项，对合同当事人的权利义务作出的原则性约定。</w:t>
      </w:r>
    </w:p>
    <w:p w14:paraId="5E6E22D2">
      <w:pPr>
        <w:bidi w:val="0"/>
        <w:rPr>
          <w:rFonts w:hint="eastAsia"/>
        </w:rPr>
      </w:pPr>
      <w:r>
        <w:rPr>
          <w:rFonts w:hint="eastAsia"/>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0F52CA3F">
      <w:pPr>
        <w:bidi w:val="0"/>
        <w:rPr>
          <w:rFonts w:hint="eastAsia"/>
        </w:rPr>
      </w:pPr>
      <w:r>
        <w:rPr>
          <w:rFonts w:hint="eastAsia"/>
        </w:rPr>
        <w:t>（三）专用合同条款</w:t>
      </w:r>
    </w:p>
    <w:p w14:paraId="052C4295">
      <w:pPr>
        <w:bidi w:val="0"/>
        <w:rPr>
          <w:rFonts w:hint="eastAsia"/>
        </w:rPr>
      </w:pPr>
      <w:r>
        <w:rPr>
          <w:rFonts w:hint="eastAsia"/>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1C233E0">
      <w:pPr>
        <w:bidi w:val="0"/>
        <w:rPr>
          <w:rFonts w:hint="eastAsia"/>
        </w:rPr>
      </w:pPr>
      <w:r>
        <w:rPr>
          <w:rFonts w:hint="eastAsia"/>
        </w:rPr>
        <w:t>1</w:t>
      </w:r>
      <w:r>
        <w:rPr>
          <w:rFonts w:hint="eastAsia"/>
          <w:lang w:eastAsia="zh-CN"/>
        </w:rPr>
        <w:t>.</w:t>
      </w:r>
      <w:r>
        <w:rPr>
          <w:rFonts w:hint="eastAsia"/>
        </w:rPr>
        <w:t>专用合同条款的编号应与相应的通用合同条款的编号一致；</w:t>
      </w:r>
    </w:p>
    <w:p w14:paraId="4C085918">
      <w:pPr>
        <w:bidi w:val="0"/>
        <w:rPr>
          <w:rFonts w:hint="eastAsia"/>
        </w:rPr>
      </w:pPr>
      <w:r>
        <w:rPr>
          <w:rFonts w:hint="eastAsia"/>
        </w:rPr>
        <w:t>2</w:t>
      </w:r>
      <w:r>
        <w:rPr>
          <w:rFonts w:hint="eastAsia"/>
          <w:lang w:eastAsia="zh-CN"/>
        </w:rPr>
        <w:t>.</w:t>
      </w:r>
      <w:r>
        <w:rPr>
          <w:rFonts w:hint="eastAsia"/>
        </w:rPr>
        <w:t>合同当事人可以通过对专用合同条款的修改，满足具体建设工程的特殊要求，避免直接修改通用合同条款；</w:t>
      </w:r>
    </w:p>
    <w:p w14:paraId="16CF7A76">
      <w:pPr>
        <w:bidi w:val="0"/>
        <w:rPr>
          <w:rFonts w:hint="eastAsia"/>
        </w:rPr>
      </w:pPr>
      <w:r>
        <w:rPr>
          <w:rFonts w:hint="eastAsia"/>
        </w:rPr>
        <w:t>3</w:t>
      </w:r>
      <w:r>
        <w:rPr>
          <w:rFonts w:hint="eastAsia"/>
          <w:lang w:eastAsia="zh-CN"/>
        </w:rPr>
        <w:t>.</w:t>
      </w:r>
      <w:r>
        <w:rPr>
          <w:rFonts w:hint="eastAsia"/>
        </w:rPr>
        <w:t>在专用合同条款中有横道线的地方，合同当事人可针对相应的通用合同条款进行细化、完善、补充、修改或另行约定；如无细化、完善、补充、修改或另行约定，则填写“无”或划“/”。</w:t>
      </w:r>
    </w:p>
    <w:p w14:paraId="412BD88A">
      <w:pPr>
        <w:bidi w:val="0"/>
        <w:rPr>
          <w:rFonts w:hint="eastAsia"/>
        </w:rPr>
      </w:pPr>
      <w:r>
        <w:rPr>
          <w:rFonts w:hint="eastAsia"/>
        </w:rPr>
        <w:t>二、《示范文本》的性质和适用范围</w:t>
      </w:r>
    </w:p>
    <w:p w14:paraId="7071780A">
      <w:pPr>
        <w:bidi w:val="0"/>
        <w:rPr>
          <w:rFonts w:hint="eastAsia"/>
        </w:rPr>
      </w:pPr>
      <w:r>
        <w:rPr>
          <w:rFonts w:hint="eastAsi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14:paraId="4E602213">
      <w:pPr>
        <w:rPr>
          <w:rFonts w:hint="eastAsia"/>
        </w:rPr>
      </w:pPr>
      <w:r>
        <w:rPr>
          <w:rFonts w:hint="eastAsia"/>
        </w:rPr>
        <w:br w:type="page"/>
      </w:r>
    </w:p>
    <w:p w14:paraId="7191C973">
      <w:pPr>
        <w:pStyle w:val="69"/>
        <w:bidi w:val="0"/>
      </w:pPr>
      <w:bookmarkStart w:id="388" w:name="_Toc351203480"/>
      <w:r>
        <w:t>第一</w:t>
      </w:r>
      <w:r>
        <w:rPr>
          <w:rFonts w:hint="eastAsia"/>
          <w:lang w:val="en-US" w:eastAsia="zh-CN"/>
        </w:rPr>
        <w:t>章</w:t>
      </w:r>
      <w:r>
        <w:t xml:space="preserve"> 合同协议书</w:t>
      </w:r>
      <w:bookmarkEnd w:id="386"/>
      <w:bookmarkEnd w:id="387"/>
      <w:bookmarkEnd w:id="388"/>
    </w:p>
    <w:p w14:paraId="7F8FFAFB">
      <w:pPr>
        <w:bidi w:val="0"/>
        <w:rPr>
          <w:rFonts w:hint="default" w:eastAsia="宋体"/>
          <w:lang w:val="en-US" w:eastAsia="zh-CN"/>
        </w:rPr>
      </w:pPr>
      <w:r>
        <w:t>发包人（全称）：</w:t>
      </w:r>
      <w:r>
        <w:rPr>
          <w:rFonts w:hint="eastAsia"/>
          <w:u w:val="single"/>
          <w:lang w:val="en-US" w:eastAsia="zh-CN"/>
        </w:rPr>
        <w:t xml:space="preserve">                                        </w:t>
      </w:r>
    </w:p>
    <w:p w14:paraId="7C27BA4A">
      <w:pPr>
        <w:bidi w:val="0"/>
      </w:pPr>
      <w:r>
        <w:t>承包人（全称）：</w:t>
      </w:r>
      <w:r>
        <w:rPr>
          <w:rFonts w:hint="eastAsia"/>
          <w:u w:val="single"/>
          <w:lang w:val="en-US" w:eastAsia="zh-CN"/>
        </w:rPr>
        <w:t xml:space="preserve">                                        </w:t>
      </w:r>
    </w:p>
    <w:p w14:paraId="327F6FDE">
      <w:pPr>
        <w:bidi w:val="0"/>
      </w:pPr>
      <w:r>
        <w:t>根据《中华人民共和国合同法》、《中华人民共和国建筑法》及有关法律规定，遵循平等、自愿、公平和诚实信用的原则，双方就</w:t>
      </w:r>
    </w:p>
    <w:p w14:paraId="48073147">
      <w:pPr>
        <w:bidi w:val="0"/>
      </w:pPr>
      <w:r>
        <w:rPr>
          <w:u w:val="single"/>
        </w:rPr>
        <w:t xml:space="preserve">                       </w:t>
      </w:r>
      <w:r>
        <w:t>工程施工及有关事项协商一致</w:t>
      </w:r>
      <w:r>
        <w:rPr>
          <w:rFonts w:hint="eastAsia"/>
        </w:rPr>
        <w:t>，</w:t>
      </w:r>
      <w:r>
        <w:t>共同达成如下协议：</w:t>
      </w:r>
    </w:p>
    <w:p w14:paraId="7F4933B7">
      <w:pPr>
        <w:bidi w:val="0"/>
      </w:pPr>
      <w:r>
        <w:t xml:space="preserve">    </w:t>
      </w:r>
      <w:bookmarkStart w:id="389" w:name="_Toc351203481"/>
      <w:r>
        <w:t>一、工程概况</w:t>
      </w:r>
      <w:bookmarkEnd w:id="389"/>
    </w:p>
    <w:p w14:paraId="1A46B8FB">
      <w:pPr>
        <w:bidi w:val="0"/>
      </w:pPr>
      <w:r>
        <w:t>1.工程名称：</w:t>
      </w:r>
      <w:r>
        <w:rPr>
          <w:u w:val="single"/>
        </w:rPr>
        <w:t xml:space="preserve">                                              </w:t>
      </w:r>
      <w:r>
        <w:t>。</w:t>
      </w:r>
    </w:p>
    <w:p w14:paraId="10BCFEE5">
      <w:pPr>
        <w:bidi w:val="0"/>
      </w:pPr>
      <w:r>
        <w:t>2.工程地点：</w:t>
      </w:r>
      <w:r>
        <w:rPr>
          <w:u w:val="single"/>
        </w:rPr>
        <w:t xml:space="preserve">                                              </w:t>
      </w:r>
      <w:r>
        <w:t>。</w:t>
      </w:r>
    </w:p>
    <w:p w14:paraId="03F7D41C">
      <w:pPr>
        <w:bidi w:val="0"/>
      </w:pPr>
      <w:r>
        <w:t>3.工程立项批准文号：</w:t>
      </w:r>
      <w:r>
        <w:rPr>
          <w:u w:val="single"/>
        </w:rPr>
        <w:t xml:space="preserve">                                      </w:t>
      </w:r>
      <w:r>
        <w:t>。</w:t>
      </w:r>
    </w:p>
    <w:p w14:paraId="7E080BEA">
      <w:pPr>
        <w:bidi w:val="0"/>
        <w:rPr>
          <w:rFonts w:hint="eastAsia"/>
        </w:rPr>
      </w:pPr>
      <w:r>
        <w:t>4.资金来源：</w:t>
      </w:r>
      <w:r>
        <w:rPr>
          <w:u w:val="single"/>
        </w:rPr>
        <w:t xml:space="preserve">                                              </w:t>
      </w:r>
      <w:r>
        <w:t>。</w:t>
      </w:r>
    </w:p>
    <w:p w14:paraId="7E41AF5F">
      <w:pPr>
        <w:bidi w:val="0"/>
        <w:rPr>
          <w:rFonts w:hint="eastAsia"/>
        </w:rPr>
      </w:pPr>
      <w:r>
        <w:rPr>
          <w:rFonts w:hint="eastAsia"/>
        </w:rPr>
        <w:t>5.工程内容：</w:t>
      </w:r>
      <w:r>
        <w:rPr>
          <w:u w:val="single"/>
        </w:rPr>
        <w:t xml:space="preserve">                                              </w:t>
      </w:r>
      <w:r>
        <w:t>。</w:t>
      </w:r>
    </w:p>
    <w:p w14:paraId="7517BC21">
      <w:pPr>
        <w:bidi w:val="0"/>
      </w:pPr>
      <w:r>
        <w:rPr>
          <w:rFonts w:hint="eastAsia"/>
        </w:rPr>
        <w:t>群体工程应附《</w:t>
      </w:r>
      <w:r>
        <w:t>承包人承揽工程项目一览表</w:t>
      </w:r>
      <w:r>
        <w:rPr>
          <w:rFonts w:hint="eastAsia"/>
        </w:rPr>
        <w:t>》（附件1）。</w:t>
      </w:r>
    </w:p>
    <w:p w14:paraId="0CCBC18E">
      <w:pPr>
        <w:bidi w:val="0"/>
      </w:pPr>
      <w:r>
        <w:rPr>
          <w:rFonts w:hint="eastAsia"/>
        </w:rPr>
        <w:t>6</w:t>
      </w:r>
      <w:r>
        <w:t>.工程承包范围：</w:t>
      </w:r>
    </w:p>
    <w:p w14:paraId="7A0E5694">
      <w:pPr>
        <w:bidi w:val="0"/>
      </w:pPr>
      <w:r>
        <w:rPr>
          <w:u w:val="single"/>
        </w:rPr>
        <w:t xml:space="preserve">                                                                     </w:t>
      </w:r>
    </w:p>
    <w:p w14:paraId="496B3DE2">
      <w:pPr>
        <w:bidi w:val="0"/>
      </w:pPr>
      <w:r>
        <w:rPr>
          <w:u w:val="single"/>
        </w:rPr>
        <w:t xml:space="preserve">                                    </w:t>
      </w:r>
      <w:r>
        <w:rPr>
          <w:rFonts w:hint="eastAsia"/>
          <w:u w:val="single"/>
          <w:lang w:val="en-US" w:eastAsia="zh-CN"/>
        </w:rPr>
        <w:t xml:space="preserve"> </w:t>
      </w:r>
      <w:r>
        <w:rPr>
          <w:u w:val="single"/>
        </w:rPr>
        <w:t xml:space="preserve">                     </w:t>
      </w:r>
      <w:r>
        <w:t>。</w:t>
      </w:r>
    </w:p>
    <w:p w14:paraId="1B67C961">
      <w:pPr>
        <w:bidi w:val="0"/>
      </w:pPr>
      <w:r>
        <w:t xml:space="preserve">   </w:t>
      </w:r>
      <w:bookmarkStart w:id="390" w:name="_Toc351203482"/>
      <w:r>
        <w:t>二、合同工期</w:t>
      </w:r>
      <w:bookmarkEnd w:id="390"/>
    </w:p>
    <w:p w14:paraId="75308BDD">
      <w:pPr>
        <w:bidi w:val="0"/>
      </w:pPr>
      <w:r>
        <w:t>计划开工日期：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14:paraId="6A610420">
      <w:pPr>
        <w:bidi w:val="0"/>
      </w:pPr>
      <w:r>
        <w:t>计划竣工日期：</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w:t>
      </w:r>
    </w:p>
    <w:p w14:paraId="4401E1C5">
      <w:pPr>
        <w:bidi w:val="0"/>
      </w:pPr>
      <w:r>
        <w:t>工期总日历天数：</w:t>
      </w:r>
      <w:r>
        <w:rPr>
          <w:rFonts w:hint="eastAsia"/>
          <w:u w:val="single"/>
          <w:lang w:val="en-US" w:eastAsia="zh-CN"/>
        </w:rPr>
        <w:t xml:space="preserve">          </w:t>
      </w:r>
      <w:r>
        <w:t>天。工期总日历天数与根据前述计划开竣工日期计算的工期天数不一致的，以工期总日历天数为准。</w:t>
      </w:r>
    </w:p>
    <w:p w14:paraId="78966491">
      <w:pPr>
        <w:bidi w:val="0"/>
      </w:pPr>
      <w:r>
        <w:t xml:space="preserve">    </w:t>
      </w:r>
      <w:bookmarkStart w:id="391" w:name="_Toc351203483"/>
      <w:r>
        <w:t>三、质量标准</w:t>
      </w:r>
      <w:bookmarkEnd w:id="391"/>
    </w:p>
    <w:p w14:paraId="0DD536FF">
      <w:pPr>
        <w:bidi w:val="0"/>
      </w:pPr>
      <w:r>
        <w:t>工程质量符合</w:t>
      </w:r>
      <w:r>
        <w:rPr>
          <w:rFonts w:hint="eastAsia"/>
          <w:u w:val="single"/>
          <w:lang w:val="en-US" w:eastAsia="zh-CN"/>
        </w:rPr>
        <w:t xml:space="preserve">                              </w:t>
      </w:r>
      <w:r>
        <w:t>标准。</w:t>
      </w:r>
    </w:p>
    <w:p w14:paraId="75ADBE2E">
      <w:pPr>
        <w:bidi w:val="0"/>
      </w:pPr>
      <w:r>
        <w:t xml:space="preserve">    </w:t>
      </w:r>
      <w:bookmarkStart w:id="392" w:name="_Toc351203484"/>
      <w:r>
        <w:t>四、签约合同价与合同价格形式</w:t>
      </w:r>
      <w:bookmarkEnd w:id="392"/>
      <w:r>
        <w:tab/>
      </w:r>
    </w:p>
    <w:p w14:paraId="6E7E63F5">
      <w:pPr>
        <w:bidi w:val="0"/>
      </w:pPr>
      <w:r>
        <w:t>1.签约合同价为：</w:t>
      </w:r>
    </w:p>
    <w:p w14:paraId="2DCCB07F">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1E9B1E39">
      <w:pPr>
        <w:bidi w:val="0"/>
      </w:pPr>
      <w:r>
        <w:t>其中：</w:t>
      </w:r>
    </w:p>
    <w:p w14:paraId="6305BECD">
      <w:pPr>
        <w:bidi w:val="0"/>
      </w:pPr>
      <w:r>
        <w:t>（1）安全文明施工费：</w:t>
      </w:r>
    </w:p>
    <w:p w14:paraId="13DB0609">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40385AE6">
      <w:pPr>
        <w:bidi w:val="0"/>
      </w:pPr>
      <w:r>
        <w:t>（2）材料和工程设备暂估价金额：</w:t>
      </w:r>
    </w:p>
    <w:p w14:paraId="3939677E">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636DC06A">
      <w:pPr>
        <w:bidi w:val="0"/>
      </w:pPr>
      <w:r>
        <w:t>（3）专业工程暂估价金额：</w:t>
      </w:r>
    </w:p>
    <w:p w14:paraId="5CE95D8E">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0238D081">
      <w:pPr>
        <w:bidi w:val="0"/>
      </w:pPr>
      <w:r>
        <w:t>（4）暂列金额：</w:t>
      </w:r>
    </w:p>
    <w:p w14:paraId="4F28A89A">
      <w:pPr>
        <w:bidi w:val="0"/>
      </w:pPr>
      <w:r>
        <w:t>人民币（大写）</w:t>
      </w:r>
      <w:r>
        <w:rPr>
          <w:rFonts w:hint="eastAsia"/>
          <w:u w:val="single"/>
          <w:lang w:val="en-US" w:eastAsia="zh-CN"/>
        </w:rPr>
        <w:t xml:space="preserve">                    </w:t>
      </w:r>
      <w:r>
        <w:t>(¥</w:t>
      </w:r>
      <w:r>
        <w:rPr>
          <w:rFonts w:hint="eastAsia"/>
          <w:u w:val="single"/>
          <w:lang w:val="en-US" w:eastAsia="zh-CN"/>
        </w:rPr>
        <w:t xml:space="preserve">          </w:t>
      </w:r>
      <w:r>
        <w:t>元)。</w:t>
      </w:r>
    </w:p>
    <w:p w14:paraId="4B243E45">
      <w:pPr>
        <w:bidi w:val="0"/>
      </w:pPr>
      <w:r>
        <w:t>2.合同价格形式：</w:t>
      </w:r>
      <w:r>
        <w:rPr>
          <w:rFonts w:hint="eastAsia"/>
          <w:u w:val="single"/>
          <w:lang w:val="en-US" w:eastAsia="zh-CN"/>
        </w:rPr>
        <w:t xml:space="preserve">                              </w:t>
      </w:r>
      <w:r>
        <w:t>。</w:t>
      </w:r>
    </w:p>
    <w:p w14:paraId="61A323E5">
      <w:pPr>
        <w:bidi w:val="0"/>
      </w:pPr>
      <w:r>
        <w:t xml:space="preserve">    </w:t>
      </w:r>
      <w:bookmarkStart w:id="393" w:name="_Toc351203485"/>
      <w:r>
        <w:t>五、</w:t>
      </w:r>
      <w:bookmarkEnd w:id="393"/>
      <w:r>
        <w:t>项目经理</w:t>
      </w:r>
    </w:p>
    <w:p w14:paraId="2D81747F">
      <w:pPr>
        <w:bidi w:val="0"/>
      </w:pPr>
      <w:r>
        <w:t>承包人项目经理：</w:t>
      </w:r>
      <w:r>
        <w:rPr>
          <w:rFonts w:hint="eastAsia"/>
          <w:u w:val="single"/>
          <w:lang w:val="en-US" w:eastAsia="zh-CN"/>
        </w:rPr>
        <w:t xml:space="preserve">                              </w:t>
      </w:r>
      <w:r>
        <w:t>。</w:t>
      </w:r>
    </w:p>
    <w:p w14:paraId="47F23480">
      <w:pPr>
        <w:bidi w:val="0"/>
      </w:pPr>
      <w:r>
        <w:t xml:space="preserve">    </w:t>
      </w:r>
      <w:bookmarkStart w:id="394" w:name="_Toc351203486"/>
      <w:r>
        <w:t>六、合同文件构成</w:t>
      </w:r>
      <w:bookmarkEnd w:id="394"/>
    </w:p>
    <w:p w14:paraId="286BCA8C">
      <w:pPr>
        <w:bidi w:val="0"/>
      </w:pPr>
      <w:r>
        <w:t>本协议书与下列文件一起构成合同文件：</w:t>
      </w:r>
    </w:p>
    <w:p w14:paraId="182788F2">
      <w:pPr>
        <w:bidi w:val="0"/>
      </w:pPr>
      <w:r>
        <w:t>（1）中标通知书（如果有）；</w:t>
      </w:r>
    </w:p>
    <w:p w14:paraId="6F90956C">
      <w:pPr>
        <w:bidi w:val="0"/>
      </w:pPr>
      <w:r>
        <w:t xml:space="preserve">（2）投标函及其附录（如果有）； </w:t>
      </w:r>
    </w:p>
    <w:p w14:paraId="179DB67E">
      <w:pPr>
        <w:bidi w:val="0"/>
      </w:pPr>
      <w:r>
        <w:t>（3）专用合同条款及其附件；</w:t>
      </w:r>
    </w:p>
    <w:p w14:paraId="605B5A15">
      <w:pPr>
        <w:bidi w:val="0"/>
      </w:pPr>
      <w:r>
        <w:t>（4）通用合同条款；</w:t>
      </w:r>
    </w:p>
    <w:p w14:paraId="55E47C44">
      <w:pPr>
        <w:bidi w:val="0"/>
      </w:pPr>
      <w:r>
        <w:t>（5）技术标准和要求；</w:t>
      </w:r>
    </w:p>
    <w:p w14:paraId="5B81BBF7">
      <w:pPr>
        <w:bidi w:val="0"/>
      </w:pPr>
      <w:r>
        <w:t>（6）图纸（如果有）；</w:t>
      </w:r>
    </w:p>
    <w:p w14:paraId="02E658CF">
      <w:pPr>
        <w:bidi w:val="0"/>
      </w:pPr>
      <w:r>
        <w:t>（7）已标价工程量清单或预算书；</w:t>
      </w:r>
    </w:p>
    <w:p w14:paraId="5A477FD0">
      <w:pPr>
        <w:bidi w:val="0"/>
      </w:pPr>
      <w:r>
        <w:t>（8）其他合同文件。</w:t>
      </w:r>
    </w:p>
    <w:p w14:paraId="48138EE8">
      <w:pPr>
        <w:bidi w:val="0"/>
      </w:pPr>
      <w:r>
        <w:t>在合同订立及履行过程中形成的与合同有关的文件均构成合同文件组成部分。</w:t>
      </w:r>
    </w:p>
    <w:p w14:paraId="251736B2">
      <w:pPr>
        <w:bidi w:val="0"/>
      </w:pPr>
      <w:r>
        <w:t>上述各项合同文件包括合同当事人就该项合同文件所作出的补充和修改，属于同一类内容的文件，应以最新签署的为准。</w:t>
      </w:r>
      <w:r>
        <w:rPr>
          <w:rFonts w:hint="eastAsia"/>
        </w:rPr>
        <w:t>专用合同条款及其附件须经合同当事人签字或盖章。</w:t>
      </w:r>
    </w:p>
    <w:p w14:paraId="5BC56A7B">
      <w:pPr>
        <w:bidi w:val="0"/>
      </w:pPr>
      <w:r>
        <w:t xml:space="preserve">    </w:t>
      </w:r>
      <w:bookmarkStart w:id="395" w:name="_Toc351203487"/>
      <w:r>
        <w:t>七、承诺</w:t>
      </w:r>
      <w:bookmarkEnd w:id="395"/>
    </w:p>
    <w:p w14:paraId="2EE39471">
      <w:pPr>
        <w:bidi w:val="0"/>
      </w:pPr>
      <w:r>
        <w:t>1.发包人承诺按照法律规定履行项目审批手续、筹集工程建设资金并按照合同约定的期限和方式支付合同价款。</w:t>
      </w:r>
    </w:p>
    <w:p w14:paraId="32D361FD">
      <w:pPr>
        <w:bidi w:val="0"/>
      </w:pPr>
      <w:r>
        <w:t>2.承包人承诺按照法律规定及合同约定组织完成工程施工，确保工程质量和安全，不进行转包及违法分包，并在缺陷责任期及保修期内承担相应的工程维修责任。</w:t>
      </w:r>
    </w:p>
    <w:p w14:paraId="476FC85E">
      <w:pPr>
        <w:bidi w:val="0"/>
      </w:pPr>
      <w:r>
        <w:t>3.发包人和承包人通过招投标形式签订合同的，双方理解并</w:t>
      </w:r>
      <w:r>
        <w:rPr>
          <w:rFonts w:hint="eastAsia"/>
        </w:rPr>
        <w:t>承诺</w:t>
      </w:r>
      <w:r>
        <w:t>不再就同一工程另行签订与合同实质性内容相背离的协议。</w:t>
      </w:r>
    </w:p>
    <w:p w14:paraId="7BB97E89">
      <w:pPr>
        <w:bidi w:val="0"/>
      </w:pPr>
      <w:bookmarkStart w:id="396" w:name="_Toc351203488"/>
      <w:r>
        <w:rPr>
          <w:rFonts w:hint="eastAsia"/>
        </w:rPr>
        <w:t xml:space="preserve">    </w:t>
      </w:r>
      <w:r>
        <w:t>八、词语含义</w:t>
      </w:r>
      <w:bookmarkEnd w:id="396"/>
    </w:p>
    <w:p w14:paraId="3C9C4BA5">
      <w:pPr>
        <w:bidi w:val="0"/>
      </w:pPr>
      <w:r>
        <w:t>本协议书中词语含义与第二部分通用合同条款中赋予的含义相同。</w:t>
      </w:r>
    </w:p>
    <w:p w14:paraId="24AF2486">
      <w:pPr>
        <w:bidi w:val="0"/>
      </w:pPr>
      <w:bookmarkStart w:id="397" w:name="_Toc351203489"/>
      <w:r>
        <w:t>九、签订时间</w:t>
      </w:r>
      <w:bookmarkEnd w:id="397"/>
    </w:p>
    <w:p w14:paraId="0FE1137F">
      <w:pPr>
        <w:bidi w:val="0"/>
      </w:pPr>
      <w:r>
        <w:t>本合同于</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日签订。</w:t>
      </w:r>
    </w:p>
    <w:p w14:paraId="02C032DA">
      <w:pPr>
        <w:bidi w:val="0"/>
      </w:pPr>
      <w:r>
        <w:t xml:space="preserve">    </w:t>
      </w:r>
      <w:bookmarkStart w:id="398" w:name="_Toc351203490"/>
      <w:r>
        <w:t>十、签订地点</w:t>
      </w:r>
      <w:bookmarkEnd w:id="398"/>
    </w:p>
    <w:p w14:paraId="59A3AD8A">
      <w:pPr>
        <w:bidi w:val="0"/>
      </w:pPr>
      <w:r>
        <w:t>本合同在</w:t>
      </w:r>
      <w:r>
        <w:rPr>
          <w:rFonts w:hint="eastAsia"/>
          <w:u w:val="single"/>
          <w:lang w:val="en-US" w:eastAsia="zh-CN"/>
        </w:rPr>
        <w:t xml:space="preserve">                                        </w:t>
      </w:r>
      <w:r>
        <w:t>签订。</w:t>
      </w:r>
    </w:p>
    <w:p w14:paraId="5384F8FE">
      <w:pPr>
        <w:bidi w:val="0"/>
      </w:pPr>
      <w:r>
        <w:t xml:space="preserve">    </w:t>
      </w:r>
      <w:bookmarkStart w:id="399" w:name="_Toc351203491"/>
      <w:r>
        <w:t>十一、补充协议</w:t>
      </w:r>
      <w:bookmarkEnd w:id="399"/>
    </w:p>
    <w:p w14:paraId="74C3A77D">
      <w:pPr>
        <w:bidi w:val="0"/>
      </w:pPr>
      <w:r>
        <w:t>合同未尽事宜，合同当事人另行签订补充协议</w:t>
      </w:r>
      <w:r>
        <w:rPr>
          <w:rFonts w:hint="eastAsia"/>
        </w:rPr>
        <w:t>，</w:t>
      </w:r>
      <w:r>
        <w:t>补充协议是合同的组成部分。</w:t>
      </w:r>
    </w:p>
    <w:p w14:paraId="3DC5A2FD">
      <w:pPr>
        <w:bidi w:val="0"/>
      </w:pPr>
      <w:r>
        <w:t xml:space="preserve">    </w:t>
      </w:r>
      <w:bookmarkStart w:id="400" w:name="_Toc351203492"/>
      <w:r>
        <w:t>十二、合同生效</w:t>
      </w:r>
      <w:bookmarkEnd w:id="400"/>
    </w:p>
    <w:p w14:paraId="3545CFBA">
      <w:pPr>
        <w:bidi w:val="0"/>
      </w:pPr>
      <w:r>
        <w:t>本合同自</w:t>
      </w:r>
      <w:r>
        <w:rPr>
          <w:rFonts w:hint="eastAsia"/>
          <w:u w:val="single"/>
          <w:lang w:val="en-US" w:eastAsia="zh-CN"/>
        </w:rPr>
        <w:t xml:space="preserve">                                        </w:t>
      </w:r>
      <w:r>
        <w:t>生效。</w:t>
      </w:r>
    </w:p>
    <w:p w14:paraId="40D7947D">
      <w:pPr>
        <w:bidi w:val="0"/>
      </w:pPr>
      <w:r>
        <w:t xml:space="preserve">    </w:t>
      </w:r>
      <w:bookmarkStart w:id="401" w:name="_Toc351203493"/>
      <w:r>
        <w:t>十三、合同份数</w:t>
      </w:r>
      <w:bookmarkEnd w:id="401"/>
    </w:p>
    <w:p w14:paraId="63E24AD8">
      <w:pPr>
        <w:bidi w:val="0"/>
      </w:pPr>
      <w:r>
        <w:t>本合同一式</w:t>
      </w:r>
      <w:r>
        <w:rPr>
          <w:u w:val="single"/>
        </w:rPr>
        <w:t xml:space="preserve">  </w:t>
      </w:r>
      <w:r>
        <w:rPr>
          <w:rFonts w:hint="eastAsia"/>
          <w:u w:val="single"/>
        </w:rPr>
        <w:t xml:space="preserve"> </w:t>
      </w:r>
      <w:r>
        <w:rPr>
          <w:u w:val="single"/>
        </w:rPr>
        <w:t xml:space="preserve"> </w:t>
      </w:r>
      <w:r>
        <w:t>份，均具有同等法律效力，发包人执</w:t>
      </w:r>
      <w:r>
        <w:rPr>
          <w:u w:val="single"/>
        </w:rPr>
        <w:t xml:space="preserve">  </w:t>
      </w:r>
      <w:r>
        <w:rPr>
          <w:rFonts w:hint="eastAsia"/>
          <w:u w:val="single"/>
        </w:rPr>
        <w:t xml:space="preserve"> </w:t>
      </w:r>
      <w:r>
        <w:rPr>
          <w:u w:val="single"/>
        </w:rPr>
        <w:t xml:space="preserve"> </w:t>
      </w:r>
      <w:r>
        <w:t>份，承包人执</w:t>
      </w:r>
      <w:r>
        <w:rPr>
          <w:u w:val="single"/>
        </w:rPr>
        <w:t xml:space="preserve">  </w:t>
      </w:r>
      <w:r>
        <w:rPr>
          <w:rFonts w:hint="eastAsia"/>
          <w:u w:val="single"/>
        </w:rPr>
        <w:t xml:space="preserve"> </w:t>
      </w:r>
      <w:r>
        <w:rPr>
          <w:u w:val="single"/>
        </w:rPr>
        <w:t xml:space="preserve"> </w:t>
      </w:r>
      <w:r>
        <w:t>份。</w:t>
      </w:r>
    </w:p>
    <w:p w14:paraId="2205B03A">
      <w:pPr>
        <w:bidi w:val="0"/>
        <w:rPr>
          <w:rFonts w:hint="eastAsia"/>
        </w:rPr>
      </w:pPr>
      <w:r>
        <w:t>发包人</w:t>
      </w:r>
      <w:r>
        <w:rPr>
          <w:rFonts w:hint="eastAsia"/>
        </w:rPr>
        <w:t xml:space="preserve">：  </w:t>
      </w:r>
      <w:r>
        <w:t>(公章)</w:t>
      </w:r>
      <w:r>
        <w:rPr>
          <w:rFonts w:hint="eastAsia"/>
        </w:rPr>
        <w:t xml:space="preserve">             </w:t>
      </w:r>
      <w:r>
        <w:t>承包人</w:t>
      </w:r>
      <w:r>
        <w:rPr>
          <w:rFonts w:hint="eastAsia"/>
        </w:rPr>
        <w:t xml:space="preserve">：  </w:t>
      </w:r>
      <w:r>
        <w:t>(公章)</w:t>
      </w:r>
    </w:p>
    <w:p w14:paraId="0D1A2BAF">
      <w:pPr>
        <w:bidi w:val="0"/>
        <w:rPr>
          <w:rFonts w:hint="eastAsia"/>
        </w:rPr>
      </w:pPr>
      <w:r>
        <w:rPr>
          <w:rFonts w:hint="eastAsia"/>
        </w:rPr>
        <w:t>法定代表人或其委托代理人：  法定代表人或其委托代理人：</w:t>
      </w:r>
    </w:p>
    <w:p w14:paraId="46905F5C">
      <w:pPr>
        <w:bidi w:val="0"/>
        <w:rPr>
          <w:rFonts w:hint="eastAsia"/>
        </w:rPr>
      </w:pPr>
      <w:r>
        <w:rPr>
          <w:rFonts w:hint="eastAsia"/>
        </w:rPr>
        <w:t>（签字）                    （签字）</w:t>
      </w:r>
    </w:p>
    <w:p w14:paraId="02705E05">
      <w:pPr>
        <w:bidi w:val="0"/>
      </w:pPr>
      <w:r>
        <w:rPr>
          <w:rFonts w:hint="eastAsia"/>
        </w:rPr>
        <w:t>组织机构代码：</w:t>
      </w:r>
      <w:r>
        <w:t xml:space="preserve"> </w:t>
      </w:r>
      <w:r>
        <w:rPr>
          <w:rFonts w:hint="eastAsia"/>
        </w:rPr>
        <w:t xml:space="preserve"> </w:t>
      </w:r>
      <w:r>
        <w:t xml:space="preserve">      </w:t>
      </w:r>
      <w:r>
        <w:rPr>
          <w:rFonts w:hint="eastAsia"/>
        </w:rPr>
        <w:t xml:space="preserve"> 组织机构代码：</w: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p w14:paraId="6AB2B6D4">
      <w:pPr>
        <w:bidi w:val="0"/>
      </w:pPr>
      <w:r>
        <w:t xml:space="preserve">地  址：     </w:t>
      </w:r>
      <w:r>
        <w:rPr>
          <w:rFonts w:hint="eastAsia"/>
        </w:rPr>
        <w:t xml:space="preserve">  </w:t>
      </w:r>
      <w:r>
        <w:t>地  址：</w:t>
      </w:r>
      <w:r>
        <w:rPr>
          <w:rFonts w:hint="eastAsia"/>
        </w:rPr>
        <w:t xml:space="preserve"> </w:t>
      </w:r>
      <w:r>
        <w:t></w:t>
      </w:r>
      <w:r>
        <w:rPr>
          <w:rFonts w:hint="eastAsia"/>
        </w:rPr>
        <w:t xml:space="preserve"> </w:t>
      </w:r>
      <w:r>
        <w:t xml:space="preserve"> </w:t>
      </w:r>
      <w:r>
        <w:rPr>
          <w:rFonts w:hint="eastAsia"/>
        </w:rPr>
        <w:t xml:space="preserve"> </w:t>
      </w:r>
      <w:r>
        <w:t xml:space="preserve">    </w:t>
      </w:r>
    </w:p>
    <w:p w14:paraId="6F2A44D3">
      <w:pPr>
        <w:bidi w:val="0"/>
      </w:pPr>
      <w:r>
        <w:t>邮政编码： </w:t>
      </w:r>
      <w:r>
        <w:rPr>
          <w:rFonts w:hint="eastAsia"/>
        </w:rPr>
        <w:t xml:space="preserve"> </w:t>
      </w:r>
      <w:r>
        <w:t xml:space="preserve">  </w:t>
      </w:r>
      <w:r>
        <w:rPr>
          <w:rFonts w:hint="eastAsia"/>
        </w:rPr>
        <w:t xml:space="preserve"> </w:t>
      </w:r>
      <w:r>
        <w:t xml:space="preserve">  </w:t>
      </w:r>
      <w:r>
        <w:rPr>
          <w:rFonts w:hint="eastAsia"/>
        </w:rPr>
        <w:t xml:space="preserve"> </w:t>
      </w:r>
      <w:r>
        <w:t xml:space="preserve">邮政编码：   </w:t>
      </w:r>
    </w:p>
    <w:p w14:paraId="38D03212">
      <w:pPr>
        <w:bidi w:val="0"/>
      </w:pPr>
      <w:r>
        <w:t>法定代表人：</w:t>
      </w:r>
      <w:r>
        <w:rPr>
          <w:rFonts w:hint="eastAsia"/>
        </w:rPr>
        <w:t xml:space="preserve">     </w:t>
      </w:r>
      <w:r>
        <w:t></w:t>
      </w:r>
      <w:r>
        <w:rPr>
          <w:rFonts w:hint="eastAsia"/>
        </w:rPr>
        <w:t xml:space="preserve">     </w:t>
      </w:r>
      <w:r>
        <w:t xml:space="preserve">  </w:t>
      </w:r>
      <w:r>
        <w:rPr>
          <w:rFonts w:hint="eastAsia"/>
        </w:rPr>
        <w:t xml:space="preserve"> </w:t>
      </w:r>
      <w:r>
        <w:t>法定代表人：</w:t>
      </w:r>
      <w:r>
        <w:rPr>
          <w:rFonts w:hint="eastAsia"/>
        </w:rPr>
        <w:t xml:space="preserve">      </w:t>
      </w:r>
      <w:r>
        <w:t></w:t>
      </w:r>
      <w:r>
        <w:rPr>
          <w:rFonts w:hint="eastAsia"/>
        </w:rPr>
        <w:t xml:space="preserve">      </w:t>
      </w:r>
      <w:r>
        <w:t xml:space="preserve"> </w:t>
      </w:r>
    </w:p>
    <w:p w14:paraId="7FB38BEC">
      <w:pPr>
        <w:bidi w:val="0"/>
      </w:pPr>
      <w:r>
        <w:t xml:space="preserve">委托代理人： </w:t>
      </w:r>
      <w:r>
        <w:rPr>
          <w:rFonts w:hint="eastAsia"/>
        </w:rPr>
        <w:t xml:space="preserve">     </w:t>
      </w:r>
      <w:r>
        <w:t xml:space="preserve"> </w:t>
      </w:r>
      <w:r>
        <w:rPr>
          <w:rFonts w:hint="eastAsia"/>
        </w:rPr>
        <w:t xml:space="preserve"> </w:t>
      </w:r>
      <w:r>
        <w:t xml:space="preserve">    </w:t>
      </w:r>
      <w:r>
        <w:rPr>
          <w:rFonts w:hint="eastAsia"/>
        </w:rPr>
        <w:t xml:space="preserve"> </w:t>
      </w:r>
      <w:r>
        <w:t xml:space="preserve">委托代理人：  </w:t>
      </w:r>
      <w:r>
        <w:rPr>
          <w:rFonts w:hint="eastAsia"/>
        </w:rPr>
        <w:t xml:space="preserve">       </w:t>
      </w:r>
      <w:r>
        <w:t xml:space="preserve">    </w:t>
      </w:r>
    </w:p>
    <w:p w14:paraId="30FC499D">
      <w:pPr>
        <w:bidi w:val="0"/>
      </w:pPr>
      <w:r>
        <w:t>电  话：</w:t>
      </w:r>
      <w:r>
        <w:rPr>
          <w:rFonts w:hint="eastAsia"/>
        </w:rPr>
        <w:t xml:space="preserve"> </w:t>
      </w:r>
      <w:r>
        <w:t xml:space="preserve">   </w:t>
      </w:r>
      <w:r>
        <w:rPr>
          <w:rFonts w:hint="eastAsia"/>
        </w:rPr>
        <w:t xml:space="preserve"> </w:t>
      </w:r>
      <w:r>
        <w:t>电  话：</w:t>
      </w:r>
      <w:r>
        <w:rPr>
          <w:rFonts w:hint="eastAsia"/>
        </w:rPr>
        <w:t xml:space="preserve">  </w:t>
      </w:r>
      <w:r>
        <w:t xml:space="preserve">   </w:t>
      </w:r>
    </w:p>
    <w:p w14:paraId="11D33120">
      <w:pPr>
        <w:bidi w:val="0"/>
      </w:pPr>
      <w:r>
        <w:t xml:space="preserve">传  真： </w:t>
      </w:r>
      <w:r>
        <w:rPr>
          <w:rFonts w:hint="eastAsia"/>
        </w:rPr>
        <w:t xml:space="preserve"> </w:t>
      </w:r>
      <w:r>
        <w:t xml:space="preserve">  </w:t>
      </w:r>
      <w:r>
        <w:rPr>
          <w:rFonts w:hint="eastAsia"/>
        </w:rPr>
        <w:t xml:space="preserve"> </w:t>
      </w:r>
      <w:r>
        <w:t>传  真：</w:t>
      </w:r>
      <w:r>
        <w:rPr>
          <w:rFonts w:hint="eastAsia"/>
        </w:rPr>
        <w:t xml:space="preserve">  </w:t>
      </w:r>
      <w:r>
        <w:t xml:space="preserve">   </w:t>
      </w:r>
    </w:p>
    <w:p w14:paraId="72E2AD7E">
      <w:pPr>
        <w:bidi w:val="0"/>
      </w:pPr>
      <w:r>
        <w:t xml:space="preserve">电子信箱：                  </w:t>
      </w:r>
      <w:r>
        <w:rPr>
          <w:rFonts w:hint="eastAsia"/>
        </w:rPr>
        <w:t xml:space="preserve"> </w:t>
      </w:r>
      <w:r>
        <w:t xml:space="preserve">电子信箱：   </w:t>
      </w:r>
    </w:p>
    <w:p w14:paraId="773C231D">
      <w:pPr>
        <w:bidi w:val="0"/>
      </w:pPr>
      <w:r>
        <w:t xml:space="preserve">开户银行：    </w:t>
      </w:r>
      <w:r>
        <w:rPr>
          <w:rFonts w:hint="eastAsia"/>
        </w:rPr>
        <w:t xml:space="preserve"> </w:t>
      </w:r>
      <w:r>
        <w:t xml:space="preserve">开户银行：   </w:t>
      </w:r>
    </w:p>
    <w:p w14:paraId="6DA34088">
      <w:pPr>
        <w:bidi w:val="0"/>
        <w:rPr>
          <w:rFonts w:hint="eastAsia"/>
        </w:rPr>
      </w:pPr>
      <w:r>
        <w:t xml:space="preserve">账  号：       </w:t>
      </w:r>
      <w:r>
        <w:rPr>
          <w:rFonts w:hint="eastAsia"/>
        </w:rPr>
        <w:t xml:space="preserve">   </w:t>
      </w:r>
      <w:r>
        <w:t>账</w:t>
      </w:r>
      <w:r>
        <w:rPr>
          <w:rFonts w:hint="eastAsia"/>
        </w:rPr>
        <w:t xml:space="preserve"> </w:t>
      </w:r>
      <w:r>
        <w:t xml:space="preserve"> 号：</w:t>
      </w:r>
      <w:r>
        <w:rPr>
          <w:rFonts w:hint="eastAsia"/>
        </w:rPr>
        <w:t xml:space="preserve">  </w:t>
      </w:r>
      <w:r>
        <w:t xml:space="preserve">  </w:t>
      </w:r>
      <w:r>
        <w:rPr>
          <w:rFonts w:hint="eastAsia"/>
        </w:rPr>
        <w:t xml:space="preserve"> </w:t>
      </w:r>
      <w:bookmarkStart w:id="402" w:name="_Toc351203494"/>
    </w:p>
    <w:p w14:paraId="4A4CD42E">
      <w:pPr>
        <w:rPr>
          <w:rFonts w:hint="eastAsia"/>
        </w:rPr>
      </w:pPr>
      <w:r>
        <w:rPr>
          <w:rFonts w:hint="eastAsia"/>
        </w:rPr>
        <w:br w:type="page"/>
      </w:r>
    </w:p>
    <w:p w14:paraId="0052C43B">
      <w:pPr>
        <w:bidi w:val="0"/>
        <w:ind w:left="0" w:leftChars="0" w:firstLine="0" w:firstLineChars="0"/>
        <w:jc w:val="center"/>
        <w:rPr>
          <w:rFonts w:hint="eastAsia" w:ascii="华文中宋" w:hAnsi="华文中宋" w:eastAsia="华文中宋"/>
          <w:sz w:val="44"/>
          <w:szCs w:val="44"/>
        </w:rPr>
      </w:pPr>
      <w:r>
        <w:rPr>
          <w:rFonts w:ascii="华文中宋" w:hAnsi="华文中宋" w:eastAsia="华文中宋"/>
          <w:sz w:val="44"/>
          <w:szCs w:val="44"/>
        </w:rPr>
        <w:t>第二</w:t>
      </w:r>
      <w:r>
        <w:rPr>
          <w:rFonts w:hint="eastAsia" w:ascii="华文中宋" w:hAnsi="华文中宋" w:eastAsia="华文中宋"/>
          <w:sz w:val="44"/>
          <w:szCs w:val="44"/>
          <w:lang w:val="en-US" w:eastAsia="zh-CN"/>
        </w:rPr>
        <w:t>章</w:t>
      </w:r>
      <w:r>
        <w:rPr>
          <w:rFonts w:ascii="华文中宋" w:hAnsi="华文中宋" w:eastAsia="华文中宋"/>
          <w:sz w:val="44"/>
          <w:szCs w:val="44"/>
        </w:rPr>
        <w:t xml:space="preserve"> 通用合同条款</w:t>
      </w:r>
      <w:bookmarkEnd w:id="402"/>
      <w:bookmarkStart w:id="403" w:name="_Toc337558727"/>
    </w:p>
    <w:p w14:paraId="13F24328">
      <w:pPr>
        <w:pStyle w:val="66"/>
        <w:bidi w:val="0"/>
      </w:pPr>
      <w:bookmarkStart w:id="404" w:name="_Toc351203495"/>
      <w:r>
        <w:t>1.</w:t>
      </w:r>
      <w:bookmarkStart w:id="405" w:name="_Toc303538975"/>
      <w:bookmarkEnd w:id="405"/>
      <w:bookmarkStart w:id="406" w:name="_Toc303538974"/>
      <w:bookmarkEnd w:id="406"/>
      <w:bookmarkStart w:id="407" w:name="_Toc303538976"/>
      <w:bookmarkEnd w:id="407"/>
      <w:bookmarkStart w:id="408" w:name="_Toc303538973"/>
      <w:bookmarkEnd w:id="408"/>
      <w:bookmarkStart w:id="409" w:name="_Toc303538972"/>
      <w:bookmarkEnd w:id="409"/>
      <w:bookmarkStart w:id="410" w:name="_Toc296503027"/>
      <w:bookmarkStart w:id="411" w:name="_Toc296346528"/>
      <w:r>
        <w:t xml:space="preserve"> 一般约定</w:t>
      </w:r>
      <w:bookmarkEnd w:id="403"/>
      <w:bookmarkEnd w:id="404"/>
      <w:bookmarkEnd w:id="410"/>
      <w:bookmarkEnd w:id="411"/>
    </w:p>
    <w:p w14:paraId="1EC72EBB">
      <w:pPr>
        <w:bidi w:val="0"/>
      </w:pPr>
      <w:bookmarkStart w:id="412" w:name="_Toc337558728"/>
      <w:bookmarkStart w:id="413" w:name="_Toc296346529"/>
      <w:bookmarkStart w:id="414" w:name="_Toc296503028"/>
      <w:bookmarkStart w:id="415" w:name="_Toc351203496"/>
      <w:r>
        <w:t>1.1词语定义</w:t>
      </w:r>
      <w:bookmarkEnd w:id="412"/>
      <w:bookmarkEnd w:id="413"/>
      <w:bookmarkEnd w:id="414"/>
      <w:r>
        <w:t>与解释</w:t>
      </w:r>
      <w:bookmarkEnd w:id="415"/>
    </w:p>
    <w:p w14:paraId="19C03AD8">
      <w:pPr>
        <w:bidi w:val="0"/>
      </w:pPr>
      <w:r>
        <w:t>合同协议书、通用合同条款、专用合同条款中的下列词语具有本款所赋予的含义：</w:t>
      </w:r>
    </w:p>
    <w:p w14:paraId="486F5E0D">
      <w:pPr>
        <w:bidi w:val="0"/>
      </w:pPr>
      <w:r>
        <w:t xml:space="preserve">    1.1.1 合同</w:t>
      </w:r>
    </w:p>
    <w:p w14:paraId="04CCD57A">
      <w:pPr>
        <w:bidi w:val="0"/>
      </w:pPr>
      <w:r>
        <w:t>1.1.1.1 合同：是指根据法律规定和合同当事人约定具有约束力的文件，构成合同的文件包括合同协议书、中标通知书（如果有）、投标函及其附录（如果有）、专用合同条款及其附件、通用合同条款、技术标准和要求、图纸（如果有）、已标价工程量清单或预算书以及其他合同文件。</w:t>
      </w:r>
    </w:p>
    <w:p w14:paraId="3CF72978">
      <w:pPr>
        <w:bidi w:val="0"/>
      </w:pPr>
      <w:r>
        <w:t>1.1.1.2 合同协议书：是指构成合同的由发包人和承包人共同签署的称为“合同协议书”的书面文件</w:t>
      </w:r>
      <w:r>
        <w:rPr>
          <w:rFonts w:hint="eastAsia"/>
        </w:rPr>
        <w:t>。</w:t>
      </w:r>
    </w:p>
    <w:p w14:paraId="2F8E1B8C">
      <w:pPr>
        <w:bidi w:val="0"/>
      </w:pPr>
      <w:r>
        <w:t>1.1.1.3 中标通知书：是指构成合同的</w:t>
      </w:r>
      <w:r>
        <w:rPr>
          <w:rFonts w:hint="eastAsia"/>
        </w:rPr>
        <w:t>由</w:t>
      </w:r>
      <w:r>
        <w:t>发包人通知承包人中标的书面文件。</w:t>
      </w:r>
    </w:p>
    <w:p w14:paraId="06240658">
      <w:pPr>
        <w:bidi w:val="0"/>
      </w:pPr>
      <w:r>
        <w:t>1.1.1.4 投标函：是指构成合同的由承包人填写并签署的用于投标的称为“投标函”的文件。</w:t>
      </w:r>
    </w:p>
    <w:p w14:paraId="53C2626F">
      <w:pPr>
        <w:bidi w:val="0"/>
      </w:pPr>
      <w:r>
        <w:t>1.1.1.5 投标函附录：是指构成合同的附在投标函后的称为“投标函附录”的文件。</w:t>
      </w:r>
    </w:p>
    <w:p w14:paraId="735B595E">
      <w:pPr>
        <w:bidi w:val="0"/>
      </w:pPr>
      <w:r>
        <w:t>1.1.1.6 技术标准和要求：是指构成合同的施工应当遵守的或指导施工的国家、行业或地方的技术标准和要求，以及合同约定的技术标准和要求。</w:t>
      </w:r>
    </w:p>
    <w:p w14:paraId="33D5818F">
      <w:pPr>
        <w:bidi w:val="0"/>
        <w:rPr>
          <w:rFonts w:hint="eastAsia"/>
        </w:rPr>
      </w:pPr>
      <w:r>
        <w:t>1.1.1.7 图纸：是指构成合同的图纸，包括由发包人按照合同约定提供或经发包人批准的设计文件、</w:t>
      </w:r>
      <w:r>
        <w:rPr>
          <w:rFonts w:hint="eastAsia"/>
        </w:rPr>
        <w:t>施工图、</w:t>
      </w:r>
      <w:r>
        <w:t>鸟瞰图及模型等，</w:t>
      </w:r>
      <w:r>
        <w:rPr>
          <w:rFonts w:hint="eastAsia"/>
        </w:rPr>
        <w:t>以及在合同履行过程中形成的图纸文件。图纸</w:t>
      </w:r>
      <w:r>
        <w:t>应当按照法律规定审查合格。</w:t>
      </w:r>
    </w:p>
    <w:p w14:paraId="2440AD9D">
      <w:pPr>
        <w:bidi w:val="0"/>
      </w:pPr>
      <w:r>
        <w:t>1.1.1.8 已标价工程量清单：是指构成合同的由承包人按照规定的格式和要求填写并标明价格的工程量清单，包括说明和表格。</w:t>
      </w:r>
    </w:p>
    <w:p w14:paraId="44DECB76">
      <w:pPr>
        <w:bidi w:val="0"/>
      </w:pPr>
      <w:r>
        <w:t>1.1.1.9 预算书：是指构成合同的由承包人按照发包人规定的格式和要求编制的工程预算文件。</w:t>
      </w:r>
    </w:p>
    <w:p w14:paraId="1AC573BA">
      <w:pPr>
        <w:bidi w:val="0"/>
      </w:pPr>
      <w:r>
        <w:t>1.1.1.10 其他合同文件：是指经合同当事人约定的与工程施工有关的具有合同约束力的文件或书面协议。合同当事人可以在专用合同条款中进行约定。</w:t>
      </w:r>
    </w:p>
    <w:p w14:paraId="7F469E81">
      <w:pPr>
        <w:bidi w:val="0"/>
      </w:pPr>
      <w:r>
        <w:t xml:space="preserve">    1.1.2 合同当事人及其他相关方</w:t>
      </w:r>
    </w:p>
    <w:p w14:paraId="36C63A8B">
      <w:pPr>
        <w:bidi w:val="0"/>
      </w:pPr>
      <w:r>
        <w:t>1.1.2.1 合同当事人：是指发包人和（或）承包人。</w:t>
      </w:r>
    </w:p>
    <w:p w14:paraId="4399E582">
      <w:pPr>
        <w:bidi w:val="0"/>
      </w:pPr>
      <w:r>
        <w:t>1.1.2.2 发包人：是指与承包人签订合同协议书的当事人及取得该当事人资格的合法继承人。</w:t>
      </w:r>
    </w:p>
    <w:p w14:paraId="6851088A">
      <w:pPr>
        <w:bidi w:val="0"/>
      </w:pPr>
      <w:r>
        <w:t>1.1.2.3 承包人：是指与发包人签订合同协议书的，具有相应工程施工承包资质的当事人及取得该当事人资格的合法继承人。</w:t>
      </w:r>
    </w:p>
    <w:p w14:paraId="4D070781">
      <w:pPr>
        <w:bidi w:val="0"/>
      </w:pPr>
      <w:r>
        <w:t>1.1.2.4 监理人：是指在专用合同条款中指明的，受发包人委托按照法律规定进行工程监督管理的法人或其他组织。</w:t>
      </w:r>
    </w:p>
    <w:p w14:paraId="0AF2C5C4">
      <w:pPr>
        <w:bidi w:val="0"/>
      </w:pPr>
      <w:r>
        <w:t>1.1.2.5 设计人：是指在专用合同条款中指明的，受发包人委托负责工程设计并具备相应工程设计资质的法人或其他组织。</w:t>
      </w:r>
    </w:p>
    <w:p w14:paraId="40FD113B">
      <w:pPr>
        <w:bidi w:val="0"/>
      </w:pPr>
      <w:r>
        <w:t>1.1.2.6 分包人：</w:t>
      </w:r>
      <w:bookmarkStart w:id="416" w:name="#go5"/>
      <w:bookmarkEnd w:id="416"/>
      <w:r>
        <w:t>是指</w:t>
      </w:r>
      <w:r>
        <w:rPr>
          <w:rFonts w:hint="eastAsia"/>
        </w:rPr>
        <w:t>按照法律规定和</w:t>
      </w:r>
      <w:r>
        <w:t>合同约定，分包</w:t>
      </w:r>
      <w:r>
        <w:rPr>
          <w:rFonts w:hint="eastAsia"/>
        </w:rPr>
        <w:t>部分</w:t>
      </w:r>
      <w:r>
        <w:t>工程</w:t>
      </w:r>
      <w:r>
        <w:rPr>
          <w:rFonts w:hint="eastAsia"/>
        </w:rPr>
        <w:t>或工作</w:t>
      </w:r>
      <w:r>
        <w:t>，并与</w:t>
      </w:r>
      <w:r>
        <w:rPr>
          <w:rFonts w:hint="eastAsia"/>
        </w:rPr>
        <w:t>承包人</w:t>
      </w:r>
      <w:r>
        <w:t>签订分包合同的具有相应资质的法人。</w:t>
      </w:r>
    </w:p>
    <w:p w14:paraId="3B10C370">
      <w:pPr>
        <w:bidi w:val="0"/>
      </w:pPr>
      <w:r>
        <w:t>1.1.2.7 发包人代表：是指由发包人任命并派驻施工现场在发包人授权范围内行使发包人权利的人。</w:t>
      </w:r>
    </w:p>
    <w:p w14:paraId="11180A4F">
      <w:pPr>
        <w:bidi w:val="0"/>
      </w:pPr>
      <w:r>
        <w:t>1.1.2.8 项目经理：是指由承包人任命并派驻施工现场，在承包人授权范围内负责合同履行，且按照法律规定具有相应资格的</w:t>
      </w:r>
      <w:r>
        <w:rPr>
          <w:rFonts w:hint="eastAsia"/>
        </w:rPr>
        <w:t>项目负责</w:t>
      </w:r>
      <w:r>
        <w:t>人。</w:t>
      </w:r>
    </w:p>
    <w:p w14:paraId="64EE4DB9">
      <w:pPr>
        <w:bidi w:val="0"/>
      </w:pPr>
      <w:r>
        <w:t>1.1.2.9 总监理工程师：是指由监理人任命并派驻施工现场进行工程监理的总负责人。</w:t>
      </w:r>
    </w:p>
    <w:p w14:paraId="6CDEBC04">
      <w:pPr>
        <w:bidi w:val="0"/>
      </w:pPr>
      <w:r>
        <w:t>1.1.3 工程和设备</w:t>
      </w:r>
    </w:p>
    <w:p w14:paraId="7BED0EEC">
      <w:pPr>
        <w:bidi w:val="0"/>
      </w:pPr>
      <w:r>
        <w:t>1.1.3.1 工程：是指与合同协议书中工程承包范围对应的永久工程和（或）临时工程。</w:t>
      </w:r>
    </w:p>
    <w:p w14:paraId="63E18005">
      <w:pPr>
        <w:bidi w:val="0"/>
      </w:pPr>
      <w:r>
        <w:t>1.1.3.2 永久工程：是指按合同约定建造并移交给发包人的工程，包括工程设备。</w:t>
      </w:r>
    </w:p>
    <w:p w14:paraId="793AFCAE">
      <w:pPr>
        <w:bidi w:val="0"/>
      </w:pPr>
      <w:r>
        <w:t>1.1.3.3 临时工程：是指为完成合同约定的永久工程所修建的各类临时性工程，不包括施工设备。</w:t>
      </w:r>
    </w:p>
    <w:p w14:paraId="5E9D84EB">
      <w:pPr>
        <w:bidi w:val="0"/>
      </w:pPr>
      <w:r>
        <w:t>1.1.3.4 单位工程：是指在</w:t>
      </w:r>
      <w:r>
        <w:rPr>
          <w:rFonts w:hint="eastAsia"/>
        </w:rPr>
        <w:t>合同协议书</w:t>
      </w:r>
      <w:r>
        <w:t>中指明的，具备独立施工条件并能形成独立使用功能的永久工程。</w:t>
      </w:r>
    </w:p>
    <w:p w14:paraId="15DFBF3B">
      <w:pPr>
        <w:bidi w:val="0"/>
      </w:pPr>
      <w:r>
        <w:t>1.1.3.5 工程设备：是指构成永久工程的机电设备、金属结构设备、仪器及其他类似的设备和装置。</w:t>
      </w:r>
    </w:p>
    <w:p w14:paraId="742F5D10">
      <w:pPr>
        <w:bidi w:val="0"/>
      </w:pPr>
      <w:r>
        <w:t>1.1.3.6 施工设备：是指为完成合同约定的各项工作所需的设备、器具和其他物品，但不包括工程设备、临时工程和材料。</w:t>
      </w:r>
    </w:p>
    <w:p w14:paraId="6282A580">
      <w:pPr>
        <w:bidi w:val="0"/>
      </w:pPr>
      <w:r>
        <w:t>1.1.3.7 施工现场：是指用于工程施工的场所，以及在专用合同条款中</w:t>
      </w:r>
      <w:r>
        <w:rPr>
          <w:rFonts w:hint="eastAsia"/>
        </w:rPr>
        <w:t>指</w:t>
      </w:r>
      <w:r>
        <w:t>明作为施工场所组成部分的其他场所，包括永久占地和临时占地。</w:t>
      </w:r>
    </w:p>
    <w:p w14:paraId="705AFE9D">
      <w:pPr>
        <w:bidi w:val="0"/>
      </w:pPr>
      <w:r>
        <w:t>1.1.3.8临时设施：是指为完成合同约定的各项工作所服务的临时性生产和生活设施。</w:t>
      </w:r>
    </w:p>
    <w:p w14:paraId="151C57A5">
      <w:pPr>
        <w:bidi w:val="0"/>
      </w:pPr>
      <w:r>
        <w:t>1.1.3.9 永久占地：是指专用合同条款中指明为实施工程需永久占用的土地。</w:t>
      </w:r>
    </w:p>
    <w:p w14:paraId="5AB88B60">
      <w:pPr>
        <w:bidi w:val="0"/>
      </w:pPr>
      <w:r>
        <w:t>1.1.3.10 临时占地：是指专用合同条款中指明为实施工程需要临时占用的土地。</w:t>
      </w:r>
    </w:p>
    <w:p w14:paraId="3E80AD38">
      <w:pPr>
        <w:bidi w:val="0"/>
      </w:pPr>
      <w:r>
        <w:t>1.1.4 日期和期限</w:t>
      </w:r>
    </w:p>
    <w:p w14:paraId="3006BA95">
      <w:pPr>
        <w:bidi w:val="0"/>
      </w:pPr>
      <w:r>
        <w:t>1.1.4.1 开工日期：包括计划开工日期和实际开工日期。计划开工日期是指合同协议书约定的开工日期；实际开工日期是指监理人按照第7.3.2项</w:t>
      </w:r>
      <w:r>
        <w:rPr>
          <w:rFonts w:hint="eastAsia"/>
        </w:rPr>
        <w:t>〔</w:t>
      </w:r>
      <w:r>
        <w:t>开工通知</w:t>
      </w:r>
      <w:r>
        <w:rPr>
          <w:rFonts w:hint="eastAsia"/>
        </w:rPr>
        <w:t>〕</w:t>
      </w:r>
      <w:r>
        <w:t>约定发出的符合法律规定的开工通知中载明的开工日期。</w:t>
      </w:r>
    </w:p>
    <w:p w14:paraId="68C17DB4">
      <w:pPr>
        <w:bidi w:val="0"/>
      </w:pPr>
      <w:r>
        <w:t>1.1.4.2 竣工日期：包括计划竣工日期和实际竣工日期。计划竣工日期是指合同协议书约定的竣工日期</w:t>
      </w:r>
      <w:r>
        <w:rPr>
          <w:rFonts w:hint="eastAsia"/>
        </w:rPr>
        <w:t>；</w:t>
      </w:r>
      <w:r>
        <w:t>实际竣工日期按照第13.2.3项</w:t>
      </w:r>
      <w:r>
        <w:rPr>
          <w:rFonts w:hint="eastAsia"/>
        </w:rPr>
        <w:t>〔</w:t>
      </w:r>
      <w:r>
        <w:t>竣工日期</w:t>
      </w:r>
      <w:r>
        <w:rPr>
          <w:rFonts w:hint="eastAsia"/>
        </w:rPr>
        <w:t>〕</w:t>
      </w:r>
      <w:r>
        <w:t xml:space="preserve">的约定确定。 </w:t>
      </w:r>
    </w:p>
    <w:p w14:paraId="5FCA1184">
      <w:pPr>
        <w:bidi w:val="0"/>
      </w:pPr>
      <w:r>
        <w:t>1.1.4.3 工期：是指在合同协议书约定的承包人完成工程所需的期限，包括按照合同约定所作的</w:t>
      </w:r>
      <w:r>
        <w:rPr>
          <w:rFonts w:hint="eastAsia"/>
        </w:rPr>
        <w:t>期限</w:t>
      </w:r>
      <w:r>
        <w:t>变更。</w:t>
      </w:r>
    </w:p>
    <w:p w14:paraId="0D520214">
      <w:pPr>
        <w:bidi w:val="0"/>
      </w:pPr>
      <w:r>
        <w:t>1.1.4.4 缺陷责任期：是指承包人按照合同约定承担缺陷修复义务，且发包人</w:t>
      </w:r>
      <w:r>
        <w:rPr>
          <w:rFonts w:hint="eastAsia"/>
        </w:rPr>
        <w:t>预</w:t>
      </w:r>
      <w:r>
        <w:t>留质量保证金</w:t>
      </w:r>
      <w:r>
        <w:rPr>
          <w:rFonts w:hint="eastAsia"/>
          <w:lang w:eastAsia="zh-CN"/>
        </w:rPr>
        <w:t>（</w:t>
      </w:r>
      <w:r>
        <w:rPr>
          <w:rFonts w:hint="eastAsia"/>
        </w:rPr>
        <w:t>已</w:t>
      </w:r>
      <w:r>
        <w:t>缴纳履约保证金的除外</w:t>
      </w:r>
      <w:r>
        <w:rPr>
          <w:rFonts w:hint="eastAsia"/>
          <w:lang w:eastAsia="zh-CN"/>
        </w:rPr>
        <w:t>）</w:t>
      </w:r>
      <w:r>
        <w:t>的期限，</w:t>
      </w:r>
      <w:r>
        <w:rPr>
          <w:rFonts w:hint="eastAsia"/>
        </w:rPr>
        <w:t>自</w:t>
      </w:r>
      <w:r>
        <w:t>工程</w:t>
      </w:r>
      <w:r>
        <w:rPr>
          <w:rFonts w:hint="eastAsia"/>
        </w:rPr>
        <w:t>实际竣工日期</w:t>
      </w:r>
      <w:r>
        <w:t>起计算。</w:t>
      </w:r>
    </w:p>
    <w:p w14:paraId="2A13BE99">
      <w:pPr>
        <w:bidi w:val="0"/>
      </w:pPr>
      <w:r>
        <w:t>1.1.4.5 保修期：是指承包人按照合同约定对工程承担保修责任的期限，从工程竣工验收合格之日起计算。</w:t>
      </w:r>
    </w:p>
    <w:p w14:paraId="6251A9DC">
      <w:pPr>
        <w:bidi w:val="0"/>
      </w:pPr>
      <w:r>
        <w:t>1.1.4.6 基准日期：招标发包的工程以投标截止日前28天的日期为基准日</w:t>
      </w:r>
      <w:r>
        <w:rPr>
          <w:rFonts w:hint="eastAsia"/>
        </w:rPr>
        <w:t>期</w:t>
      </w:r>
      <w:r>
        <w:t>，直接发包的工程以合同签订日前28天的日期为基准日</w:t>
      </w:r>
      <w:r>
        <w:rPr>
          <w:rFonts w:hint="eastAsia"/>
        </w:rPr>
        <w:t>期</w:t>
      </w:r>
      <w:r>
        <w:t>。</w:t>
      </w:r>
    </w:p>
    <w:p w14:paraId="368C313D">
      <w:pPr>
        <w:bidi w:val="0"/>
      </w:pPr>
      <w:r>
        <w:t>1.1.4.7 天：除特别指明外，均指日历天。合同中按天计算时间的，开始当天不计入，从次日开始计算，期限最后一天的截止时间为当天24</w:t>
      </w:r>
      <w:r>
        <w:rPr>
          <w:rFonts w:hint="eastAsia"/>
          <w:lang w:eastAsia="zh-CN"/>
        </w:rPr>
        <w:t>：</w:t>
      </w:r>
      <w:r>
        <w:t>00时。</w:t>
      </w:r>
    </w:p>
    <w:p w14:paraId="7D2531B3">
      <w:pPr>
        <w:bidi w:val="0"/>
      </w:pPr>
      <w:r>
        <w:t>1.1.5 合同价格和费用</w:t>
      </w:r>
    </w:p>
    <w:p w14:paraId="1F8E0ABF">
      <w:pPr>
        <w:bidi w:val="0"/>
      </w:pPr>
      <w:r>
        <w:t>1.1.5.1 签约合同价：是指发包人和承包人在合同协议书中确定的总金额，包括安全文明施工费、暂估价及暂列金额等。</w:t>
      </w:r>
    </w:p>
    <w:p w14:paraId="7713738C">
      <w:pPr>
        <w:bidi w:val="0"/>
      </w:pPr>
      <w:r>
        <w:t>1.1.5.2 合同价格：是指发包人用于支付承包人按照合同约定完成承包范围内全部工作的金额，包括合同履行过程中按合同约定</w:t>
      </w:r>
      <w:r>
        <w:rPr>
          <w:rFonts w:hint="eastAsia"/>
        </w:rPr>
        <w:t>发生的价格变化。</w:t>
      </w:r>
    </w:p>
    <w:p w14:paraId="5489A0B5">
      <w:pPr>
        <w:bidi w:val="0"/>
      </w:pPr>
      <w:r>
        <w:t>1.1.5.3 费用：是指为履行合同所发生的或将要发生的所有必需的开支，包括管理费和应分摊的其他费用，但不包括利润。</w:t>
      </w:r>
    </w:p>
    <w:p w14:paraId="616A2E0E">
      <w:pPr>
        <w:bidi w:val="0"/>
      </w:pPr>
      <w:r>
        <w:t>1.1.5.4 暂估价：是指发包人在工程量清单或预算书中提供的用于支付必然发生但暂时不能确定价格的材料、工程设备的单价</w:t>
      </w:r>
      <w:r>
        <w:rPr>
          <w:rFonts w:hint="eastAsia"/>
        </w:rPr>
        <w:t>、</w:t>
      </w:r>
      <w:r>
        <w:t>专业工程以及</w:t>
      </w:r>
      <w:r>
        <w:rPr>
          <w:rFonts w:hint="eastAsia"/>
        </w:rPr>
        <w:t>服务工作</w:t>
      </w:r>
      <w:r>
        <w:t>的金额。</w:t>
      </w:r>
    </w:p>
    <w:p w14:paraId="7A757DDE">
      <w:pPr>
        <w:bidi w:val="0"/>
      </w:pPr>
      <w:r>
        <w:t>1.1.5.5 暂列金额：是指发包人在工程量清单或预算书中暂定并包括在合同价格中的一笔款项</w:t>
      </w:r>
      <w:r>
        <w:rPr>
          <w:rFonts w:hint="eastAsia"/>
        </w:rPr>
        <w:t>，</w:t>
      </w:r>
      <w:r>
        <w:t>用于工程合同签订时尚未确定或者不可预见的所需材料、工程设备、服务的采购，施工中可能发生的工程变更、合同约定调整因素出现时的合同价格调整以及发生的索赔、现场签证确认等的费用。</w:t>
      </w:r>
    </w:p>
    <w:p w14:paraId="372955FB">
      <w:pPr>
        <w:bidi w:val="0"/>
      </w:pPr>
      <w:r>
        <w:t>1.1.5.6 计日工：是指合同履行过程中，承包人完成发包人提出的零星工作或需要采用计日工计价的变更工作时，按合同中约定的单价计价的一种方式。</w:t>
      </w:r>
    </w:p>
    <w:p w14:paraId="5F8CA899">
      <w:pPr>
        <w:bidi w:val="0"/>
      </w:pPr>
      <w:r>
        <w:t>1.1.5.7 质量保证金</w:t>
      </w:r>
      <w:bookmarkStart w:id="417" w:name="#go2"/>
      <w:bookmarkEnd w:id="417"/>
      <w:r>
        <w:t>：是指按照第15.3款</w:t>
      </w:r>
      <w:r>
        <w:rPr>
          <w:rFonts w:hint="eastAsia"/>
        </w:rPr>
        <w:t>〔</w:t>
      </w:r>
      <w:r>
        <w:t>质量保证金</w:t>
      </w:r>
      <w:r>
        <w:rPr>
          <w:rFonts w:hint="eastAsia"/>
        </w:rPr>
        <w:t>〕</w:t>
      </w:r>
      <w:r>
        <w:t>约定承包人用于保证其在缺陷责任期内履行缺陷修补义务的担保。</w:t>
      </w:r>
    </w:p>
    <w:p w14:paraId="15707BCD">
      <w:pPr>
        <w:bidi w:val="0"/>
      </w:pPr>
      <w:r>
        <w:t>1.1.5.8 总价项目：是指在现行国家、行业以及地方的计量规则中无工程量计算规则，在已标价工程量清单或预算书中以总价或以费率形式计算的项目。</w:t>
      </w:r>
    </w:p>
    <w:p w14:paraId="420BD342">
      <w:pPr>
        <w:bidi w:val="0"/>
      </w:pPr>
      <w:r>
        <w:t>1.1.6 其他</w:t>
      </w:r>
    </w:p>
    <w:p w14:paraId="45C72FB7">
      <w:pPr>
        <w:bidi w:val="0"/>
      </w:pPr>
      <w:r>
        <w:t>1.1.6.1 书面形式：是指合同文件、信函、电报、传真等可以有形地表现所载内容的形式。</w:t>
      </w:r>
    </w:p>
    <w:p w14:paraId="4C2203C8">
      <w:pPr>
        <w:bidi w:val="0"/>
      </w:pPr>
      <w:r>
        <w:t xml:space="preserve">    </w:t>
      </w:r>
      <w:bookmarkStart w:id="418" w:name="_Toc351203497"/>
      <w:bookmarkStart w:id="419" w:name="_Toc337558729"/>
      <w:bookmarkStart w:id="420" w:name="_Toc296503029"/>
      <w:bookmarkStart w:id="421" w:name="_Toc296346530"/>
      <w:r>
        <w:t>1.2语言文字</w:t>
      </w:r>
      <w:bookmarkEnd w:id="418"/>
      <w:bookmarkEnd w:id="419"/>
      <w:bookmarkEnd w:id="420"/>
      <w:bookmarkEnd w:id="421"/>
    </w:p>
    <w:p w14:paraId="4C89187C">
      <w:pPr>
        <w:bidi w:val="0"/>
      </w:pPr>
      <w:r>
        <w:t>合同以中国的汉语简体文字编写、解释和说明。合同当事人在专用合同条款中约定使用两种以上语言时，汉语为优先解释和说明合同的语言。</w:t>
      </w:r>
    </w:p>
    <w:p w14:paraId="23D66FEB">
      <w:pPr>
        <w:bidi w:val="0"/>
      </w:pPr>
      <w:bookmarkStart w:id="422" w:name="_Toc296503030"/>
      <w:bookmarkStart w:id="423" w:name="_Toc337558730"/>
      <w:bookmarkStart w:id="424" w:name="_Toc296346531"/>
      <w:bookmarkStart w:id="425" w:name="_Toc351203498"/>
      <w:r>
        <w:t>1.3法律</w:t>
      </w:r>
      <w:bookmarkEnd w:id="422"/>
      <w:bookmarkEnd w:id="423"/>
      <w:bookmarkEnd w:id="424"/>
      <w:bookmarkEnd w:id="425"/>
    </w:p>
    <w:p w14:paraId="51630300">
      <w:pPr>
        <w:bidi w:val="0"/>
      </w:pPr>
      <w:r>
        <w:t>合同所称法律是指中华人民共和国法律、行政法规、部门规章，以及工程所在地的地方性法规、自治条例、单行条例和地方政府规章等。</w:t>
      </w:r>
    </w:p>
    <w:p w14:paraId="4088AFE1">
      <w:pPr>
        <w:bidi w:val="0"/>
      </w:pPr>
      <w:r>
        <w:t>合同当事人可以在专用合同条款中约定合同适用的其他规范性文件。</w:t>
      </w:r>
    </w:p>
    <w:p w14:paraId="667D8BF0">
      <w:pPr>
        <w:bidi w:val="0"/>
      </w:pPr>
      <w:bookmarkStart w:id="426" w:name="_Toc351203499"/>
      <w:r>
        <w:t>1.4 标准和规范</w:t>
      </w:r>
      <w:bookmarkEnd w:id="426"/>
    </w:p>
    <w:p w14:paraId="42CD0FF0">
      <w:pPr>
        <w:bidi w:val="0"/>
      </w:pPr>
      <w:r>
        <w:t>1.4.1 适用于工程的国家标准、行业标准、工程所在地的地方性标准，以及相应的规范、规程等，合同当事人有特别要求的，应在专用合同条款中约定。</w:t>
      </w:r>
    </w:p>
    <w:p w14:paraId="6E8ABDF1">
      <w:pPr>
        <w:bidi w:val="0"/>
      </w:pPr>
      <w:r>
        <w:t>1.4.2 发包人要求使用国外标准、规范的，发包人负责提供原文版本和中文译本，并在专用合同条款中约定提供标准规范的名称、份数和时间。</w:t>
      </w:r>
    </w:p>
    <w:p w14:paraId="6D3E46C7">
      <w:pPr>
        <w:bidi w:val="0"/>
      </w:pPr>
      <w:r>
        <w:t>1.4.3 发包人对工程的技术标准、功能要求高于或严于现行国家、行业或地方标准的，应当在专用合同条款中予以明确。除专用合同条款另有约定外，应视为</w:t>
      </w:r>
      <w:r>
        <w:rPr>
          <w:rFonts w:hint="eastAsia"/>
        </w:rPr>
        <w:t>承包人</w:t>
      </w:r>
      <w:r>
        <w:t>在签订合同前已充分预见前述技术标准和功能要求的复杂程度，签约合同价中已包含由此产生的费用。</w:t>
      </w:r>
    </w:p>
    <w:p w14:paraId="1E68D84B">
      <w:pPr>
        <w:bidi w:val="0"/>
      </w:pPr>
      <w:bookmarkStart w:id="427" w:name="_Toc351203500"/>
      <w:r>
        <w:t>1</w:t>
      </w:r>
      <w:bookmarkStart w:id="428" w:name="_Toc296346532"/>
      <w:bookmarkStart w:id="429" w:name="_Toc296503031"/>
      <w:bookmarkStart w:id="430" w:name="_Toc337558731"/>
      <w:r>
        <w:t>.5 合同文件的优先顺序</w:t>
      </w:r>
      <w:bookmarkEnd w:id="427"/>
    </w:p>
    <w:bookmarkEnd w:id="428"/>
    <w:bookmarkEnd w:id="429"/>
    <w:bookmarkEnd w:id="430"/>
    <w:p w14:paraId="1B89EF80">
      <w:pPr>
        <w:bidi w:val="0"/>
      </w:pPr>
      <w:r>
        <w:t>组成合同的各项文件应互相解释，互为说明。除专用合同条款另有约定外，解释合同文件的优先顺序如下：</w:t>
      </w:r>
    </w:p>
    <w:p w14:paraId="5FAF3ED2">
      <w:pPr>
        <w:bidi w:val="0"/>
      </w:pPr>
      <w:r>
        <w:t>（1）合同协议书；</w:t>
      </w:r>
    </w:p>
    <w:p w14:paraId="43200EFF">
      <w:pPr>
        <w:bidi w:val="0"/>
      </w:pPr>
      <w:r>
        <w:t>（2）中标通知书（如果有）；</w:t>
      </w:r>
    </w:p>
    <w:p w14:paraId="7DBC0775">
      <w:pPr>
        <w:bidi w:val="0"/>
      </w:pPr>
      <w:r>
        <w:t>（3）投标函及其附录（如果有）；</w:t>
      </w:r>
    </w:p>
    <w:p w14:paraId="49BB5518">
      <w:pPr>
        <w:bidi w:val="0"/>
      </w:pPr>
      <w:r>
        <w:t>（4）专用合同条款及其附件；</w:t>
      </w:r>
    </w:p>
    <w:p w14:paraId="754BB538">
      <w:pPr>
        <w:bidi w:val="0"/>
      </w:pPr>
      <w:r>
        <w:t>（5）通用合同条款；</w:t>
      </w:r>
    </w:p>
    <w:p w14:paraId="43716224">
      <w:pPr>
        <w:bidi w:val="0"/>
      </w:pPr>
      <w:r>
        <w:t>（6）技术标准和要求；</w:t>
      </w:r>
    </w:p>
    <w:p w14:paraId="4C20BF69">
      <w:pPr>
        <w:bidi w:val="0"/>
      </w:pPr>
      <w:r>
        <w:t>（7）图纸（如果有）；</w:t>
      </w:r>
    </w:p>
    <w:p w14:paraId="54AF36DB">
      <w:pPr>
        <w:bidi w:val="0"/>
      </w:pPr>
      <w:r>
        <w:t>（8）已标价工程量清单或预算书；</w:t>
      </w:r>
    </w:p>
    <w:p w14:paraId="56B14C7D">
      <w:pPr>
        <w:bidi w:val="0"/>
      </w:pPr>
      <w:r>
        <w:t>（9）其他合同文件。</w:t>
      </w:r>
    </w:p>
    <w:p w14:paraId="77E0A904">
      <w:pPr>
        <w:bidi w:val="0"/>
      </w:pPr>
      <w:r>
        <w:t>上述各项合同文件包括合同当事人就该项合同文件所作出的补充和修改，属于同一类内容的文件，应以最新签署的为准。</w:t>
      </w:r>
    </w:p>
    <w:p w14:paraId="50E543C9">
      <w:pPr>
        <w:bidi w:val="0"/>
      </w:pPr>
      <w:r>
        <w:t>在合同订立及履行过程中形成的与合同有关的文件均构成合同文件组成部分，并根据其性质确定优先解释顺序。</w:t>
      </w:r>
    </w:p>
    <w:p w14:paraId="67E50AD7">
      <w:pPr>
        <w:bidi w:val="0"/>
      </w:pPr>
      <w:bookmarkStart w:id="431" w:name="_Toc351203501"/>
      <w:r>
        <w:t>1</w:t>
      </w:r>
      <w:bookmarkStart w:id="432" w:name="_Toc296503032"/>
      <w:bookmarkStart w:id="433" w:name="_Toc296346533"/>
      <w:bookmarkStart w:id="434" w:name="_Toc337558732"/>
      <w:r>
        <w:t>.6图纸和承包人文件</w:t>
      </w:r>
      <w:bookmarkEnd w:id="431"/>
    </w:p>
    <w:bookmarkEnd w:id="432"/>
    <w:bookmarkEnd w:id="433"/>
    <w:bookmarkEnd w:id="434"/>
    <w:p w14:paraId="1710422F">
      <w:pPr>
        <w:bidi w:val="0"/>
      </w:pPr>
      <w:r>
        <w:t>1.6.1 图纸的提供和交底</w:t>
      </w:r>
    </w:p>
    <w:p w14:paraId="552E13C4">
      <w:pPr>
        <w:bidi w:val="0"/>
      </w:pPr>
      <w:r>
        <w:t>发包人应按照专用合同条款约定的期限、数量和内容向承包人免费提供图纸，并组织承包人、监理人和设计人进行图纸会审和设计交底。发包人至迟不得晚于第7.3.2项</w:t>
      </w:r>
      <w:r>
        <w:rPr>
          <w:rFonts w:hint="eastAsia"/>
        </w:rPr>
        <w:t>〔</w:t>
      </w:r>
      <w:r>
        <w:t>开工通知</w:t>
      </w:r>
      <w:r>
        <w:rPr>
          <w:rFonts w:hint="eastAsia"/>
        </w:rPr>
        <w:t>〕</w:t>
      </w:r>
      <w:r>
        <w:t>载明的开工日期前14天向承包人提供图纸。</w:t>
      </w:r>
    </w:p>
    <w:p w14:paraId="166EDCC7">
      <w:pPr>
        <w:bidi w:val="0"/>
      </w:pPr>
      <w:r>
        <w:t>因发包人未按合同约定提供图纸导致承包人费用增加和（或）工期延误的，按照第7.5.1项</w:t>
      </w:r>
      <w:r>
        <w:rPr>
          <w:rFonts w:hint="eastAsia"/>
        </w:rPr>
        <w:t>〔</w:t>
      </w:r>
      <w:r>
        <w:t>因发包人原因导致工期延误</w:t>
      </w:r>
      <w:r>
        <w:rPr>
          <w:rFonts w:hint="eastAsia"/>
        </w:rPr>
        <w:t>〕</w:t>
      </w:r>
      <w:r>
        <w:t>约定办理。</w:t>
      </w:r>
    </w:p>
    <w:p w14:paraId="45EFE067">
      <w:pPr>
        <w:bidi w:val="0"/>
      </w:pPr>
      <w:r>
        <w:t>1.6.2 图纸的错误</w:t>
      </w:r>
    </w:p>
    <w:p w14:paraId="0DAAA32C">
      <w:pPr>
        <w:bidi w:val="0"/>
      </w:pPr>
      <w:r>
        <w:t>承包人在收到发包人提供的图纸后，发现图纸存在差错、遗漏或缺陷的，应及时通知监理人。监理人接到该通知后，应附具相关意见并立即报送发包人，发包人应在收到监理人报送的通知后的合理时间内作出决定。</w:t>
      </w:r>
      <w:r>
        <w:rPr>
          <w:rFonts w:hint="eastAsia"/>
        </w:rPr>
        <w:t>合理时间是指发包人在收到监理人的报送通知后，尽其努力且不懈怠地完成图纸修改补充所需的时间。</w:t>
      </w:r>
    </w:p>
    <w:p w14:paraId="0AF9FABC">
      <w:pPr>
        <w:bidi w:val="0"/>
      </w:pPr>
      <w:r>
        <w:t>1.6.3 图纸的修改和补充</w:t>
      </w:r>
    </w:p>
    <w:p w14:paraId="2D21218E">
      <w:pPr>
        <w:bidi w:val="0"/>
      </w:pPr>
      <w:r>
        <w:t>图纸需要修改和补充的，应经图纸原设计人及审批部门同意，并由监理人在工程或工程相应部位施工前将修改后的图纸或补充图纸提交给承包人，承包人应按修改或补充后的图纸施工。</w:t>
      </w:r>
    </w:p>
    <w:p w14:paraId="649E0898">
      <w:pPr>
        <w:bidi w:val="0"/>
      </w:pPr>
      <w:r>
        <w:t>1.6.4 承包人文件</w:t>
      </w:r>
    </w:p>
    <w:p w14:paraId="38AA6E81">
      <w:pPr>
        <w:bidi w:val="0"/>
      </w:pPr>
      <w:r>
        <w:t>承包人应按照专用合同条款的约定提供应当由其编制的与工程施工有关的文件，并按照专用合同条款约定的期限、数量和形式提交监理人，并由监理人报送发包人。</w:t>
      </w:r>
    </w:p>
    <w:p w14:paraId="05231566">
      <w:pPr>
        <w:bidi w:val="0"/>
      </w:pPr>
      <w: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D618A2D">
      <w:pPr>
        <w:bidi w:val="0"/>
      </w:pPr>
      <w:r>
        <w:t>1.6.5 图纸和承包人文件的保管</w:t>
      </w:r>
    </w:p>
    <w:p w14:paraId="19F0B247">
      <w:pPr>
        <w:bidi w:val="0"/>
      </w:pPr>
      <w:r>
        <w:t>除专用合同条款另有约定外，承包人应在施工现场另外保存一套完整的图纸和承包人文件，供发包人、监理人及有关人员进行工程检查时使用。</w:t>
      </w:r>
    </w:p>
    <w:p w14:paraId="6D94638D">
      <w:pPr>
        <w:bidi w:val="0"/>
      </w:pPr>
      <w:bookmarkStart w:id="435" w:name="_Toc351203502"/>
      <w:r>
        <w:t>1</w:t>
      </w:r>
      <w:bookmarkStart w:id="436" w:name="_Toc296346534"/>
      <w:bookmarkStart w:id="437" w:name="_Toc296503033"/>
      <w:bookmarkStart w:id="438" w:name="_Toc337558733"/>
      <w:r>
        <w:t>.7联络</w:t>
      </w:r>
      <w:bookmarkEnd w:id="435"/>
    </w:p>
    <w:bookmarkEnd w:id="436"/>
    <w:bookmarkEnd w:id="437"/>
    <w:bookmarkEnd w:id="438"/>
    <w:p w14:paraId="6161CB87">
      <w:pPr>
        <w:bidi w:val="0"/>
      </w:pPr>
      <w:r>
        <w:t>1.7.1 与合同有关的通知、批准、证明、证书、指示、指令、要求、请求、同意、意见、确定和决定等，均应采用书面形式，并应在合同约定的期限内送达接收人和送达地点。</w:t>
      </w:r>
    </w:p>
    <w:p w14:paraId="1C3CADE7">
      <w:pPr>
        <w:bidi w:val="0"/>
      </w:pPr>
      <w:r>
        <w:t>1.7.2 发包人和承包人应在专用合同条款中约定各自的送达接收人和送达地点。任何一方合同当事人指定的接收人或送达地点发生变动的，应提前3天以书面形式通知对方。</w:t>
      </w:r>
    </w:p>
    <w:p w14:paraId="49A9901C">
      <w:pPr>
        <w:bidi w:val="0"/>
      </w:pPr>
      <w:r>
        <w:t>1.7.3 发包人和承包人应当及时签收另一方送达至送达地点和指定接收人的来往信函。拒不签收的，由此增加的费用和（或）延误的工期由拒绝接收一方承担。</w:t>
      </w:r>
    </w:p>
    <w:p w14:paraId="5D3E482E">
      <w:pPr>
        <w:bidi w:val="0"/>
      </w:pPr>
      <w:bookmarkStart w:id="439" w:name="_Toc351203503"/>
      <w:r>
        <w:t>1</w:t>
      </w:r>
      <w:bookmarkStart w:id="440" w:name="_Toc296346536"/>
      <w:bookmarkStart w:id="441" w:name="_Toc296503035"/>
      <w:bookmarkStart w:id="442" w:name="_Toc337558734"/>
      <w:r>
        <w:t>.8严禁贿赂</w:t>
      </w:r>
      <w:bookmarkEnd w:id="439"/>
    </w:p>
    <w:bookmarkEnd w:id="440"/>
    <w:bookmarkEnd w:id="441"/>
    <w:bookmarkEnd w:id="442"/>
    <w:p w14:paraId="2502E6F8">
      <w:pPr>
        <w:bidi w:val="0"/>
      </w:pPr>
      <w:r>
        <w:t>合同当事人不得以贿赂或变相贿赂的方式，谋取非法利益或损害对方权益。因一方合同当事人的贿赂造成对方损失的，应赔偿损失，并承担相应的法律责任。</w:t>
      </w:r>
    </w:p>
    <w:p w14:paraId="398FE29E">
      <w:pPr>
        <w:bidi w:val="0"/>
      </w:pPr>
      <w:r>
        <w:t>承包人不得与监理人或发包人聘请的第三方串通损害发包人利益。未经发包人书面同意，承包人不得为监理人提供合同约定以外的通讯设备、交通工具及其他任何形式的利益，不得向监理人支付报酬。</w:t>
      </w:r>
    </w:p>
    <w:p w14:paraId="613E1FE6">
      <w:pPr>
        <w:bidi w:val="0"/>
      </w:pPr>
      <w:bookmarkStart w:id="443" w:name="_Toc351203504"/>
      <w:r>
        <w:t>1</w:t>
      </w:r>
      <w:bookmarkStart w:id="444" w:name="_Toc296503036"/>
      <w:bookmarkStart w:id="445" w:name="_Toc296346537"/>
      <w:bookmarkStart w:id="446" w:name="_Toc337558735"/>
      <w:r>
        <w:t>.9化石、文物</w:t>
      </w:r>
      <w:bookmarkEnd w:id="443"/>
    </w:p>
    <w:bookmarkEnd w:id="444"/>
    <w:bookmarkEnd w:id="445"/>
    <w:bookmarkEnd w:id="446"/>
    <w:p w14:paraId="0560714E">
      <w:pPr>
        <w:bidi w:val="0"/>
      </w:pPr>
      <w: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6F426485">
      <w:pPr>
        <w:bidi w:val="0"/>
      </w:pPr>
      <w:r>
        <w:t>发包人、监理人和承包人应按有关政府行政管理部门要求采取妥善的保护措施，由此增加的费用和</w:t>
      </w:r>
      <w:r>
        <w:rPr>
          <w:rFonts w:hint="eastAsia"/>
        </w:rPr>
        <w:t>（</w:t>
      </w:r>
      <w:r>
        <w:t>或）延误的工期由发包人承担。</w:t>
      </w:r>
    </w:p>
    <w:p w14:paraId="57DBE8A9">
      <w:pPr>
        <w:bidi w:val="0"/>
      </w:pPr>
      <w:r>
        <w:t>承包人发现文物后不及时报告或隐瞒不报，致使文物丢失或损坏的，应赔偿损失，并承担相应的法律责任。</w:t>
      </w:r>
    </w:p>
    <w:p w14:paraId="64372F4C">
      <w:pPr>
        <w:bidi w:val="0"/>
      </w:pPr>
      <w:bookmarkStart w:id="447" w:name="_Toc351203505"/>
      <w:r>
        <w:t>1</w:t>
      </w:r>
      <w:bookmarkStart w:id="448" w:name="_Toc337558736"/>
      <w:r>
        <w:t>.10交通运输</w:t>
      </w:r>
      <w:bookmarkEnd w:id="447"/>
    </w:p>
    <w:bookmarkEnd w:id="448"/>
    <w:p w14:paraId="4D8AC375">
      <w:pPr>
        <w:bidi w:val="0"/>
      </w:pPr>
      <w:r>
        <w:t>1.10.1</w:t>
      </w:r>
      <w:r>
        <w:rPr>
          <w:rFonts w:hint="eastAsia"/>
        </w:rPr>
        <w:t xml:space="preserve"> </w:t>
      </w:r>
      <w:r>
        <w:t>出入现场的权利</w:t>
      </w:r>
    </w:p>
    <w:p w14:paraId="0F10C8EA">
      <w:pPr>
        <w:bidi w:val="0"/>
      </w:pPr>
      <w:r>
        <w:t>除专用合同条款另有约定外，发包人应根据施工需要，负责取得出入施工现场所需的</w:t>
      </w:r>
      <w:r>
        <w:rPr>
          <w:rFonts w:hint="eastAsia"/>
        </w:rPr>
        <w:t>批准手续和</w:t>
      </w:r>
      <w:r>
        <w:t>全部权利，以及取得因施工所需修建道路、桥梁以及其他基础设施的权利，并承担相关手续费用和建设费用。承包人应协助发包人办理修建场内外道路、桥梁以及其他基础设施的手续。</w:t>
      </w:r>
    </w:p>
    <w:p w14:paraId="24885160">
      <w:pPr>
        <w:bidi w:val="0"/>
      </w:pPr>
      <w:r>
        <w:t>承包人应在订立合同前查勘施工现场，并根据工程规模及技术参数合理预见工程施工所需的进出施工现场的方式、手段、路径等。因承包人未合理预见所增加的费用和（或）延误的工期由承包人承担。</w:t>
      </w:r>
    </w:p>
    <w:p w14:paraId="44E1BDB1">
      <w:pPr>
        <w:bidi w:val="0"/>
      </w:pPr>
      <w:r>
        <w:t>1.10.2</w:t>
      </w:r>
      <w:r>
        <w:rPr>
          <w:rFonts w:hint="eastAsia"/>
        </w:rPr>
        <w:t xml:space="preserve"> </w:t>
      </w:r>
      <w:r>
        <w:t>场外交通</w:t>
      </w:r>
    </w:p>
    <w:p w14:paraId="14B92CFE">
      <w:pPr>
        <w:bidi w:val="0"/>
      </w:pPr>
      <w: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09FA38E9">
      <w:pPr>
        <w:bidi w:val="0"/>
      </w:pPr>
      <w:r>
        <w:t>1.10.3场内交通</w:t>
      </w:r>
    </w:p>
    <w:p w14:paraId="64A0F360">
      <w:pPr>
        <w:bidi w:val="0"/>
      </w:pPr>
      <w: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C12B744">
      <w:pPr>
        <w:bidi w:val="0"/>
      </w:pPr>
      <w: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63F4E183">
      <w:pPr>
        <w:bidi w:val="0"/>
      </w:pPr>
      <w:r>
        <w:t>场外交通和场内交通的边界由合同当事人在专用合同条款中约定。</w:t>
      </w:r>
    </w:p>
    <w:p w14:paraId="41AC18A9">
      <w:pPr>
        <w:bidi w:val="0"/>
      </w:pPr>
      <w:r>
        <w:t>1.10.4</w:t>
      </w:r>
      <w:r>
        <w:rPr>
          <w:rFonts w:hint="eastAsia"/>
        </w:rPr>
        <w:t xml:space="preserve"> </w:t>
      </w:r>
      <w:r>
        <w:t>超大件和超重件的运输</w:t>
      </w:r>
    </w:p>
    <w:p w14:paraId="45B50D0B">
      <w:pPr>
        <w:bidi w:val="0"/>
      </w:pPr>
      <w: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D712AE6">
      <w:pPr>
        <w:bidi w:val="0"/>
      </w:pPr>
      <w:r>
        <w:t>1.10.5</w:t>
      </w:r>
      <w:r>
        <w:rPr>
          <w:rFonts w:hint="eastAsia"/>
        </w:rPr>
        <w:t xml:space="preserve"> </w:t>
      </w:r>
      <w:r>
        <w:t>道路和桥梁的损坏责任</w:t>
      </w:r>
    </w:p>
    <w:p w14:paraId="3941ECF8">
      <w:pPr>
        <w:bidi w:val="0"/>
      </w:pPr>
      <w:r>
        <w:t>因承包人运输造成施工场地内外公共道路和桥梁损坏的，由承包人承担修复损坏的全部费用和可能引起的赔偿。</w:t>
      </w:r>
    </w:p>
    <w:p w14:paraId="3434A4AB">
      <w:pPr>
        <w:bidi w:val="0"/>
      </w:pPr>
      <w:r>
        <w:t>1.10.6</w:t>
      </w:r>
      <w:r>
        <w:rPr>
          <w:rFonts w:hint="eastAsia"/>
        </w:rPr>
        <w:t xml:space="preserve"> </w:t>
      </w:r>
      <w:r>
        <w:t>水路和航空运输</w:t>
      </w:r>
    </w:p>
    <w:p w14:paraId="10AB913A">
      <w:pPr>
        <w:bidi w:val="0"/>
      </w:pPr>
      <w:r>
        <w:t>本</w:t>
      </w:r>
      <w:r>
        <w:rPr>
          <w:rFonts w:hint="eastAsia"/>
        </w:rPr>
        <w:t>款</w:t>
      </w:r>
      <w:r>
        <w:t>前述各</w:t>
      </w:r>
      <w:r>
        <w:rPr>
          <w:rFonts w:hint="eastAsia"/>
        </w:rPr>
        <w:t>项</w:t>
      </w:r>
      <w:r>
        <w:t>的内容适用于水路运输和航空运输，其中“道路”一词的涵义包括河道、航线、船闸、机场、码头、堤防以及水路或航空运输中其他相似结构物；“车辆”一词的涵义包括船舶和飞机等。</w:t>
      </w:r>
    </w:p>
    <w:p w14:paraId="231C1697">
      <w:pPr>
        <w:bidi w:val="0"/>
      </w:pPr>
      <w:bookmarkStart w:id="449" w:name="_Toc351203506"/>
      <w:r>
        <w:t>1</w:t>
      </w:r>
      <w:bookmarkStart w:id="450" w:name="_Toc337558737"/>
      <w:bookmarkStart w:id="451" w:name="_Toc296346538"/>
      <w:bookmarkStart w:id="452" w:name="_Toc296503037"/>
      <w:r>
        <w:t>.11知识产权</w:t>
      </w:r>
      <w:bookmarkEnd w:id="449"/>
      <w:r>
        <w:t xml:space="preserve"> </w:t>
      </w:r>
      <w:bookmarkEnd w:id="450"/>
    </w:p>
    <w:bookmarkEnd w:id="451"/>
    <w:bookmarkEnd w:id="452"/>
    <w:p w14:paraId="136781B4">
      <w:pPr>
        <w:bidi w:val="0"/>
      </w:pPr>
      <w: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482F74A">
      <w:pPr>
        <w:bidi w:val="0"/>
      </w:pPr>
      <w: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E81DE15">
      <w:pPr>
        <w:bidi w:val="0"/>
      </w:pPr>
      <w: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9A187E6">
      <w:pPr>
        <w:bidi w:val="0"/>
      </w:pPr>
      <w:r>
        <w:t xml:space="preserve">    1.11.4 除专用合同条款另有约定外，承包人在合同签订前和签订时已确定采用的专利、专有技术、技术秘密的使用费已包含在签约合同价中。</w:t>
      </w:r>
    </w:p>
    <w:p w14:paraId="68F1D935">
      <w:pPr>
        <w:bidi w:val="0"/>
      </w:pPr>
      <w:bookmarkStart w:id="453" w:name="_Toc351203507"/>
      <w:r>
        <w:t>1</w:t>
      </w:r>
      <w:bookmarkStart w:id="454" w:name="_Toc337558738"/>
      <w:r>
        <w:t>.12保密</w:t>
      </w:r>
      <w:bookmarkEnd w:id="453"/>
    </w:p>
    <w:bookmarkEnd w:id="454"/>
    <w:p w14:paraId="3507F667">
      <w:pPr>
        <w:bidi w:val="0"/>
      </w:pPr>
      <w:r>
        <w:t>除法律规定或合同另有约定外，未经发包人同意，承包人不得将发包人提供的图纸、文件以及声明需要保密的资料信息等商业秘密泄露给第三方。</w:t>
      </w:r>
    </w:p>
    <w:p w14:paraId="10D792A2">
      <w:pPr>
        <w:bidi w:val="0"/>
      </w:pPr>
      <w:r>
        <w:t>除法律规定或合同另有约定外，未经承包人同意，发包人不得将承包人提供的技术秘密及声明需要保密的资料信息等商业秘密泄露给第三方。</w:t>
      </w:r>
    </w:p>
    <w:p w14:paraId="58DD497E">
      <w:pPr>
        <w:bidi w:val="0"/>
      </w:pPr>
      <w:bookmarkStart w:id="455" w:name="_Toc351203508"/>
      <w:r>
        <w:t>1.13工程量清单错误的修正</w:t>
      </w:r>
      <w:bookmarkEnd w:id="455"/>
    </w:p>
    <w:p w14:paraId="62DC4D14">
      <w:pPr>
        <w:bidi w:val="0"/>
      </w:pPr>
      <w:r>
        <w:rPr>
          <w:rFonts w:hint="eastAsia"/>
        </w:rPr>
        <w:t>除专用合同条款另有约定外，</w:t>
      </w:r>
      <w:r>
        <w:t>发包人提供的工程量清单，应被认为是准确的和完整的。出现下列情形之一时，发包人应予以修正，并相应调整合同价格：</w:t>
      </w:r>
    </w:p>
    <w:p w14:paraId="2C8D7E4F">
      <w:pPr>
        <w:bidi w:val="0"/>
      </w:pPr>
      <w:r>
        <w:t>（1）工程量清单存在缺项、漏项的；</w:t>
      </w:r>
    </w:p>
    <w:p w14:paraId="7EC73056">
      <w:pPr>
        <w:bidi w:val="0"/>
      </w:pPr>
      <w:r>
        <w:t>（2）工程量清单偏差超出专用合同条款约定的工程量偏差范围的；</w:t>
      </w:r>
    </w:p>
    <w:p w14:paraId="3A61A92C">
      <w:pPr>
        <w:bidi w:val="0"/>
      </w:pPr>
      <w:r>
        <w:t>（3）未按照国家现行计量规范强制性规定计量的。</w:t>
      </w:r>
    </w:p>
    <w:p w14:paraId="19439F89">
      <w:pPr>
        <w:pStyle w:val="66"/>
        <w:bidi w:val="0"/>
      </w:pPr>
      <w:bookmarkStart w:id="456" w:name="_Toc351203509"/>
      <w:r>
        <w:t>2</w:t>
      </w:r>
      <w:bookmarkStart w:id="457" w:name="_Toc296346539"/>
      <w:bookmarkStart w:id="458" w:name="_Toc337558739"/>
      <w:bookmarkStart w:id="459" w:name="_Toc296503038"/>
      <w:bookmarkStart w:id="460" w:name="OLE_LINK2"/>
      <w:r>
        <w:t>. 发包人</w:t>
      </w:r>
      <w:bookmarkEnd w:id="456"/>
    </w:p>
    <w:bookmarkEnd w:id="457"/>
    <w:bookmarkEnd w:id="458"/>
    <w:bookmarkEnd w:id="459"/>
    <w:p w14:paraId="2E2DE0DE">
      <w:pPr>
        <w:bidi w:val="0"/>
      </w:pPr>
      <w:bookmarkStart w:id="461" w:name="_Toc351203510"/>
      <w:r>
        <w:t>2</w:t>
      </w:r>
      <w:bookmarkStart w:id="462" w:name="_Toc296503039"/>
      <w:bookmarkStart w:id="463" w:name="_Toc296346540"/>
      <w:bookmarkStart w:id="464" w:name="_Toc337558740"/>
      <w:r>
        <w:t>.1 许可或批准</w:t>
      </w:r>
      <w:bookmarkEnd w:id="461"/>
    </w:p>
    <w:p w14:paraId="7022821D">
      <w:pPr>
        <w:bidi w:val="0"/>
      </w:pPr>
      <w: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D7C1419">
      <w:pPr>
        <w:bidi w:val="0"/>
      </w:pPr>
      <w:r>
        <w:t>因发包人原因未能及时办理完毕前述许可、批准或备案，由发包人承担由此增加的费用和（或）延误的工期，并支付承包人合理的利润。</w:t>
      </w:r>
    </w:p>
    <w:p w14:paraId="69A84293">
      <w:pPr>
        <w:bidi w:val="0"/>
      </w:pPr>
      <w:bookmarkStart w:id="465" w:name="_Toc351203511"/>
      <w:r>
        <w:t>2.2 发包人代表</w:t>
      </w:r>
      <w:bookmarkEnd w:id="465"/>
    </w:p>
    <w:p w14:paraId="6CE06C22">
      <w:pPr>
        <w:bidi w:val="0"/>
      </w:pPr>
      <w: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143F4E0">
      <w:pPr>
        <w:bidi w:val="0"/>
        <w:rPr>
          <w:rFonts w:hint="eastAsia"/>
        </w:rPr>
      </w:pPr>
      <w:r>
        <w:t>发包人代表不能按照合同约定履行其职责及义务，并导致合同无法继续正常履行的，承包人可以要求发包人撤换发包人代表。</w:t>
      </w:r>
    </w:p>
    <w:p w14:paraId="37E62147">
      <w:pPr>
        <w:bidi w:val="0"/>
      </w:pPr>
      <w:r>
        <w:rPr>
          <w:rFonts w:hint="eastAsia"/>
        </w:rPr>
        <w:t>不属于法定必须监理的工程，监理人的职权可以由发包人代表或发包人指定的其他人员行使。</w:t>
      </w:r>
    </w:p>
    <w:p w14:paraId="149CC96D">
      <w:pPr>
        <w:bidi w:val="0"/>
      </w:pPr>
      <w:bookmarkStart w:id="466" w:name="_Toc351203512"/>
      <w:r>
        <w:t>2.3 发包人人员</w:t>
      </w:r>
      <w:bookmarkEnd w:id="466"/>
    </w:p>
    <w:p w14:paraId="19296B7B">
      <w:pPr>
        <w:bidi w:val="0"/>
      </w:pPr>
      <w:r>
        <w:t>发包人应要求在施工现场的发包人人员遵守法律及有关安全、质量、环境保护、文明施工等规定，并保障承包人免于承受因发包人人员未遵守上述要求给承包人造成的损失和责任。</w:t>
      </w:r>
    </w:p>
    <w:p w14:paraId="06944BE9">
      <w:pPr>
        <w:bidi w:val="0"/>
      </w:pPr>
      <w:r>
        <w:t>发包人人员包括发包人代表及其他由发包人派驻施工现场的人员。</w:t>
      </w:r>
      <w:bookmarkEnd w:id="462"/>
      <w:bookmarkEnd w:id="463"/>
      <w:bookmarkEnd w:id="464"/>
    </w:p>
    <w:p w14:paraId="6B91CA56">
      <w:pPr>
        <w:bidi w:val="0"/>
      </w:pPr>
      <w:bookmarkStart w:id="467" w:name="_Toc351203513"/>
      <w:r>
        <w:t>2</w:t>
      </w:r>
      <w:bookmarkStart w:id="468" w:name="_Toc296503040"/>
      <w:bookmarkStart w:id="469" w:name="_Toc296346541"/>
      <w:bookmarkStart w:id="470" w:name="_Toc337558741"/>
      <w:r>
        <w:t>.4 施工现场、施工条件和基础资料的提供</w:t>
      </w:r>
      <w:bookmarkEnd w:id="467"/>
      <w:r>
        <w:t xml:space="preserve"> </w:t>
      </w:r>
      <w:bookmarkEnd w:id="468"/>
      <w:bookmarkEnd w:id="469"/>
      <w:bookmarkEnd w:id="470"/>
      <w:r>
        <w:t xml:space="preserve"> </w:t>
      </w:r>
    </w:p>
    <w:p w14:paraId="7B5D2AF5">
      <w:pPr>
        <w:bidi w:val="0"/>
      </w:pPr>
      <w:r>
        <w:t>2.4.1 提供施工现场</w:t>
      </w:r>
    </w:p>
    <w:p w14:paraId="64A375F9">
      <w:pPr>
        <w:bidi w:val="0"/>
      </w:pPr>
      <w:r>
        <w:t>除</w:t>
      </w:r>
      <w:bookmarkEnd w:id="460"/>
      <w:r>
        <w:t>专用合同条款另有约定外，发包人应</w:t>
      </w:r>
      <w:r>
        <w:rPr>
          <w:rFonts w:hint="eastAsia"/>
        </w:rPr>
        <w:t>最迟于</w:t>
      </w:r>
      <w:r>
        <w:t>开工日期7天前向承包人移交施工现场。</w:t>
      </w:r>
    </w:p>
    <w:p w14:paraId="3B6B8E36">
      <w:pPr>
        <w:bidi w:val="0"/>
      </w:pPr>
      <w:r>
        <w:t>2.4.2 提供施工条件</w:t>
      </w:r>
    </w:p>
    <w:p w14:paraId="43D74D7B">
      <w:pPr>
        <w:bidi w:val="0"/>
      </w:pPr>
      <w:r>
        <w:t>除专用合同条款另有约定外，发包人应负责提供施工所需要的条件，包括：</w:t>
      </w:r>
    </w:p>
    <w:p w14:paraId="66CF9C9E">
      <w:pPr>
        <w:bidi w:val="0"/>
      </w:pPr>
      <w:r>
        <w:t>（1）将施工用水、电力、通讯线路等施工所必需的条件接至施工现场内；</w:t>
      </w:r>
    </w:p>
    <w:p w14:paraId="37F9393D">
      <w:pPr>
        <w:bidi w:val="0"/>
      </w:pPr>
      <w:r>
        <w:t>（2）保证向承包人提供正常施工所需要的进入施工现场的交通条件；</w:t>
      </w:r>
    </w:p>
    <w:p w14:paraId="3506A274">
      <w:pPr>
        <w:bidi w:val="0"/>
      </w:pPr>
      <w:r>
        <w:t>（3）协调处理施工现场周围地下管线和邻近建筑物、构筑物、古树名木的保护工作，并承担相关费用；</w:t>
      </w:r>
    </w:p>
    <w:p w14:paraId="389CA203">
      <w:pPr>
        <w:bidi w:val="0"/>
      </w:pPr>
      <w:r>
        <w:t>（4）按照专用合同条款约定</w:t>
      </w:r>
      <w:r>
        <w:rPr>
          <w:rFonts w:hint="eastAsia"/>
        </w:rPr>
        <w:t>应</w:t>
      </w:r>
      <w:r>
        <w:t>提供的其他设施和条件。</w:t>
      </w:r>
    </w:p>
    <w:p w14:paraId="44C06332">
      <w:pPr>
        <w:bidi w:val="0"/>
      </w:pPr>
      <w:r>
        <w:t>2.4.3 提供基础资料</w:t>
      </w:r>
    </w:p>
    <w:p w14:paraId="1C75C20A">
      <w:pPr>
        <w:bidi w:val="0"/>
        <w:rPr>
          <w:rFonts w:hint="eastAsia"/>
        </w:rPr>
      </w:pPr>
      <w: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0367586">
      <w:pPr>
        <w:bidi w:val="0"/>
      </w:pPr>
      <w:r>
        <w:rPr>
          <w:rFonts w:hint="eastAsia"/>
        </w:rPr>
        <w:t>按照法律规定确需在开工后方能提供的基础资料，发包人应尽其努力及时地在相应工程施工前的合理期限内提供，合理期限应以不影响承包人的正常施工为限。</w:t>
      </w:r>
    </w:p>
    <w:p w14:paraId="5C03E280">
      <w:pPr>
        <w:bidi w:val="0"/>
      </w:pPr>
      <w:r>
        <w:t>2.4.4 逾期提供的责任</w:t>
      </w:r>
    </w:p>
    <w:p w14:paraId="454E4915">
      <w:pPr>
        <w:bidi w:val="0"/>
      </w:pPr>
      <w:r>
        <w:t>因发包人原因未能按合同约定及时向承包人提供施工现场、施工条件、基础资料的，由发包人承担由此增加的费用和（或）延误的工期。</w:t>
      </w:r>
    </w:p>
    <w:p w14:paraId="16DFCD03">
      <w:pPr>
        <w:bidi w:val="0"/>
      </w:pPr>
      <w:bookmarkStart w:id="471" w:name="_Toc351203514"/>
      <w:r>
        <w:t>2</w:t>
      </w:r>
      <w:bookmarkStart w:id="472" w:name="_Toc296346543"/>
      <w:bookmarkStart w:id="473" w:name="_Toc337558745"/>
      <w:bookmarkStart w:id="474" w:name="_Toc296503042"/>
      <w:r>
        <w:t>.5 资</w:t>
      </w:r>
      <w:bookmarkEnd w:id="472"/>
      <w:bookmarkEnd w:id="473"/>
      <w:bookmarkEnd w:id="474"/>
      <w:r>
        <w:t>金来源证明及支付担保</w:t>
      </w:r>
      <w:bookmarkEnd w:id="471"/>
    </w:p>
    <w:p w14:paraId="02541381">
      <w:pPr>
        <w:bidi w:val="0"/>
      </w:pPr>
      <w:r>
        <w:t>除专用合同条款另有约定外，发包人应在收到承包人要求提供资金来源证明的书面通知后28天内，向承包人提供能够按照合同约定支付合同价款的相应资金来源证明。</w:t>
      </w:r>
    </w:p>
    <w:p w14:paraId="53B14E22">
      <w:pPr>
        <w:bidi w:val="0"/>
      </w:pPr>
      <w:r>
        <w:t>除专用合同条款另有约定外，发包人要求承包人提供履约担保的，发包人应当向承包人提供支付担保。支付担保可以采用银行保函或担保公司担保等形式，具体由合同当事人在专用合同条款中约定。</w:t>
      </w:r>
    </w:p>
    <w:p w14:paraId="1F2F47A8">
      <w:pPr>
        <w:bidi w:val="0"/>
      </w:pPr>
      <w:bookmarkStart w:id="475" w:name="_Toc351203515"/>
      <w:r>
        <w:t>2.6 支付合同价款</w:t>
      </w:r>
      <w:bookmarkEnd w:id="475"/>
    </w:p>
    <w:p w14:paraId="5C7EB24F">
      <w:pPr>
        <w:bidi w:val="0"/>
      </w:pPr>
      <w:r>
        <w:t>发包人应按合同约定向承包人及时支付合同价款。</w:t>
      </w:r>
    </w:p>
    <w:p w14:paraId="32C8E95F">
      <w:pPr>
        <w:bidi w:val="0"/>
      </w:pPr>
      <w:bookmarkStart w:id="476" w:name="_Toc351203516"/>
      <w:r>
        <w:t>2.7 组织竣工验收</w:t>
      </w:r>
      <w:bookmarkEnd w:id="476"/>
    </w:p>
    <w:p w14:paraId="2455BA7A">
      <w:pPr>
        <w:bidi w:val="0"/>
      </w:pPr>
      <w:r>
        <w:t>发包人应按合同约定及时组织竣工验收。</w:t>
      </w:r>
    </w:p>
    <w:p w14:paraId="793FF9F4">
      <w:pPr>
        <w:bidi w:val="0"/>
      </w:pPr>
      <w:bookmarkStart w:id="477" w:name="_Toc351203517"/>
      <w:r>
        <w:t>2.8 现场统一管理协议</w:t>
      </w:r>
      <w:bookmarkEnd w:id="477"/>
    </w:p>
    <w:p w14:paraId="56C8EEB0">
      <w:pPr>
        <w:bidi w:val="0"/>
      </w:pPr>
      <w:r>
        <w:t>发包人应与承包人、由发包人直接发包的专业工程的承包人签订施工现场统一管理协议，明确各方的权利义务。施工现场统一管理协议作为专用合同条款的附件。</w:t>
      </w:r>
    </w:p>
    <w:p w14:paraId="356F992E">
      <w:pPr>
        <w:pStyle w:val="66"/>
        <w:bidi w:val="0"/>
      </w:pPr>
      <w:bookmarkStart w:id="478" w:name="_Toc351203518"/>
      <w:r>
        <w:t>3</w:t>
      </w:r>
      <w:bookmarkStart w:id="479" w:name="_Toc296346546"/>
      <w:bookmarkStart w:id="480" w:name="_Toc337558746"/>
      <w:bookmarkStart w:id="481" w:name="_Toc296503045"/>
      <w:r>
        <w:t>. 承包人</w:t>
      </w:r>
      <w:bookmarkEnd w:id="478"/>
    </w:p>
    <w:bookmarkEnd w:id="479"/>
    <w:bookmarkEnd w:id="480"/>
    <w:bookmarkEnd w:id="481"/>
    <w:p w14:paraId="0940D2D3">
      <w:pPr>
        <w:bidi w:val="0"/>
      </w:pPr>
      <w:bookmarkStart w:id="482" w:name="_Toc351203519"/>
      <w:r>
        <w:t>3</w:t>
      </w:r>
      <w:bookmarkStart w:id="483" w:name="_Toc296346547"/>
      <w:bookmarkStart w:id="484" w:name="_Toc296503046"/>
      <w:bookmarkStart w:id="485" w:name="_Toc337558747"/>
      <w:r>
        <w:t>.1 承包人的一般义务</w:t>
      </w:r>
      <w:bookmarkEnd w:id="482"/>
    </w:p>
    <w:bookmarkEnd w:id="483"/>
    <w:bookmarkEnd w:id="484"/>
    <w:bookmarkEnd w:id="485"/>
    <w:p w14:paraId="5409AD35">
      <w:pPr>
        <w:bidi w:val="0"/>
      </w:pPr>
      <w:r>
        <w:t>承包人在履行合同过程中应遵守法律和工程建设标准规范，并履行以下义务：</w:t>
      </w:r>
    </w:p>
    <w:p w14:paraId="30ABF896">
      <w:pPr>
        <w:bidi w:val="0"/>
      </w:pPr>
      <w:r>
        <w:t>办理法律规定</w:t>
      </w:r>
      <w:r>
        <w:rPr>
          <w:rFonts w:hint="eastAsia"/>
        </w:rPr>
        <w:t>应</w:t>
      </w:r>
      <w:r>
        <w:t>由承包人办理的许可和批准，并将</w:t>
      </w:r>
      <w:r>
        <w:rPr>
          <w:rFonts w:hint="eastAsia"/>
        </w:rPr>
        <w:t>办理</w:t>
      </w:r>
      <w:r>
        <w:t>结果书面报送发包人留存；</w:t>
      </w:r>
    </w:p>
    <w:p w14:paraId="61F7BA92">
      <w:pPr>
        <w:bidi w:val="0"/>
      </w:pPr>
      <w:r>
        <w:t>（2）按法律规定和合同约定完成工程，并在保修期内承担保修义务；</w:t>
      </w:r>
    </w:p>
    <w:p w14:paraId="7661965A">
      <w:pPr>
        <w:bidi w:val="0"/>
      </w:pPr>
      <w:r>
        <w:t>（3）按法律规定和合同约定采取施工安全和环境保护措施，办理工伤保险，确保工程及人员、材料、设备和设施的安全；</w:t>
      </w:r>
    </w:p>
    <w:p w14:paraId="40633E63">
      <w:pPr>
        <w:bidi w:val="0"/>
      </w:pPr>
      <w:r>
        <w:t>（4）按合同约定的工作内容和施工进度要求，编制施工组织设计和施工措施计划，并对所有施工作业和施工方法的完备性和安全可靠性负责；</w:t>
      </w:r>
    </w:p>
    <w:p w14:paraId="7E580060">
      <w:pPr>
        <w:bidi w:val="0"/>
      </w:pPr>
      <w: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16F4127">
      <w:pPr>
        <w:bidi w:val="0"/>
      </w:pPr>
      <w:r>
        <w:t>（6）按照第6.3款</w:t>
      </w:r>
      <w:r>
        <w:rPr>
          <w:rFonts w:hint="eastAsia"/>
        </w:rPr>
        <w:t>〔</w:t>
      </w:r>
      <w:r>
        <w:t>环境保护</w:t>
      </w:r>
      <w:r>
        <w:rPr>
          <w:rFonts w:hint="eastAsia"/>
        </w:rPr>
        <w:t>〕</w:t>
      </w:r>
      <w:r>
        <w:t>约定负责施工场地及其周边环境与生态的保护工作；</w:t>
      </w:r>
    </w:p>
    <w:p w14:paraId="0F585000">
      <w:pPr>
        <w:bidi w:val="0"/>
      </w:pPr>
      <w:r>
        <w:t>（7）按第6.1款</w:t>
      </w:r>
      <w:r>
        <w:rPr>
          <w:rFonts w:hint="eastAsia"/>
        </w:rPr>
        <w:t>〔</w:t>
      </w:r>
      <w:r>
        <w:t>安全文明施工</w:t>
      </w:r>
      <w:r>
        <w:rPr>
          <w:rFonts w:hint="eastAsia"/>
        </w:rPr>
        <w:t>〕</w:t>
      </w:r>
      <w:r>
        <w:t>约定采取施工安全措施，确保工程及其人员、材料、设备和设施的安全，防止因工程施工造成的人身伤害和财产损失；</w:t>
      </w:r>
    </w:p>
    <w:p w14:paraId="2CF84C69">
      <w:pPr>
        <w:bidi w:val="0"/>
      </w:pPr>
      <w:r>
        <w:t>（8）</w:t>
      </w:r>
      <w:r>
        <w:rPr>
          <w:rFonts w:hint="eastAsia"/>
        </w:rPr>
        <w:t>将</w:t>
      </w:r>
      <w:r>
        <w:t>发包人按合同约定支付的各项价款专用于合同工程，且应及时支付其雇用人员工资，并及时向分包人支付合同价款；</w:t>
      </w:r>
    </w:p>
    <w:p w14:paraId="39C20DF1">
      <w:pPr>
        <w:bidi w:val="0"/>
      </w:pPr>
      <w:r>
        <w:t>（9）按照法律规定和合同约定编制竣工资料，完成竣工资料立卷及归档，并按专用合同条款约定的竣工资料的套数、内容、时间等要求移交发包人；</w:t>
      </w:r>
    </w:p>
    <w:p w14:paraId="45E85EDD">
      <w:pPr>
        <w:bidi w:val="0"/>
      </w:pPr>
      <w:r>
        <w:t>（10）应履行的其他义务。</w:t>
      </w:r>
    </w:p>
    <w:p w14:paraId="7C104E6D">
      <w:pPr>
        <w:bidi w:val="0"/>
      </w:pPr>
      <w:bookmarkStart w:id="486" w:name="_Toc351203520"/>
      <w:r>
        <w:t>3</w:t>
      </w:r>
      <w:bookmarkStart w:id="487" w:name="_Toc296346548"/>
      <w:bookmarkStart w:id="488" w:name="_Toc296503047"/>
      <w:bookmarkStart w:id="489" w:name="_Toc337558748"/>
      <w:r>
        <w:t xml:space="preserve">.2 </w:t>
      </w:r>
      <w:bookmarkEnd w:id="486"/>
      <w:r>
        <w:t>项目经理</w:t>
      </w:r>
    </w:p>
    <w:bookmarkEnd w:id="487"/>
    <w:bookmarkEnd w:id="488"/>
    <w:bookmarkEnd w:id="489"/>
    <w:p w14:paraId="1C120905">
      <w:pPr>
        <w:bidi w:val="0"/>
      </w:pPr>
      <w: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D9AECED">
      <w:pPr>
        <w:bidi w:val="0"/>
      </w:pPr>
      <w: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403E4647">
      <w:pPr>
        <w:bidi w:val="0"/>
      </w:pPr>
      <w:r>
        <w:t>承包人违反上述约定的，应按照专用合同条款的约定，承担违约责任。</w:t>
      </w:r>
    </w:p>
    <w:p w14:paraId="48F431A9">
      <w:pPr>
        <w:bidi w:val="0"/>
      </w:pPr>
      <w:r>
        <w:t>3.2.2 项目经理按合同约定组织工程实施。在紧急情况下</w:t>
      </w:r>
      <w:r>
        <w:rPr>
          <w:rFonts w:hint="eastAsia"/>
        </w:rPr>
        <w:t>为确保施工安全和人员安全</w:t>
      </w:r>
      <w:r>
        <w:t>，</w:t>
      </w:r>
      <w:r>
        <w:rPr>
          <w:rFonts w:hint="eastAsia"/>
        </w:rPr>
        <w:t>在</w:t>
      </w:r>
      <w:r>
        <w:t>无法与发包人代表和总监理工程师</w:t>
      </w:r>
      <w:r>
        <w:rPr>
          <w:rFonts w:hint="eastAsia"/>
        </w:rPr>
        <w:t>及时</w:t>
      </w:r>
      <w:r>
        <w:t>取得联系时，项目经理有权采取必要的措施保证与工程有关的人身、财产和工程的安全，但应在48小时内向发包人代表和总监理工程师提交书面报告。</w:t>
      </w:r>
    </w:p>
    <w:p w14:paraId="5E2B1363">
      <w:pPr>
        <w:bidi w:val="0"/>
      </w:pPr>
      <w: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DA0DC2">
      <w:pPr>
        <w:bidi w:val="0"/>
      </w:pPr>
      <w: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w:t>
      </w:r>
      <w:r>
        <w:rPr>
          <w:rFonts w:hint="eastAsia"/>
        </w:rPr>
        <w:t>继</w:t>
      </w:r>
      <w:r>
        <w:t>任项目经理继续履行第3.2.1项约定的职责。承包人无正当理由拒绝更换项目经理的，应按照专用合同条款的约定承担违约责任。</w:t>
      </w:r>
    </w:p>
    <w:p w14:paraId="42CEF994">
      <w:pPr>
        <w:bidi w:val="0"/>
      </w:pPr>
      <w:r>
        <w:t>3.2.5 项目经理因特殊情况授权其下属人员履行其某项工作职责的，该下属人员应具备履行相应职责的能力，并应提前7天将上述人员的姓名和授权范围书面通知监理人，并征得发包人书面同意。</w:t>
      </w:r>
    </w:p>
    <w:p w14:paraId="4AD64AF7">
      <w:pPr>
        <w:bidi w:val="0"/>
      </w:pPr>
      <w:bookmarkStart w:id="490" w:name="_Toc351203521"/>
      <w:r>
        <w:t>3</w:t>
      </w:r>
      <w:bookmarkStart w:id="491" w:name="_Toc296503048"/>
      <w:bookmarkStart w:id="492" w:name="_Toc296346549"/>
      <w:bookmarkStart w:id="493" w:name="_Toc337558749"/>
      <w:r>
        <w:t xml:space="preserve">.3 </w:t>
      </w:r>
      <w:bookmarkEnd w:id="491"/>
      <w:bookmarkEnd w:id="492"/>
      <w:r>
        <w:t>承包人人员</w:t>
      </w:r>
      <w:bookmarkEnd w:id="490"/>
    </w:p>
    <w:bookmarkEnd w:id="493"/>
    <w:p w14:paraId="5BAAF94B">
      <w:pPr>
        <w:bidi w:val="0"/>
      </w:pPr>
      <w: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w:t>
      </w:r>
      <w:r>
        <w:rPr>
          <w:rFonts w:hint="eastAsia"/>
        </w:rPr>
        <w:t>和</w:t>
      </w:r>
      <w:r>
        <w:t>缴纳社会保险的有效证明。</w:t>
      </w:r>
    </w:p>
    <w:p w14:paraId="7F647AAD">
      <w:pPr>
        <w:bidi w:val="0"/>
      </w:pPr>
      <w:r>
        <w:t>3.3.2 承包人派驻到施工现场的主要施工管理人员应相对稳定。施工过程中</w:t>
      </w:r>
      <w:r>
        <w:rPr>
          <w:rFonts w:hint="eastAsia"/>
        </w:rPr>
        <w:t>如有变动</w:t>
      </w:r>
      <w:r>
        <w:t>，承包人应及时向监理人提交施工现场人员变动情况的报告。承包人更换主要施工管理人员时，应提前7天书面通知监理人，并征得发包人书面同意。通知中应当载明继任人员的注册执业资格、管理经验等资料。</w:t>
      </w:r>
    </w:p>
    <w:p w14:paraId="353A930A">
      <w:pPr>
        <w:bidi w:val="0"/>
      </w:pPr>
      <w:r>
        <w:t>特殊工种作业人员均应持有相应的资格证明，监理人可以随时检查。</w:t>
      </w:r>
    </w:p>
    <w:p w14:paraId="31BB76BF">
      <w:pPr>
        <w:bidi w:val="0"/>
      </w:pPr>
      <w:r>
        <w:t>3.3.3 发包人对于承包人主要施工管理人员</w:t>
      </w:r>
      <w:r>
        <w:rPr>
          <w:rFonts w:hint="eastAsia"/>
        </w:rPr>
        <w:t>的资格或能力</w:t>
      </w:r>
      <w:r>
        <w:t>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96074F9">
      <w:pPr>
        <w:bidi w:val="0"/>
      </w:pPr>
      <w: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EBBE58A">
      <w:pPr>
        <w:bidi w:val="0"/>
      </w:pPr>
      <w:r>
        <w:t>3.3.5 承包人擅自更换主要施工管理人员，或前述人员未经监理人或发包人同意擅自离开施工现场的，应按照专用合同条款约定承担违约责任。</w:t>
      </w:r>
    </w:p>
    <w:p w14:paraId="0FF4542C">
      <w:pPr>
        <w:bidi w:val="0"/>
      </w:pPr>
      <w:bookmarkStart w:id="494" w:name="_Toc351203522"/>
      <w:r>
        <w:t>3</w:t>
      </w:r>
      <w:bookmarkStart w:id="495" w:name="_Toc296503050"/>
      <w:bookmarkStart w:id="496" w:name="_Toc296346551"/>
      <w:bookmarkStart w:id="497" w:name="_Toc337558750"/>
      <w:r>
        <w:t>.4 承包人现场查勘</w:t>
      </w:r>
      <w:bookmarkEnd w:id="494"/>
    </w:p>
    <w:bookmarkEnd w:id="495"/>
    <w:bookmarkEnd w:id="496"/>
    <w:bookmarkEnd w:id="497"/>
    <w:p w14:paraId="1850B9A7">
      <w:pPr>
        <w:bidi w:val="0"/>
      </w:pPr>
      <w:r>
        <w:t>承包人应对基于发包人按照第2.4.3项</w:t>
      </w:r>
      <w:r>
        <w:rPr>
          <w:rFonts w:hint="eastAsia"/>
        </w:rPr>
        <w:t>〔</w:t>
      </w:r>
      <w:r>
        <w:t>提供基础资料</w:t>
      </w:r>
      <w:r>
        <w:rPr>
          <w:rFonts w:hint="eastAsia"/>
        </w:rPr>
        <w:t>〕</w:t>
      </w:r>
      <w:r>
        <w:t>提交的基础资料所做出的解释和推断负责，但因基础资料存在错误、遗漏导致承包人解释或推断失实的，由发包人承担责任。</w:t>
      </w:r>
    </w:p>
    <w:p w14:paraId="5D6B46FA">
      <w:pPr>
        <w:bidi w:val="0"/>
      </w:pPr>
      <w: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A2D8615">
      <w:pPr>
        <w:bidi w:val="0"/>
        <w:rPr>
          <w:rFonts w:hint="eastAsia"/>
        </w:rPr>
      </w:pPr>
      <w:bookmarkStart w:id="498" w:name="_Toc351203523"/>
      <w:r>
        <w:t>3</w:t>
      </w:r>
      <w:bookmarkStart w:id="499" w:name="_Toc337558751"/>
      <w:bookmarkStart w:id="500" w:name="_Toc296346552"/>
      <w:bookmarkStart w:id="501" w:name="_Toc296503051"/>
      <w:r>
        <w:t>.5 分包</w:t>
      </w:r>
      <w:bookmarkEnd w:id="498"/>
    </w:p>
    <w:bookmarkEnd w:id="499"/>
    <w:bookmarkEnd w:id="500"/>
    <w:bookmarkEnd w:id="501"/>
    <w:p w14:paraId="2E028AC7">
      <w:pPr>
        <w:bidi w:val="0"/>
      </w:pPr>
      <w:r>
        <w:t>3.5.1 分包的一般约定</w:t>
      </w:r>
    </w:p>
    <w:p w14:paraId="49D6B453">
      <w:pPr>
        <w:bidi w:val="0"/>
        <w:rPr>
          <w:rFonts w:hint="eastAsia"/>
        </w:rPr>
      </w:pPr>
      <w: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3300019">
      <w:pPr>
        <w:bidi w:val="0"/>
      </w:pPr>
      <w:r>
        <w:rPr>
          <w:rFonts w:hint="eastAsia"/>
        </w:rPr>
        <w:t>承包人不得以劳务分包的名义转包或违法分包工程。</w:t>
      </w:r>
    </w:p>
    <w:p w14:paraId="5CBB29B5">
      <w:pPr>
        <w:bidi w:val="0"/>
      </w:pPr>
      <w:r>
        <w:t>3.5.2 分包的确定</w:t>
      </w:r>
    </w:p>
    <w:p w14:paraId="30AC7B0D">
      <w:pPr>
        <w:bidi w:val="0"/>
      </w:pPr>
      <w:r>
        <w:t>承包人应按专用合同条款的约定进行分包，确定分包人。已标价工程量清单或预算书中给定暂估价的专业工程，按照第10.7款</w:t>
      </w:r>
      <w:r>
        <w:rPr>
          <w:rFonts w:hint="eastAsia"/>
        </w:rPr>
        <w:t>〔</w:t>
      </w:r>
      <w:r>
        <w:t>暂估价</w:t>
      </w:r>
      <w:r>
        <w:rPr>
          <w:rFonts w:hint="eastAsia"/>
        </w:rPr>
        <w:t>〕</w:t>
      </w:r>
      <w:r>
        <w:t>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7D5B0DA5">
      <w:pPr>
        <w:bidi w:val="0"/>
      </w:pPr>
      <w:r>
        <w:t>3.5.3 分包管理</w:t>
      </w:r>
    </w:p>
    <w:p w14:paraId="6A1B748B">
      <w:pPr>
        <w:bidi w:val="0"/>
      </w:pPr>
      <w:r>
        <w:t>承包人应向监理人提交分包人的主要施工管理人员表，并对分包人的施工人员进行实名制管理，包括但不限于进出场管理、登记造册以及各种证照的办理。</w:t>
      </w:r>
    </w:p>
    <w:p w14:paraId="098807B6">
      <w:pPr>
        <w:bidi w:val="0"/>
      </w:pPr>
      <w:r>
        <w:t>3.5.4 分包合同价款</w:t>
      </w:r>
    </w:p>
    <w:p w14:paraId="3D1BE8D0">
      <w:pPr>
        <w:bidi w:val="0"/>
      </w:pPr>
      <w:r>
        <w:t>（1）除本项第（2）目约定的情况或专用合同条款另有约定外，分包合同价款由承包人与分包人结算，未经承包人同意，发包人不得向分包人支付分包工程价款；</w:t>
      </w:r>
    </w:p>
    <w:p w14:paraId="69A6754D">
      <w:pPr>
        <w:bidi w:val="0"/>
      </w:pPr>
      <w:r>
        <w:t>（2）生效法律文书要求发包人向分包人支付分包合同价款的，发包人有权从应付承包人工程款中扣除该部分款项。</w:t>
      </w:r>
    </w:p>
    <w:p w14:paraId="0C88CF05">
      <w:pPr>
        <w:bidi w:val="0"/>
      </w:pPr>
      <w:r>
        <w:t>3.5.5 分包合同权益的转让</w:t>
      </w:r>
    </w:p>
    <w:p w14:paraId="21CEDDBD">
      <w:pPr>
        <w:bidi w:val="0"/>
      </w:pPr>
      <w: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502" w:name="_Toc351203524"/>
    </w:p>
    <w:p w14:paraId="6F1F2FF9">
      <w:pPr>
        <w:bidi w:val="0"/>
      </w:pPr>
      <w:r>
        <w:t>3.6 工程照管与成品、半成品保护</w:t>
      </w:r>
      <w:bookmarkEnd w:id="502"/>
    </w:p>
    <w:p w14:paraId="66AFAF51">
      <w:pPr>
        <w:bidi w:val="0"/>
      </w:pPr>
      <w:r>
        <w:t>（1）除专用合同条款另有约定外，自发包人向承包人移交施工现场之日起，承包人应负责照管工程及工程相关的材料、工程设备，直到颁发工程接收证书之日止。</w:t>
      </w:r>
    </w:p>
    <w:p w14:paraId="453BDE55">
      <w:pPr>
        <w:bidi w:val="0"/>
      </w:pPr>
      <w:r>
        <w:t>（</w:t>
      </w:r>
      <w:r>
        <w:rPr>
          <w:rFonts w:hint="eastAsia"/>
        </w:rPr>
        <w:t>2</w:t>
      </w:r>
      <w:r>
        <w:t>）在承包人负责照管期间，因承包人原因造成工程、材料、工程设备损坏的，由承包人负责修复或更换，并承担由此增加的费用和（或）延误的工期。</w:t>
      </w:r>
    </w:p>
    <w:p w14:paraId="76F4608B">
      <w:pPr>
        <w:bidi w:val="0"/>
      </w:pPr>
      <w:r>
        <w:t>（</w:t>
      </w:r>
      <w:r>
        <w:rPr>
          <w:rFonts w:hint="eastAsia"/>
        </w:rPr>
        <w:t>3</w:t>
      </w:r>
      <w:r>
        <w:t>）对合同内分期完成的成品和半成品，在工程接收证书颁发前，由承包人承担保护责任。因承包人原因造成成品或半成品损坏的，由承包人负责修复或更换，并承担由此增加的费用和（或）延误的工期。</w:t>
      </w:r>
    </w:p>
    <w:p w14:paraId="57D269C1">
      <w:pPr>
        <w:bidi w:val="0"/>
      </w:pPr>
      <w:bookmarkStart w:id="503" w:name="_Toc351203525"/>
      <w:r>
        <w:t>3</w:t>
      </w:r>
      <w:bookmarkStart w:id="504" w:name="_Toc296346553"/>
      <w:bookmarkStart w:id="505" w:name="_Toc337558752"/>
      <w:bookmarkStart w:id="506" w:name="_Toc296503052"/>
      <w:r>
        <w:t>.7 履约担保</w:t>
      </w:r>
      <w:bookmarkEnd w:id="503"/>
    </w:p>
    <w:bookmarkEnd w:id="504"/>
    <w:bookmarkEnd w:id="505"/>
    <w:bookmarkEnd w:id="506"/>
    <w:p w14:paraId="6285FBF6">
      <w:pPr>
        <w:bidi w:val="0"/>
        <w:rPr>
          <w:rFonts w:hint="eastAsia"/>
        </w:rPr>
      </w:pPr>
      <w:r>
        <w:rPr>
          <w:rFonts w:hint="eastAsia"/>
        </w:rPr>
        <w:t>发包人需要承包人提供履约担保的，由合同当事人在专用合同条款中约定履约担保的方式、金额及期限等。</w:t>
      </w:r>
      <w:r>
        <w:t>履约担保可以采用银行保函或担保公司担保等形式，具体由合同当事人在专用合同条款中约定。</w:t>
      </w:r>
    </w:p>
    <w:p w14:paraId="06CB509D">
      <w:pPr>
        <w:bidi w:val="0"/>
      </w:pPr>
      <w:r>
        <w:t>因承包人原因导致工期延长的，继续提供履约担保所增加的费用由承包人承担；非因承包人原因导致工期延长的，继续提供履约担保所增加的费用由发包人承担。</w:t>
      </w:r>
    </w:p>
    <w:p w14:paraId="721F8F78">
      <w:pPr>
        <w:bidi w:val="0"/>
      </w:pPr>
      <w:bookmarkStart w:id="507" w:name="_Toc351203526"/>
      <w:r>
        <w:t>3.8 联合体</w:t>
      </w:r>
      <w:bookmarkEnd w:id="507"/>
    </w:p>
    <w:p w14:paraId="1764724D">
      <w:pPr>
        <w:bidi w:val="0"/>
      </w:pPr>
      <w:r>
        <w:t>3.8.1 联合体各方应共同与发包人签订合同协议书。联合体各方应为履行合同</w:t>
      </w:r>
      <w:r>
        <w:rPr>
          <w:rFonts w:hint="eastAsia"/>
        </w:rPr>
        <w:t>向发包人</w:t>
      </w:r>
      <w:r>
        <w:t>承担连带责任。</w:t>
      </w:r>
    </w:p>
    <w:p w14:paraId="497C123D">
      <w:pPr>
        <w:bidi w:val="0"/>
      </w:pPr>
      <w:r>
        <w:t>3.8.2 联合体协议经发包人确认后作为合同附件。在履行合同过程中，未经发包人同意，不得修改联合体协议。</w:t>
      </w:r>
    </w:p>
    <w:p w14:paraId="656A4500">
      <w:pPr>
        <w:bidi w:val="0"/>
      </w:pPr>
      <w:r>
        <w:t>3.8.3 联合体牵头人负责与发包人和监理人联系，并接受指示，负责组织联合体各成员全面履行合同。</w:t>
      </w:r>
    </w:p>
    <w:p w14:paraId="720668C6">
      <w:pPr>
        <w:pStyle w:val="66"/>
        <w:bidi w:val="0"/>
      </w:pPr>
      <w:bookmarkStart w:id="508" w:name="_Toc351203527"/>
      <w:r>
        <w:t>4</w:t>
      </w:r>
      <w:bookmarkStart w:id="509" w:name="_Toc296346554"/>
      <w:bookmarkStart w:id="510" w:name="_Toc296503053"/>
      <w:bookmarkStart w:id="511" w:name="_Toc337558753"/>
      <w:r>
        <w:t>. 监</w:t>
      </w:r>
      <w:bookmarkEnd w:id="509"/>
      <w:bookmarkEnd w:id="510"/>
      <w:r>
        <w:t>理人</w:t>
      </w:r>
      <w:bookmarkEnd w:id="508"/>
    </w:p>
    <w:bookmarkEnd w:id="511"/>
    <w:p w14:paraId="3103AFC4">
      <w:pPr>
        <w:bidi w:val="0"/>
      </w:pPr>
      <w:bookmarkStart w:id="512" w:name="_Toc351203528"/>
      <w:r>
        <w:t>4</w:t>
      </w:r>
      <w:bookmarkStart w:id="513" w:name="_Toc296346555"/>
      <w:bookmarkStart w:id="514" w:name="_Toc296503054"/>
      <w:bookmarkStart w:id="515" w:name="_Toc337558754"/>
      <w:r>
        <w:t>.1监理人的一般规定</w:t>
      </w:r>
      <w:bookmarkEnd w:id="512"/>
    </w:p>
    <w:bookmarkEnd w:id="513"/>
    <w:bookmarkEnd w:id="514"/>
    <w:bookmarkEnd w:id="515"/>
    <w:p w14:paraId="5F24006D">
      <w:pPr>
        <w:bidi w:val="0"/>
      </w:pPr>
      <w: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4ACFE74">
      <w:pPr>
        <w:bidi w:val="0"/>
      </w:pPr>
      <w:r>
        <w:t>除专用合同条款另有约定外，监理人在施工现场的办公场所、生活场所由承包人提供，所发生的费用由发包人承担。</w:t>
      </w:r>
    </w:p>
    <w:p w14:paraId="40C53CD9">
      <w:pPr>
        <w:bidi w:val="0"/>
      </w:pPr>
      <w:bookmarkStart w:id="516" w:name="_Toc351203529"/>
      <w:r>
        <w:t>4</w:t>
      </w:r>
      <w:bookmarkStart w:id="517" w:name="_Toc337558755"/>
      <w:r>
        <w:t>.2监理人员</w:t>
      </w:r>
      <w:bookmarkEnd w:id="516"/>
    </w:p>
    <w:bookmarkEnd w:id="517"/>
    <w:p w14:paraId="3634FB62">
      <w:pPr>
        <w:bidi w:val="0"/>
      </w:pPr>
      <w: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1422FF17">
      <w:pPr>
        <w:bidi w:val="0"/>
      </w:pPr>
      <w:bookmarkStart w:id="518" w:name="_Toc351203530"/>
      <w:r>
        <w:t>4</w:t>
      </w:r>
      <w:bookmarkStart w:id="519" w:name="_Toc296346556"/>
      <w:bookmarkStart w:id="520" w:name="_Toc296503055"/>
      <w:bookmarkStart w:id="521" w:name="_Toc337558756"/>
      <w:r>
        <w:t>.3</w:t>
      </w:r>
      <w:bookmarkEnd w:id="519"/>
      <w:bookmarkEnd w:id="520"/>
      <w:r>
        <w:t>监理人的指</w:t>
      </w:r>
      <w:bookmarkEnd w:id="521"/>
      <w:r>
        <w:t>示</w:t>
      </w:r>
      <w:bookmarkEnd w:id="518"/>
    </w:p>
    <w:p w14:paraId="0E4C10C5">
      <w:pPr>
        <w:bidi w:val="0"/>
      </w:pPr>
      <w: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D6631A1">
      <w:pPr>
        <w:bidi w:val="0"/>
      </w:pPr>
      <w:r>
        <w:t>监理人发出的指示应送达承包人项目经理或经项目经理授权接收的人员。因监理人未能按合同约定发出指示、指示延误或发出了错误指示而导致承包人费用增加和（或）工期延误的，由发包人承担</w:t>
      </w:r>
      <w:r>
        <w:rPr>
          <w:rFonts w:hint="eastAsia"/>
        </w:rPr>
        <w:t>相应</w:t>
      </w:r>
      <w:r>
        <w:t>责任。除专用合同条款另有约定外，总监理工程师不应将第4.4款</w:t>
      </w:r>
      <w:r>
        <w:rPr>
          <w:rFonts w:hint="eastAsia"/>
        </w:rPr>
        <w:t>〔</w:t>
      </w:r>
      <w:r>
        <w:t>商定或确定</w:t>
      </w:r>
      <w:r>
        <w:rPr>
          <w:rFonts w:hint="eastAsia"/>
        </w:rPr>
        <w:t>〕</w:t>
      </w:r>
      <w:r>
        <w:t>约定应由总监理工程师作出确定的权力授权或委托给其他监理人员。</w:t>
      </w:r>
    </w:p>
    <w:p w14:paraId="008A6B27">
      <w:pPr>
        <w:bidi w:val="0"/>
      </w:pPr>
      <w:r>
        <w:t>承包人对监理人发出的指示有疑问的，应向监理人提出书面异议，监理人应在48小时内对该指示予以确认、更改或撤销，监理人逾期未回复的，承包人有权拒绝执行上述指示。</w:t>
      </w:r>
    </w:p>
    <w:p w14:paraId="16938597">
      <w:pPr>
        <w:bidi w:val="0"/>
      </w:pPr>
      <w:r>
        <w:t>监理人对承包人的任何工作、工程或其采用的材料和工程设备未在约定的或合理期限内提出意见的，视为批准，但不免除或减轻承包人对该工作、工程、材料、工程设备等应承担的责任和义务。</w:t>
      </w:r>
    </w:p>
    <w:p w14:paraId="72E10735">
      <w:pPr>
        <w:bidi w:val="0"/>
        <w:rPr>
          <w:rFonts w:hint="eastAsia"/>
        </w:rPr>
      </w:pPr>
      <w:bookmarkStart w:id="522" w:name="_Toc351203531"/>
      <w:r>
        <w:t>4</w:t>
      </w:r>
      <w:bookmarkStart w:id="523" w:name="_Toc296346558"/>
      <w:bookmarkStart w:id="524" w:name="_Toc296503057"/>
      <w:bookmarkStart w:id="525" w:name="_Toc337558757"/>
      <w:r>
        <w:t>.4 商定或确定</w:t>
      </w:r>
      <w:bookmarkEnd w:id="522"/>
    </w:p>
    <w:bookmarkEnd w:id="523"/>
    <w:bookmarkEnd w:id="524"/>
    <w:bookmarkEnd w:id="525"/>
    <w:p w14:paraId="5C8CA830">
      <w:pPr>
        <w:bidi w:val="0"/>
      </w:pPr>
      <w:r>
        <w:t>合同</w:t>
      </w:r>
      <w:r>
        <w:rPr>
          <w:rFonts w:hint="eastAsia"/>
        </w:rPr>
        <w:t>当事人</w:t>
      </w:r>
      <w:r>
        <w:t>进行</w:t>
      </w:r>
      <w:r>
        <w:rPr>
          <w:rFonts w:hint="eastAsia"/>
        </w:rPr>
        <w:t>商定</w:t>
      </w:r>
      <w:r>
        <w:t>或确定时，总监理工程师应当会同合同当事人尽量通过协商达成一致，不能达成一致的，由总监理工程师按照合同约定审慎做出公正的确定。</w:t>
      </w:r>
    </w:p>
    <w:p w14:paraId="7547DF4A">
      <w:pPr>
        <w:bidi w:val="0"/>
      </w:pPr>
      <w:r>
        <w:t>总监理工程师应将确定以书面形式通知发包人和承包人，并附详细依据。合同当事人对总监理工程师的确定没有异议的，按照总监理工程师的确定执行。任何一方合同当事人有异议，按照第20条</w:t>
      </w:r>
      <w:r>
        <w:rPr>
          <w:rFonts w:hint="eastAsia"/>
        </w:rPr>
        <w:t>〔</w:t>
      </w:r>
      <w:r>
        <w:t>争议解决</w:t>
      </w:r>
      <w:r>
        <w:rPr>
          <w:rFonts w:hint="eastAsia"/>
        </w:rPr>
        <w:t>〕</w:t>
      </w:r>
      <w:r>
        <w:t>约定处理。争议解决前，合同当事人暂按总监理工程师的确定执行；争议解决后，争议解决的结果与总监理工程师的确定不一致的，按照争议解决的结果执行，由此造成的损失由责任人承担。</w:t>
      </w:r>
    </w:p>
    <w:p w14:paraId="6530C952">
      <w:pPr>
        <w:pStyle w:val="66"/>
        <w:bidi w:val="0"/>
      </w:pPr>
      <w:bookmarkStart w:id="526" w:name="_Toc351203532"/>
      <w:r>
        <w:t>5</w:t>
      </w:r>
      <w:bookmarkStart w:id="527" w:name="_Toc337558758"/>
      <w:r>
        <w:t>. 工程质量</w:t>
      </w:r>
      <w:bookmarkEnd w:id="526"/>
    </w:p>
    <w:bookmarkEnd w:id="527"/>
    <w:p w14:paraId="0FE7D380">
      <w:pPr>
        <w:bidi w:val="0"/>
      </w:pPr>
      <w:bookmarkStart w:id="528" w:name="_Toc351203533"/>
      <w:r>
        <w:t>5</w:t>
      </w:r>
      <w:bookmarkStart w:id="529" w:name="_Toc337558759"/>
      <w:r>
        <w:t>.1质量要求</w:t>
      </w:r>
      <w:bookmarkEnd w:id="528"/>
    </w:p>
    <w:bookmarkEnd w:id="529"/>
    <w:p w14:paraId="5C4C41F4">
      <w:pPr>
        <w:bidi w:val="0"/>
      </w:pPr>
      <w:r>
        <w:t>5.1.1 工程质量标准必须符合现行国家有关工程施工质量验收规范和标准的要求。有关工程质量的特殊标准或要求由合同当事人在专用合同条款中约定。</w:t>
      </w:r>
    </w:p>
    <w:p w14:paraId="73E11DBE">
      <w:pPr>
        <w:bidi w:val="0"/>
      </w:pPr>
      <w:r>
        <w:t>5.1.2 因发包人原因造成工程质量未达到合同约定标准的，由发包人承担由此增加的费用和（或）延误的工期，并支付承包人合理的利润。</w:t>
      </w:r>
    </w:p>
    <w:p w14:paraId="1A7B1A20">
      <w:pPr>
        <w:bidi w:val="0"/>
      </w:pPr>
      <w:r>
        <w:t>5.1.3 因承包人原因造成工程质量未达到合同约定标准的，发包人有权要求承包人返工直至工程质量达到合同约定的标准为止，并由承包人承担由此增加的费用和（或）延误的工期。</w:t>
      </w:r>
    </w:p>
    <w:p w14:paraId="5924DE60">
      <w:pPr>
        <w:bidi w:val="0"/>
      </w:pPr>
      <w:bookmarkStart w:id="530" w:name="_Toc351203534"/>
      <w:r>
        <w:t>5</w:t>
      </w:r>
      <w:bookmarkStart w:id="531" w:name="_Toc337558760"/>
      <w:r>
        <w:t>.2质量保证措施</w:t>
      </w:r>
      <w:bookmarkEnd w:id="530"/>
    </w:p>
    <w:bookmarkEnd w:id="531"/>
    <w:p w14:paraId="0758F2EE">
      <w:pPr>
        <w:bidi w:val="0"/>
      </w:pPr>
      <w:r>
        <w:t>5.2.1 发包人的质量管理</w:t>
      </w:r>
    </w:p>
    <w:p w14:paraId="3FFC27DE">
      <w:pPr>
        <w:bidi w:val="0"/>
      </w:pPr>
      <w:r>
        <w:t>发包人应按照法律规定及合同约定完成与工程质量有关的各项工作。</w:t>
      </w:r>
    </w:p>
    <w:p w14:paraId="589FE2ED">
      <w:pPr>
        <w:bidi w:val="0"/>
      </w:pPr>
      <w:r>
        <w:t>5.2.2 承包人的质量管理</w:t>
      </w:r>
    </w:p>
    <w:p w14:paraId="4B4B222C">
      <w:pPr>
        <w:bidi w:val="0"/>
      </w:pPr>
      <w:r>
        <w:t>承包人按照第7.1款</w:t>
      </w:r>
      <w:r>
        <w:rPr>
          <w:rFonts w:hint="eastAsia"/>
        </w:rPr>
        <w:t>〔</w:t>
      </w:r>
      <w:r>
        <w:t>施工组织设计</w:t>
      </w:r>
      <w:r>
        <w:rPr>
          <w:rFonts w:hint="eastAsia"/>
        </w:rPr>
        <w:t>〕</w:t>
      </w:r>
      <w:r>
        <w:t>约定向发包人和监理人提交工程质量保证体系及措施文件，建立完善的质量检查制度，并提交相应的工程质量文件。对于发包人和监理人违反法律规定和合同约定的错误指示，承包人有权拒绝实施。</w:t>
      </w:r>
    </w:p>
    <w:p w14:paraId="74198200">
      <w:pPr>
        <w:bidi w:val="0"/>
      </w:pPr>
      <w:r>
        <w:t>承包人应对施工人员进行质量教育和技术培训，定期考核施工人员的劳动技能，严格执行施工规范和操作规程。</w:t>
      </w:r>
    </w:p>
    <w:p w14:paraId="385F543B">
      <w:pPr>
        <w:bidi w:val="0"/>
      </w:pPr>
      <w: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F524DC6">
      <w:pPr>
        <w:bidi w:val="0"/>
      </w:pPr>
      <w:r>
        <w:t>5.2.3 监理人的质量检查和检验</w:t>
      </w:r>
    </w:p>
    <w:p w14:paraId="577F1C93">
      <w:pPr>
        <w:bidi w:val="0"/>
      </w:pPr>
      <w: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0587C149">
      <w:pPr>
        <w:bidi w:val="0"/>
      </w:pPr>
      <w: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513A6684">
      <w:pPr>
        <w:bidi w:val="0"/>
      </w:pPr>
      <w:bookmarkStart w:id="532" w:name="_Toc351203535"/>
      <w:r>
        <w:t>5</w:t>
      </w:r>
      <w:bookmarkStart w:id="533" w:name="_Toc337558761"/>
      <w:r>
        <w:t>.3 隐蔽工程检查</w:t>
      </w:r>
      <w:bookmarkEnd w:id="532"/>
    </w:p>
    <w:bookmarkEnd w:id="533"/>
    <w:p w14:paraId="00257BD2">
      <w:pPr>
        <w:bidi w:val="0"/>
      </w:pPr>
      <w:r>
        <w:t>5.3.1承包人自检</w:t>
      </w:r>
    </w:p>
    <w:p w14:paraId="5E5CF9C4">
      <w:pPr>
        <w:bidi w:val="0"/>
      </w:pPr>
      <w:r>
        <w:t>承包人应当对工程隐蔽部位进行自检，并经自检确认是否具备覆盖条件。</w:t>
      </w:r>
    </w:p>
    <w:p w14:paraId="029887B9">
      <w:pPr>
        <w:bidi w:val="0"/>
      </w:pPr>
      <w:r>
        <w:t>5.3.2检查程序</w:t>
      </w:r>
    </w:p>
    <w:p w14:paraId="5B842C0C">
      <w:pPr>
        <w:bidi w:val="0"/>
      </w:pPr>
      <w:r>
        <w:t>除专用合同条款另有约定外，工程隐蔽部位经承包人自检确认具备覆盖条件的，承包人应在</w:t>
      </w:r>
      <w:r>
        <w:rPr>
          <w:rFonts w:hint="eastAsia"/>
        </w:rPr>
        <w:t>共同</w:t>
      </w:r>
      <w:r>
        <w:t>检查前48小时书面通知监理人检查，通知中应载明隐蔽检查的内容、时间和地点，并应附有自检记录和必要的检查资料。</w:t>
      </w:r>
    </w:p>
    <w:p w14:paraId="6C8B8599">
      <w:pPr>
        <w:bidi w:val="0"/>
      </w:pPr>
      <w: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39E912C">
      <w:pPr>
        <w:bidi w:val="0"/>
        <w:rPr>
          <w:rFonts w:hint="eastAsia"/>
        </w:rPr>
      </w:pPr>
      <w: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w:t>
      </w:r>
      <w:r>
        <w:rPr>
          <w:rFonts w:hint="eastAsia"/>
        </w:rPr>
        <w:t>〔</w:t>
      </w:r>
      <w:r>
        <w:t>重新检查</w:t>
      </w:r>
      <w:r>
        <w:rPr>
          <w:rFonts w:hint="eastAsia"/>
        </w:rPr>
        <w:t>〕</w:t>
      </w:r>
      <w:r>
        <w:t>的约定重新检查。</w:t>
      </w:r>
    </w:p>
    <w:p w14:paraId="27E10C17">
      <w:pPr>
        <w:bidi w:val="0"/>
      </w:pPr>
      <w:r>
        <w:t>5.3.3 重新检查</w:t>
      </w:r>
    </w:p>
    <w:p w14:paraId="67D38B6B">
      <w:pPr>
        <w:bidi w:val="0"/>
      </w:pPr>
      <w: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7793C4AE">
      <w:pPr>
        <w:bidi w:val="0"/>
      </w:pPr>
      <w:r>
        <w:t>5.3.4 承包人私自覆盖</w:t>
      </w:r>
    </w:p>
    <w:p w14:paraId="67AFBA75">
      <w:pPr>
        <w:bidi w:val="0"/>
      </w:pPr>
      <w:r>
        <w:t>承包人未通知监理人到场检查，私自将工程隐蔽部位覆盖的，监理人有权指示承包人钻孔探测或揭开检查，无论工程隐蔽部位质量是否合格，由此增加的费用和（或）延误的工期均由承包人承担。</w:t>
      </w:r>
    </w:p>
    <w:p w14:paraId="464B242D">
      <w:pPr>
        <w:bidi w:val="0"/>
      </w:pPr>
      <w:bookmarkStart w:id="534" w:name="_Toc351203536"/>
      <w:r>
        <w:t>5</w:t>
      </w:r>
      <w:bookmarkStart w:id="535" w:name="_Toc337558762"/>
      <w:r>
        <w:t>.4不合格工程的处理</w:t>
      </w:r>
      <w:bookmarkEnd w:id="534"/>
    </w:p>
    <w:bookmarkEnd w:id="535"/>
    <w:p w14:paraId="27DAEA80">
      <w:pPr>
        <w:bidi w:val="0"/>
      </w:pPr>
      <w:r>
        <w:t>5.4.1 因承包人原因造成工程不合格的，发包人有权随时要求承包人采取补救措施，直至达到合同要求的质量标准，由此增加的费用和（或）延误的工期由承包人承担。无法补救的，按照第13.2.4项</w:t>
      </w:r>
      <w:r>
        <w:rPr>
          <w:rFonts w:hint="eastAsia"/>
        </w:rPr>
        <w:t>〔</w:t>
      </w:r>
      <w:r>
        <w:t>拒绝接收全部或部分工程</w:t>
      </w:r>
      <w:r>
        <w:rPr>
          <w:rFonts w:hint="eastAsia"/>
        </w:rPr>
        <w:t>〕</w:t>
      </w:r>
      <w:r>
        <w:t xml:space="preserve">约定执行。 </w:t>
      </w:r>
    </w:p>
    <w:p w14:paraId="4770C210">
      <w:pPr>
        <w:bidi w:val="0"/>
      </w:pPr>
      <w:r>
        <w:t>5.4.2 因发包人原因造成工程不合格的，由此增加的费用和（或）延误的工期由发包人承担，并支付承包人合理的利润。</w:t>
      </w:r>
    </w:p>
    <w:p w14:paraId="3E21EE94">
      <w:pPr>
        <w:bidi w:val="0"/>
      </w:pPr>
      <w:bookmarkStart w:id="536" w:name="_Toc351203537"/>
      <w:r>
        <w:t>5.5 质量争议检测</w:t>
      </w:r>
      <w:bookmarkEnd w:id="536"/>
    </w:p>
    <w:p w14:paraId="520EA268">
      <w:pPr>
        <w:bidi w:val="0"/>
        <w:rPr>
          <w:rFonts w:hint="eastAsia"/>
        </w:rPr>
      </w:pPr>
      <w:r>
        <w:t>合同当事人对工程质量有争议的，由双方协商确定的工程质量检测机构鉴定，由此产生的费用及因此造成的损失，由责任方承担。</w:t>
      </w:r>
    </w:p>
    <w:p w14:paraId="077DDEB5">
      <w:pPr>
        <w:bidi w:val="0"/>
      </w:pPr>
      <w:r>
        <w:t>合同当事人均有责任的，由双方根据其责任分别承担。合同当事人无法达成一致的，按照第4.4款</w:t>
      </w:r>
      <w:r>
        <w:rPr>
          <w:rFonts w:hint="eastAsia"/>
        </w:rPr>
        <w:t>〔</w:t>
      </w:r>
      <w:r>
        <w:t>商定或确定</w:t>
      </w:r>
      <w:r>
        <w:rPr>
          <w:rFonts w:hint="eastAsia"/>
        </w:rPr>
        <w:t>〕</w:t>
      </w:r>
      <w:r>
        <w:t>执行。</w:t>
      </w:r>
    </w:p>
    <w:p w14:paraId="33676A29">
      <w:pPr>
        <w:pStyle w:val="66"/>
        <w:bidi w:val="0"/>
      </w:pPr>
      <w:bookmarkStart w:id="537" w:name="_Toc351203538"/>
      <w:r>
        <w:t>6</w:t>
      </w:r>
      <w:bookmarkStart w:id="538" w:name="_Toc337558763"/>
      <w:r>
        <w:t>. 安全文明施工与环境保护</w:t>
      </w:r>
      <w:bookmarkEnd w:id="537"/>
    </w:p>
    <w:bookmarkEnd w:id="538"/>
    <w:p w14:paraId="4D14B631">
      <w:pPr>
        <w:bidi w:val="0"/>
      </w:pPr>
      <w:bookmarkStart w:id="539" w:name="_Toc351203539"/>
      <w:r>
        <w:t>6</w:t>
      </w:r>
      <w:bookmarkStart w:id="540" w:name="_Toc337558764"/>
      <w:r>
        <w:t>.1安全文明施工</w:t>
      </w:r>
      <w:bookmarkEnd w:id="539"/>
    </w:p>
    <w:bookmarkEnd w:id="540"/>
    <w:p w14:paraId="7073C0ED">
      <w:pPr>
        <w:bidi w:val="0"/>
      </w:pPr>
      <w:r>
        <w:t>6.1.1安全生产要求</w:t>
      </w:r>
    </w:p>
    <w:p w14:paraId="2731EAE4">
      <w:pPr>
        <w:bidi w:val="0"/>
      </w:pPr>
      <w: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A94560C">
      <w:pPr>
        <w:bidi w:val="0"/>
      </w:pPr>
      <w:r>
        <w:t>在施工过程中，如遇到突发的地质变动、事先未知的地下施工障碍等影响施工安全的紧急情况，</w:t>
      </w:r>
      <w:r>
        <w:rPr>
          <w:rFonts w:hint="eastAsia"/>
        </w:rPr>
        <w:t>承包人应及时报告监理人和发包人，</w:t>
      </w:r>
      <w:r>
        <w:t>发包人应当及时下令停工并报政府有关行政管理部门采取应急措施。</w:t>
      </w:r>
    </w:p>
    <w:p w14:paraId="75E18C2D">
      <w:pPr>
        <w:bidi w:val="0"/>
      </w:pPr>
      <w:r>
        <w:t>因安全生产需要暂停施工的，按照第7.8款</w:t>
      </w:r>
      <w:r>
        <w:rPr>
          <w:rFonts w:hint="eastAsia"/>
        </w:rPr>
        <w:t>〔</w:t>
      </w:r>
      <w:r>
        <w:t>暂停施工</w:t>
      </w:r>
      <w:r>
        <w:rPr>
          <w:rFonts w:hint="eastAsia"/>
        </w:rPr>
        <w:t>〕</w:t>
      </w:r>
      <w:r>
        <w:t>的约定执行。</w:t>
      </w:r>
    </w:p>
    <w:p w14:paraId="10880E25">
      <w:pPr>
        <w:bidi w:val="0"/>
      </w:pPr>
      <w:r>
        <w:t>6.1.2 安全生产保证措施</w:t>
      </w:r>
    </w:p>
    <w:p w14:paraId="6EBE095D">
      <w:pPr>
        <w:bidi w:val="0"/>
        <w:rPr>
          <w:rFonts w:hint="eastAsia"/>
        </w:rPr>
      </w:pPr>
      <w:r>
        <w:t>承包人应当按照有关规定编制安全技术措施或者专项施工方案，建立安全生产责任制度、治安保卫制度及安全生产教育培训制度，并按安全生产法律规定及合同约定履行安全职责，</w:t>
      </w:r>
      <w:r>
        <w:rPr>
          <w:rFonts w:hint="eastAsia"/>
        </w:rPr>
        <w:t>如实</w:t>
      </w:r>
      <w:r>
        <w:t>编制工程安全生产的有关记录，接受发包人、监理人及政府安全监督部门的检查与监督。</w:t>
      </w:r>
    </w:p>
    <w:p w14:paraId="0F5DFA8A">
      <w:pPr>
        <w:bidi w:val="0"/>
        <w:rPr>
          <w:rFonts w:hint="eastAsia"/>
        </w:rPr>
      </w:pPr>
      <w:r>
        <w:t>6.1.3特别安全生产事项</w:t>
      </w:r>
    </w:p>
    <w:p w14:paraId="78D27111">
      <w:pPr>
        <w:bidi w:val="0"/>
      </w:pPr>
      <w: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7FECD374">
      <w:pPr>
        <w:bidi w:val="0"/>
      </w:pPr>
      <w:r>
        <w:t xml:space="preserve">承包人在动力设备、输电线路、地下管道、密封防震车间、易燃易爆地段以及临街交通要道附近施工时，施工开始前应向发包人和监理人提出安全防护措施，经发包人认可后实施。 </w:t>
      </w:r>
    </w:p>
    <w:p w14:paraId="2884AD15">
      <w:pPr>
        <w:bidi w:val="0"/>
      </w:pPr>
      <w:r>
        <w:t>实施爆破作业，在放射、毒害性环境中施工（含储存、运输、使用）及使用毒害性、腐蚀性物品施工时，承包人应在施工前7天以书面通知发包人和监理人，并报送相应的安全防护措施，经发包人认可后实施。</w:t>
      </w:r>
    </w:p>
    <w:p w14:paraId="25F85BAA">
      <w:pPr>
        <w:bidi w:val="0"/>
      </w:pPr>
      <w:r>
        <w:t>需单独编制危险性较大分部分项专项工程施工方案的，及要求进行专家论证的超过一定规模的危险性较大的分部分项工程，承包人应及时编制和组织论证。</w:t>
      </w:r>
    </w:p>
    <w:p w14:paraId="7B358A52">
      <w:pPr>
        <w:bidi w:val="0"/>
      </w:pPr>
      <w:r>
        <w:t>6.1.4 治安保卫</w:t>
      </w:r>
    </w:p>
    <w:p w14:paraId="4CE9D564">
      <w:pPr>
        <w:bidi w:val="0"/>
      </w:pPr>
      <w:r>
        <w:t>除专用合同条款另有约定外，发包人应与当地公安部门协商，在现场建立治安管理机构或联防组织，统一管理施工场地的治安保卫事项，履行合同工程的治安保卫职责。</w:t>
      </w:r>
    </w:p>
    <w:p w14:paraId="29CEA9A8">
      <w:pPr>
        <w:bidi w:val="0"/>
      </w:pPr>
      <w:r>
        <w:t>发包人和承包人除应协助现场治安管理机构或联防组织维护施工场地的社会治安外，还应做好包括生活区在内的各自管辖区的治安保卫工作。</w:t>
      </w:r>
    </w:p>
    <w:p w14:paraId="77C23249">
      <w:pPr>
        <w:bidi w:val="0"/>
      </w:pPr>
      <w: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w:t>
      </w:r>
      <w:r>
        <w:rPr>
          <w:rFonts w:hint="eastAsia"/>
        </w:rPr>
        <w:t>和</w:t>
      </w:r>
      <w:r>
        <w:t>财产损失。</w:t>
      </w:r>
    </w:p>
    <w:p w14:paraId="5A027283">
      <w:pPr>
        <w:bidi w:val="0"/>
      </w:pPr>
      <w:r>
        <w:t>6.1.5 文明施工</w:t>
      </w:r>
    </w:p>
    <w:p w14:paraId="326C7DC8">
      <w:pPr>
        <w:bidi w:val="0"/>
      </w:pPr>
      <w:r>
        <w:t>承包人在工程施工期间，应当采取措施保持施工现场平整，物料堆放整齐。工程所在地有关政府行政管理部门有特殊要求的，按照其要求执行。</w:t>
      </w:r>
      <w:r>
        <w:rPr>
          <w:rFonts w:hint="eastAsia"/>
        </w:rPr>
        <w:t>合同当事人对文明施工有其他要求的，可以在专用合同条款中明确。</w:t>
      </w:r>
    </w:p>
    <w:p w14:paraId="11E7FA6B">
      <w:pPr>
        <w:bidi w:val="0"/>
      </w:pPr>
      <w: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FB4D265">
      <w:pPr>
        <w:bidi w:val="0"/>
      </w:pPr>
      <w:r>
        <w:t>6.1.6 安全文明施工费</w:t>
      </w:r>
    </w:p>
    <w:p w14:paraId="005D9667">
      <w:pPr>
        <w:bidi w:val="0"/>
      </w:pPr>
      <w:r>
        <w:t>安全文明施工费由发包人承担，发包人不得以任何形式扣减该部分费用。因基准日期后合同所适用的法律或政府有关规定发生变化，增加的安全文明施工费由发包人承担。</w:t>
      </w:r>
    </w:p>
    <w:p w14:paraId="0C1B6DF8">
      <w:pPr>
        <w:bidi w:val="0"/>
      </w:pPr>
      <w: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542B091E">
      <w:pPr>
        <w:bidi w:val="0"/>
      </w:pPr>
      <w: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4EE73D1D">
      <w:pPr>
        <w:bidi w:val="0"/>
      </w:pPr>
      <w: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33429BB7">
      <w:pPr>
        <w:bidi w:val="0"/>
      </w:pPr>
      <w:r>
        <w:t>6.1.7 紧急情况</w:t>
      </w:r>
      <w:r>
        <w:rPr>
          <w:rFonts w:hint="eastAsia"/>
        </w:rPr>
        <w:t>处理</w:t>
      </w:r>
    </w:p>
    <w:p w14:paraId="02B2B960">
      <w:pPr>
        <w:bidi w:val="0"/>
      </w:pPr>
      <w: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6738C54E">
      <w:pPr>
        <w:bidi w:val="0"/>
      </w:pPr>
      <w:r>
        <w:t>6.1.8 事故处理</w:t>
      </w:r>
    </w:p>
    <w:p w14:paraId="0A5253E0">
      <w:pPr>
        <w:bidi w:val="0"/>
        <w:rPr>
          <w:rFonts w:hint="eastAsia"/>
        </w:rPr>
      </w:pPr>
      <w: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250E0600">
      <w:pPr>
        <w:bidi w:val="0"/>
        <w:rPr>
          <w:rFonts w:hint="eastAsia"/>
        </w:rPr>
      </w:pPr>
      <w:r>
        <w:t>6.1.9 安全生产责任</w:t>
      </w:r>
    </w:p>
    <w:p w14:paraId="094DA9FA">
      <w:pPr>
        <w:bidi w:val="0"/>
      </w:pPr>
      <w:r>
        <w:t>6.1.9.1 发包人的安全责任</w:t>
      </w:r>
    </w:p>
    <w:p w14:paraId="326A8CBB">
      <w:pPr>
        <w:bidi w:val="0"/>
      </w:pPr>
      <w:r>
        <w:t>发包人应负责赔偿以下各种情况造成</w:t>
      </w:r>
      <w:r>
        <w:rPr>
          <w:rFonts w:hint="eastAsia"/>
        </w:rPr>
        <w:t>的</w:t>
      </w:r>
      <w:r>
        <w:t>损失：</w:t>
      </w:r>
    </w:p>
    <w:p w14:paraId="3E8EF7D2">
      <w:pPr>
        <w:bidi w:val="0"/>
      </w:pPr>
      <w:r>
        <w:t>（1）工程或工程的任何部分对土地的占用所造成的第三者财产损失；</w:t>
      </w:r>
    </w:p>
    <w:p w14:paraId="4C1B8406">
      <w:pPr>
        <w:bidi w:val="0"/>
        <w:rPr>
          <w:rFonts w:hint="eastAsia"/>
        </w:rPr>
      </w:pPr>
      <w:r>
        <w:t>（2）由于发包人原因在施工场地及其毗邻地带造成的第三者人身伤亡和财产损失</w:t>
      </w:r>
      <w:r>
        <w:rPr>
          <w:rFonts w:hint="eastAsia"/>
        </w:rPr>
        <w:t>；</w:t>
      </w:r>
    </w:p>
    <w:p w14:paraId="4DADE24F">
      <w:pPr>
        <w:bidi w:val="0"/>
        <w:rPr>
          <w:rFonts w:hint="eastAsia"/>
        </w:rPr>
      </w:pPr>
      <w:r>
        <w:rPr>
          <w:rFonts w:hint="eastAsia"/>
        </w:rPr>
        <w:t>（3）由于发包人原因对承包人、监理人造成的人员人身伤亡和财产损失；</w:t>
      </w:r>
    </w:p>
    <w:p w14:paraId="1CB363B7">
      <w:pPr>
        <w:bidi w:val="0"/>
      </w:pPr>
      <w:r>
        <w:rPr>
          <w:rFonts w:hint="eastAsia"/>
        </w:rPr>
        <w:t>（4）由于发包人原因造成的发包人自身人员的人身伤害以及财产损失。</w:t>
      </w:r>
    </w:p>
    <w:p w14:paraId="1491902E">
      <w:pPr>
        <w:bidi w:val="0"/>
      </w:pPr>
      <w:r>
        <w:t>6.1.9.2 承包人的安全责任</w:t>
      </w:r>
    </w:p>
    <w:p w14:paraId="0588F380">
      <w:pPr>
        <w:bidi w:val="0"/>
      </w:pPr>
      <w:r>
        <w:t>由于承包人原因在施工场地内及其毗邻地带造成的</w:t>
      </w:r>
      <w:r>
        <w:rPr>
          <w:rFonts w:hint="eastAsia"/>
        </w:rPr>
        <w:t>发包人、监理人以及</w:t>
      </w:r>
      <w:r>
        <w:t>第三者人员伤亡和财产损失，由承包人负责赔偿。</w:t>
      </w:r>
    </w:p>
    <w:p w14:paraId="0E989CDD">
      <w:pPr>
        <w:bidi w:val="0"/>
      </w:pPr>
      <w:bookmarkStart w:id="541" w:name="_Toc351203540"/>
      <w:r>
        <w:t>6</w:t>
      </w:r>
      <w:bookmarkStart w:id="542" w:name="_Toc337558765"/>
      <w:r>
        <w:t>.2 职业健康</w:t>
      </w:r>
      <w:bookmarkEnd w:id="541"/>
    </w:p>
    <w:bookmarkEnd w:id="542"/>
    <w:p w14:paraId="06C877D3">
      <w:pPr>
        <w:bidi w:val="0"/>
      </w:pPr>
      <w:r>
        <w:t>6.2.1 劳动保护</w:t>
      </w:r>
    </w:p>
    <w:p w14:paraId="6E1D089F">
      <w:pPr>
        <w:bidi w:val="0"/>
      </w:pPr>
      <w: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7888EE3">
      <w:pPr>
        <w:bidi w:val="0"/>
      </w:pPr>
      <w: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8F482BE">
      <w:pPr>
        <w:bidi w:val="0"/>
      </w:pPr>
      <w:r>
        <w:t>承包人应按</w:t>
      </w:r>
      <w:r>
        <w:rPr>
          <w:rFonts w:hint="eastAsia"/>
        </w:rPr>
        <w:t>法律</w:t>
      </w:r>
      <w:r>
        <w:t>规定安排工作时间，保证其雇佣人员享有休息和休假的权利。因工程施工的特殊需要占用休假日或延长工作时间的，应不超过法律规定的限度，并按法律规定给予补休或付酬。</w:t>
      </w:r>
    </w:p>
    <w:p w14:paraId="21B252D2">
      <w:pPr>
        <w:bidi w:val="0"/>
      </w:pPr>
      <w:r>
        <w:t>6.2.2 生活条件</w:t>
      </w:r>
    </w:p>
    <w:p w14:paraId="14EB4FDB">
      <w:pPr>
        <w:bidi w:val="0"/>
      </w:pPr>
      <w: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EF89EDE">
      <w:pPr>
        <w:bidi w:val="0"/>
      </w:pPr>
      <w:bookmarkStart w:id="543" w:name="_Toc351203541"/>
      <w:r>
        <w:t>6</w:t>
      </w:r>
      <w:bookmarkStart w:id="544" w:name="_Toc337558766"/>
      <w:r>
        <w:t>.3 环境保护</w:t>
      </w:r>
      <w:bookmarkEnd w:id="543"/>
    </w:p>
    <w:bookmarkEnd w:id="544"/>
    <w:p w14:paraId="5F0E35A0">
      <w:pPr>
        <w:bidi w:val="0"/>
      </w:pPr>
      <w: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7D22AAF8">
      <w:pPr>
        <w:bidi w:val="0"/>
      </w:pPr>
      <w:r>
        <w:t>承包人应当承担因其原因引起的环境污染侵权损害赔偿责任，因上述环境污染引起纠纷而导致暂停施工的，由此增加的费用和（或）延误的工期由承包人承担。</w:t>
      </w:r>
    </w:p>
    <w:p w14:paraId="5C19F86F">
      <w:pPr>
        <w:pStyle w:val="66"/>
        <w:bidi w:val="0"/>
      </w:pPr>
      <w:bookmarkStart w:id="545" w:name="_Toc351203542"/>
      <w:r>
        <w:t>7</w:t>
      </w:r>
      <w:bookmarkStart w:id="546" w:name="_Toc337558767"/>
      <w:r>
        <w:t>. 工期和进度</w:t>
      </w:r>
      <w:bookmarkEnd w:id="545"/>
    </w:p>
    <w:bookmarkEnd w:id="546"/>
    <w:p w14:paraId="379DB14C">
      <w:pPr>
        <w:bidi w:val="0"/>
      </w:pPr>
      <w:bookmarkStart w:id="547" w:name="_Toc351203543"/>
      <w:r>
        <w:t>7</w:t>
      </w:r>
      <w:bookmarkStart w:id="548" w:name="_Toc337558768"/>
      <w:bookmarkStart w:id="549" w:name="_Toc296346567"/>
      <w:bookmarkStart w:id="550" w:name="_Toc296503066"/>
      <w:r>
        <w:t>.1施工组织设计</w:t>
      </w:r>
      <w:bookmarkEnd w:id="547"/>
    </w:p>
    <w:bookmarkEnd w:id="548"/>
    <w:p w14:paraId="57B21A3F">
      <w:pPr>
        <w:bidi w:val="0"/>
      </w:pPr>
      <w:r>
        <w:t>7.1.1 施工组织设计的内容</w:t>
      </w:r>
    </w:p>
    <w:p w14:paraId="727C7C4E">
      <w:pPr>
        <w:bidi w:val="0"/>
      </w:pPr>
      <w:r>
        <w:t>施工组织设计应包含以下内容：</w:t>
      </w:r>
    </w:p>
    <w:p w14:paraId="53F17133">
      <w:pPr>
        <w:bidi w:val="0"/>
      </w:pPr>
      <w:r>
        <w:t xml:space="preserve">（1）施工方案； </w:t>
      </w:r>
    </w:p>
    <w:p w14:paraId="71870D0A">
      <w:pPr>
        <w:bidi w:val="0"/>
      </w:pPr>
      <w:r>
        <w:t>（2）施工现场平面布置图；</w:t>
      </w:r>
    </w:p>
    <w:p w14:paraId="17EF1173">
      <w:pPr>
        <w:bidi w:val="0"/>
      </w:pPr>
      <w:r>
        <w:t xml:space="preserve">（3）施工进度计划和保证措施； </w:t>
      </w:r>
    </w:p>
    <w:p w14:paraId="0CC75AAA">
      <w:pPr>
        <w:bidi w:val="0"/>
      </w:pPr>
      <w:r>
        <w:t>（4）劳动力及材料供应计划；</w:t>
      </w:r>
    </w:p>
    <w:p w14:paraId="400B97BB">
      <w:pPr>
        <w:bidi w:val="0"/>
      </w:pPr>
      <w:r>
        <w:t>（5）施工机械设备的选用；</w:t>
      </w:r>
    </w:p>
    <w:p w14:paraId="4C64BCD8">
      <w:pPr>
        <w:bidi w:val="0"/>
      </w:pPr>
      <w:r>
        <w:t>（6）质量保证体系及措施；</w:t>
      </w:r>
    </w:p>
    <w:p w14:paraId="0B31BA66">
      <w:pPr>
        <w:bidi w:val="0"/>
      </w:pPr>
      <w:r>
        <w:t>（7）安全生产、文明施工措施；</w:t>
      </w:r>
    </w:p>
    <w:p w14:paraId="23670112">
      <w:pPr>
        <w:bidi w:val="0"/>
        <w:rPr>
          <w:rFonts w:hint="eastAsia"/>
        </w:rPr>
      </w:pPr>
      <w:r>
        <w:t>（8）环境保护、成本控制措施</w:t>
      </w:r>
      <w:r>
        <w:rPr>
          <w:rFonts w:hint="eastAsia"/>
        </w:rPr>
        <w:t>；</w:t>
      </w:r>
    </w:p>
    <w:p w14:paraId="290DA514">
      <w:pPr>
        <w:bidi w:val="0"/>
      </w:pPr>
      <w:r>
        <w:rPr>
          <w:rFonts w:hint="eastAsia"/>
        </w:rPr>
        <w:t>（9）合同当事人约定的其他内容</w:t>
      </w:r>
      <w:r>
        <w:t>。</w:t>
      </w:r>
    </w:p>
    <w:p w14:paraId="7DBA20DD">
      <w:pPr>
        <w:bidi w:val="0"/>
      </w:pPr>
      <w:r>
        <w:t>7.1.2 施工组织设计的提交和修改</w:t>
      </w:r>
    </w:p>
    <w:p w14:paraId="24399BC2">
      <w:pPr>
        <w:bidi w:val="0"/>
      </w:pPr>
      <w:r>
        <w:t>除专用合同条款另有约定外，承包人应在合同签订后14天内，但至迟不得晚于第7.3.2项</w:t>
      </w:r>
      <w:r>
        <w:rPr>
          <w:rFonts w:hint="eastAsia"/>
        </w:rPr>
        <w:t>〔</w:t>
      </w:r>
      <w:r>
        <w:t>开工通知</w:t>
      </w:r>
      <w:r>
        <w:rPr>
          <w:rFonts w:hint="eastAsia"/>
        </w:rPr>
        <w:t>〕</w:t>
      </w:r>
      <w:r>
        <w:t>载明的开工日期前7天，向监理人提交详细的施工组织设计，并由监理人报送发包人。</w:t>
      </w:r>
      <w:r>
        <w:rPr>
          <w:rFonts w:hint="eastAsia"/>
        </w:rPr>
        <w:t>除专用合同条款另有约定外，发包人和监理人应在监理人收到施工组织设计后7天内确认或提出修改意见</w:t>
      </w:r>
      <w:r>
        <w:t>。对发包人和监理人提出的合理意见和要求，承包人应自费修改完善。根据工程实际情况需要修改施工组织设计的，承包人应向发包人和监理人提交修改后的施工组织设计。</w:t>
      </w:r>
    </w:p>
    <w:p w14:paraId="56BA02D3">
      <w:pPr>
        <w:bidi w:val="0"/>
      </w:pPr>
      <w:r>
        <w:t>施工进度计划的编制和修改按照第7.2款</w:t>
      </w:r>
      <w:r>
        <w:rPr>
          <w:rFonts w:hint="eastAsia"/>
        </w:rPr>
        <w:t>〔</w:t>
      </w:r>
      <w:r>
        <w:t>施工进度计划</w:t>
      </w:r>
      <w:r>
        <w:rPr>
          <w:rFonts w:hint="eastAsia"/>
        </w:rPr>
        <w:t>〕</w:t>
      </w:r>
      <w:r>
        <w:t>执行。</w:t>
      </w:r>
    </w:p>
    <w:p w14:paraId="4A7A5554">
      <w:pPr>
        <w:bidi w:val="0"/>
      </w:pPr>
      <w:bookmarkStart w:id="551" w:name="_Toc351203544"/>
      <w:r>
        <w:t>7</w:t>
      </w:r>
      <w:bookmarkStart w:id="552" w:name="_Toc337558769"/>
      <w:r>
        <w:t>.2 施工进度计划</w:t>
      </w:r>
      <w:bookmarkEnd w:id="551"/>
    </w:p>
    <w:bookmarkEnd w:id="552"/>
    <w:p w14:paraId="7556CE27">
      <w:pPr>
        <w:bidi w:val="0"/>
      </w:pPr>
      <w:r>
        <w:t>7.2.1 施工进度计划的编制</w:t>
      </w:r>
    </w:p>
    <w:p w14:paraId="6C0C20E9">
      <w:pPr>
        <w:bidi w:val="0"/>
      </w:pPr>
      <w:r>
        <w:t>承包人应按照第7.1款</w:t>
      </w:r>
      <w:r>
        <w:rPr>
          <w:rFonts w:hint="eastAsia"/>
        </w:rPr>
        <w:t>〔</w:t>
      </w:r>
      <w:r>
        <w:t>施工组织设计</w:t>
      </w:r>
      <w:r>
        <w:rPr>
          <w:rFonts w:hint="eastAsia"/>
        </w:rPr>
        <w:t>〕</w:t>
      </w:r>
      <w:r>
        <w:t>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B00EF0F">
      <w:pPr>
        <w:bidi w:val="0"/>
      </w:pPr>
      <w:r>
        <w:t>7.2.2 施工进度计划的修订</w:t>
      </w:r>
    </w:p>
    <w:p w14:paraId="79FAD0D7">
      <w:pPr>
        <w:bidi w:val="0"/>
      </w:pPr>
      <w: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B156B07">
      <w:pPr>
        <w:bidi w:val="0"/>
      </w:pPr>
      <w:bookmarkStart w:id="553" w:name="_Toc351203545"/>
      <w:r>
        <w:t>7</w:t>
      </w:r>
      <w:bookmarkStart w:id="554" w:name="_Toc337558770"/>
      <w:r>
        <w:t>.3 开工</w:t>
      </w:r>
      <w:bookmarkEnd w:id="553"/>
    </w:p>
    <w:p w14:paraId="0CE08572">
      <w:pPr>
        <w:bidi w:val="0"/>
      </w:pPr>
      <w:r>
        <w:t>7.3.1 开工准备</w:t>
      </w:r>
    </w:p>
    <w:p w14:paraId="6DA95F53">
      <w:pPr>
        <w:bidi w:val="0"/>
      </w:pPr>
      <w:r>
        <w:t>除专用合同条款另有约定外，承包人应按照第7.1款</w:t>
      </w:r>
      <w:r>
        <w:rPr>
          <w:rFonts w:hint="eastAsia"/>
        </w:rPr>
        <w:t>〔</w:t>
      </w:r>
      <w:r>
        <w:t>施工组织设计</w:t>
      </w:r>
      <w:r>
        <w:rPr>
          <w:rFonts w:hint="eastAsia"/>
        </w:rPr>
        <w:t>〕</w:t>
      </w:r>
      <w:r>
        <w:t>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C507B73">
      <w:pPr>
        <w:bidi w:val="0"/>
      </w:pPr>
      <w:r>
        <w:t>除专用合同条款另有约定外，合同当事人应按约定完成开工准备工作。</w:t>
      </w:r>
    </w:p>
    <w:p w14:paraId="3D3EC3F2">
      <w:pPr>
        <w:bidi w:val="0"/>
      </w:pPr>
      <w:r>
        <w:t>7.3.2 开工通知</w:t>
      </w:r>
    </w:p>
    <w:bookmarkEnd w:id="554"/>
    <w:p w14:paraId="0070050B">
      <w:pPr>
        <w:bidi w:val="0"/>
      </w:pPr>
      <w: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3EB4DC85">
      <w:pPr>
        <w:bidi w:val="0"/>
      </w:pPr>
      <w: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3DAFFDFB">
      <w:pPr>
        <w:bidi w:val="0"/>
      </w:pPr>
      <w:bookmarkStart w:id="555" w:name="_Toc351203546"/>
      <w:r>
        <w:t>7.4测量放线</w:t>
      </w:r>
      <w:bookmarkEnd w:id="555"/>
    </w:p>
    <w:p w14:paraId="61DA88A4">
      <w:pPr>
        <w:bidi w:val="0"/>
      </w:pPr>
      <w:r>
        <w:t>7.4.1 除专用合同条款另有约定外，发包人应在至迟不得晚于第7.3.2项</w:t>
      </w:r>
      <w:r>
        <w:rPr>
          <w:rFonts w:hint="eastAsia"/>
        </w:rPr>
        <w:t>〔</w:t>
      </w:r>
      <w:r>
        <w:t>开工通知</w:t>
      </w:r>
      <w:r>
        <w:rPr>
          <w:rFonts w:hint="eastAsia"/>
        </w:rPr>
        <w:t>〕</w:t>
      </w:r>
      <w:r>
        <w:t>载明的开工日期前7天通过监理人向承包人提供测量基准点、基准线和水准点及其书面资料。发包人应对其提供的测量基准点、基准线和水准点及其书面资料的真实性、准确性和完整性负责。</w:t>
      </w:r>
    </w:p>
    <w:p w14:paraId="15848535">
      <w:pPr>
        <w:bidi w:val="0"/>
      </w:pPr>
      <w: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5608CFF1">
      <w:pPr>
        <w:bidi w:val="0"/>
      </w:pPr>
      <w:r>
        <w:t>7.4.2 承包人负责施工过程中的全部施工测量放线工作，并配置具有相应资质的人员、合格的仪器、设备和其他物品。承包人应矫正工程的位置、标高、尺寸或准线中出现的任何差错，并对工程各部分的定位负责。</w:t>
      </w:r>
    </w:p>
    <w:p w14:paraId="4155F62F">
      <w:pPr>
        <w:bidi w:val="0"/>
      </w:pPr>
      <w:r>
        <w:t>施工过程中对施工现场内水准点等测量标志物的保护工作由承包人负责。</w:t>
      </w:r>
      <w:bookmarkStart w:id="556" w:name="_Toc351203547"/>
    </w:p>
    <w:p w14:paraId="6CA3F549">
      <w:pPr>
        <w:bidi w:val="0"/>
      </w:pPr>
      <w:r>
        <w:t>7</w:t>
      </w:r>
      <w:bookmarkEnd w:id="549"/>
      <w:bookmarkEnd w:id="550"/>
      <w:bookmarkStart w:id="557" w:name="_Toc296346574"/>
      <w:bookmarkStart w:id="558" w:name="_Toc296503073"/>
      <w:bookmarkStart w:id="559" w:name="_Toc337558772"/>
      <w:r>
        <w:t>.5</w:t>
      </w:r>
      <w:r>
        <w:rPr>
          <w:rFonts w:hint="eastAsia"/>
        </w:rPr>
        <w:t xml:space="preserve"> </w:t>
      </w:r>
      <w:r>
        <w:t>工期延误</w:t>
      </w:r>
      <w:bookmarkEnd w:id="556"/>
    </w:p>
    <w:bookmarkEnd w:id="557"/>
    <w:bookmarkEnd w:id="558"/>
    <w:bookmarkEnd w:id="559"/>
    <w:p w14:paraId="45C59523">
      <w:pPr>
        <w:bidi w:val="0"/>
      </w:pPr>
      <w:r>
        <w:t>7.5.1 因发包人原因导致工期延误</w:t>
      </w:r>
    </w:p>
    <w:p w14:paraId="6DDEC8D8">
      <w:pPr>
        <w:bidi w:val="0"/>
      </w:pPr>
      <w:r>
        <w:t xml:space="preserve">在合同履行过程中，因下列情况导致工期延误和（或）费用增加的，由发包人承担由此延误的工期和（或）增加的费用，且发包人应支付承包人合理的利润： </w:t>
      </w:r>
    </w:p>
    <w:p w14:paraId="377BC9FA">
      <w:pPr>
        <w:bidi w:val="0"/>
      </w:pPr>
      <w:r>
        <w:t>（1）发包人未能按合同约定提供图纸或所提供图纸不符合合同约定的；</w:t>
      </w:r>
    </w:p>
    <w:p w14:paraId="740127BC">
      <w:pPr>
        <w:bidi w:val="0"/>
      </w:pPr>
      <w:r>
        <w:t>（2）发包人未能按合同约定提供施工现场、施工条件、基础资料、许可、批准等开工条件的；</w:t>
      </w:r>
    </w:p>
    <w:p w14:paraId="29311A6F">
      <w:pPr>
        <w:bidi w:val="0"/>
      </w:pPr>
      <w:r>
        <w:t>（3）发包人提供的测量基准点、基准线和水准点及其书面资料存在错误或疏漏的；</w:t>
      </w:r>
    </w:p>
    <w:p w14:paraId="14D0D7C1">
      <w:pPr>
        <w:bidi w:val="0"/>
      </w:pPr>
      <w:r>
        <w:t>（4）发包人未能在计划开工日期之日起7天内同意下达开工通知的；</w:t>
      </w:r>
    </w:p>
    <w:p w14:paraId="3C490716">
      <w:pPr>
        <w:bidi w:val="0"/>
      </w:pPr>
      <w:r>
        <w:t>（5）发包人未能按合同约定日期支付工程预付款、进度款或竣工结算款的；</w:t>
      </w:r>
    </w:p>
    <w:p w14:paraId="0F7E227F">
      <w:pPr>
        <w:bidi w:val="0"/>
      </w:pPr>
      <w:r>
        <w:t>（6）监理人未按合同约定发出指示、批准等文件的；</w:t>
      </w:r>
    </w:p>
    <w:p w14:paraId="17ADD8E9">
      <w:pPr>
        <w:bidi w:val="0"/>
      </w:pPr>
      <w:r>
        <w:t>（7）专用合同条款中约定的其他情形。</w:t>
      </w:r>
    </w:p>
    <w:p w14:paraId="72CD24AE">
      <w:pPr>
        <w:bidi w:val="0"/>
        <w:rPr>
          <w:rFonts w:hint="eastAsia"/>
        </w:rPr>
      </w:pPr>
      <w:r>
        <w:t>因发包人原因未按计划开工日期开工的，发包人应按实际开工日期顺延竣工日期，确保实际工期不低于合同约定的工期总日历天数。因发包人原因导致工期延误需要修订施工进度计划的，按照第7.2.2项</w:t>
      </w:r>
      <w:r>
        <w:rPr>
          <w:rFonts w:hint="eastAsia"/>
        </w:rPr>
        <w:t>〔</w:t>
      </w:r>
      <w:r>
        <w:t>施工进度计划的修订</w:t>
      </w:r>
      <w:r>
        <w:rPr>
          <w:rFonts w:hint="eastAsia"/>
        </w:rPr>
        <w:t>〕</w:t>
      </w:r>
      <w:r>
        <w:t>执行。</w:t>
      </w:r>
    </w:p>
    <w:p w14:paraId="6098231C">
      <w:pPr>
        <w:bidi w:val="0"/>
      </w:pPr>
      <w:r>
        <w:t>7.5.2 因承包人原因导致工期延误</w:t>
      </w:r>
    </w:p>
    <w:p w14:paraId="4A37B4FC">
      <w:pPr>
        <w:bidi w:val="0"/>
      </w:pPr>
      <w:bookmarkStart w:id="560" w:name="_Toc296503076"/>
      <w:bookmarkStart w:id="561" w:name="_Toc296346577"/>
      <w:r>
        <w:t>因</w:t>
      </w:r>
      <w:bookmarkEnd w:id="560"/>
      <w:bookmarkEnd w:id="561"/>
      <w:r>
        <w:t>承包人原因造成工期延误的，可以在专用合同条款中约定逾期竣工违约金的计算方法和逾期竣工违约金的上限。承包人支付逾期竣工违约金后，不免除承包人继续完成工程及修补缺陷的义务。</w:t>
      </w:r>
    </w:p>
    <w:p w14:paraId="4BF2FB2E">
      <w:pPr>
        <w:bidi w:val="0"/>
      </w:pPr>
      <w:bookmarkStart w:id="562" w:name="_Toc351203548"/>
      <w:r>
        <w:t>7</w:t>
      </w:r>
      <w:bookmarkStart w:id="563" w:name="_Toc296346575"/>
      <w:bookmarkStart w:id="564" w:name="_Toc296503074"/>
      <w:bookmarkStart w:id="565" w:name="_Toc337558773"/>
      <w:bookmarkStart w:id="566" w:name="_Toc296503077"/>
      <w:bookmarkStart w:id="567" w:name="_Toc296346578"/>
      <w:r>
        <w:t>.6 不利物质条件</w:t>
      </w:r>
      <w:bookmarkEnd w:id="562"/>
    </w:p>
    <w:bookmarkEnd w:id="563"/>
    <w:bookmarkEnd w:id="564"/>
    <w:bookmarkEnd w:id="565"/>
    <w:p w14:paraId="3554860F">
      <w:pPr>
        <w:bidi w:val="0"/>
      </w:pPr>
      <w:r>
        <w:t>不利物质条件是指有经验的承包人在施工现场遇到的不可预见的自然物质条件、非自然的物质障碍和污染物，包括地表以下物质条件和水文条件以及专用合同条款约定的其他情形，但不包括气候条件。</w:t>
      </w:r>
    </w:p>
    <w:p w14:paraId="601B177E">
      <w:pPr>
        <w:bidi w:val="0"/>
      </w:pPr>
      <w: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w:t>
      </w:r>
      <w:r>
        <w:rPr>
          <w:rFonts w:hint="eastAsia"/>
        </w:rPr>
        <w:t>〔</w:t>
      </w:r>
      <w:r>
        <w:t>变更</w:t>
      </w:r>
      <w:r>
        <w:rPr>
          <w:rFonts w:hint="eastAsia"/>
        </w:rPr>
        <w:t>〕</w:t>
      </w:r>
      <w:r>
        <w:t>约定执行。承包人因采取合理措施而增加的费用和（或）延误的工期由发包人承担。</w:t>
      </w:r>
    </w:p>
    <w:p w14:paraId="4411EE8D">
      <w:pPr>
        <w:bidi w:val="0"/>
      </w:pPr>
      <w:bookmarkStart w:id="568" w:name="_Toc351203549"/>
      <w:r>
        <w:t>7</w:t>
      </w:r>
      <w:bookmarkStart w:id="569" w:name="_Toc296503075"/>
      <w:bookmarkStart w:id="570" w:name="_Toc296346576"/>
      <w:bookmarkStart w:id="571" w:name="_Toc337558774"/>
      <w:r>
        <w:t>.7</w:t>
      </w:r>
      <w:r>
        <w:rPr>
          <w:rFonts w:hint="eastAsia"/>
        </w:rPr>
        <w:t xml:space="preserve"> </w:t>
      </w:r>
      <w:r>
        <w:t>异常恶劣的气候条件</w:t>
      </w:r>
      <w:bookmarkEnd w:id="568"/>
    </w:p>
    <w:bookmarkEnd w:id="569"/>
    <w:bookmarkEnd w:id="570"/>
    <w:bookmarkEnd w:id="571"/>
    <w:p w14:paraId="0A92F17F">
      <w:pPr>
        <w:bidi w:val="0"/>
      </w:pPr>
      <w: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77C6713E">
      <w:pPr>
        <w:bidi w:val="0"/>
      </w:pPr>
      <w:r>
        <w:t>承包人应采取克服异常恶劣的气候条件的合理措施继续施工，并及时通知发包人和监理人。监理人经发包人同意后应当及时发出指示，指示构成变更的，按第10条</w:t>
      </w:r>
      <w:r>
        <w:rPr>
          <w:rFonts w:hint="eastAsia"/>
        </w:rPr>
        <w:t>〔</w:t>
      </w:r>
      <w:r>
        <w:t>变更</w:t>
      </w:r>
      <w:r>
        <w:rPr>
          <w:rFonts w:hint="eastAsia"/>
        </w:rPr>
        <w:t>〕</w:t>
      </w:r>
      <w:r>
        <w:t>约定办理。承包人因采取合理措施而增加的费用和（或）延误的工期由发包人承担。</w:t>
      </w:r>
      <w:bookmarkStart w:id="572" w:name="_Toc351203550"/>
    </w:p>
    <w:p w14:paraId="501198BE">
      <w:pPr>
        <w:bidi w:val="0"/>
      </w:pPr>
      <w:r>
        <w:t>7</w:t>
      </w:r>
      <w:bookmarkStart w:id="573" w:name="_Toc337558775"/>
      <w:r>
        <w:t>.8</w:t>
      </w:r>
      <w:r>
        <w:rPr>
          <w:rFonts w:hint="eastAsia"/>
        </w:rPr>
        <w:t xml:space="preserve"> </w:t>
      </w:r>
      <w:r>
        <w:t>暂停施工</w:t>
      </w:r>
      <w:bookmarkEnd w:id="572"/>
    </w:p>
    <w:bookmarkEnd w:id="566"/>
    <w:bookmarkEnd w:id="567"/>
    <w:bookmarkEnd w:id="573"/>
    <w:p w14:paraId="664D6EA0">
      <w:pPr>
        <w:bidi w:val="0"/>
      </w:pPr>
      <w:r>
        <w:t>7.8.1发包人原因引起的暂停施工</w:t>
      </w:r>
    </w:p>
    <w:p w14:paraId="7A58FC39">
      <w:pPr>
        <w:bidi w:val="0"/>
      </w:pPr>
      <w:r>
        <w:t>因发包人原因引起暂停施工的，监理人经发包人同意后，应及时下达暂停施工指示。情况紧急且监理人未及时下达暂停施工指示的，按照第7.8.4项</w:t>
      </w:r>
      <w:r>
        <w:rPr>
          <w:rFonts w:hint="eastAsia"/>
        </w:rPr>
        <w:t>〔</w:t>
      </w:r>
      <w:r>
        <w:t>紧急情况下的暂停施工</w:t>
      </w:r>
      <w:r>
        <w:rPr>
          <w:rFonts w:hint="eastAsia"/>
        </w:rPr>
        <w:t>〕</w:t>
      </w:r>
      <w:r>
        <w:t>执行。</w:t>
      </w:r>
    </w:p>
    <w:p w14:paraId="1D76A8F5">
      <w:pPr>
        <w:bidi w:val="0"/>
      </w:pPr>
      <w:r>
        <w:t>因发包人原因引起的暂停施工，发包人应承担由此增加的费用和（或）延误的工期，并支付承包人合理的利润。</w:t>
      </w:r>
    </w:p>
    <w:p w14:paraId="7DDBD150">
      <w:pPr>
        <w:bidi w:val="0"/>
      </w:pPr>
      <w:r>
        <w:t>7.8.2 承包人原因引起的暂停施工</w:t>
      </w:r>
    </w:p>
    <w:p w14:paraId="4B9C6A80">
      <w:pPr>
        <w:bidi w:val="0"/>
      </w:pPr>
      <w:r>
        <w:t>因承包人原因引起的暂停施工，承包人应承担由此增加的费用和（或）延误的工期，且承包人在收到监理人复工指示后</w:t>
      </w:r>
      <w:r>
        <w:rPr>
          <w:rFonts w:hint="eastAsia"/>
        </w:rPr>
        <w:t>84</w:t>
      </w:r>
      <w:r>
        <w:t>天内仍未复工的，视为第16.2.1项</w:t>
      </w:r>
      <w:r>
        <w:rPr>
          <w:rFonts w:hint="eastAsia"/>
        </w:rPr>
        <w:t>〔</w:t>
      </w:r>
      <w:r>
        <w:t>承包人违约的情形</w:t>
      </w:r>
      <w:r>
        <w:rPr>
          <w:rFonts w:hint="eastAsia"/>
        </w:rPr>
        <w:t>〕</w:t>
      </w:r>
      <w:r>
        <w:t>第（7）目约定的承包人无法继续履行合同的情形。</w:t>
      </w:r>
    </w:p>
    <w:p w14:paraId="70D96B6F">
      <w:pPr>
        <w:bidi w:val="0"/>
      </w:pPr>
      <w:r>
        <w:t>7.8.3 指示暂停施工</w:t>
      </w:r>
    </w:p>
    <w:p w14:paraId="3C7DC47D">
      <w:pPr>
        <w:bidi w:val="0"/>
      </w:pPr>
      <w:r>
        <w:t>监理人认为有必要时，并经发包人批准后，可向承包人作出暂停施工的指示，承包人应按监理人指示暂停施工。</w:t>
      </w:r>
    </w:p>
    <w:p w14:paraId="63D340FB">
      <w:pPr>
        <w:bidi w:val="0"/>
      </w:pPr>
      <w:r>
        <w:t>7.8.4 紧急情况下的暂停施工</w:t>
      </w:r>
    </w:p>
    <w:p w14:paraId="0EF83351">
      <w:pPr>
        <w:bidi w:val="0"/>
      </w:pPr>
      <w: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w:t>
      </w:r>
      <w:r>
        <w:rPr>
          <w:rFonts w:hint="eastAsia"/>
        </w:rPr>
        <w:t>〔</w:t>
      </w:r>
      <w:r>
        <w:t>争议解决</w:t>
      </w:r>
      <w:r>
        <w:rPr>
          <w:rFonts w:hint="eastAsia"/>
        </w:rPr>
        <w:t>〕</w:t>
      </w:r>
      <w:r>
        <w:t>约定处理。</w:t>
      </w:r>
    </w:p>
    <w:p w14:paraId="40ED02F5">
      <w:pPr>
        <w:bidi w:val="0"/>
      </w:pPr>
      <w:r>
        <w:t>7.8.5 暂停施工后的复工</w:t>
      </w:r>
    </w:p>
    <w:p w14:paraId="19C211EA">
      <w:pPr>
        <w:bidi w:val="0"/>
      </w:pPr>
      <w: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0E268D02">
      <w:pPr>
        <w:bidi w:val="0"/>
      </w:pPr>
      <w:r>
        <w:t>承包人无故拖延和拒绝复工的，承包人承担由此增加的费用和（或）延误的工期；因发包人原因无法按时复工的，按照第7.5.1项</w:t>
      </w:r>
      <w:r>
        <w:rPr>
          <w:rFonts w:hint="eastAsia"/>
        </w:rPr>
        <w:t>〔</w:t>
      </w:r>
      <w:r>
        <w:t>因发包人原因导致工期延误</w:t>
      </w:r>
      <w:r>
        <w:rPr>
          <w:rFonts w:hint="eastAsia"/>
        </w:rPr>
        <w:t>〕</w:t>
      </w:r>
      <w:r>
        <w:t>约定办理。</w:t>
      </w:r>
    </w:p>
    <w:p w14:paraId="381CB3EE">
      <w:pPr>
        <w:bidi w:val="0"/>
      </w:pPr>
      <w:r>
        <w:t>7.8.6 暂停施工持续56天以上</w:t>
      </w:r>
    </w:p>
    <w:p w14:paraId="5139DDDE">
      <w:pPr>
        <w:bidi w:val="0"/>
      </w:pPr>
      <w:r>
        <w:t>监理人发出暂停施工指示后56天内未向承包人发出复工通知，除该项停工属于第7.8.2项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外，承包人可向发包人提交书面通知，要求发包人在收到书面通知后28天内准许已暂停施工的部分或全部工程继续施工。发包人逾期不予批准的，则承包人可以通知发包人，将工程受影响的部分视为按第10.1款</w:t>
      </w:r>
      <w:r>
        <w:rPr>
          <w:rFonts w:hint="eastAsia"/>
        </w:rPr>
        <w:t>〔</w:t>
      </w:r>
      <w:r>
        <w:t>变更的范围</w:t>
      </w:r>
      <w:r>
        <w:rPr>
          <w:rFonts w:hint="eastAsia"/>
        </w:rPr>
        <w:t>〕</w:t>
      </w:r>
      <w:r>
        <w:t>第（2）项的可取消工作。</w:t>
      </w:r>
    </w:p>
    <w:p w14:paraId="070DB303">
      <w:pPr>
        <w:bidi w:val="0"/>
      </w:pPr>
      <w:r>
        <w:t>暂停施工持续</w:t>
      </w:r>
      <w:r>
        <w:rPr>
          <w:rFonts w:hint="eastAsia"/>
        </w:rPr>
        <w:t>84</w:t>
      </w:r>
      <w:r>
        <w:t>天以上不复工的，且不属于第7.8.2项</w:t>
      </w:r>
      <w:r>
        <w:rPr>
          <w:rFonts w:hint="eastAsia"/>
        </w:rPr>
        <w:t>〔</w:t>
      </w:r>
      <w:r>
        <w:t>承包人原因引起的暂停施工</w:t>
      </w:r>
      <w:r>
        <w:rPr>
          <w:rFonts w:hint="eastAsia"/>
        </w:rPr>
        <w:t>〕</w:t>
      </w:r>
      <w:r>
        <w:t>及第17条</w:t>
      </w:r>
      <w:r>
        <w:rPr>
          <w:rFonts w:hint="eastAsia"/>
        </w:rPr>
        <w:t>〔</w:t>
      </w:r>
      <w:r>
        <w:t>不可抗力</w:t>
      </w:r>
      <w:r>
        <w:rPr>
          <w:rFonts w:hint="eastAsia"/>
        </w:rPr>
        <w:t>〕</w:t>
      </w:r>
      <w:r>
        <w:t>约定的情形，并影响到整个工程以及合同目的实现的，承包人有权提出价格调整要求，或者解除合同。解除合同的，按照第16.1.3项</w:t>
      </w:r>
      <w:r>
        <w:rPr>
          <w:rFonts w:hint="eastAsia"/>
        </w:rPr>
        <w:t>〔</w:t>
      </w:r>
      <w:r>
        <w:t>因发包人违约解除合同</w:t>
      </w:r>
      <w:r>
        <w:rPr>
          <w:rFonts w:hint="eastAsia"/>
        </w:rPr>
        <w:t>〕</w:t>
      </w:r>
      <w:r>
        <w:t>执行。</w:t>
      </w:r>
    </w:p>
    <w:p w14:paraId="61B88115">
      <w:pPr>
        <w:bidi w:val="0"/>
      </w:pPr>
      <w:r>
        <w:t>7.8.7 暂停施工期间的工程照管</w:t>
      </w:r>
    </w:p>
    <w:p w14:paraId="6F44C589">
      <w:pPr>
        <w:bidi w:val="0"/>
      </w:pPr>
      <w:r>
        <w:t>暂停施工期间，承包人应负责妥善照管工程并提供安全保障，由此增加的费用由责任方承担。</w:t>
      </w:r>
    </w:p>
    <w:p w14:paraId="60A9FD6E">
      <w:pPr>
        <w:bidi w:val="0"/>
      </w:pPr>
      <w:r>
        <w:t>7.8.8 暂停施工的措施</w:t>
      </w:r>
    </w:p>
    <w:p w14:paraId="1EA834CA">
      <w:pPr>
        <w:bidi w:val="0"/>
      </w:pPr>
      <w:r>
        <w:t>暂停施工期间，发包人和承包人均应采取必要的措施确保工程质量及安全，防止因暂停施工扩大损失。</w:t>
      </w:r>
    </w:p>
    <w:p w14:paraId="73DC1973">
      <w:pPr>
        <w:bidi w:val="0"/>
      </w:pPr>
      <w:bookmarkStart w:id="574" w:name="_Toc351203551"/>
      <w:r>
        <w:t>7.9提前竣工</w:t>
      </w:r>
      <w:bookmarkEnd w:id="574"/>
    </w:p>
    <w:p w14:paraId="17029D5E">
      <w:pPr>
        <w:bidi w:val="0"/>
      </w:pPr>
      <w: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w:t>
      </w:r>
      <w:r>
        <w:rPr>
          <w:rFonts w:hint="eastAsia"/>
        </w:rPr>
        <w:t>承包人认为提前竣工指示无法执行的，应向监理人和发包人提出书面异议，发包人和监理人应在收到异议后7天内予以答复。任何情况下，发包人不得压缩合理工期。</w:t>
      </w:r>
    </w:p>
    <w:p w14:paraId="576EC588">
      <w:pPr>
        <w:bidi w:val="0"/>
      </w:pPr>
      <w:r>
        <w:t>7.9.2 发包人要求承包人提前竣工，或承包人提出提前竣工的建议能够给发包人带来效益的，合同当事人可以在专用合同条款中约定提前竣工的奖励。</w:t>
      </w:r>
    </w:p>
    <w:p w14:paraId="3F15EB07">
      <w:pPr>
        <w:pStyle w:val="66"/>
        <w:bidi w:val="0"/>
      </w:pPr>
      <w:bookmarkStart w:id="575" w:name="_Toc351203552"/>
      <w:r>
        <w:t>8</w:t>
      </w:r>
      <w:bookmarkStart w:id="576" w:name="_Toc337558776"/>
      <w:bookmarkStart w:id="577" w:name="_Toc296503058"/>
      <w:bookmarkStart w:id="578" w:name="_Toc296346559"/>
      <w:r>
        <w:t>. 材料与设备</w:t>
      </w:r>
      <w:bookmarkEnd w:id="575"/>
    </w:p>
    <w:bookmarkEnd w:id="576"/>
    <w:bookmarkEnd w:id="577"/>
    <w:bookmarkEnd w:id="578"/>
    <w:p w14:paraId="6A4549F7">
      <w:pPr>
        <w:bidi w:val="0"/>
      </w:pPr>
      <w:bookmarkStart w:id="579" w:name="_Toc351203553"/>
      <w:r>
        <w:t>8</w:t>
      </w:r>
      <w:bookmarkStart w:id="580" w:name="_Toc296503059"/>
      <w:bookmarkStart w:id="581" w:name="_Toc296346560"/>
      <w:bookmarkStart w:id="582" w:name="_Toc337558777"/>
      <w:bookmarkStart w:id="583" w:name="_Toc468936960"/>
      <w:r>
        <w:t>.1发包人供应材料与工程设备</w:t>
      </w:r>
      <w:bookmarkEnd w:id="579"/>
    </w:p>
    <w:bookmarkEnd w:id="580"/>
    <w:bookmarkEnd w:id="581"/>
    <w:bookmarkEnd w:id="582"/>
    <w:p w14:paraId="572A61C8">
      <w:pPr>
        <w:bidi w:val="0"/>
      </w:pPr>
      <w:r>
        <w:t>发包人自行供应材料、工程设备的，应在签订合同时在专用合同条款的附件《发包人供应材料设备一览表》中明确材料、工程设备的品种、规格、型号、数量、单价、质量等级和送达地点。</w:t>
      </w:r>
    </w:p>
    <w:p w14:paraId="480E2D2E">
      <w:pPr>
        <w:bidi w:val="0"/>
      </w:pPr>
      <w:r>
        <w:t>承包人应提前30天通过监理人以书面形式通知发包人供应材料与工程设备进场。承包人按照第7.2.2项</w:t>
      </w:r>
      <w:r>
        <w:rPr>
          <w:rFonts w:hint="eastAsia"/>
        </w:rPr>
        <w:t>〔</w:t>
      </w:r>
      <w:r>
        <w:t>施工进度计划的修订</w:t>
      </w:r>
      <w:r>
        <w:rPr>
          <w:rFonts w:hint="eastAsia"/>
        </w:rPr>
        <w:t>〕</w:t>
      </w:r>
      <w:r>
        <w:t>约定修订施工进度计划时，需同时提交经修订后的发包人供应材料与工程设备的进场计划。</w:t>
      </w:r>
    </w:p>
    <w:p w14:paraId="0B0146A4">
      <w:pPr>
        <w:bidi w:val="0"/>
      </w:pPr>
      <w:bookmarkStart w:id="584" w:name="_Toc351203554"/>
      <w:r>
        <w:t>8</w:t>
      </w:r>
      <w:bookmarkStart w:id="585" w:name="_Toc296503060"/>
      <w:bookmarkStart w:id="586" w:name="_Toc337558778"/>
      <w:bookmarkStart w:id="587" w:name="_Toc296346561"/>
      <w:r>
        <w:t>.2承包人采购材料与工程设备</w:t>
      </w:r>
      <w:bookmarkEnd w:id="584"/>
    </w:p>
    <w:bookmarkEnd w:id="585"/>
    <w:bookmarkEnd w:id="586"/>
    <w:bookmarkEnd w:id="587"/>
    <w:p w14:paraId="1FFD5FF5">
      <w:pPr>
        <w:bidi w:val="0"/>
      </w:pPr>
      <w: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w:t>
      </w:r>
      <w:r>
        <w:rPr>
          <w:rFonts w:hint="eastAsia"/>
        </w:rPr>
        <w:t>相应责任</w:t>
      </w:r>
      <w:r>
        <w:t>。</w:t>
      </w:r>
    </w:p>
    <w:p w14:paraId="0000444E">
      <w:pPr>
        <w:bidi w:val="0"/>
      </w:pPr>
      <w:bookmarkStart w:id="588" w:name="_Toc351203555"/>
      <w:r>
        <w:t>8</w:t>
      </w:r>
      <w:bookmarkStart w:id="589" w:name="_Toc337558779"/>
      <w:bookmarkStart w:id="590" w:name="_Toc296503061"/>
      <w:bookmarkStart w:id="591" w:name="_Toc296346562"/>
      <w:r>
        <w:t>.3材料与工程设备的接收与拒收</w:t>
      </w:r>
      <w:bookmarkEnd w:id="588"/>
    </w:p>
    <w:bookmarkEnd w:id="589"/>
    <w:bookmarkEnd w:id="590"/>
    <w:bookmarkEnd w:id="591"/>
    <w:p w14:paraId="6858F6FC">
      <w:pPr>
        <w:bidi w:val="0"/>
      </w:pPr>
      <w: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65A14BDB">
      <w:pPr>
        <w:bidi w:val="0"/>
      </w:pPr>
      <w:r>
        <w:t>发包人提供的材料和工程设备的规格、数量或质量不符合合同约定的，或因发包人原因导致交货日期延误或交货地点变更等情况的，按照第16.1款</w:t>
      </w:r>
      <w:r>
        <w:rPr>
          <w:rFonts w:hint="eastAsia"/>
        </w:rPr>
        <w:t>〔</w:t>
      </w:r>
      <w:r>
        <w:t>发包人违约</w:t>
      </w:r>
      <w:r>
        <w:rPr>
          <w:rFonts w:hint="eastAsia"/>
        </w:rPr>
        <w:t>〕</w:t>
      </w:r>
      <w:r>
        <w:t>约定办理。</w:t>
      </w:r>
    </w:p>
    <w:p w14:paraId="69DAFE38">
      <w:pPr>
        <w:bidi w:val="0"/>
      </w:pPr>
      <w:r>
        <w:t>8.3.2 承包人采购的材料和工程设备，应保证产品质量合格，承包人应在材料和工程设备到货前24小时通知监理人检验。承</w:t>
      </w:r>
      <w:bookmarkStart w:id="592" w:name="_Toc250655469"/>
      <w:r>
        <w:t>包人进行永久设备、材料的制造和生产的，应符合相关质量标准，并向监理人提交材料的样本以及有关资料，并应在使用该材料或工程设备之前获得监理人同意。</w:t>
      </w:r>
    </w:p>
    <w:bookmarkEnd w:id="592"/>
    <w:p w14:paraId="060B3635">
      <w:pPr>
        <w:bidi w:val="0"/>
      </w:pPr>
      <w: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4B6E08DB">
      <w:pPr>
        <w:bidi w:val="0"/>
      </w:pPr>
      <w:bookmarkStart w:id="593" w:name="_Toc351203556"/>
      <w:r>
        <w:t>8</w:t>
      </w:r>
      <w:bookmarkStart w:id="594" w:name="_Toc337558780"/>
      <w:bookmarkStart w:id="595" w:name="_Toc296503062"/>
      <w:bookmarkStart w:id="596" w:name="_Toc296346563"/>
      <w:r>
        <w:t>.4材料与工程设备的保管与使用</w:t>
      </w:r>
      <w:bookmarkEnd w:id="593"/>
    </w:p>
    <w:bookmarkEnd w:id="594"/>
    <w:bookmarkEnd w:id="595"/>
    <w:bookmarkEnd w:id="596"/>
    <w:p w14:paraId="47660744">
      <w:pPr>
        <w:bidi w:val="0"/>
      </w:pPr>
      <w:r>
        <w:t>8.4.1 发包人供应材料与工程设备的保管与使用</w:t>
      </w:r>
    </w:p>
    <w:p w14:paraId="41140CED">
      <w:pPr>
        <w:bidi w:val="0"/>
      </w:pPr>
      <w: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B035B2F">
      <w:pPr>
        <w:bidi w:val="0"/>
      </w:pPr>
      <w:r>
        <w:t>发包人供应的材料和工程设备使用前，由承包人负责检验，检验费用由发包人承担，不合格的不得使用。</w:t>
      </w:r>
    </w:p>
    <w:p w14:paraId="7D2EDDF9">
      <w:pPr>
        <w:bidi w:val="0"/>
      </w:pPr>
      <w:r>
        <w:t>8.4.2 承包人采购材料与工程设备的保管与使用</w:t>
      </w:r>
    </w:p>
    <w:p w14:paraId="666B27FA">
      <w:pPr>
        <w:bidi w:val="0"/>
      </w:pPr>
      <w: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57699216">
      <w:pPr>
        <w:bidi w:val="0"/>
      </w:pPr>
      <w:r>
        <w:t>发包人或监理人发现承包人使用不符合设计或有关标准要求的材料和工程设备时，有权要求承包人进行修复、拆除或重新采购，由此增加的费用和（或）延误的工期，由承包人承担。</w:t>
      </w:r>
    </w:p>
    <w:p w14:paraId="6A59608E">
      <w:pPr>
        <w:bidi w:val="0"/>
      </w:pPr>
      <w:bookmarkStart w:id="597" w:name="_Toc351203557"/>
      <w:r>
        <w:t>8.5禁止使用不合格的材料和工程设备</w:t>
      </w:r>
      <w:bookmarkEnd w:id="597"/>
    </w:p>
    <w:p w14:paraId="032EB68A">
      <w:pPr>
        <w:bidi w:val="0"/>
      </w:pPr>
      <w:r>
        <w:t>8.5.1 监理人有权拒绝承包人提供的不合格材料或工程设备，并要求承包人立即进行更换。监理人应在更换后再次进行检查和检验，由此增加的费用和（或）延误的工期由承包人承担。</w:t>
      </w:r>
    </w:p>
    <w:p w14:paraId="1F99C8AC">
      <w:pPr>
        <w:bidi w:val="0"/>
      </w:pPr>
      <w:r>
        <w:t>8.5.2 监理人发现承包人使用了不合格的材料和工程设备，承包人应按照监理人的指示立即改正，并禁止在工程中继续使用不合格的材料和工程设备。</w:t>
      </w:r>
    </w:p>
    <w:p w14:paraId="6308C724">
      <w:pPr>
        <w:bidi w:val="0"/>
      </w:pPr>
      <w:r>
        <w:t>8.5.3 发包人提供的材料或工程设备不符合合同要求的，承包人有权拒绝，并可要求发包人更换，由此增加的费用和（或）延误的工期由发包人承担</w:t>
      </w:r>
      <w:r>
        <w:rPr>
          <w:rFonts w:hint="eastAsia"/>
        </w:rPr>
        <w:t>，并支付承包人合理的利润</w:t>
      </w:r>
      <w:r>
        <w:t>。</w:t>
      </w:r>
    </w:p>
    <w:p w14:paraId="4D4BBA19">
      <w:pPr>
        <w:bidi w:val="0"/>
      </w:pPr>
      <w:bookmarkStart w:id="598" w:name="_Toc351203558"/>
      <w:r>
        <w:t>8.6 样品</w:t>
      </w:r>
      <w:bookmarkEnd w:id="598"/>
    </w:p>
    <w:p w14:paraId="08635CA5">
      <w:pPr>
        <w:bidi w:val="0"/>
      </w:pPr>
      <w:r>
        <w:t>8.6.1</w:t>
      </w:r>
      <w:r>
        <w:tab/>
      </w:r>
      <w:r>
        <w:t>样品的报送</w:t>
      </w:r>
      <w:r>
        <w:rPr>
          <w:rFonts w:hint="eastAsia"/>
        </w:rPr>
        <w:t>与封存</w:t>
      </w:r>
    </w:p>
    <w:p w14:paraId="06119063">
      <w:pPr>
        <w:bidi w:val="0"/>
      </w:pPr>
      <w:r>
        <w:t>需要承包人报送样品的材料或工程设备，样品的种类、名称、规格、数量等要求均应在专用合同条款中约定。样品的报送程序如下：</w:t>
      </w:r>
    </w:p>
    <w:p w14:paraId="262366EF">
      <w:pPr>
        <w:bidi w:val="0"/>
      </w:pPr>
      <w: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6BAF3C96">
      <w:pPr>
        <w:bidi w:val="0"/>
      </w:pPr>
      <w: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2B20A99">
      <w:pPr>
        <w:bidi w:val="0"/>
      </w:pPr>
      <w:r>
        <w:t>（3）经发包人和监理人审批确认的样品</w:t>
      </w:r>
      <w:r>
        <w:rPr>
          <w:rFonts w:hint="eastAsia"/>
        </w:rPr>
        <w:t>应按约定的方法封样，封存的样品</w:t>
      </w:r>
      <w:r>
        <w:t>作为检验工程相关部分的标准之一。承包人在施工过程中不得使用与样品不符的材料或工程设备。</w:t>
      </w:r>
    </w:p>
    <w:p w14:paraId="604F5EA3">
      <w:pPr>
        <w:bidi w:val="0"/>
      </w:pPr>
      <w:r>
        <w:t>（4）发包人和监理人对样品的审批确认仅为确认相关材料或工程设备的特征或用途，不得被理解为对合同的修改或改变，也并不减轻或免除承包人任何的责任和义务。</w:t>
      </w:r>
      <w:r>
        <w:rPr>
          <w:rFonts w:hint="eastAsia"/>
        </w:rPr>
        <w:t>如果封存的样品修改或改变了合同约定，合同当事人应当以书面协议予以确认。</w:t>
      </w:r>
    </w:p>
    <w:p w14:paraId="53907D06">
      <w:pPr>
        <w:bidi w:val="0"/>
      </w:pPr>
      <w:r>
        <w:t>8.6.2 样品的保管</w:t>
      </w:r>
    </w:p>
    <w:p w14:paraId="431D2B02">
      <w:pPr>
        <w:bidi w:val="0"/>
      </w:pPr>
      <w:r>
        <w:t>经批准的样品应由监理人负责封存于现场，承包人应在现场为保存样品提供适当和固定的场所并保持适当和良好的存储环境条件。</w:t>
      </w:r>
    </w:p>
    <w:p w14:paraId="61ED0C73">
      <w:pPr>
        <w:bidi w:val="0"/>
      </w:pPr>
      <w:bookmarkStart w:id="599" w:name="_Toc351203559"/>
      <w:r>
        <w:t>8.7材料与工程设备的替代</w:t>
      </w:r>
      <w:bookmarkEnd w:id="599"/>
    </w:p>
    <w:p w14:paraId="1C1FDDBC">
      <w:pPr>
        <w:bidi w:val="0"/>
      </w:pPr>
      <w:r>
        <w:t>8.7.1 出现下列情况需要使用替代材料和工程设备的，承包人应按照第8.7.2项约定的程序执行：</w:t>
      </w:r>
    </w:p>
    <w:p w14:paraId="42FFCA65">
      <w:pPr>
        <w:bidi w:val="0"/>
      </w:pPr>
      <w:r>
        <w:t>（1）基准日</w:t>
      </w:r>
      <w:r>
        <w:rPr>
          <w:rFonts w:hint="eastAsia"/>
        </w:rPr>
        <w:t>期</w:t>
      </w:r>
      <w:r>
        <w:t>后生效的法律规定禁止使用的；</w:t>
      </w:r>
    </w:p>
    <w:p w14:paraId="79399816">
      <w:pPr>
        <w:bidi w:val="0"/>
      </w:pPr>
      <w:r>
        <w:t>（2）发包人要求使用替代品的；</w:t>
      </w:r>
    </w:p>
    <w:p w14:paraId="2A5B57F6">
      <w:pPr>
        <w:bidi w:val="0"/>
      </w:pPr>
      <w:r>
        <w:t>（3）因其他原因必须使用替代品的。</w:t>
      </w:r>
    </w:p>
    <w:p w14:paraId="4CC89A91">
      <w:pPr>
        <w:bidi w:val="0"/>
      </w:pPr>
      <w:r>
        <w:t>8.7.2 承包人应在使用替代材料和工程设备28天前书面通知监理人，并附下列文件：</w:t>
      </w:r>
    </w:p>
    <w:p w14:paraId="7660F0AE">
      <w:pPr>
        <w:bidi w:val="0"/>
      </w:pPr>
      <w:r>
        <w:t>（1）被替代的材料和工程设备的名称、数量、规格、型号、品牌、性能、价格及其他相关资料；</w:t>
      </w:r>
    </w:p>
    <w:p w14:paraId="499852AE">
      <w:pPr>
        <w:bidi w:val="0"/>
      </w:pPr>
      <w:r>
        <w:t>（2）替代品的名称、数量、规格、型号、品牌、性能、价格及其他相关资料；</w:t>
      </w:r>
    </w:p>
    <w:p w14:paraId="7BD782CA">
      <w:pPr>
        <w:bidi w:val="0"/>
      </w:pPr>
      <w:r>
        <w:t>（3）替代品与被替代产品之间的差异以及使用替代品可能对工程产生的影响；</w:t>
      </w:r>
    </w:p>
    <w:p w14:paraId="67525AF8">
      <w:pPr>
        <w:bidi w:val="0"/>
      </w:pPr>
      <w:r>
        <w:t>（4）替代品与被替代产品的价格差异；</w:t>
      </w:r>
    </w:p>
    <w:p w14:paraId="55528CAB">
      <w:pPr>
        <w:bidi w:val="0"/>
      </w:pPr>
      <w:r>
        <w:t>（5）使用替代品的理由和原因说明；</w:t>
      </w:r>
    </w:p>
    <w:p w14:paraId="35CE94B8">
      <w:pPr>
        <w:bidi w:val="0"/>
      </w:pPr>
      <w:r>
        <w:t>（6）监理人要求的其他文件。</w:t>
      </w:r>
    </w:p>
    <w:p w14:paraId="73EEA9B3">
      <w:pPr>
        <w:bidi w:val="0"/>
      </w:pPr>
      <w:r>
        <w:t>监理人应在收到通知后14天内向承包人发出经发包人签认的书面指示；监理人逾期发出书面指示的，视为发包人和监理人同意使用替代品。</w:t>
      </w:r>
    </w:p>
    <w:p w14:paraId="434EBB0E">
      <w:pPr>
        <w:bidi w:val="0"/>
      </w:pPr>
      <w:r>
        <w:t>8.7.3 发包人认可使用替代材料和工程设备的，替代材料和工程设备的价格，按照已标价工程量清单或预算书相同项目的价格认定；无相同项目的，参考相似项目价格认定；</w:t>
      </w:r>
      <w:r>
        <w:rPr>
          <w:rFonts w:hint="eastAsia"/>
        </w:rPr>
        <w:t>既无</w:t>
      </w:r>
      <w:r>
        <w:t>相同项目</w:t>
      </w:r>
      <w:r>
        <w:rPr>
          <w:rFonts w:hint="eastAsia"/>
        </w:rPr>
        <w:t>也</w:t>
      </w:r>
      <w:r>
        <w:t>无相似项目的，</w:t>
      </w:r>
      <w:r>
        <w:rPr>
          <w:rFonts w:hint="eastAsia"/>
        </w:rPr>
        <w:t>按照合理的成本与利润构成的原则，</w:t>
      </w:r>
      <w:r>
        <w:t>由合同当事人按照第4.4款</w:t>
      </w:r>
      <w:r>
        <w:rPr>
          <w:rFonts w:hint="eastAsia"/>
        </w:rPr>
        <w:t>〔</w:t>
      </w:r>
      <w:r>
        <w:t>商定或确定</w:t>
      </w:r>
      <w:r>
        <w:rPr>
          <w:rFonts w:hint="eastAsia"/>
        </w:rPr>
        <w:t>〕</w:t>
      </w:r>
      <w:r>
        <w:t>确定价格。</w:t>
      </w:r>
    </w:p>
    <w:p w14:paraId="4866ACD8">
      <w:pPr>
        <w:bidi w:val="0"/>
      </w:pPr>
      <w:bookmarkStart w:id="600" w:name="_Toc351203560"/>
      <w:r>
        <w:t>8.8施工设备和临时设施</w:t>
      </w:r>
      <w:bookmarkEnd w:id="600"/>
    </w:p>
    <w:p w14:paraId="586C93B5">
      <w:pPr>
        <w:bidi w:val="0"/>
      </w:pPr>
      <w:r>
        <w:t>8.8.1 承包人提供的施工设备和临时设施</w:t>
      </w:r>
    </w:p>
    <w:p w14:paraId="40D118D8">
      <w:pPr>
        <w:bidi w:val="0"/>
      </w:pPr>
      <w:r>
        <w:t>承包人应按合同进度计划的要求，及时配置施工设备和修建临时设施。进入施工场地的承包人设备需经监理人核查后才能投入使用。承包人更换合同约定的承包人设备的，应报监理人批准。</w:t>
      </w:r>
    </w:p>
    <w:p w14:paraId="1210A599">
      <w:pPr>
        <w:bidi w:val="0"/>
        <w:rPr>
          <w:rFonts w:hint="eastAsia"/>
        </w:rPr>
      </w:pPr>
      <w:r>
        <w:t>除专用合同条款另有约定外，承包人应自行承担修建临时设施的费用，需要临时占地的，应由发包人办理申请手续并承担相应费用。</w:t>
      </w:r>
    </w:p>
    <w:p w14:paraId="35B37B52">
      <w:pPr>
        <w:bidi w:val="0"/>
      </w:pPr>
      <w:r>
        <w:t>8.8.2发包人提供的施工设备和临时设施</w:t>
      </w:r>
    </w:p>
    <w:p w14:paraId="60945C72">
      <w:pPr>
        <w:bidi w:val="0"/>
      </w:pPr>
      <w:r>
        <w:t>发包人提供的施工设备或临时设施在专用合同条款中约定。</w:t>
      </w:r>
    </w:p>
    <w:p w14:paraId="1D1729AA">
      <w:pPr>
        <w:bidi w:val="0"/>
      </w:pPr>
      <w:r>
        <w:t>8.8.3要求承包人增加或更换施工设备</w:t>
      </w:r>
    </w:p>
    <w:p w14:paraId="19C8F443">
      <w:pPr>
        <w:bidi w:val="0"/>
      </w:pPr>
      <w:r>
        <w:t>承包人使用的施工设备不能满足合同进度计划和（或）质量要求时，监理人有权要求承包人增加或更换施工设备，承包人应及时增加或更换，由此增加的费用和（或）延误的工期由承包人承担。</w:t>
      </w:r>
    </w:p>
    <w:p w14:paraId="333855C1">
      <w:pPr>
        <w:bidi w:val="0"/>
      </w:pPr>
      <w:bookmarkStart w:id="601" w:name="_Toc351203561"/>
      <w:r>
        <w:t>8</w:t>
      </w:r>
      <w:bookmarkStart w:id="602" w:name="_Toc296503063"/>
      <w:bookmarkStart w:id="603" w:name="_Toc296346564"/>
      <w:bookmarkStart w:id="604" w:name="_Toc337558781"/>
      <w:r>
        <w:t>.9材料与设备专用</w:t>
      </w:r>
      <w:bookmarkEnd w:id="601"/>
      <w:r>
        <w:rPr>
          <w:rFonts w:hint="eastAsia"/>
        </w:rPr>
        <w:t>要求</w:t>
      </w:r>
    </w:p>
    <w:bookmarkEnd w:id="602"/>
    <w:bookmarkEnd w:id="603"/>
    <w:bookmarkEnd w:id="604"/>
    <w:p w14:paraId="60EBE528">
      <w:pPr>
        <w:bidi w:val="0"/>
      </w:pPr>
      <w:r>
        <w:t>承包人运入施工现场的材料、工程设备、施工设备以及在施工场地建设的临时设施，包括备品备件、安装工具与资料，必须专用于工程。未经发包人批准，承包人不得运出施工现场或挪作他用；</w:t>
      </w:r>
      <w:bookmarkEnd w:id="583"/>
      <w:r>
        <w:t>经发包人批准，承包人可以根据施工进度计划撤走闲置的施工设备和其他物品。</w:t>
      </w:r>
    </w:p>
    <w:p w14:paraId="309A8A62">
      <w:pPr>
        <w:pStyle w:val="66"/>
        <w:bidi w:val="0"/>
      </w:pPr>
      <w:bookmarkStart w:id="605" w:name="_Toc351203562"/>
      <w:r>
        <w:t>9</w:t>
      </w:r>
      <w:bookmarkStart w:id="606" w:name="_Toc337558782"/>
      <w:bookmarkStart w:id="607" w:name="_Toc296503083"/>
      <w:bookmarkStart w:id="608" w:name="_Toc296346584"/>
      <w:r>
        <w:t>. 试验与检验</w:t>
      </w:r>
      <w:bookmarkEnd w:id="605"/>
    </w:p>
    <w:bookmarkEnd w:id="606"/>
    <w:p w14:paraId="220C988D">
      <w:pPr>
        <w:bidi w:val="0"/>
      </w:pPr>
      <w:bookmarkStart w:id="609" w:name="_Toc351203563"/>
      <w:r>
        <w:t>9</w:t>
      </w:r>
      <w:bookmarkStart w:id="610" w:name="_Toc337558783"/>
      <w:r>
        <w:t>.1试验设备与试验人员</w:t>
      </w:r>
      <w:bookmarkEnd w:id="609"/>
    </w:p>
    <w:bookmarkEnd w:id="610"/>
    <w:p w14:paraId="26BD8FEA">
      <w:pPr>
        <w:bidi w:val="0"/>
      </w:pPr>
      <w: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7A4D6CB9">
      <w:pPr>
        <w:bidi w:val="0"/>
      </w:pPr>
      <w:r>
        <w:t>9.1.2 承包人应按专用合同条款的约定提供试验设备、取样装置、试验场所和试验条件，并向监理人提交相应进场计划表。</w:t>
      </w:r>
    </w:p>
    <w:p w14:paraId="2B9E0C28">
      <w:pPr>
        <w:bidi w:val="0"/>
      </w:pPr>
      <w:r>
        <w:t>承包人配置的试验设备要符合相应试验规程的要求并经过具有资质的检测单位检测，且在正式使用该试验设备前，需要经过监理人与承包人共同校定。</w:t>
      </w:r>
    </w:p>
    <w:p w14:paraId="786B45C0">
      <w:pPr>
        <w:bidi w:val="0"/>
      </w:pPr>
      <w:r>
        <w:t>9.1.3 承包人应向监理人提交试验人员的名单及其岗位、资格等证明资料，试验人员必须能够熟练进行相应的检测试验，承包人对试验人员的试验程序和试验结果的正确性负责。</w:t>
      </w:r>
    </w:p>
    <w:p w14:paraId="70AACA4B">
      <w:pPr>
        <w:bidi w:val="0"/>
      </w:pPr>
      <w:bookmarkStart w:id="611" w:name="_Toc351203564"/>
      <w:r>
        <w:t>9</w:t>
      </w:r>
      <w:bookmarkStart w:id="612" w:name="_Toc337558784"/>
      <w:r>
        <w:t>.2取样</w:t>
      </w:r>
      <w:bookmarkEnd w:id="611"/>
    </w:p>
    <w:bookmarkEnd w:id="612"/>
    <w:p w14:paraId="5C32A483">
      <w:pPr>
        <w:bidi w:val="0"/>
      </w:pPr>
      <w:r>
        <w:t>试验属于自检性质的，承包人可以单独取样。试验属于监理人抽检性质的，可由监理人取样，也可由承包人的试验人员在监理人的监督下取样。</w:t>
      </w:r>
    </w:p>
    <w:p w14:paraId="5E1B3045">
      <w:pPr>
        <w:bidi w:val="0"/>
      </w:pPr>
      <w:bookmarkStart w:id="613" w:name="_Toc351203565"/>
      <w:r>
        <w:t>9</w:t>
      </w:r>
      <w:bookmarkStart w:id="614" w:name="_Toc337558785"/>
      <w:r>
        <w:t>.3材料、工程设备和工程的试验和检验</w:t>
      </w:r>
      <w:bookmarkEnd w:id="613"/>
    </w:p>
    <w:bookmarkEnd w:id="614"/>
    <w:p w14:paraId="24528798">
      <w:pPr>
        <w:bidi w:val="0"/>
      </w:pPr>
      <w: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F477DBE">
      <w:pPr>
        <w:bidi w:val="0"/>
      </w:pPr>
      <w: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B2F46FA">
      <w:pPr>
        <w:bidi w:val="0"/>
      </w:pPr>
      <w: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360C4C9A">
      <w:pPr>
        <w:bidi w:val="0"/>
      </w:pPr>
      <w:bookmarkStart w:id="615" w:name="_Toc351203566"/>
      <w:r>
        <w:t>9</w:t>
      </w:r>
      <w:bookmarkStart w:id="616" w:name="_Toc337558786"/>
      <w:r>
        <w:t>.4现场工艺试验</w:t>
      </w:r>
      <w:bookmarkEnd w:id="615"/>
    </w:p>
    <w:bookmarkEnd w:id="616"/>
    <w:p w14:paraId="1FAEBAE7">
      <w:pPr>
        <w:bidi w:val="0"/>
      </w:pPr>
      <w:r>
        <w:t>承包人应按合同约定或监理人指示进行现场工艺试验。对大型的现场工艺试验，监理人认为必要时，承包人应根据监理人提出的工艺试验要求，编制工艺试验措施计划，报送监理人审查。</w:t>
      </w:r>
    </w:p>
    <w:p w14:paraId="488BCD8C">
      <w:pPr>
        <w:pStyle w:val="66"/>
        <w:bidi w:val="0"/>
      </w:pPr>
      <w:bookmarkStart w:id="617" w:name="_Toc351203567"/>
      <w:r>
        <w:t>1</w:t>
      </w:r>
      <w:bookmarkStart w:id="618" w:name="_Toc337558787"/>
      <w:r>
        <w:t>0. 变更</w:t>
      </w:r>
      <w:bookmarkEnd w:id="607"/>
      <w:bookmarkEnd w:id="608"/>
      <w:bookmarkEnd w:id="617"/>
    </w:p>
    <w:bookmarkEnd w:id="618"/>
    <w:p w14:paraId="0BCBA17B">
      <w:pPr>
        <w:bidi w:val="0"/>
      </w:pPr>
      <w:bookmarkStart w:id="619" w:name="_Toc351203568"/>
      <w:r>
        <w:t>1</w:t>
      </w:r>
      <w:bookmarkStart w:id="620" w:name="_Toc337558788"/>
      <w:bookmarkStart w:id="621" w:name="_Toc296346585"/>
      <w:bookmarkStart w:id="622" w:name="_Toc296503084"/>
      <w:r>
        <w:t>0.1变更的范围</w:t>
      </w:r>
      <w:bookmarkEnd w:id="619"/>
    </w:p>
    <w:bookmarkEnd w:id="620"/>
    <w:bookmarkEnd w:id="621"/>
    <w:bookmarkEnd w:id="622"/>
    <w:p w14:paraId="50AB4A63">
      <w:pPr>
        <w:bidi w:val="0"/>
      </w:pPr>
      <w:r>
        <w:t>除专用合同条款另有约定外，合同履行过程中发生以下情形的，应按照本条约定进行变更：</w:t>
      </w:r>
    </w:p>
    <w:p w14:paraId="6929390F">
      <w:pPr>
        <w:bidi w:val="0"/>
      </w:pPr>
      <w:r>
        <w:t>（1）增加或减少合同中任何工作，或追加额外的工作；</w:t>
      </w:r>
    </w:p>
    <w:p w14:paraId="09EBAB30">
      <w:pPr>
        <w:bidi w:val="0"/>
      </w:pPr>
      <w:r>
        <w:t>（2）取消合同中任何工作，但转由他人实施的工作除外；</w:t>
      </w:r>
    </w:p>
    <w:p w14:paraId="73BBAE9B">
      <w:pPr>
        <w:bidi w:val="0"/>
      </w:pPr>
      <w:r>
        <w:t>（3）改变合同中任何工作的质量标准或其他特性；</w:t>
      </w:r>
    </w:p>
    <w:p w14:paraId="5018EB19">
      <w:pPr>
        <w:bidi w:val="0"/>
      </w:pPr>
      <w:r>
        <w:t>（4）改变工程的基线、标高、位置和尺寸；</w:t>
      </w:r>
    </w:p>
    <w:p w14:paraId="76EBFEF7">
      <w:pPr>
        <w:bidi w:val="0"/>
      </w:pPr>
      <w:r>
        <w:t>（5）改变工程的时间安排或实施顺序。</w:t>
      </w:r>
    </w:p>
    <w:p w14:paraId="7CCD203E">
      <w:pPr>
        <w:bidi w:val="0"/>
      </w:pPr>
      <w:bookmarkStart w:id="623" w:name="_Toc351203569"/>
      <w:r>
        <w:t>1</w:t>
      </w:r>
      <w:bookmarkStart w:id="624" w:name="_Toc337558789"/>
      <w:bookmarkStart w:id="625" w:name="_Toc296503085"/>
      <w:bookmarkStart w:id="626" w:name="_Toc296346586"/>
      <w:r>
        <w:t>0.2变更权</w:t>
      </w:r>
      <w:bookmarkEnd w:id="623"/>
    </w:p>
    <w:bookmarkEnd w:id="624"/>
    <w:bookmarkEnd w:id="625"/>
    <w:bookmarkEnd w:id="626"/>
    <w:p w14:paraId="6BA7EA21">
      <w:pPr>
        <w:bidi w:val="0"/>
      </w:pPr>
      <w: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1CFE03EB">
      <w:pPr>
        <w:bidi w:val="0"/>
      </w:pPr>
      <w:r>
        <w:t>涉及设计变更的，应由设计人提供变更后的图纸和说明。如变更超过原设计标准或批准的建设规模时，发包人应及时办理规划、设计变更</w:t>
      </w:r>
      <w:r>
        <w:rPr>
          <w:rFonts w:hint="eastAsia"/>
        </w:rPr>
        <w:t>等</w:t>
      </w:r>
      <w:r>
        <w:t>审批手续。</w:t>
      </w:r>
    </w:p>
    <w:p w14:paraId="4313D460">
      <w:pPr>
        <w:bidi w:val="0"/>
      </w:pPr>
      <w:bookmarkStart w:id="627" w:name="_Toc351203570"/>
      <w:r>
        <w:t>1</w:t>
      </w:r>
      <w:bookmarkStart w:id="628" w:name="_Toc296503086"/>
      <w:bookmarkStart w:id="629" w:name="_Toc337558790"/>
      <w:bookmarkStart w:id="630" w:name="_Toc296346587"/>
      <w:r>
        <w:t>0.3变更程序</w:t>
      </w:r>
      <w:bookmarkEnd w:id="627"/>
    </w:p>
    <w:bookmarkEnd w:id="628"/>
    <w:bookmarkEnd w:id="629"/>
    <w:bookmarkEnd w:id="630"/>
    <w:p w14:paraId="7C5C8AF8">
      <w:pPr>
        <w:bidi w:val="0"/>
      </w:pPr>
      <w:r>
        <w:t>10.3.1 发包人提出变更</w:t>
      </w:r>
    </w:p>
    <w:p w14:paraId="2C0473F8">
      <w:pPr>
        <w:bidi w:val="0"/>
      </w:pPr>
      <w:r>
        <w:t>发包人提出变更的，应通过监理人向承包人发出变更指示，变更指示应说明计划变更的工程范围和变更的内容。</w:t>
      </w:r>
    </w:p>
    <w:p w14:paraId="47FE2ACA">
      <w:pPr>
        <w:bidi w:val="0"/>
      </w:pPr>
      <w:r>
        <w:t>10.3.2 监理人提出变更建议</w:t>
      </w:r>
    </w:p>
    <w:p w14:paraId="27053160">
      <w:pPr>
        <w:bidi w:val="0"/>
        <w:rPr>
          <w:rFonts w:hint="eastAsia"/>
        </w:rPr>
      </w:pPr>
      <w: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8779B0E">
      <w:pPr>
        <w:bidi w:val="0"/>
        <w:rPr>
          <w:rFonts w:hint="eastAsia"/>
        </w:rPr>
      </w:pPr>
      <w:r>
        <w:rPr>
          <w:rFonts w:hint="eastAsia"/>
        </w:rPr>
        <w:t>10.3.3 变更执行</w:t>
      </w:r>
    </w:p>
    <w:p w14:paraId="3FD7D589">
      <w:pPr>
        <w:bidi w:val="0"/>
      </w:pPr>
      <w:r>
        <w:t>承包人收到监理人下达的变更指示后，</w:t>
      </w:r>
      <w:r>
        <w:rPr>
          <w:rFonts w:hint="eastAsia"/>
        </w:rPr>
        <w:t>认为不能执行，应立即</w:t>
      </w:r>
      <w:r>
        <w:t>提出不能执行该变更指示的理由。承包人</w:t>
      </w:r>
      <w:r>
        <w:rPr>
          <w:rFonts w:hint="eastAsia"/>
        </w:rPr>
        <w:t>认为可以</w:t>
      </w:r>
      <w:r>
        <w:t>执行变更的，</w:t>
      </w:r>
      <w:r>
        <w:rPr>
          <w:rFonts w:hint="eastAsia"/>
        </w:rPr>
        <w:t>应当书面说明实施该变更指示对合同价格和工期的影响，且合同当事人应当按照第10.4款〔变更估价〕约定确定变更估价</w:t>
      </w:r>
      <w:r>
        <w:t>。</w:t>
      </w:r>
    </w:p>
    <w:p w14:paraId="4FCD1693">
      <w:pPr>
        <w:bidi w:val="0"/>
      </w:pPr>
      <w:bookmarkStart w:id="631" w:name="_Toc351203571"/>
      <w:r>
        <w:t>1</w:t>
      </w:r>
      <w:bookmarkStart w:id="632" w:name="_Toc296346588"/>
      <w:bookmarkStart w:id="633" w:name="_Toc296503087"/>
      <w:bookmarkStart w:id="634" w:name="_Toc337558791"/>
      <w:r>
        <w:t>0.4变更估价</w:t>
      </w:r>
      <w:bookmarkEnd w:id="631"/>
    </w:p>
    <w:bookmarkEnd w:id="632"/>
    <w:bookmarkEnd w:id="633"/>
    <w:bookmarkEnd w:id="634"/>
    <w:p w14:paraId="40E55E5F">
      <w:pPr>
        <w:bidi w:val="0"/>
        <w:rPr>
          <w:rFonts w:hint="eastAsia"/>
        </w:rPr>
      </w:pPr>
      <w:r>
        <w:rPr>
          <w:rFonts w:hint="eastAsia"/>
        </w:rPr>
        <w:t>10.4.1 变更估价原则</w:t>
      </w:r>
    </w:p>
    <w:p w14:paraId="204CEB46">
      <w:pPr>
        <w:bidi w:val="0"/>
      </w:pPr>
      <w:r>
        <w:t>除专用合同条款另有约定外，变更估价按照本款约定处理：</w:t>
      </w:r>
    </w:p>
    <w:p w14:paraId="27514678">
      <w:pPr>
        <w:bidi w:val="0"/>
      </w:pPr>
      <w:r>
        <w:t>（1）已标价工程量清单或预算书有相同项目的，按照相同项目单价认定；</w:t>
      </w:r>
    </w:p>
    <w:p w14:paraId="33F0101A">
      <w:pPr>
        <w:bidi w:val="0"/>
      </w:pPr>
      <w:r>
        <w:t>（2）已标价工程量清单或预算书中无相同项目，但有类似项目的，参照类似项目的单价认定；</w:t>
      </w:r>
    </w:p>
    <w:p w14:paraId="0540688D">
      <w:pPr>
        <w:bidi w:val="0"/>
      </w:pPr>
      <w: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w:t>
      </w:r>
      <w:r>
        <w:rPr>
          <w:rFonts w:hint="eastAsia"/>
        </w:rPr>
        <w:t>〔</w:t>
      </w:r>
      <w:r>
        <w:t>商定或确定</w:t>
      </w:r>
      <w:r>
        <w:rPr>
          <w:rFonts w:hint="eastAsia"/>
        </w:rPr>
        <w:t>〕</w:t>
      </w:r>
      <w:r>
        <w:t>确定变更工作的单价。</w:t>
      </w:r>
    </w:p>
    <w:p w14:paraId="2CD4D58D">
      <w:pPr>
        <w:bidi w:val="0"/>
        <w:rPr>
          <w:rFonts w:hint="eastAsia"/>
        </w:rPr>
      </w:pPr>
      <w:r>
        <w:rPr>
          <w:rFonts w:hint="eastAsia"/>
        </w:rPr>
        <w:t>10.4.2 变更估价程序</w:t>
      </w:r>
    </w:p>
    <w:p w14:paraId="71067E3F">
      <w:pPr>
        <w:bidi w:val="0"/>
        <w:rPr>
          <w:rFonts w:hint="eastAsia"/>
        </w:rPr>
      </w:pPr>
      <w:r>
        <w:rPr>
          <w:rFonts w:hint="eastAsia"/>
        </w:rPr>
        <w:t>承包人应在收到变更指示后14天内，向监理人提交变更估价申请。监理人应在收到承包人提交的变更估价申请后7天内审查完毕并报送发包人，监理人对变更估价申请有异议</w:t>
      </w:r>
      <w:r>
        <w:t>，通知承包人</w:t>
      </w:r>
      <w:r>
        <w:rPr>
          <w:rFonts w:hint="eastAsia"/>
        </w:rPr>
        <w:t>修</w:t>
      </w:r>
      <w:r>
        <w:t>改</w:t>
      </w:r>
      <w:r>
        <w:rPr>
          <w:rFonts w:hint="eastAsia"/>
        </w:rPr>
        <w:t>后重新提交</w:t>
      </w:r>
      <w:r>
        <w:t>。发包人应在</w:t>
      </w:r>
      <w:r>
        <w:rPr>
          <w:rFonts w:hint="eastAsia"/>
        </w:rPr>
        <w:t>承包人提交变更估价申请</w:t>
      </w:r>
      <w:r>
        <w:t>后</w:t>
      </w:r>
      <w:r>
        <w:rPr>
          <w:rFonts w:hint="eastAsia"/>
        </w:rPr>
        <w:t>14</w:t>
      </w:r>
      <w:r>
        <w:t>天内审批完毕。</w:t>
      </w:r>
      <w:r>
        <w:rPr>
          <w:rFonts w:hint="eastAsia"/>
        </w:rPr>
        <w:t>发包人逾期未完成审批或未提出异议的，视为认可承包人提交的变更估价申请。</w:t>
      </w:r>
    </w:p>
    <w:p w14:paraId="297D3727">
      <w:pPr>
        <w:bidi w:val="0"/>
      </w:pPr>
      <w:r>
        <w:t>因变更引起的价格调整应计入最近一期的进度款中支付。</w:t>
      </w:r>
    </w:p>
    <w:p w14:paraId="7EC9BA54">
      <w:pPr>
        <w:bidi w:val="0"/>
      </w:pPr>
      <w:bookmarkStart w:id="635" w:name="_Toc351203572"/>
      <w:r>
        <w:t>1</w:t>
      </w:r>
      <w:bookmarkStart w:id="636" w:name="_Toc296503094"/>
      <w:bookmarkStart w:id="637" w:name="_Toc337558792"/>
      <w:bookmarkStart w:id="638" w:name="_Toc296346595"/>
      <w:r>
        <w:t>0.5承包人的合理化建议</w:t>
      </w:r>
      <w:bookmarkEnd w:id="635"/>
    </w:p>
    <w:bookmarkEnd w:id="636"/>
    <w:bookmarkEnd w:id="637"/>
    <w:bookmarkEnd w:id="638"/>
    <w:p w14:paraId="23F33444">
      <w:pPr>
        <w:bidi w:val="0"/>
      </w:pPr>
      <w:r>
        <w:t>承包人提出合理化建议的，应向监理人提交合理化建议说明，说明建议的内容和理由，以及实施该建议对合同价格和工期的影响。</w:t>
      </w:r>
    </w:p>
    <w:p w14:paraId="6A552A3F">
      <w:pPr>
        <w:bidi w:val="0"/>
      </w:pPr>
      <w: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w:t>
      </w:r>
      <w:r>
        <w:rPr>
          <w:rFonts w:hint="eastAsia"/>
        </w:rPr>
        <w:t>〔</w:t>
      </w:r>
      <w:r>
        <w:t>变更估价</w:t>
      </w:r>
      <w:r>
        <w:rPr>
          <w:rFonts w:hint="eastAsia"/>
        </w:rPr>
        <w:t>〕</w:t>
      </w:r>
      <w:r>
        <w:t>约定执行。发包人不同意变更的，监理人应书面通知承包人。</w:t>
      </w:r>
    </w:p>
    <w:p w14:paraId="1788B9A9">
      <w:pPr>
        <w:bidi w:val="0"/>
      </w:pPr>
      <w:r>
        <w:t>合理化建议降低了合同价格或者提高了工程经济效益的，发包人可对承包人给予奖励，奖励的方法和金额在专用合同条款中约定。</w:t>
      </w:r>
    </w:p>
    <w:p w14:paraId="0DB7DE21">
      <w:pPr>
        <w:bidi w:val="0"/>
      </w:pPr>
      <w:bookmarkStart w:id="639" w:name="_Toc351203573"/>
      <w:r>
        <w:t>1</w:t>
      </w:r>
      <w:bookmarkStart w:id="640" w:name="_Toc337558793"/>
      <w:r>
        <w:t>0.6变更引起的工期调整</w:t>
      </w:r>
      <w:bookmarkEnd w:id="639"/>
      <w:r>
        <w:t xml:space="preserve"> </w:t>
      </w:r>
      <w:bookmarkEnd w:id="640"/>
      <w:r>
        <w:t xml:space="preserve">  </w:t>
      </w:r>
    </w:p>
    <w:p w14:paraId="39B1EA30">
      <w:pPr>
        <w:bidi w:val="0"/>
      </w:pPr>
      <w:r>
        <w:t>因变更引起工期变化的，合同当事人均可要求调整合同工期，由合同当事人按照第4.4款</w:t>
      </w:r>
      <w:r>
        <w:rPr>
          <w:rFonts w:hint="eastAsia"/>
        </w:rPr>
        <w:t>〔</w:t>
      </w:r>
      <w:r>
        <w:t>商定或确定</w:t>
      </w:r>
      <w:r>
        <w:rPr>
          <w:rFonts w:hint="eastAsia"/>
        </w:rPr>
        <w:t>〕</w:t>
      </w:r>
      <w:r>
        <w:t>并参考工程所在地的工期定额标准确定增减工期天数。</w:t>
      </w:r>
    </w:p>
    <w:p w14:paraId="15A6E9B4">
      <w:pPr>
        <w:bidi w:val="0"/>
      </w:pPr>
      <w:bookmarkStart w:id="641" w:name="_Toc351203574"/>
      <w:r>
        <w:t>10.7暂估价</w:t>
      </w:r>
      <w:bookmarkEnd w:id="641"/>
    </w:p>
    <w:p w14:paraId="010A16AF">
      <w:pPr>
        <w:bidi w:val="0"/>
      </w:pPr>
      <w:r>
        <w:t>暂估价专业分包工程、</w:t>
      </w:r>
      <w:r>
        <w:rPr>
          <w:rFonts w:hint="eastAsia"/>
        </w:rPr>
        <w:t>服务、</w:t>
      </w:r>
      <w:r>
        <w:t>材料和工程设备的明细由合同当事人在专用合同条款中约定。</w:t>
      </w:r>
    </w:p>
    <w:p w14:paraId="33FDD41F">
      <w:pPr>
        <w:bidi w:val="0"/>
      </w:pPr>
      <w:r>
        <w:t>10.7.1 依法必须招标的暂估价项目</w:t>
      </w:r>
    </w:p>
    <w:p w14:paraId="2E810C40">
      <w:pPr>
        <w:bidi w:val="0"/>
      </w:pPr>
      <w:r>
        <w:t>对于依法必须招标的暂估价项目，采取以下第1种方式确定</w:t>
      </w:r>
      <w:r>
        <w:rPr>
          <w:rFonts w:hint="eastAsia"/>
        </w:rPr>
        <w:t>。合同当事人也可以在</w:t>
      </w:r>
      <w:r>
        <w:t>专用合同条款</w:t>
      </w:r>
      <w:r>
        <w:rPr>
          <w:rFonts w:hint="eastAsia"/>
        </w:rPr>
        <w:t>中选择其他招标方式。</w:t>
      </w:r>
    </w:p>
    <w:p w14:paraId="2D9E1758">
      <w:pPr>
        <w:bidi w:val="0"/>
      </w:pPr>
      <w:r>
        <w:t>第1种方式：对于依法必须招标的暂估价项目，由承包人招标，对该暂估价项目的确认和批准按照以下约定执行：</w:t>
      </w:r>
    </w:p>
    <w:p w14:paraId="15FDFECB">
      <w:pPr>
        <w:bidi w:val="0"/>
      </w:pPr>
      <w: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2201E01">
      <w:pPr>
        <w:bidi w:val="0"/>
      </w:pPr>
      <w:r>
        <w:t>（2）承包人应当根据施工进度计划，提前14天将招标文件通过监理人报送发包人审批，发包人应当在收到承包人报送的相关文件后7天内完成审批或提出修改意见；发包人有权确定招标控制价</w:t>
      </w:r>
      <w:r>
        <w:rPr>
          <w:rFonts w:hint="eastAsia"/>
        </w:rPr>
        <w:t>并按照法律规定参加评标</w:t>
      </w:r>
      <w:r>
        <w:t>；</w:t>
      </w:r>
    </w:p>
    <w:p w14:paraId="303A639B">
      <w:pPr>
        <w:bidi w:val="0"/>
      </w:pPr>
      <w: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3475F69">
      <w:pPr>
        <w:bidi w:val="0"/>
      </w:pPr>
      <w: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B7DF70F">
      <w:pPr>
        <w:bidi w:val="0"/>
      </w:pPr>
      <w:r>
        <w:t>10.7.2不属于依法必须招标的暂估价项目</w:t>
      </w:r>
    </w:p>
    <w:p w14:paraId="0D7999CF">
      <w:pPr>
        <w:bidi w:val="0"/>
      </w:pPr>
      <w:r>
        <w:t>除专用合同条款另有约定外，对于不属于依法必须招标的暂估价项目，采取以下第1种方式确定：</w:t>
      </w:r>
      <w:r>
        <w:rPr>
          <w:rFonts w:hint="eastAsia"/>
        </w:rPr>
        <w:t xml:space="preserve"> </w:t>
      </w:r>
    </w:p>
    <w:p w14:paraId="578C70EC">
      <w:pPr>
        <w:bidi w:val="0"/>
      </w:pPr>
      <w:r>
        <w:t>第1种方式：对于不属于依法必须招标的暂估价项目，按本项约定确认和批准：</w:t>
      </w:r>
    </w:p>
    <w:p w14:paraId="2D53B30A">
      <w:pPr>
        <w:bidi w:val="0"/>
      </w:pPr>
      <w: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DC236FD">
      <w:pPr>
        <w:bidi w:val="0"/>
      </w:pPr>
      <w:r>
        <w:t>（2）发包人认为承包人确定的供应商、分包人无法满足工程质量或合同要求的，发包人可以要求承包人重新确定暂估价项目的供应商、分包人;</w:t>
      </w:r>
    </w:p>
    <w:p w14:paraId="1593918A">
      <w:pPr>
        <w:bidi w:val="0"/>
      </w:pPr>
      <w:r>
        <w:t>（3）承包人应当在签订暂估价合同后7天内，将暂估价合同副本报送发包人留存。</w:t>
      </w:r>
    </w:p>
    <w:p w14:paraId="654D75D7">
      <w:pPr>
        <w:bidi w:val="0"/>
      </w:pPr>
      <w:r>
        <w:t>第2种方式：承包人按照第10.7.1项</w:t>
      </w:r>
      <w:r>
        <w:rPr>
          <w:rFonts w:hint="eastAsia"/>
        </w:rPr>
        <w:t>〔</w:t>
      </w:r>
      <w:r>
        <w:t>依法必须招标的暂估价项目</w:t>
      </w:r>
      <w:r>
        <w:rPr>
          <w:rFonts w:hint="eastAsia"/>
        </w:rPr>
        <w:t>〕</w:t>
      </w:r>
      <w:r>
        <w:t>约定的第1种方式确定暂估价项目。</w:t>
      </w:r>
    </w:p>
    <w:p w14:paraId="33F18275">
      <w:pPr>
        <w:bidi w:val="0"/>
      </w:pPr>
      <w:r>
        <w:t>第3种方式：承包人直接实施的暂估价项目</w:t>
      </w:r>
    </w:p>
    <w:p w14:paraId="480F7DA8">
      <w:pPr>
        <w:bidi w:val="0"/>
      </w:pPr>
      <w:r>
        <w:t>承包人具备实施暂估价项目的资格和条件的，经发包人和承包人协商一致后，可由承包人自行实施暂估价项目，合同当事人可以在专用合同条款约定具体事项。</w:t>
      </w:r>
    </w:p>
    <w:p w14:paraId="33F7FC14">
      <w:pPr>
        <w:bidi w:val="0"/>
      </w:pPr>
      <w: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13A9910">
      <w:pPr>
        <w:bidi w:val="0"/>
      </w:pPr>
      <w:bookmarkStart w:id="642" w:name="_Toc351203575"/>
      <w:r>
        <w:t>1</w:t>
      </w:r>
      <w:bookmarkStart w:id="643" w:name="_Toc337558794"/>
      <w:bookmarkStart w:id="644" w:name="_Toc322522561"/>
      <w:bookmarkStart w:id="645" w:name="_Toc296346591"/>
      <w:bookmarkStart w:id="646" w:name="_Toc296503090"/>
      <w:r>
        <w:t>0.8暂列金额</w:t>
      </w:r>
      <w:bookmarkEnd w:id="642"/>
    </w:p>
    <w:bookmarkEnd w:id="643"/>
    <w:p w14:paraId="33CBE91B">
      <w:pPr>
        <w:bidi w:val="0"/>
      </w:pPr>
      <w:r>
        <w:t>暂列金额应按照发包人的要求使用，发包人的要求应通过监理人发出。</w:t>
      </w:r>
      <w:r>
        <w:rPr>
          <w:rFonts w:hint="eastAsia"/>
        </w:rPr>
        <w:t>合同当事人可以在专用合同条款中协商确定有关事项。</w:t>
      </w:r>
    </w:p>
    <w:bookmarkEnd w:id="644"/>
    <w:bookmarkEnd w:id="645"/>
    <w:bookmarkEnd w:id="646"/>
    <w:p w14:paraId="07EE7EAA">
      <w:pPr>
        <w:bidi w:val="0"/>
      </w:pPr>
      <w:bookmarkStart w:id="647" w:name="_Toc351203576"/>
      <w:r>
        <w:t>1</w:t>
      </w:r>
      <w:bookmarkStart w:id="648" w:name="_Toc296503091"/>
      <w:bookmarkStart w:id="649" w:name="_Toc337558796"/>
      <w:bookmarkStart w:id="650" w:name="_Toc296346592"/>
      <w:r>
        <w:t>0.9计日工</w:t>
      </w:r>
      <w:bookmarkEnd w:id="647"/>
      <w:r>
        <w:t xml:space="preserve"> </w:t>
      </w:r>
      <w:bookmarkEnd w:id="648"/>
      <w:bookmarkEnd w:id="649"/>
      <w:bookmarkEnd w:id="650"/>
    </w:p>
    <w:p w14:paraId="5A1F771B">
      <w:pPr>
        <w:bidi w:val="0"/>
      </w:pPr>
      <w:r>
        <w:rPr>
          <w:rFonts w:hint="eastAsia"/>
        </w:rPr>
        <w:t>需要采用计日工方式的，经发包人同意后</w:t>
      </w:r>
      <w:r>
        <w:t>，由监理人通知承包人以计日工计价方式实施</w:t>
      </w:r>
      <w:r>
        <w:rPr>
          <w:rFonts w:hint="eastAsia"/>
        </w:rPr>
        <w:t>相应</w:t>
      </w:r>
      <w:r>
        <w:t>的工作，其价款按列入已标价工程量清单或预算书中的计日工计价项目及其单价进行计算；已标价工程量清单或预算书中无相应的计日工单价的，按照合理的成本与利润构成的原则，由合同当事人按照第4.4款</w:t>
      </w:r>
      <w:r>
        <w:rPr>
          <w:rFonts w:hint="eastAsia"/>
        </w:rPr>
        <w:t>〔</w:t>
      </w:r>
      <w:r>
        <w:t>商定或确定</w:t>
      </w:r>
      <w:r>
        <w:rPr>
          <w:rFonts w:hint="eastAsia"/>
        </w:rPr>
        <w:t>〕</w:t>
      </w:r>
      <w:r>
        <w:t>确定</w:t>
      </w:r>
      <w:r>
        <w:rPr>
          <w:rFonts w:hint="eastAsia"/>
        </w:rPr>
        <w:t>计日工</w:t>
      </w:r>
      <w:r>
        <w:t>的单价。</w:t>
      </w:r>
    </w:p>
    <w:p w14:paraId="456A6336">
      <w:pPr>
        <w:bidi w:val="0"/>
      </w:pPr>
      <w:r>
        <w:t>采用计日工计价的任何一项工作，承包人应在该项工作实施过程中，每天提交以下报表和有关凭证报送监理人审查：</w:t>
      </w:r>
    </w:p>
    <w:p w14:paraId="28F9DA85">
      <w:pPr>
        <w:bidi w:val="0"/>
      </w:pPr>
      <w:r>
        <w:t>（1）工作名称、内容和数量；</w:t>
      </w:r>
    </w:p>
    <w:p w14:paraId="668A45E4">
      <w:pPr>
        <w:bidi w:val="0"/>
      </w:pPr>
      <w:r>
        <w:t>（2）投入该工作的所有人员的姓名、专业、工种、级别和耗用工时；</w:t>
      </w:r>
    </w:p>
    <w:p w14:paraId="065DD431">
      <w:pPr>
        <w:bidi w:val="0"/>
      </w:pPr>
      <w:r>
        <w:t>（3）投入该工作的材料类别和数量；</w:t>
      </w:r>
    </w:p>
    <w:p w14:paraId="05A567C6">
      <w:pPr>
        <w:bidi w:val="0"/>
      </w:pPr>
      <w:r>
        <w:t>（4）投入该工作的施工设备型号、台数和耗用台时；</w:t>
      </w:r>
    </w:p>
    <w:p w14:paraId="4CED9F14">
      <w:pPr>
        <w:bidi w:val="0"/>
      </w:pPr>
      <w:r>
        <w:t>（5）其他有关资料和凭证。</w:t>
      </w:r>
    </w:p>
    <w:p w14:paraId="5C8D8712">
      <w:pPr>
        <w:bidi w:val="0"/>
      </w:pPr>
      <w:r>
        <w:t xml:space="preserve"> 计日工由承包人汇总后，列入最近一期进度付款申请单，由监理人审查并经发包人批准后列入进度付款。</w:t>
      </w:r>
    </w:p>
    <w:p w14:paraId="37642F7A">
      <w:pPr>
        <w:pStyle w:val="66"/>
        <w:bidi w:val="0"/>
      </w:pPr>
      <w:bookmarkStart w:id="651" w:name="_Toc351203577"/>
      <w:r>
        <w:t>11. 价格调整</w:t>
      </w:r>
      <w:bookmarkEnd w:id="651"/>
    </w:p>
    <w:p w14:paraId="7FD54DBB">
      <w:pPr>
        <w:bidi w:val="0"/>
      </w:pPr>
      <w:bookmarkStart w:id="652" w:name="_Toc351203578"/>
      <w:bookmarkStart w:id="653" w:name="_Toc296346593"/>
      <w:bookmarkStart w:id="654" w:name="_Toc296503092"/>
      <w:bookmarkStart w:id="655" w:name="_Toc337558797"/>
      <w:r>
        <w:t>11.1市场价格波动引起的调整</w:t>
      </w:r>
      <w:bookmarkEnd w:id="652"/>
    </w:p>
    <w:bookmarkEnd w:id="653"/>
    <w:bookmarkEnd w:id="654"/>
    <w:bookmarkEnd w:id="655"/>
    <w:p w14:paraId="5FDFF43B">
      <w:pPr>
        <w:bidi w:val="0"/>
      </w:pPr>
      <w:r>
        <w:t>除专用合同条款另有约定外，市场价格波动超过合同当事人约定的范围，合同价格应当调整。合同当事人可以在专用合同条款中约定选择以下一种方式对合同价格进行调整：</w:t>
      </w:r>
    </w:p>
    <w:p w14:paraId="6EAB33CB">
      <w:pPr>
        <w:bidi w:val="0"/>
      </w:pPr>
      <w:r>
        <w:t>第1种方式：采用价格指数</w:t>
      </w:r>
      <w:r>
        <w:rPr>
          <w:rFonts w:hint="eastAsia"/>
        </w:rPr>
        <w:t>进行价格</w:t>
      </w:r>
      <w:r>
        <w:t>调整。</w:t>
      </w:r>
    </w:p>
    <w:p w14:paraId="58412C3E">
      <w:pPr>
        <w:bidi w:val="0"/>
      </w:pPr>
      <w:r>
        <w:t>（1）价格调整公式</w:t>
      </w:r>
    </w:p>
    <w:p w14:paraId="0D0F9B85">
      <w:pPr>
        <w:bidi w:val="0"/>
      </w:pPr>
      <w:r>
        <w:t>因人工、材料和设备等价格波动影响合同价格时，根据专用合同条款中约定的数据，按以下公式计算差额并调整合同价格：</w:t>
      </w:r>
    </w:p>
    <w:p w14:paraId="13A189E6">
      <w:pPr>
        <w:bidi w:val="0"/>
        <w:rPr>
          <w:rFonts w:hint="eastAsia"/>
        </w:rPr>
      </w:pPr>
      <w:r>
        <w:rPr>
          <w:rFonts w:hint="eastAsia" w:ascii="Times New Roman" w:hAnsi="Times New Roman" w:eastAsia="仿宋_GB2312"/>
          <w:color w:val="000000"/>
          <w:position w:val="-30"/>
          <w:szCs w:val="32"/>
        </w:rPr>
        <w:object>
          <v:shape id="_x0000_i1025" o:spt="75" type="#_x0000_t75" style="height:43.9pt;width:359.85pt;" o:ole="t" filled="f" stroked="f" coordsize="21600,21600">
            <v:path/>
            <v:fill on="f" focussize="0,0"/>
            <v:stroke on="f"/>
            <v:imagedata r:id="rId16" o:title=""/>
            <o:lock v:ext="edit" grouping="f" rotation="f" text="f" aspectratio="t"/>
            <w10:wrap type="none"/>
            <w10:anchorlock/>
          </v:shape>
          <o:OLEObject Type="Embed" ProgID="Equation.KSEE3" ShapeID="_x0000_i1025" DrawAspect="Content" ObjectID="_1468075725" r:id="rId15">
            <o:LockedField>false</o:LockedField>
          </o:OLEObject>
        </w:object>
      </w:r>
    </w:p>
    <w:p w14:paraId="7277320C">
      <w:pPr>
        <w:bidi w:val="0"/>
      </w:pPr>
      <w:r>
        <w:t>公式中：ΔP——需调整的价格差额；</w:t>
      </w:r>
    </w:p>
    <w:p w14:paraId="2188225D">
      <w:pPr>
        <w:bidi w:val="0"/>
      </w:pPr>
      <w:r>
        <w:rPr>
          <w:rFonts w:ascii="Times New Roman" w:hAnsi="Times New Roman" w:eastAsia="仿宋_GB2312"/>
          <w:color w:val="000000"/>
          <w:position w:val="-6"/>
          <w:szCs w:val="32"/>
        </w:rPr>
        <w:object>
          <v:shape id="_x0000_i1026" o:spt="75" type="#_x0000_t75" style="height:17.95pt;width:17.95pt;" o:ole="t" filled="f" stroked="f" coordsize="21600,21600">
            <v:path/>
            <v:fill on="f" focussize="0,0"/>
            <v:stroke on="f"/>
            <v:imagedata r:id="rId18" o:title=""/>
            <o:lock v:ext="edit" grouping="f" rotation="f" text="f" aspectratio="t"/>
            <w10:wrap type="none"/>
            <w10:anchorlock/>
          </v:shape>
          <o:OLEObject Type="Embed" ProgID="Equation.KSEE3" ShapeID="_x0000_i1026" DrawAspect="Content" ObjectID="_1468075726" r:id="rId17">
            <o:LockedField>false</o:LockedField>
          </o:OLEObject>
        </w:object>
      </w:r>
      <w:r>
        <w:t>——约定的付款证书中承包人应得到的已完成工程量的金额。此项金额应不包括价格调整、不计质量保证金的扣留和支付、预付款的支付和扣回。约定的变更及其他金额已按现行价格计价的，也不计在内；</w:t>
      </w:r>
    </w:p>
    <w:p w14:paraId="164E5E77">
      <w:pPr>
        <w:bidi w:val="0"/>
      </w:pPr>
      <w:r>
        <w:t>A——定值权重（即不调部分的权重）；</w:t>
      </w:r>
    </w:p>
    <w:p w14:paraId="726E9F72">
      <w:pPr>
        <w:bidi w:val="0"/>
      </w:pPr>
      <w:r>
        <w:rPr>
          <w:rFonts w:ascii="Times New Roman" w:hAnsi="Times New Roman" w:eastAsia="仿宋_GB2312"/>
          <w:color w:val="000000"/>
          <w:position w:val="-10"/>
          <w:szCs w:val="32"/>
        </w:rPr>
        <w:object>
          <v:shape id="_x0000_i1027" o:spt="75" type="#_x0000_t75" style="height:21.05pt;width:101pt;" o:ole="t" filled="f" stroked="f" coordsize="21600,21600">
            <v:path/>
            <v:fill on="f" focussize="0,0"/>
            <v:stroke on="f"/>
            <v:imagedata r:id="rId20" o:title=""/>
            <o:lock v:ext="edit" grouping="f" rotation="f" text="f" aspectratio="t"/>
            <w10:wrap type="none"/>
            <w10:anchorlock/>
          </v:shape>
          <o:OLEObject Type="Embed" ProgID="Equation.KSEE3" ShapeID="_x0000_i1027" DrawAspect="Content" ObjectID="_1468075727" r:id="rId19">
            <o:LockedField>false</o:LockedField>
          </o:OLEObject>
        </w:object>
      </w:r>
      <w:r>
        <w:t>——各可调因子的变值权重（即可调部分的权重），为各可调因子在签约合同价中所占的比例；</w:t>
      </w:r>
    </w:p>
    <w:p w14:paraId="5F05EFAF">
      <w:pPr>
        <w:bidi w:val="0"/>
      </w:pPr>
      <w:r>
        <w:rPr>
          <w:rFonts w:ascii="Times New Roman" w:hAnsi="Times New Roman" w:eastAsia="仿宋_GB2312"/>
          <w:color w:val="000000"/>
          <w:position w:val="-10"/>
          <w:szCs w:val="32"/>
        </w:rPr>
        <w:object>
          <v:shape id="_x0000_i1028" o:spt="75" type="#_x0000_t75" style="height:20.6pt;width:102.05pt;" o:ole="t" filled="f" stroked="f" coordsize="21600,21600">
            <v:path/>
            <v:fill on="f" focussize="0,0"/>
            <v:stroke on="f"/>
            <v:imagedata r:id="rId22" o:title=""/>
            <o:lock v:ext="edit" grouping="f" rotation="f" text="f" aspectratio="t"/>
            <w10:wrap type="none"/>
            <w10:anchorlock/>
          </v:shape>
          <o:OLEObject Type="Embed" ProgID="Equation.KSEE3" ShapeID="_x0000_i1028" DrawAspect="Content" ObjectID="_1468075728" r:id="rId21">
            <o:LockedField>false</o:LockedField>
          </o:OLEObject>
        </w:object>
      </w:r>
      <w:r>
        <w:t>——各可调因子的现行价格指数，指约定的付款证书相关周期最后一天的前42天的各可调因子的价格指数；</w:t>
      </w:r>
    </w:p>
    <w:p w14:paraId="1374A414">
      <w:pPr>
        <w:bidi w:val="0"/>
      </w:pPr>
      <w:r>
        <w:rPr>
          <w:rFonts w:ascii="Times New Roman" w:hAnsi="Times New Roman" w:eastAsia="仿宋_GB2312"/>
          <w:color w:val="000000"/>
          <w:position w:val="-10"/>
          <w:szCs w:val="32"/>
        </w:rPr>
        <w:object>
          <v:shape id="_x0000_i1029" o:spt="75" type="#_x0000_t75" style="height:20.2pt;width:108pt;" o:ole="t" filled="f" stroked="f" coordsize="21600,21600">
            <v:path/>
            <v:fill on="f" focussize="0,0"/>
            <v:stroke on="f"/>
            <v:imagedata r:id="rId24" o:title=""/>
            <o:lock v:ext="edit" grouping="f" rotation="f" text="f" aspectratio="t"/>
            <w10:wrap type="none"/>
            <w10:anchorlock/>
          </v:shape>
          <o:OLEObject Type="Embed" ProgID="Equation.KSEE3" ShapeID="_x0000_i1029" DrawAspect="Content" ObjectID="_1468075729" r:id="rId23">
            <o:LockedField>false</o:LockedField>
          </o:OLEObject>
        </w:object>
      </w:r>
      <w:r>
        <w:t>——各可调因子的基本价格指数，指基准日期的各可调因子的价格指数。</w:t>
      </w:r>
    </w:p>
    <w:p w14:paraId="04A08C2F">
      <w:pPr>
        <w:bidi w:val="0"/>
      </w:pPr>
      <w: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70FE844B">
      <w:pPr>
        <w:bidi w:val="0"/>
      </w:pPr>
      <w:r>
        <w:t>（2）暂时确定调整差额</w:t>
      </w:r>
    </w:p>
    <w:p w14:paraId="05F07E47">
      <w:pPr>
        <w:bidi w:val="0"/>
      </w:pPr>
      <w:r>
        <w:t>在计算调整差额时无现行价格指数的，合同当事人同意暂用前次价格指数计算。实际价格指数有调整的，合同当事人进行相应调整。</w:t>
      </w:r>
    </w:p>
    <w:p w14:paraId="53CC8EE3">
      <w:pPr>
        <w:bidi w:val="0"/>
      </w:pPr>
      <w:r>
        <w:t>（3）权重的调整</w:t>
      </w:r>
    </w:p>
    <w:p w14:paraId="09A6D10E">
      <w:pPr>
        <w:bidi w:val="0"/>
      </w:pPr>
      <w:r>
        <w:t>因变更导致合同约定的权重不合理时，按照第4.4款</w:t>
      </w:r>
      <w:r>
        <w:rPr>
          <w:rFonts w:hint="eastAsia"/>
        </w:rPr>
        <w:t>〔</w:t>
      </w:r>
      <w:r>
        <w:t>商定或确定</w:t>
      </w:r>
      <w:r>
        <w:rPr>
          <w:rFonts w:hint="eastAsia"/>
        </w:rPr>
        <w:t>〕</w:t>
      </w:r>
      <w:r>
        <w:t>执行。</w:t>
      </w:r>
    </w:p>
    <w:p w14:paraId="7FEC6C13">
      <w:pPr>
        <w:bidi w:val="0"/>
      </w:pPr>
      <w:r>
        <w:t>（4）因承包人原因工期延误后的价格调整</w:t>
      </w:r>
    </w:p>
    <w:p w14:paraId="5F9637C0">
      <w:pPr>
        <w:bidi w:val="0"/>
      </w:pPr>
      <w:r>
        <w:t>因承包人原因未按期竣工的，对合同约定的竣工日期后继续施工的工程，在使用价格调整公式时，应采用计划竣工日期与实际竣工日期的两个价格指数中较低的一个作为现行价格指数。</w:t>
      </w:r>
    </w:p>
    <w:p w14:paraId="26E29E57">
      <w:pPr>
        <w:bidi w:val="0"/>
      </w:pPr>
      <w:r>
        <w:t>第2种方式：采用造价信息</w:t>
      </w:r>
      <w:r>
        <w:rPr>
          <w:rFonts w:hint="eastAsia"/>
        </w:rPr>
        <w:t>进行价格</w:t>
      </w:r>
      <w:r>
        <w:t>调整。</w:t>
      </w:r>
    </w:p>
    <w:p w14:paraId="6B94C5D3">
      <w:pPr>
        <w:bidi w:val="0"/>
      </w:pPr>
      <w: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w:t>
      </w:r>
      <w:r>
        <w:rPr>
          <w:rFonts w:hint="eastAsia"/>
        </w:rPr>
        <w:t>量</w:t>
      </w:r>
      <w:r>
        <w:t>应由发包人审批，发包人确认需调整的材料单价及数量，作为调整合同价格的依据。</w:t>
      </w:r>
    </w:p>
    <w:p w14:paraId="73FCB115">
      <w:pPr>
        <w:bidi w:val="0"/>
      </w:pPr>
      <w: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03EDAE5">
      <w:pPr>
        <w:bidi w:val="0"/>
        <w:rPr>
          <w:rFonts w:hint="eastAsia" w:eastAsia="宋体"/>
          <w:lang w:eastAsia="zh-CN"/>
        </w:rPr>
      </w:pPr>
      <w:r>
        <w:t>（2）材料、工程设备价格变化的价款调整按照发包人提供的基准价格，按以下风险范围规定执行</w:t>
      </w:r>
      <w:r>
        <w:rPr>
          <w:rFonts w:hint="eastAsia"/>
          <w:lang w:eastAsia="zh-CN"/>
        </w:rPr>
        <w:t>：</w:t>
      </w:r>
    </w:p>
    <w:p w14:paraId="11D9880F">
      <w:pPr>
        <w:bidi w:val="0"/>
      </w:pPr>
      <w:r>
        <w:rPr>
          <w:rFonts w:hint="eastAsia"/>
        </w:rPr>
        <w:t>①</w:t>
      </w:r>
      <w:r>
        <w:t>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06DFCBDA">
      <w:pPr>
        <w:bidi w:val="0"/>
      </w:pPr>
      <w:r>
        <w:rPr>
          <w:rFonts w:hint="eastAsia"/>
        </w:rPr>
        <w:t>②</w:t>
      </w:r>
      <w:r>
        <w:t>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31E0A8B1">
      <w:pPr>
        <w:bidi w:val="0"/>
      </w:pPr>
      <w:r>
        <w:rPr>
          <w:rFonts w:hint="eastAsia"/>
        </w:rPr>
        <w:t>③</w:t>
      </w:r>
      <w:r>
        <w:t>承包人在已标价工程量清单或预算书中载明材料单价等于基准价格的：除专用合同条款另有约定外，合同履行期间材料单价涨跌幅以基准价格为基础超过±5%时，其超过部分据实调整。</w:t>
      </w:r>
    </w:p>
    <w:p w14:paraId="7986C5AA">
      <w:pPr>
        <w:bidi w:val="0"/>
      </w:pPr>
      <w:r>
        <w:rPr>
          <w:rFonts w:hint="eastAsia"/>
        </w:rPr>
        <w:t>④</w:t>
      </w:r>
      <w:r>
        <w:t>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9197916">
      <w:pPr>
        <w:bidi w:val="0"/>
      </w:pPr>
      <w:bookmarkStart w:id="656" w:name="OLE_LINK3"/>
      <w:r>
        <w:t>前述基准价格是指由发包人在招标文件或专用合同条款中给定的材料、工程设备的价格，该价格原则上应当按照省级或行业建设主管部门或其授权的工程造价管理机构发布的信息价编制。</w:t>
      </w:r>
    </w:p>
    <w:p w14:paraId="1A6C2BDD">
      <w:pPr>
        <w:bidi w:val="0"/>
      </w:pPr>
      <w:r>
        <w:t>（3）施工机械台班单价或施工机械使用费发生变化超过省级或行业建设主管部门或其授权的工程造价管理机构规定的范围时，按规定调整合同价格。</w:t>
      </w:r>
    </w:p>
    <w:p w14:paraId="3125134C">
      <w:pPr>
        <w:bidi w:val="0"/>
      </w:pPr>
      <w:r>
        <w:t>第3种方式：专用合同条款约定的其他方式。</w:t>
      </w:r>
    </w:p>
    <w:p w14:paraId="6940BE0F">
      <w:pPr>
        <w:bidi w:val="0"/>
      </w:pPr>
      <w:bookmarkStart w:id="657" w:name="_Toc351203579"/>
      <w:bookmarkStart w:id="658" w:name="_Toc296346594"/>
      <w:bookmarkStart w:id="659" w:name="_Toc296503093"/>
      <w:bookmarkStart w:id="660" w:name="_Toc337558798"/>
      <w:r>
        <w:t>11.2法律变化引起的调整</w:t>
      </w:r>
      <w:bookmarkEnd w:id="657"/>
    </w:p>
    <w:bookmarkEnd w:id="658"/>
    <w:bookmarkEnd w:id="659"/>
    <w:bookmarkEnd w:id="660"/>
    <w:p w14:paraId="2E79F0A4">
      <w:pPr>
        <w:bidi w:val="0"/>
        <w:rPr>
          <w:rFonts w:hint="eastAsia"/>
        </w:rPr>
      </w:pPr>
      <w:r>
        <w:t>基准日</w:t>
      </w:r>
      <w:r>
        <w:rPr>
          <w:rFonts w:hint="eastAsia"/>
        </w:rPr>
        <w:t>期</w:t>
      </w:r>
      <w:r>
        <w:t>后，法律变化</w:t>
      </w:r>
      <w:r>
        <w:rPr>
          <w:rFonts w:hint="eastAsia"/>
        </w:rPr>
        <w:t>导致承包人在合同履行过程中所需要的费用发生除第11.1款〔市场价格波动引起的调整〕约定以外的增加时，由发包人承担由此增加的费用；减少时，应从合同价格中予以扣减。</w:t>
      </w:r>
      <w:r>
        <w:t>基准日</w:t>
      </w:r>
      <w:r>
        <w:rPr>
          <w:rFonts w:hint="eastAsia"/>
        </w:rPr>
        <w:t>期</w:t>
      </w:r>
      <w:r>
        <w:t>后，</w:t>
      </w:r>
      <w:r>
        <w:rPr>
          <w:rFonts w:hint="eastAsia"/>
        </w:rPr>
        <w:t>因</w:t>
      </w:r>
      <w:r>
        <w:t>法律变化</w:t>
      </w:r>
      <w:r>
        <w:rPr>
          <w:rFonts w:hint="eastAsia"/>
        </w:rPr>
        <w:t>造成工期延误时，工期应予以顺延。</w:t>
      </w:r>
    </w:p>
    <w:p w14:paraId="5EE1E3E0">
      <w:pPr>
        <w:bidi w:val="0"/>
        <w:rPr>
          <w:rFonts w:hint="eastAsia"/>
        </w:rPr>
      </w:pPr>
      <w:r>
        <w:rPr>
          <w:rFonts w:hint="eastAsia"/>
        </w:rPr>
        <w:t>因法律变化引起的合同价格和工期调整，合同当事人无法达成一致的，由总监理工程师按第4.4款〔商定或确定〕的约定处理。</w:t>
      </w:r>
    </w:p>
    <w:p w14:paraId="1FB13181">
      <w:pPr>
        <w:bidi w:val="0"/>
      </w:pPr>
      <w:r>
        <w:t>因承包人原因造成工期延误，在工期延误期间出现法律变化的，由此增加的费用和（或）延误的工期由承包人承担。</w:t>
      </w:r>
    </w:p>
    <w:p w14:paraId="1CF58F39">
      <w:pPr>
        <w:pStyle w:val="66"/>
        <w:bidi w:val="0"/>
      </w:pPr>
      <w:bookmarkStart w:id="661" w:name="_Toc351203580"/>
      <w:bookmarkStart w:id="662" w:name="_Toc337558799"/>
      <w:bookmarkStart w:id="663" w:name="_Toc296503096"/>
      <w:bookmarkStart w:id="664" w:name="_Toc296346597"/>
      <w:r>
        <w:t>12. 合同价格、计量与支付</w:t>
      </w:r>
      <w:bookmarkEnd w:id="661"/>
    </w:p>
    <w:bookmarkEnd w:id="662"/>
    <w:p w14:paraId="2CD9D48E">
      <w:pPr>
        <w:bidi w:val="0"/>
      </w:pPr>
      <w:bookmarkStart w:id="665" w:name="_Toc351203581"/>
      <w:bookmarkStart w:id="666" w:name="_Toc337558800"/>
      <w:r>
        <w:t>12.1 合同价</w:t>
      </w:r>
      <w:bookmarkEnd w:id="663"/>
      <w:bookmarkEnd w:id="664"/>
      <w:r>
        <w:t>格形式</w:t>
      </w:r>
      <w:bookmarkEnd w:id="665"/>
    </w:p>
    <w:bookmarkEnd w:id="666"/>
    <w:p w14:paraId="4395F266">
      <w:pPr>
        <w:bidi w:val="0"/>
      </w:pPr>
      <w:r>
        <w:t>发包人和承包人应在合同协议书中</w:t>
      </w:r>
      <w:r>
        <w:rPr>
          <w:rFonts w:hint="eastAsia"/>
        </w:rPr>
        <w:t>选择</w:t>
      </w:r>
      <w:r>
        <w:t xml:space="preserve">下列一种合同价格形式： </w:t>
      </w:r>
    </w:p>
    <w:p w14:paraId="4DA486B5">
      <w:pPr>
        <w:bidi w:val="0"/>
      </w:pPr>
      <w:r>
        <w:t>1</w:t>
      </w:r>
      <w:r>
        <w:rPr>
          <w:rFonts w:hint="eastAsia"/>
          <w:lang w:val="en-US" w:eastAsia="zh-CN"/>
        </w:rPr>
        <w:t>.</w:t>
      </w:r>
      <w:r>
        <w:t>单价合同</w:t>
      </w:r>
    </w:p>
    <w:p w14:paraId="2C4F92EF">
      <w:pPr>
        <w:bidi w:val="0"/>
      </w:pPr>
      <w: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约定执行。</w:t>
      </w:r>
    </w:p>
    <w:p w14:paraId="3CEFEEBC">
      <w:pPr>
        <w:bidi w:val="0"/>
      </w:pPr>
      <w:r>
        <w:t>2</w:t>
      </w:r>
      <w:r>
        <w:rPr>
          <w:rFonts w:hint="eastAsia"/>
          <w:lang w:val="en-US" w:eastAsia="zh-CN"/>
        </w:rPr>
        <w:t>.</w:t>
      </w:r>
      <w:r>
        <w:t>总价合同</w:t>
      </w:r>
    </w:p>
    <w:p w14:paraId="3F989B41">
      <w:pPr>
        <w:bidi w:val="0"/>
      </w:pPr>
      <w: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w:t>
      </w:r>
      <w:r>
        <w:rPr>
          <w:rFonts w:hint="eastAsia"/>
        </w:rPr>
        <w:t>〔</w:t>
      </w:r>
      <w:r>
        <w:t>市场价格波动引起的调整</w:t>
      </w:r>
      <w:r>
        <w:rPr>
          <w:rFonts w:hint="eastAsia"/>
        </w:rPr>
        <w:t>〕</w:t>
      </w:r>
      <w:r>
        <w:t>、因法律变化引起的调整按第11.2款</w:t>
      </w:r>
      <w:r>
        <w:rPr>
          <w:rFonts w:hint="eastAsia"/>
        </w:rPr>
        <w:t>〔</w:t>
      </w:r>
      <w:r>
        <w:t>法律变化引起的调整</w:t>
      </w:r>
      <w:r>
        <w:rPr>
          <w:rFonts w:hint="eastAsia"/>
        </w:rPr>
        <w:t>〕</w:t>
      </w:r>
      <w:r>
        <w:t>约定执行。</w:t>
      </w:r>
    </w:p>
    <w:p w14:paraId="0B4077F7">
      <w:pPr>
        <w:bidi w:val="0"/>
      </w:pPr>
      <w:r>
        <w:t>3</w:t>
      </w:r>
      <w:r>
        <w:rPr>
          <w:rFonts w:hint="eastAsia"/>
          <w:lang w:val="en-US" w:eastAsia="zh-CN"/>
        </w:rPr>
        <w:t>.</w:t>
      </w:r>
      <w:r>
        <w:t>其它价格形式</w:t>
      </w:r>
    </w:p>
    <w:p w14:paraId="09360FFD">
      <w:pPr>
        <w:bidi w:val="0"/>
      </w:pPr>
      <w:r>
        <w:t>合同当事人可在专用合同条款中约定其他合同价格形式。</w:t>
      </w:r>
    </w:p>
    <w:p w14:paraId="10B93969">
      <w:pPr>
        <w:bidi w:val="0"/>
      </w:pPr>
      <w:bookmarkStart w:id="667" w:name="_Toc296346598"/>
      <w:bookmarkStart w:id="668" w:name="_Toc296503097"/>
      <w:bookmarkStart w:id="669" w:name="_Toc351203582"/>
      <w:bookmarkStart w:id="670" w:name="_Toc337558801"/>
      <w:r>
        <w:t>12.2预</w:t>
      </w:r>
      <w:bookmarkEnd w:id="667"/>
      <w:bookmarkEnd w:id="668"/>
      <w:bookmarkStart w:id="671" w:name="_Toc296346601"/>
      <w:bookmarkStart w:id="672" w:name="_Toc296503100"/>
      <w:r>
        <w:t>付款</w:t>
      </w:r>
      <w:bookmarkEnd w:id="669"/>
    </w:p>
    <w:bookmarkEnd w:id="670"/>
    <w:bookmarkEnd w:id="671"/>
    <w:bookmarkEnd w:id="672"/>
    <w:p w14:paraId="34E61D19">
      <w:pPr>
        <w:bidi w:val="0"/>
      </w:pPr>
      <w:r>
        <w:t>12.2.1预付款的支付</w:t>
      </w:r>
    </w:p>
    <w:p w14:paraId="5315DF32">
      <w:pPr>
        <w:bidi w:val="0"/>
      </w:pPr>
      <w:r>
        <w:t>预付款的支付按照专用合同条款约定执行，但至迟应在开工通知载明的开工日期7天前支付。预付款应当用于材料、工程设备、施工设备的采购及修建临时工程、组织施工队伍进场等。</w:t>
      </w:r>
    </w:p>
    <w:p w14:paraId="0D841696">
      <w:pPr>
        <w:bidi w:val="0"/>
      </w:pPr>
      <w:r>
        <w:t>除专用合同条款另有约定外，预付款在进度付款中同比例扣回。</w:t>
      </w:r>
      <w:bookmarkEnd w:id="656"/>
      <w:r>
        <w:t>在颁发工程接收证书前，提前解除合同的，尚未扣完的预付款应与合同价款一并结算。</w:t>
      </w:r>
    </w:p>
    <w:p w14:paraId="4F718AFC">
      <w:pPr>
        <w:bidi w:val="0"/>
      </w:pPr>
      <w:r>
        <w:t>发包人逾期支付预付款超过7天的，承包人有权向发包人发出要求预付的催告通知，发包人收到通知后7天内仍未支付的，承包人有权暂停施工，并按第16.1.1项</w:t>
      </w:r>
      <w:r>
        <w:rPr>
          <w:rFonts w:hint="eastAsia"/>
        </w:rPr>
        <w:t>〔</w:t>
      </w:r>
      <w:r>
        <w:t>发包人违约的情形</w:t>
      </w:r>
      <w:r>
        <w:rPr>
          <w:rFonts w:hint="eastAsia"/>
        </w:rPr>
        <w:t>〕</w:t>
      </w:r>
      <w:r>
        <w:t>执行。</w:t>
      </w:r>
    </w:p>
    <w:p w14:paraId="54AFCD2A">
      <w:pPr>
        <w:bidi w:val="0"/>
      </w:pPr>
      <w:r>
        <w:t>12.2.2 预付款担保</w:t>
      </w:r>
    </w:p>
    <w:p w14:paraId="3352F1DC">
      <w:pPr>
        <w:bidi w:val="0"/>
      </w:pPr>
      <w:r>
        <w:rPr>
          <w:rFonts w:hint="eastAsia"/>
        </w:rPr>
        <w:t>发包人要求承包人提供预付款担保的</w:t>
      </w:r>
      <w:r>
        <w:t>，承包人应在发包人支付预付款7天前提供预付款担保</w:t>
      </w:r>
      <w:r>
        <w:rPr>
          <w:rFonts w:hint="eastAsia"/>
        </w:rPr>
        <w:t>，</w:t>
      </w:r>
      <w:r>
        <w:t>专用合同条款另有约定</w:t>
      </w:r>
      <w:r>
        <w:rPr>
          <w:rFonts w:hint="eastAsia"/>
        </w:rPr>
        <w:t>除</w:t>
      </w:r>
      <w:r>
        <w:t>外。预付款担保可采用银行保函、担保公司担保等形式，具体由合同当事人在专用合同条款中约定。在预付款完全扣回之前，承包人应保证预付款担保持续有效。</w:t>
      </w:r>
    </w:p>
    <w:p w14:paraId="0A7E9BC5">
      <w:pPr>
        <w:bidi w:val="0"/>
      </w:pPr>
      <w:r>
        <w:t>发包人在工程款中逐期扣回预付款后，预付款担保额度应相应减少，但剩余的预付款担保金额不得低于未被扣回的预付款金额。</w:t>
      </w:r>
    </w:p>
    <w:p w14:paraId="505F7035">
      <w:pPr>
        <w:bidi w:val="0"/>
      </w:pPr>
      <w:bookmarkStart w:id="673" w:name="_Toc351203583"/>
      <w:bookmarkStart w:id="674" w:name="_Toc337558802"/>
      <w:r>
        <w:t>12.3计量</w:t>
      </w:r>
      <w:bookmarkEnd w:id="673"/>
    </w:p>
    <w:bookmarkEnd w:id="674"/>
    <w:p w14:paraId="7952F989">
      <w:pPr>
        <w:bidi w:val="0"/>
      </w:pPr>
      <w:r>
        <w:t>12.3.1 计量原则</w:t>
      </w:r>
    </w:p>
    <w:p w14:paraId="771E8BBC">
      <w:pPr>
        <w:bidi w:val="0"/>
      </w:pPr>
      <w:r>
        <w:t>工程量计量按照合同约定的工程量计算规则、图纸及变更指示</w:t>
      </w:r>
      <w:r>
        <w:rPr>
          <w:rFonts w:hint="eastAsia"/>
        </w:rPr>
        <w:t>等</w:t>
      </w:r>
      <w:r>
        <w:t>进行计量。工程量计算规则应以相关的国家标准、行业标准</w:t>
      </w:r>
      <w:r>
        <w:rPr>
          <w:rFonts w:hint="eastAsia"/>
        </w:rPr>
        <w:t>等</w:t>
      </w:r>
      <w:r>
        <w:t>为依据，由合同当事人在专用合同条款中约定。</w:t>
      </w:r>
    </w:p>
    <w:p w14:paraId="746B6585">
      <w:pPr>
        <w:bidi w:val="0"/>
      </w:pPr>
      <w:r>
        <w:t>12.3.2 计量周期</w:t>
      </w:r>
    </w:p>
    <w:p w14:paraId="73C4EABF">
      <w:pPr>
        <w:bidi w:val="0"/>
      </w:pPr>
      <w:r>
        <w:t>除专用合同条款另有约定外，工程量的计量按月进行。</w:t>
      </w:r>
    </w:p>
    <w:p w14:paraId="15B10878">
      <w:pPr>
        <w:bidi w:val="0"/>
      </w:pPr>
      <w:r>
        <w:t>12.3.3 单价合同的计量</w:t>
      </w:r>
    </w:p>
    <w:p w14:paraId="4BFBFAED">
      <w:pPr>
        <w:bidi w:val="0"/>
      </w:pPr>
      <w:r>
        <w:t>除专用合同条款另有约定外，单价合同的计量按照本项约定执行：</w:t>
      </w:r>
    </w:p>
    <w:p w14:paraId="7AC89100">
      <w:pPr>
        <w:bidi w:val="0"/>
      </w:pPr>
      <w:r>
        <w:t>（1）承包人应于每月25日向监理人报送上月20日至当月19日已完成的工程量报告，并附具进度付款申请单、已完成工程量报表和有关资料。</w:t>
      </w:r>
    </w:p>
    <w:p w14:paraId="4C18F438">
      <w:pPr>
        <w:bidi w:val="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184D41CD">
      <w:pPr>
        <w:bidi w:val="0"/>
      </w:pPr>
      <w:r>
        <w:t>（3）监理人未在收到承包人提交的工程量报表后的7天内完成审核的，承包人报送的工程量报告中的工程量视为承包人实际完成的工程量，据此计算工程价款。</w:t>
      </w:r>
    </w:p>
    <w:p w14:paraId="24CC8281">
      <w:pPr>
        <w:bidi w:val="0"/>
      </w:pPr>
      <w:r>
        <w:t>12.3.4 总价合同的计量</w:t>
      </w:r>
    </w:p>
    <w:p w14:paraId="63117D5B">
      <w:pPr>
        <w:bidi w:val="0"/>
      </w:pPr>
      <w:r>
        <w:t>除专用合同条款另有约定外，按</w:t>
      </w:r>
      <w:r>
        <w:rPr>
          <w:rFonts w:hint="eastAsia"/>
        </w:rPr>
        <w:t>月计量支付</w:t>
      </w:r>
      <w:r>
        <w:t>的总价合同，按照本项约定执行：</w:t>
      </w:r>
    </w:p>
    <w:p w14:paraId="7A481209">
      <w:pPr>
        <w:bidi w:val="0"/>
      </w:pPr>
      <w:r>
        <w:t>（1）承包人应于每月25日向监理人报送上月20日至当月19日已完成的工程量报告，并附具进度付款申请单、已完成工程量报表和有关资料。</w:t>
      </w:r>
    </w:p>
    <w:p w14:paraId="720F4F99">
      <w:pPr>
        <w:bidi w:val="0"/>
      </w:pPr>
      <w: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594B3BCE">
      <w:pPr>
        <w:bidi w:val="0"/>
      </w:pPr>
      <w:r>
        <w:t>（3）监理人未在收到承包人提交的工程量报表后的7天内完成复核的，承包人提交的工程量报告中的工程量视为承包人实际完成的工程量。</w:t>
      </w:r>
    </w:p>
    <w:p w14:paraId="037DFAE8">
      <w:pPr>
        <w:bidi w:val="0"/>
      </w:pPr>
      <w:r>
        <w:t>12.3.5 总价合同采用支付分解表计量支付的，可以按照第12.3.4项</w:t>
      </w:r>
      <w:r>
        <w:rPr>
          <w:rFonts w:hint="eastAsia"/>
        </w:rPr>
        <w:t>〔</w:t>
      </w:r>
      <w:r>
        <w:t>总价合同的计量</w:t>
      </w:r>
      <w:r>
        <w:rPr>
          <w:rFonts w:hint="eastAsia"/>
        </w:rPr>
        <w:t>〕</w:t>
      </w:r>
      <w:r>
        <w:t>约定进行计量，但合同价款按照支付分解表进行支付。</w:t>
      </w:r>
    </w:p>
    <w:p w14:paraId="680E6162">
      <w:pPr>
        <w:bidi w:val="0"/>
      </w:pPr>
      <w:r>
        <w:t>12.3.6 其他价格形式合同的计量</w:t>
      </w:r>
    </w:p>
    <w:p w14:paraId="4B295913">
      <w:pPr>
        <w:bidi w:val="0"/>
      </w:pPr>
      <w:r>
        <w:t>合同当事人可在专用合同条款中约定其他价格形式合同的计量方式和程序。</w:t>
      </w:r>
    </w:p>
    <w:p w14:paraId="3A360736">
      <w:pPr>
        <w:bidi w:val="0"/>
      </w:pPr>
      <w:bookmarkStart w:id="675" w:name="_Toc296503101"/>
      <w:bookmarkStart w:id="676" w:name="_Toc296346602"/>
      <w:bookmarkStart w:id="677" w:name="_Toc351203584"/>
      <w:bookmarkStart w:id="678" w:name="_Toc337558803"/>
      <w:r>
        <w:t>12.4工程进度款支</w:t>
      </w:r>
      <w:bookmarkEnd w:id="675"/>
      <w:bookmarkEnd w:id="676"/>
      <w:r>
        <w:t>付</w:t>
      </w:r>
      <w:bookmarkEnd w:id="677"/>
    </w:p>
    <w:bookmarkEnd w:id="678"/>
    <w:p w14:paraId="338FB466">
      <w:pPr>
        <w:bidi w:val="0"/>
      </w:pPr>
      <w:r>
        <w:t>12.4.1 付款周期</w:t>
      </w:r>
    </w:p>
    <w:p w14:paraId="2FA52255">
      <w:pPr>
        <w:bidi w:val="0"/>
      </w:pPr>
      <w:r>
        <w:t>除专用合同条款另有约定外，付款周期应按照第12.3.2</w:t>
      </w:r>
      <w:r>
        <w:rPr>
          <w:rFonts w:hint="eastAsia"/>
        </w:rPr>
        <w:t>项〔</w:t>
      </w:r>
      <w:r>
        <w:t>计量周期</w:t>
      </w:r>
      <w:r>
        <w:rPr>
          <w:rFonts w:hint="eastAsia"/>
        </w:rPr>
        <w:t>〕</w:t>
      </w:r>
      <w:r>
        <w:t>的约定与计量周期保持一致。</w:t>
      </w:r>
    </w:p>
    <w:p w14:paraId="368AE265">
      <w:pPr>
        <w:bidi w:val="0"/>
      </w:pPr>
      <w:r>
        <w:t>12.4.2 进度付款申请单的编制</w:t>
      </w:r>
    </w:p>
    <w:p w14:paraId="24356D2F">
      <w:pPr>
        <w:bidi w:val="0"/>
      </w:pPr>
      <w:r>
        <w:t>除专用合同条款另有约定外，进度付款申请单应包括下列内容：</w:t>
      </w:r>
    </w:p>
    <w:p w14:paraId="32975492">
      <w:pPr>
        <w:bidi w:val="0"/>
      </w:pPr>
      <w:r>
        <w:t>（1）截至本次付款周期已完成工作对应的金额；</w:t>
      </w:r>
    </w:p>
    <w:p w14:paraId="34F43D3A">
      <w:pPr>
        <w:bidi w:val="0"/>
      </w:pPr>
      <w:r>
        <w:t>（2）根据第10条</w:t>
      </w:r>
      <w:r>
        <w:rPr>
          <w:rFonts w:hint="eastAsia"/>
        </w:rPr>
        <w:t>〔</w:t>
      </w:r>
      <w:r>
        <w:t>变更</w:t>
      </w:r>
      <w:r>
        <w:rPr>
          <w:rFonts w:hint="eastAsia"/>
        </w:rPr>
        <w:t>〕</w:t>
      </w:r>
      <w:r>
        <w:t>应增加和扣减的变更金额；</w:t>
      </w:r>
    </w:p>
    <w:p w14:paraId="7C0B3805">
      <w:pPr>
        <w:bidi w:val="0"/>
      </w:pPr>
      <w:r>
        <w:t>（3）根据第12.2款</w:t>
      </w:r>
      <w:r>
        <w:rPr>
          <w:rFonts w:hint="eastAsia"/>
        </w:rPr>
        <w:t>〔</w:t>
      </w:r>
      <w:r>
        <w:t>预付款</w:t>
      </w:r>
      <w:r>
        <w:rPr>
          <w:rFonts w:hint="eastAsia"/>
        </w:rPr>
        <w:t>〕</w:t>
      </w:r>
      <w:r>
        <w:t>约定应支付的预付款和扣减的返还预付款；</w:t>
      </w:r>
    </w:p>
    <w:p w14:paraId="7306097E">
      <w:pPr>
        <w:bidi w:val="0"/>
      </w:pPr>
      <w:r>
        <w:t>（4）根据第15.3款</w:t>
      </w:r>
      <w:r>
        <w:rPr>
          <w:rFonts w:hint="eastAsia"/>
        </w:rPr>
        <w:t>〔</w:t>
      </w:r>
      <w:r>
        <w:t>质量保证金</w:t>
      </w:r>
      <w:r>
        <w:rPr>
          <w:rFonts w:hint="eastAsia"/>
        </w:rPr>
        <w:t>〕</w:t>
      </w:r>
      <w:r>
        <w:t>约定应扣减的质量保证金；</w:t>
      </w:r>
    </w:p>
    <w:p w14:paraId="27AA9946">
      <w:pPr>
        <w:bidi w:val="0"/>
      </w:pPr>
      <w:r>
        <w:t>（5）根据第19条</w:t>
      </w:r>
      <w:r>
        <w:rPr>
          <w:rFonts w:hint="eastAsia"/>
        </w:rPr>
        <w:t>〔</w:t>
      </w:r>
      <w:r>
        <w:t>索赔</w:t>
      </w:r>
      <w:r>
        <w:rPr>
          <w:rFonts w:hint="eastAsia"/>
        </w:rPr>
        <w:t>〕</w:t>
      </w:r>
      <w:r>
        <w:t>应增加和扣减的索赔金额；</w:t>
      </w:r>
    </w:p>
    <w:p w14:paraId="675917CC">
      <w:pPr>
        <w:bidi w:val="0"/>
      </w:pPr>
      <w:r>
        <w:t>（6）对已签发的进度款支付证书中出现错误的修正，应在本次进度付款中支付或扣除的金额；</w:t>
      </w:r>
    </w:p>
    <w:p w14:paraId="7B41B193">
      <w:pPr>
        <w:bidi w:val="0"/>
      </w:pPr>
      <w:r>
        <w:t>（7）根据合同约定应增加和扣减的其他金额。</w:t>
      </w:r>
    </w:p>
    <w:p w14:paraId="1B95E21C">
      <w:pPr>
        <w:bidi w:val="0"/>
      </w:pPr>
      <w:r>
        <w:t>12.4.3 进度付款申请单的提交</w:t>
      </w:r>
    </w:p>
    <w:p w14:paraId="3696DB85">
      <w:pPr>
        <w:bidi w:val="0"/>
      </w:pPr>
      <w:r>
        <w:t>（1）单价合同进度付款申请单的提交</w:t>
      </w:r>
    </w:p>
    <w:p w14:paraId="602E1D88">
      <w:pPr>
        <w:bidi w:val="0"/>
      </w:pPr>
      <w:r>
        <w:t>单价合同的进度付款申请单，按照第12.3.3项</w:t>
      </w:r>
      <w:r>
        <w:rPr>
          <w:rFonts w:hint="eastAsia"/>
        </w:rPr>
        <w:t>〔</w:t>
      </w:r>
      <w:r>
        <w:t>单价合同的计量</w:t>
      </w:r>
      <w:r>
        <w:rPr>
          <w:rFonts w:hint="eastAsia"/>
        </w:rPr>
        <w:t>〕</w:t>
      </w:r>
      <w:r>
        <w:t>约定的时间按月向监理人提交，并附上已完成工程量报表和有关资料。单价合同中的总价项目按月进行支付分解，并汇总列入当期进度付款申请单。</w:t>
      </w:r>
    </w:p>
    <w:p w14:paraId="229CAAB9">
      <w:pPr>
        <w:bidi w:val="0"/>
      </w:pPr>
      <w:r>
        <w:t>（2）总价合同进度付款申请单的提交</w:t>
      </w:r>
    </w:p>
    <w:p w14:paraId="1D9EBBB4">
      <w:pPr>
        <w:bidi w:val="0"/>
      </w:pPr>
      <w:r>
        <w:t>总价合同按</w:t>
      </w:r>
      <w:r>
        <w:rPr>
          <w:rFonts w:hint="eastAsia"/>
        </w:rPr>
        <w:t>月计量支付的</w:t>
      </w:r>
      <w:r>
        <w:t>，承包人按照第12.3.4项</w:t>
      </w:r>
      <w:r>
        <w:rPr>
          <w:rFonts w:hint="eastAsia"/>
        </w:rPr>
        <w:t>〔</w:t>
      </w:r>
      <w:r>
        <w:t>总价合同的计量</w:t>
      </w:r>
      <w:r>
        <w:rPr>
          <w:rFonts w:hint="eastAsia"/>
        </w:rPr>
        <w:t>〕</w:t>
      </w:r>
      <w:r>
        <w:t>约定的时间按月向监理人提交进度付款申请单，并附上已完成工程量报表和有关资料。</w:t>
      </w:r>
    </w:p>
    <w:p w14:paraId="5478FA69">
      <w:pPr>
        <w:bidi w:val="0"/>
      </w:pPr>
      <w:r>
        <w:t>总价合同按支付分解表支付的，承包人应按照第12.4.6项</w:t>
      </w:r>
      <w:r>
        <w:rPr>
          <w:rFonts w:hint="eastAsia"/>
        </w:rPr>
        <w:t>〔</w:t>
      </w:r>
      <w:r>
        <w:t>支付分解表</w:t>
      </w:r>
      <w:r>
        <w:rPr>
          <w:rFonts w:hint="eastAsia"/>
        </w:rPr>
        <w:t>〕</w:t>
      </w:r>
      <w:r>
        <w:t>及第12.4.2项</w:t>
      </w:r>
      <w:r>
        <w:rPr>
          <w:rFonts w:hint="eastAsia"/>
        </w:rPr>
        <w:t>〔</w:t>
      </w:r>
      <w:r>
        <w:t>进度付款申请单的编制</w:t>
      </w:r>
      <w:r>
        <w:rPr>
          <w:rFonts w:hint="eastAsia"/>
        </w:rPr>
        <w:t>〕</w:t>
      </w:r>
      <w:r>
        <w:t>的约定向监理人提交进度付款申请单。</w:t>
      </w:r>
    </w:p>
    <w:p w14:paraId="75D1C507">
      <w:pPr>
        <w:bidi w:val="0"/>
      </w:pPr>
      <w:r>
        <w:t>（3）其他价格形式合同的进度付款申请单的提交</w:t>
      </w:r>
    </w:p>
    <w:p w14:paraId="71B488E2">
      <w:pPr>
        <w:bidi w:val="0"/>
      </w:pPr>
      <w:r>
        <w:t>合同当事人可在专用合同条款中约定其他价格形式合同的进度付款申请单的编制和提交程序。</w:t>
      </w:r>
    </w:p>
    <w:p w14:paraId="4F450910">
      <w:pPr>
        <w:bidi w:val="0"/>
      </w:pPr>
      <w:r>
        <w:t>12.4.4 进度款审核和支付</w:t>
      </w:r>
    </w:p>
    <w:p w14:paraId="1EF6D509">
      <w:pPr>
        <w:bidi w:val="0"/>
      </w:pPr>
      <w:r>
        <w:t>（1）除专用合同条款另有约定外，监理人应在收到承包人进度付款申请单以及相关资料后7天内完成审查并报送发包人，发包人应在收到后7天内完成审批并签发进度款支付证书。发包人逾期未完成</w:t>
      </w:r>
      <w:r>
        <w:rPr>
          <w:rFonts w:hint="eastAsia"/>
        </w:rPr>
        <w:t>审批</w:t>
      </w:r>
      <w:r>
        <w:t>且未提出异议的，视为已签发进度款支付证书。</w:t>
      </w:r>
    </w:p>
    <w:p w14:paraId="44893410">
      <w:pPr>
        <w:bidi w:val="0"/>
      </w:pPr>
      <w: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w:t>
      </w:r>
      <w:r>
        <w:rPr>
          <w:rFonts w:hint="eastAsia"/>
        </w:rPr>
        <w:t>〔</w:t>
      </w:r>
      <w:r>
        <w:t>争议解决</w:t>
      </w:r>
      <w:r>
        <w:rPr>
          <w:rFonts w:hint="eastAsia"/>
        </w:rPr>
        <w:t>〕</w:t>
      </w:r>
      <w:r>
        <w:t>的约定处理。</w:t>
      </w:r>
    </w:p>
    <w:p w14:paraId="07BC9CBE">
      <w:pPr>
        <w:bidi w:val="0"/>
      </w:pPr>
      <w:r>
        <w:t>（2）除专用合同条款另有约定外，发包人应在进度款支付证书或临时进度款支付证书签发后14天内完成支付，发包人逾期支付进度款的，应按照中国人民银行发布的同期同类贷款基准利率支付违约金。</w:t>
      </w:r>
    </w:p>
    <w:p w14:paraId="0B1E5FA9">
      <w:pPr>
        <w:bidi w:val="0"/>
      </w:pPr>
      <w:r>
        <w:t>（3）发包人签发进度款支付证书或临时进度款支付证书，不表明发包人已同意、批准或接受了承包人完成的相应部分的工作。</w:t>
      </w:r>
    </w:p>
    <w:p w14:paraId="43D1CC08">
      <w:pPr>
        <w:bidi w:val="0"/>
      </w:pPr>
      <w:r>
        <w:t>12.4.5 进度付款的修正</w:t>
      </w:r>
    </w:p>
    <w:p w14:paraId="7E3FD2F5">
      <w:pPr>
        <w:bidi w:val="0"/>
      </w:pPr>
      <w:r>
        <w:t>在对已签发的进度款支付证书进行阶段汇总和复核中发现错误、遗漏或重复的，发包人和承包人均有权提出修正申请。经发包人和承包人同意的修正，应在下期进度付款中支付或扣除。</w:t>
      </w:r>
    </w:p>
    <w:p w14:paraId="3A7851EF">
      <w:pPr>
        <w:bidi w:val="0"/>
      </w:pPr>
      <w:r>
        <w:t>12.4.6 支付分解表</w:t>
      </w:r>
    </w:p>
    <w:p w14:paraId="47E9106E">
      <w:pPr>
        <w:bidi w:val="0"/>
      </w:pPr>
      <w:r>
        <w:t>1</w:t>
      </w:r>
      <w:r>
        <w:rPr>
          <w:rFonts w:hint="eastAsia"/>
          <w:lang w:val="en-US" w:eastAsia="zh-CN"/>
        </w:rPr>
        <w:t>.</w:t>
      </w:r>
      <w:r>
        <w:t>支付分解表的编制要求</w:t>
      </w:r>
    </w:p>
    <w:p w14:paraId="11FA8E33">
      <w:pPr>
        <w:bidi w:val="0"/>
      </w:pPr>
      <w:r>
        <w:t>（1）支付分解表中所列的每期付款金额，应为第12.4.2项</w:t>
      </w:r>
      <w:r>
        <w:rPr>
          <w:rFonts w:hint="eastAsia"/>
        </w:rPr>
        <w:t>〔</w:t>
      </w:r>
      <w:r>
        <w:t>进度付款申请单的编制</w:t>
      </w:r>
      <w:r>
        <w:rPr>
          <w:rFonts w:hint="eastAsia"/>
        </w:rPr>
        <w:t>〕</w:t>
      </w:r>
      <w:r>
        <w:t>第（1）</w:t>
      </w:r>
      <w:r>
        <w:rPr>
          <w:rFonts w:hint="eastAsia"/>
        </w:rPr>
        <w:t>目</w:t>
      </w:r>
      <w:r>
        <w:t>的估算金额；</w:t>
      </w:r>
    </w:p>
    <w:p w14:paraId="67F14D79">
      <w:pPr>
        <w:bidi w:val="0"/>
      </w:pPr>
      <w:r>
        <w:t>（2）实际进度与施工进度计划不一致的，合同当事人可按照第4.4款</w:t>
      </w:r>
      <w:r>
        <w:rPr>
          <w:rFonts w:hint="eastAsia"/>
        </w:rPr>
        <w:t>〔</w:t>
      </w:r>
      <w:r>
        <w:t>商定或确定</w:t>
      </w:r>
      <w:r>
        <w:rPr>
          <w:rFonts w:hint="eastAsia"/>
        </w:rPr>
        <w:t>〕</w:t>
      </w:r>
      <w:r>
        <w:t>修改支付分解表；</w:t>
      </w:r>
    </w:p>
    <w:p w14:paraId="6540B20D">
      <w:pPr>
        <w:bidi w:val="0"/>
      </w:pPr>
      <w:r>
        <w:t>（3）不采用支付分解表的，承包人应向发包人和监理人提交按季度编制的支付估算分解表，用于支付参考。</w:t>
      </w:r>
    </w:p>
    <w:p w14:paraId="0B35C0B1">
      <w:pPr>
        <w:bidi w:val="0"/>
      </w:pPr>
      <w:r>
        <w:t>2</w:t>
      </w:r>
      <w:r>
        <w:rPr>
          <w:rFonts w:hint="eastAsia"/>
          <w:lang w:val="en-US" w:eastAsia="zh-CN"/>
        </w:rPr>
        <w:t>.</w:t>
      </w:r>
      <w:r>
        <w:t>总价合同支付分解表的编制与审批</w:t>
      </w:r>
    </w:p>
    <w:p w14:paraId="018E64EC">
      <w:pPr>
        <w:bidi w:val="0"/>
      </w:pPr>
      <w:r>
        <w:t>（1）除专用合同条款另有约定外，承包人应根据第7.2款</w:t>
      </w:r>
      <w:r>
        <w:rPr>
          <w:rFonts w:hint="eastAsia"/>
        </w:rPr>
        <w:t>〔</w:t>
      </w:r>
      <w:r>
        <w:t>施工进度计划</w:t>
      </w:r>
      <w:r>
        <w:rPr>
          <w:rFonts w:hint="eastAsia"/>
        </w:rPr>
        <w:t>〕</w:t>
      </w:r>
      <w:r>
        <w:t>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6E4D4A85">
      <w:pPr>
        <w:bidi w:val="0"/>
      </w:pPr>
      <w:r>
        <w:t>（2）监理人应在收到支付分解表后7天内完成审核并报送发包人。发包人应在收到经监理人审核的支付分解表后7天内完成审批，经发包人批准的支付分解表为有约束力的支付分解表。</w:t>
      </w:r>
    </w:p>
    <w:p w14:paraId="73BE7526">
      <w:pPr>
        <w:bidi w:val="0"/>
      </w:pPr>
      <w:r>
        <w:t xml:space="preserve">    （3）发包人逾期未完成支付分解表</w:t>
      </w:r>
      <w:r>
        <w:rPr>
          <w:rFonts w:hint="eastAsia"/>
        </w:rPr>
        <w:t>审批</w:t>
      </w:r>
      <w:r>
        <w:t>的，也未及时要求承包人进行修正和提供补充资料的，则承包人提交的支付分解表视为已经获得发包人批准。</w:t>
      </w:r>
    </w:p>
    <w:p w14:paraId="12AC0024">
      <w:pPr>
        <w:bidi w:val="0"/>
      </w:pPr>
      <w:r>
        <w:t>3</w:t>
      </w:r>
      <w:r>
        <w:rPr>
          <w:rFonts w:hint="eastAsia"/>
          <w:lang w:val="en-US" w:eastAsia="zh-CN"/>
        </w:rPr>
        <w:t>.</w:t>
      </w:r>
      <w:r>
        <w:t>单价合同的总价项目支付分解表的编制与审批</w:t>
      </w:r>
    </w:p>
    <w:p w14:paraId="2725E088">
      <w:pPr>
        <w:bidi w:val="0"/>
      </w:pPr>
      <w: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0D71BD43">
      <w:pPr>
        <w:bidi w:val="0"/>
      </w:pPr>
      <w:bookmarkStart w:id="679" w:name="_Toc351203585"/>
      <w:r>
        <w:t>12.5支付账户</w:t>
      </w:r>
      <w:bookmarkEnd w:id="679"/>
    </w:p>
    <w:p w14:paraId="1566739E">
      <w:pPr>
        <w:bidi w:val="0"/>
      </w:pPr>
      <w:r>
        <w:t>发包人应将合同价款支付至合同协议书中约定的承包人账户。</w:t>
      </w:r>
    </w:p>
    <w:p w14:paraId="4CDCA626">
      <w:pPr>
        <w:pStyle w:val="66"/>
        <w:bidi w:val="0"/>
      </w:pPr>
      <w:bookmarkStart w:id="680" w:name="_Toc351203586"/>
      <w:bookmarkStart w:id="681" w:name="_Toc296346607"/>
      <w:bookmarkStart w:id="682" w:name="_Toc337558804"/>
      <w:bookmarkStart w:id="683" w:name="_Toc322522574"/>
      <w:bookmarkStart w:id="684" w:name="_Toc296503106"/>
      <w:r>
        <w:t>13. 验收和工程试车</w:t>
      </w:r>
      <w:bookmarkEnd w:id="680"/>
    </w:p>
    <w:bookmarkEnd w:id="681"/>
    <w:bookmarkEnd w:id="682"/>
    <w:bookmarkEnd w:id="683"/>
    <w:bookmarkEnd w:id="684"/>
    <w:p w14:paraId="6F5DE3B4">
      <w:pPr>
        <w:bidi w:val="0"/>
      </w:pPr>
      <w:bookmarkStart w:id="685" w:name="_Toc351203587"/>
      <w:bookmarkStart w:id="686" w:name="_Toc337558805"/>
      <w:bookmarkStart w:id="687" w:name="_Toc296503110"/>
      <w:bookmarkStart w:id="688" w:name="_Toc296346611"/>
      <w:r>
        <w:t>13.1分部分项工程验收</w:t>
      </w:r>
      <w:bookmarkEnd w:id="685"/>
    </w:p>
    <w:bookmarkEnd w:id="686"/>
    <w:p w14:paraId="520B8AB6">
      <w:pPr>
        <w:bidi w:val="0"/>
      </w:pPr>
      <w:r>
        <w:t>13.1.1 分部分项工程质量应符合国家有关工程施工验收规范、标准及合同约定，承包人应按照施工组织设计的要求完成分部分项工程施工。</w:t>
      </w:r>
    </w:p>
    <w:p w14:paraId="61421A2E">
      <w:pPr>
        <w:bidi w:val="0"/>
      </w:pPr>
      <w: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2088277">
      <w:pPr>
        <w:bidi w:val="0"/>
      </w:pPr>
      <w:r>
        <w:t>分部分项工程的验收资料应当作为竣工资料的组成部分。</w:t>
      </w:r>
    </w:p>
    <w:p w14:paraId="0A63101A">
      <w:pPr>
        <w:bidi w:val="0"/>
      </w:pPr>
      <w:bookmarkStart w:id="689" w:name="_Toc351203588"/>
      <w:bookmarkStart w:id="690" w:name="_Toc337558806"/>
      <w:r>
        <w:t>13.2竣工验收</w:t>
      </w:r>
      <w:bookmarkEnd w:id="689"/>
    </w:p>
    <w:bookmarkEnd w:id="687"/>
    <w:bookmarkEnd w:id="688"/>
    <w:bookmarkEnd w:id="690"/>
    <w:p w14:paraId="4AF9F06A">
      <w:pPr>
        <w:bidi w:val="0"/>
      </w:pPr>
      <w:r>
        <w:t>13.2.1竣工验收条件</w:t>
      </w:r>
    </w:p>
    <w:p w14:paraId="3C254D5A">
      <w:pPr>
        <w:bidi w:val="0"/>
      </w:pPr>
      <w:r>
        <w:t>工程具备以下条件的，承包人可以申请竣工验收：</w:t>
      </w:r>
    </w:p>
    <w:p w14:paraId="0D53602E">
      <w:pPr>
        <w:bidi w:val="0"/>
      </w:pPr>
      <w:r>
        <w:t>（1）除发包人同意的甩项</w:t>
      </w:r>
      <w:r>
        <w:rPr>
          <w:rFonts w:hint="eastAsia"/>
        </w:rPr>
        <w:t>工作</w:t>
      </w:r>
      <w:r>
        <w:t>和缺陷修补工作外，合同范围内的全部工程以及有关工作，包括合同要求的试验、试运行以及检验均已完成，并符合合同要求；</w:t>
      </w:r>
    </w:p>
    <w:p w14:paraId="0500D232">
      <w:pPr>
        <w:bidi w:val="0"/>
      </w:pPr>
      <w:r>
        <w:t>（2）已按合同约定编制了甩项</w:t>
      </w:r>
      <w:r>
        <w:rPr>
          <w:rFonts w:hint="eastAsia"/>
        </w:rPr>
        <w:t>工作</w:t>
      </w:r>
      <w:r>
        <w:t>和缺陷修补工作清单以及相应的施工计划；</w:t>
      </w:r>
    </w:p>
    <w:p w14:paraId="6967BA6F">
      <w:pPr>
        <w:bidi w:val="0"/>
      </w:pPr>
      <w:r>
        <w:t>（3）已按合同约定的内容和份数备齐竣工资料。</w:t>
      </w:r>
    </w:p>
    <w:p w14:paraId="272D6DAB">
      <w:pPr>
        <w:bidi w:val="0"/>
      </w:pPr>
      <w:r>
        <w:t>13.2.2竣工验收程序</w:t>
      </w:r>
    </w:p>
    <w:p w14:paraId="14BF6441">
      <w:pPr>
        <w:bidi w:val="0"/>
      </w:pPr>
      <w:r>
        <w:t>除专用合同条款另有约定外，承包人申请竣工验收的，应当按照以下程序进行：</w:t>
      </w:r>
    </w:p>
    <w:p w14:paraId="0AB63A27">
      <w:pPr>
        <w:bidi w:val="0"/>
      </w:pPr>
      <w: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39A867A">
      <w:pPr>
        <w:bidi w:val="0"/>
      </w:pPr>
      <w:r>
        <w:t>（2）监理人审查后认为已具备竣工验收条件的，应将竣工验收申请报告提交发包人，发包人应在收到</w:t>
      </w:r>
      <w:r>
        <w:rPr>
          <w:rFonts w:hint="eastAsia"/>
        </w:rPr>
        <w:t>经</w:t>
      </w:r>
      <w:r>
        <w:t>监理人审核的竣工验收申请报告后28天内</w:t>
      </w:r>
      <w:r>
        <w:rPr>
          <w:rFonts w:hint="eastAsia"/>
        </w:rPr>
        <w:t>审批</w:t>
      </w:r>
      <w:r>
        <w:t>完毕并组织监理人、承包人、设计人等相关单位完成竣工验收。</w:t>
      </w:r>
    </w:p>
    <w:p w14:paraId="4172F336">
      <w:pPr>
        <w:bidi w:val="0"/>
      </w:pPr>
      <w:r>
        <w:t>（3）竣工验收合格的，发包人应在验收合格后14天内向承包人签发工程接收证书。发包人无正当理由逾期不颁发工程接收证书的，自验收合格后第15天起视为已颁发工程接收证书。</w:t>
      </w:r>
    </w:p>
    <w:p w14:paraId="15FF4425">
      <w:pPr>
        <w:bidi w:val="0"/>
      </w:pPr>
      <w: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76D68FE">
      <w:pPr>
        <w:bidi w:val="0"/>
      </w:pPr>
      <w:r>
        <w:t>（5）工程未经验收或验收不合格，发包人擅自使用的，应在转移占有工程后7天内向承包人颁发工程接收证书；发包人无正当理由逾期不颁发工程接收证书的，自转移占有后第15天起视为已颁发工程接收证书。</w:t>
      </w:r>
    </w:p>
    <w:p w14:paraId="5754F301">
      <w:pPr>
        <w:bidi w:val="0"/>
      </w:pPr>
      <w:r>
        <w:t>除专用合同条款另有约定外，发包人不按照本项约定组织竣工验收、颁发工程接收证书的，每逾期一天，应以签约合同价为基数，按照中国人民银行发布的同期同类贷款基准利率支付违约金。</w:t>
      </w:r>
    </w:p>
    <w:p w14:paraId="253D3AE3">
      <w:pPr>
        <w:bidi w:val="0"/>
      </w:pPr>
      <w:r>
        <w:t>13.2.3竣工日期</w:t>
      </w:r>
    </w:p>
    <w:p w14:paraId="109347DF">
      <w:pPr>
        <w:bidi w:val="0"/>
      </w:pPr>
      <w:r>
        <w:t>工程经竣工验收合格的，以承包人提交竣工验收申请报告之日为实际竣工日期，并在工程接收证书中载明；因发包人原因，未在监理人收到承包人提交的竣工验收申请报告42天内完成</w:t>
      </w:r>
      <w:r>
        <w:rPr>
          <w:rFonts w:hint="eastAsia"/>
        </w:rPr>
        <w:t>竣工</w:t>
      </w:r>
      <w:r>
        <w:t>验收</w:t>
      </w:r>
      <w:r>
        <w:rPr>
          <w:rFonts w:hint="eastAsia"/>
        </w:rPr>
        <w:t>，或完成竣工验收不予签发工程接收证书</w:t>
      </w:r>
      <w:r>
        <w:t>的，以提交竣工验</w:t>
      </w:r>
      <w:bookmarkStart w:id="691" w:name="#go14"/>
      <w:bookmarkEnd w:id="691"/>
      <w:r>
        <w:t>收申请报告的日期为实际竣工日期；工程未经竣工验收，发包人擅自使用的，以转移占有工程之日为实际竣工日期。</w:t>
      </w:r>
    </w:p>
    <w:p w14:paraId="1A30F36F">
      <w:pPr>
        <w:bidi w:val="0"/>
      </w:pPr>
      <w:r>
        <w:t>13.2.4 拒绝接收全部或部分工程</w:t>
      </w:r>
    </w:p>
    <w:p w14:paraId="0C07867A">
      <w:pPr>
        <w:bidi w:val="0"/>
      </w:pPr>
      <w:r>
        <w:t>对于竣工验收不合格的工程，承包人完成整改后，</w:t>
      </w:r>
      <w:r>
        <w:rPr>
          <w:rFonts w:hint="eastAsia"/>
        </w:rPr>
        <w:t>应当</w:t>
      </w:r>
      <w:r>
        <w:t>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222A0F0">
      <w:pPr>
        <w:bidi w:val="0"/>
      </w:pPr>
      <w:r>
        <w:t>13.2.5 移交、接收全部与部分工程</w:t>
      </w:r>
    </w:p>
    <w:p w14:paraId="23C9D86D">
      <w:pPr>
        <w:bidi w:val="0"/>
      </w:pPr>
      <w:r>
        <w:rPr>
          <w:rFonts w:hint="eastAsia"/>
        </w:rPr>
        <w:t>除专用合同条款另有约定外，</w:t>
      </w:r>
      <w:r>
        <w:t>合同当事人应当在颁发工程接收证书</w:t>
      </w:r>
      <w:r>
        <w:rPr>
          <w:rFonts w:hint="eastAsia"/>
        </w:rPr>
        <w:t>后7天内</w:t>
      </w:r>
      <w:r>
        <w:t>完成工程的移交。</w:t>
      </w:r>
    </w:p>
    <w:p w14:paraId="4FFBFB53">
      <w:pPr>
        <w:bidi w:val="0"/>
      </w:pPr>
      <w:r>
        <w:t>发包人无正当理由不接收工程的，发包人自</w:t>
      </w:r>
      <w:r>
        <w:rPr>
          <w:rFonts w:hint="eastAsia"/>
        </w:rPr>
        <w:t>应当接收工程</w:t>
      </w:r>
      <w:r>
        <w:t>之日起，承担工程照管、成品保护、保管等与工程有关的各项费用</w:t>
      </w:r>
      <w:r>
        <w:rPr>
          <w:rFonts w:hint="eastAsia"/>
        </w:rPr>
        <w:t>，合同当事人可以在专用合同条款中另行约定发包人逾期接收工程的违约责任</w:t>
      </w:r>
      <w:r>
        <w:t>。</w:t>
      </w:r>
    </w:p>
    <w:p w14:paraId="77B976DF">
      <w:pPr>
        <w:bidi w:val="0"/>
      </w:pPr>
      <w:r>
        <w:t>承包人无正当理由不移交工程的，</w:t>
      </w:r>
      <w:r>
        <w:rPr>
          <w:rFonts w:hint="eastAsia"/>
        </w:rPr>
        <w:t>承包人应承担</w:t>
      </w:r>
      <w:r>
        <w:t>工程照管、成品保护、保管等与工程有关的各项费用</w:t>
      </w:r>
      <w:r>
        <w:rPr>
          <w:rFonts w:hint="eastAsia"/>
        </w:rPr>
        <w:t>，合同当事人可以在专用合同条款中另行约定承包人无正当理由不移交工程的违约责任</w:t>
      </w:r>
      <w:r>
        <w:t>。</w:t>
      </w:r>
    </w:p>
    <w:p w14:paraId="260AE9CF">
      <w:pPr>
        <w:bidi w:val="0"/>
      </w:pPr>
      <w:bookmarkStart w:id="692" w:name="_Toc351203589"/>
      <w:bookmarkStart w:id="693" w:name="_Toc296503111"/>
      <w:bookmarkStart w:id="694" w:name="_Toc337558807"/>
      <w:bookmarkStart w:id="695" w:name="_Toc296346612"/>
      <w:r>
        <w:t>13.3工程试车</w:t>
      </w:r>
      <w:bookmarkEnd w:id="692"/>
    </w:p>
    <w:bookmarkEnd w:id="693"/>
    <w:bookmarkEnd w:id="694"/>
    <w:bookmarkEnd w:id="695"/>
    <w:p w14:paraId="35636599">
      <w:pPr>
        <w:bidi w:val="0"/>
      </w:pPr>
      <w:r>
        <w:t>13.3.1试车程序</w:t>
      </w:r>
    </w:p>
    <w:p w14:paraId="69A35361">
      <w:pPr>
        <w:bidi w:val="0"/>
      </w:pPr>
      <w:r>
        <w:t>工程需要试车的，除专用合同条款另有约定外，试车内容应与承包人承包范围相一致，试车费用由承包人承担。工程试车应按如下程序进行：</w:t>
      </w:r>
    </w:p>
    <w:p w14:paraId="52FD7E52">
      <w:pPr>
        <w:bidi w:val="0"/>
      </w:pPr>
      <w: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6C8C8E5">
      <w:pPr>
        <w:bidi w:val="0"/>
      </w:pPr>
      <w: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4A9D5D73">
      <w:pPr>
        <w:bidi w:val="0"/>
      </w:pPr>
      <w: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09ADAE92">
      <w:pPr>
        <w:bidi w:val="0"/>
      </w:pPr>
      <w:r>
        <w:t>13.3.2 试车中的责任</w:t>
      </w:r>
    </w:p>
    <w:p w14:paraId="274F8820">
      <w:pPr>
        <w:bidi w:val="0"/>
      </w:pPr>
      <w: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1DD336DA">
      <w:pPr>
        <w:bidi w:val="0"/>
      </w:pPr>
      <w: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063F80E">
      <w:pPr>
        <w:bidi w:val="0"/>
      </w:pPr>
      <w:r>
        <w:t>13.3.3 投料试车</w:t>
      </w:r>
    </w:p>
    <w:p w14:paraId="37E11D90">
      <w:pPr>
        <w:bidi w:val="0"/>
      </w:pPr>
      <w:r>
        <w:rPr>
          <w:rFonts w:hint="eastAsia"/>
        </w:rPr>
        <w:t>如需进行投料试车的，</w:t>
      </w:r>
      <w:r>
        <w:t>发包人</w:t>
      </w:r>
      <w:r>
        <w:rPr>
          <w:rFonts w:hint="eastAsia"/>
        </w:rPr>
        <w:t>应在</w:t>
      </w:r>
      <w:r>
        <w:t>工程竣工验收后</w:t>
      </w:r>
      <w:r>
        <w:rPr>
          <w:rFonts w:hint="eastAsia"/>
        </w:rPr>
        <w:t>组织</w:t>
      </w:r>
      <w:r>
        <w:t>投料试车</w:t>
      </w:r>
      <w:r>
        <w:rPr>
          <w:rFonts w:hint="eastAsia"/>
        </w:rPr>
        <w:t>。</w:t>
      </w:r>
      <w:r>
        <w:t>发包人要求在工程竣工验收前进行或需要承包人配合时，应征得承包人同意</w:t>
      </w:r>
      <w:r>
        <w:rPr>
          <w:rFonts w:hint="eastAsia"/>
        </w:rPr>
        <w:t>，并在专用合同条款中约定有关事项</w:t>
      </w:r>
      <w:r>
        <w:t>。</w:t>
      </w:r>
    </w:p>
    <w:p w14:paraId="47189980">
      <w:pPr>
        <w:bidi w:val="0"/>
      </w:pPr>
      <w:r>
        <w:t>投料试车合格的，费用由发包人承担；因承包人原因造成投料试车不合格的，承包人应按照发包人要求进行整改，由此产生的整改费用由承包人承担；非因承包人原因导致投料试车不合格的，</w:t>
      </w:r>
      <w:r>
        <w:rPr>
          <w:rFonts w:hint="eastAsia"/>
        </w:rPr>
        <w:t>如</w:t>
      </w:r>
      <w:r>
        <w:t>发包人要求承包人进行整改</w:t>
      </w:r>
      <w:r>
        <w:rPr>
          <w:rFonts w:hint="eastAsia"/>
        </w:rPr>
        <w:t>的</w:t>
      </w:r>
      <w:r>
        <w:t>，由此产生的费用由发包人承担。</w:t>
      </w:r>
    </w:p>
    <w:p w14:paraId="2F0C586F">
      <w:pPr>
        <w:bidi w:val="0"/>
      </w:pPr>
      <w:bookmarkStart w:id="696" w:name="_Toc337558808"/>
      <w:r>
        <w:t xml:space="preserve">    </w:t>
      </w:r>
      <w:bookmarkStart w:id="697" w:name="_Toc351203590"/>
      <w:r>
        <w:t>13.4提前交付单位工程的验收</w:t>
      </w:r>
      <w:bookmarkEnd w:id="697"/>
    </w:p>
    <w:bookmarkEnd w:id="696"/>
    <w:p w14:paraId="5CC9B575">
      <w:pPr>
        <w:bidi w:val="0"/>
      </w:pPr>
      <w:r>
        <w:t>13.4.1 发包人需要在工程竣工前使用单位工程的，或承包人提出提前交付已经竣工的单位工程且经发包人同意的，可进行单位工程验收，验收的程序按照第13.2款</w:t>
      </w:r>
      <w:r>
        <w:rPr>
          <w:rFonts w:hint="eastAsia"/>
        </w:rPr>
        <w:t>〔</w:t>
      </w:r>
      <w:r>
        <w:t>竣工验收</w:t>
      </w:r>
      <w:r>
        <w:rPr>
          <w:rFonts w:hint="eastAsia"/>
        </w:rPr>
        <w:t>〕</w:t>
      </w:r>
      <w:r>
        <w:t>的约定进行。</w:t>
      </w:r>
    </w:p>
    <w:p w14:paraId="2633B860">
      <w:pPr>
        <w:bidi w:val="0"/>
      </w:pPr>
      <w:r>
        <w:t>验收合格后，由监理人向承包人出具经发包人签认的单位工程接收证书。已签发单位工程接收证书的单位工程由发包人负责照管。单位工程的验收成果和结论作为整体工程竣工验收申请报告的附件。</w:t>
      </w:r>
    </w:p>
    <w:p w14:paraId="0567FA90">
      <w:pPr>
        <w:bidi w:val="0"/>
      </w:pPr>
      <w:r>
        <w:t>13.4.2 发包人要求在工程竣工前交付单位工程，由此导致承包人费用增加和（或）工期延误的，由发包人承担由此增加的费用和（或）延误的工期，并支付承包人合理的利润。</w:t>
      </w:r>
    </w:p>
    <w:p w14:paraId="47CC975D">
      <w:pPr>
        <w:bidi w:val="0"/>
      </w:pPr>
      <w:bookmarkStart w:id="698" w:name="_Toc351203591"/>
      <w:r>
        <w:t>13.5 施工期运行</w:t>
      </w:r>
      <w:bookmarkEnd w:id="698"/>
    </w:p>
    <w:p w14:paraId="435B8A59">
      <w:pPr>
        <w:bidi w:val="0"/>
      </w:pPr>
      <w:r>
        <w:t>13.5.1 施工期运行是指合同工程尚未全部竣工，其中某项或某几项单位工程或工程设备安装已竣工，根据专用合同条款约定，需要投入施工期运行的，经发包人按第13.4款</w:t>
      </w:r>
      <w:r>
        <w:rPr>
          <w:rFonts w:hint="eastAsia"/>
        </w:rPr>
        <w:t>〔</w:t>
      </w:r>
      <w:r>
        <w:t>提前交付单位工程的验收</w:t>
      </w:r>
      <w:r>
        <w:rPr>
          <w:rFonts w:hint="eastAsia"/>
        </w:rPr>
        <w:t>〕</w:t>
      </w:r>
      <w:r>
        <w:t>的约定验收合格，证明能确保安全后，才能在施工期投入运行。</w:t>
      </w:r>
    </w:p>
    <w:p w14:paraId="70230EF3">
      <w:pPr>
        <w:bidi w:val="0"/>
        <w:rPr>
          <w:rFonts w:hint="eastAsia"/>
        </w:rPr>
      </w:pPr>
      <w:r>
        <w:t>13.5.2 在施工期运行中发现工程或工程设备损坏或存在缺陷的，由承包人按第15.2款</w:t>
      </w:r>
      <w:r>
        <w:rPr>
          <w:rFonts w:hint="eastAsia"/>
        </w:rPr>
        <w:t>〔</w:t>
      </w:r>
      <w:r>
        <w:t>缺陷责任期</w:t>
      </w:r>
      <w:r>
        <w:rPr>
          <w:rFonts w:hint="eastAsia"/>
        </w:rPr>
        <w:t>〕</w:t>
      </w:r>
      <w:r>
        <w:t>约定进行修复。</w:t>
      </w:r>
    </w:p>
    <w:p w14:paraId="5673A779">
      <w:pPr>
        <w:bidi w:val="0"/>
      </w:pPr>
      <w:bookmarkStart w:id="699" w:name="_Toc296503112"/>
      <w:bookmarkStart w:id="700" w:name="_Toc296346613"/>
      <w:bookmarkStart w:id="701" w:name="_Toc351203592"/>
      <w:bookmarkStart w:id="702" w:name="_Toc337558809"/>
      <w:r>
        <w:t>13.6 竣工退</w:t>
      </w:r>
      <w:bookmarkEnd w:id="699"/>
      <w:bookmarkEnd w:id="700"/>
      <w:r>
        <w:t>场</w:t>
      </w:r>
      <w:bookmarkEnd w:id="701"/>
    </w:p>
    <w:bookmarkEnd w:id="702"/>
    <w:p w14:paraId="7930617A">
      <w:pPr>
        <w:bidi w:val="0"/>
      </w:pPr>
      <w:r>
        <w:t>13.6.1 竣工退场</w:t>
      </w:r>
    </w:p>
    <w:p w14:paraId="38DF519E">
      <w:pPr>
        <w:bidi w:val="0"/>
      </w:pPr>
      <w:r>
        <w:t>颁发工程接收证书后，承包人应按以下要求对施工现场进行清理：</w:t>
      </w:r>
    </w:p>
    <w:p w14:paraId="60AC0798">
      <w:pPr>
        <w:bidi w:val="0"/>
      </w:pPr>
      <w:r>
        <w:t>（1）施工现场内残留的垃圾已全部清除出场；</w:t>
      </w:r>
    </w:p>
    <w:p w14:paraId="6BCB62AF">
      <w:pPr>
        <w:bidi w:val="0"/>
      </w:pPr>
      <w:r>
        <w:t>（2）临时工程已拆除，场地已进行清理、平整或复原；</w:t>
      </w:r>
    </w:p>
    <w:p w14:paraId="58A63CBB">
      <w:pPr>
        <w:bidi w:val="0"/>
      </w:pPr>
      <w:r>
        <w:t>（3）按合同约定应撤离的人员、承包人施工设备和剩余的材料，包括废弃的施工设备和材料，已按计划撤离施工现场；</w:t>
      </w:r>
    </w:p>
    <w:p w14:paraId="479162CF">
      <w:pPr>
        <w:bidi w:val="0"/>
      </w:pPr>
      <w:r>
        <w:t>（4）施工现场周边及其附近道路、河道的施工堆积物，已全部清理；</w:t>
      </w:r>
    </w:p>
    <w:p w14:paraId="4443C8AA">
      <w:pPr>
        <w:bidi w:val="0"/>
      </w:pPr>
      <w:r>
        <w:t>（5）施工现场其他场地清理工作已全部完成。</w:t>
      </w:r>
    </w:p>
    <w:p w14:paraId="70D43FD1">
      <w:pPr>
        <w:bidi w:val="0"/>
      </w:pPr>
      <w: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27F5DF7A">
      <w:pPr>
        <w:bidi w:val="0"/>
      </w:pPr>
      <w:r>
        <w:t>13.6.2 地表还原</w:t>
      </w:r>
    </w:p>
    <w:p w14:paraId="0EB66B3B">
      <w:pPr>
        <w:bidi w:val="0"/>
      </w:pPr>
      <w:r>
        <w:t>承包人应按发包人要求恢复临时占地及清理场地，承包人未按发包人的要求恢复临时占地，或者场地清理未达到合同约定要求的，发包人有权委托其他人恢复或清理，所发生的费用由承包人承担。</w:t>
      </w:r>
    </w:p>
    <w:p w14:paraId="2058A87C">
      <w:pPr>
        <w:pStyle w:val="66"/>
        <w:bidi w:val="0"/>
      </w:pPr>
      <w:bookmarkStart w:id="703" w:name="_Toc351203593"/>
      <w:bookmarkStart w:id="704" w:name="_Toc337558810"/>
      <w:bookmarkStart w:id="705" w:name="_Toc296503113"/>
      <w:bookmarkStart w:id="706" w:name="_Toc296346614"/>
      <w:r>
        <w:t>14. 竣工结算</w:t>
      </w:r>
      <w:bookmarkEnd w:id="703"/>
    </w:p>
    <w:bookmarkEnd w:id="704"/>
    <w:p w14:paraId="3477BDF5">
      <w:pPr>
        <w:bidi w:val="0"/>
      </w:pPr>
      <w:bookmarkStart w:id="707" w:name="_Toc351203594"/>
      <w:bookmarkStart w:id="708" w:name="_Toc337558811"/>
      <w:r>
        <w:t>14.1 竣工结算申请</w:t>
      </w:r>
      <w:bookmarkEnd w:id="707"/>
    </w:p>
    <w:bookmarkEnd w:id="708"/>
    <w:p w14:paraId="7ECB8782">
      <w:pPr>
        <w:bidi w:val="0"/>
      </w:pPr>
      <w:r>
        <w:t>除专用合同条款另有约定外，承包人应在工程竣工验收合格后28天内向发包人和监理人提交竣工结算申请单，并提交完整的结算资料，</w:t>
      </w:r>
      <w:r>
        <w:rPr>
          <w:rFonts w:hint="eastAsia"/>
        </w:rPr>
        <w:t>有关</w:t>
      </w:r>
      <w:r>
        <w:t>竣工结算申请单</w:t>
      </w:r>
      <w:r>
        <w:rPr>
          <w:rFonts w:hint="eastAsia"/>
        </w:rPr>
        <w:t>的资料清单和</w:t>
      </w:r>
      <w:r>
        <w:t>份数</w:t>
      </w:r>
      <w:r>
        <w:rPr>
          <w:rFonts w:hint="eastAsia"/>
        </w:rPr>
        <w:t>等要求</w:t>
      </w:r>
      <w:r>
        <w:t>由合同当事人在专用合同条款中约定。</w:t>
      </w:r>
    </w:p>
    <w:p w14:paraId="770CEEE9">
      <w:pPr>
        <w:bidi w:val="0"/>
      </w:pPr>
      <w:r>
        <w:t>除专用合同条款另有约定外，竣工结算申请单应包括以下内容：</w:t>
      </w:r>
    </w:p>
    <w:p w14:paraId="51C9A9B4">
      <w:pPr>
        <w:bidi w:val="0"/>
      </w:pPr>
      <w:r>
        <w:t>（1）竣工结算合同价格；</w:t>
      </w:r>
    </w:p>
    <w:p w14:paraId="3FE1C65E">
      <w:pPr>
        <w:bidi w:val="0"/>
      </w:pPr>
      <w:r>
        <w:t>（2）发包人已支付承包人的款项；</w:t>
      </w:r>
    </w:p>
    <w:p w14:paraId="13610736">
      <w:pPr>
        <w:bidi w:val="0"/>
      </w:pPr>
      <w:r>
        <w:t>（3）应扣留的质量保证金</w:t>
      </w:r>
      <w:r>
        <w:rPr>
          <w:rFonts w:hint="eastAsia"/>
        </w:rPr>
        <w:t>。已缴纳履约保证金的或提供其他工程质量担保方式的除外</w:t>
      </w:r>
      <w:r>
        <w:t xml:space="preserve">； </w:t>
      </w:r>
    </w:p>
    <w:p w14:paraId="6DAFEA63">
      <w:pPr>
        <w:bidi w:val="0"/>
      </w:pPr>
      <w:r>
        <w:t>（4）发包人应支付承包人的合同价款。</w:t>
      </w:r>
    </w:p>
    <w:p w14:paraId="6A556EA2">
      <w:pPr>
        <w:bidi w:val="0"/>
      </w:pPr>
      <w:bookmarkStart w:id="709" w:name="_Toc351203595"/>
      <w:bookmarkStart w:id="710" w:name="_Toc337558812"/>
      <w:r>
        <w:t>14.2 竣工结算审核</w:t>
      </w:r>
      <w:bookmarkEnd w:id="709"/>
    </w:p>
    <w:bookmarkEnd w:id="710"/>
    <w:p w14:paraId="73DC66F0">
      <w:pPr>
        <w:bidi w:val="0"/>
      </w:pPr>
      <w:r>
        <w:t>（1）除专用合同条款另有约定外，监理人应在收到竣工结算申请单后14天内完成核查并报送发包人。发包人应在收到监理人提交的经审核的竣工结算申请单后14天内完成</w:t>
      </w:r>
      <w:r>
        <w:rPr>
          <w:rFonts w:hint="eastAsia"/>
        </w:rPr>
        <w:t>审批</w:t>
      </w:r>
      <w:r>
        <w:t>，并由监理人向承包人签发经发包人签认的竣工付款证书。监理人或发包人对竣工结算申请单有异议的，有权要求承包人进行修正和提供补充资料，承包人应提交修正后的竣工结算申请单。</w:t>
      </w:r>
    </w:p>
    <w:p w14:paraId="1EAA3228">
      <w:pPr>
        <w:bidi w:val="0"/>
      </w:pPr>
      <w:r>
        <w:t>发包人在收到承包人提交竣工结算申请书后28天</w:t>
      </w:r>
      <w:r>
        <w:rPr>
          <w:rFonts w:hint="eastAsia"/>
        </w:rPr>
        <w:t>内</w:t>
      </w:r>
      <w:r>
        <w:t>未完成</w:t>
      </w:r>
      <w:r>
        <w:rPr>
          <w:rFonts w:hint="eastAsia"/>
        </w:rPr>
        <w:t>审批</w:t>
      </w:r>
      <w:r>
        <w:t>且未提出异议的，视为发包人认可承包人提交的竣工结算申请单，并自发包人收到承包人提交的竣工结算申请单后第29天起视为已签发竣工付款证书。</w:t>
      </w:r>
    </w:p>
    <w:p w14:paraId="57B65C6A">
      <w:pPr>
        <w:bidi w:val="0"/>
      </w:pPr>
      <w: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8CBF43">
      <w:pPr>
        <w:bidi w:val="0"/>
      </w:pPr>
      <w:r>
        <w:t>（3）承包人对发包人签认的竣工付款证书有异议的，对于有异议部分应在收到发包人签认的竣工付款证书后7天内提出异议，并由合同当事人按照专用合同条款约定</w:t>
      </w:r>
      <w:r>
        <w:rPr>
          <w:rFonts w:hint="eastAsia"/>
        </w:rPr>
        <w:t>的方式和程序</w:t>
      </w:r>
      <w:r>
        <w:t>进行复核，或按照第20条</w:t>
      </w:r>
      <w:r>
        <w:rPr>
          <w:rFonts w:hint="eastAsia"/>
        </w:rPr>
        <w:t>〔</w:t>
      </w:r>
      <w:r>
        <w:t>争议解决</w:t>
      </w:r>
      <w:r>
        <w:rPr>
          <w:rFonts w:hint="eastAsia"/>
        </w:rPr>
        <w:t>〕</w:t>
      </w:r>
      <w:r>
        <w:t>约定处理。对于无异议部分，发包人应签发临时竣工付款证书，并按本款第（2）项完成付款</w:t>
      </w:r>
      <w:r>
        <w:rPr>
          <w:rFonts w:hint="eastAsia"/>
        </w:rPr>
        <w:t>。</w:t>
      </w:r>
      <w:r>
        <w:t>承包人逾期未提出异议的，视为认可发包人的</w:t>
      </w:r>
      <w:r>
        <w:rPr>
          <w:rFonts w:hint="eastAsia"/>
        </w:rPr>
        <w:t>审批</w:t>
      </w:r>
      <w:r>
        <w:t>结果。</w:t>
      </w:r>
    </w:p>
    <w:p w14:paraId="3F519E7B">
      <w:pPr>
        <w:bidi w:val="0"/>
      </w:pPr>
      <w:bookmarkStart w:id="711" w:name="_Toc351203596"/>
      <w:bookmarkStart w:id="712" w:name="_Toc337558813"/>
      <w:r>
        <w:t>14.3 甩项竣工协议</w:t>
      </w:r>
      <w:bookmarkEnd w:id="711"/>
    </w:p>
    <w:bookmarkEnd w:id="712"/>
    <w:p w14:paraId="260008E3">
      <w:pPr>
        <w:bidi w:val="0"/>
      </w:pPr>
      <w:r>
        <w:t>发包人要求甩项竣工的，合同当事人应签订甩项竣工协议。在甩项竣工协议中应明确，合同当事人按照第14.1款</w:t>
      </w:r>
      <w:r>
        <w:rPr>
          <w:rFonts w:hint="eastAsia"/>
        </w:rPr>
        <w:t>〔</w:t>
      </w:r>
      <w:r>
        <w:t>竣工</w:t>
      </w:r>
      <w:r>
        <w:rPr>
          <w:rFonts w:hint="eastAsia"/>
        </w:rPr>
        <w:t>结算</w:t>
      </w:r>
      <w:r>
        <w:t>申请</w:t>
      </w:r>
      <w:r>
        <w:rPr>
          <w:rFonts w:hint="eastAsia"/>
        </w:rPr>
        <w:t>〕</w:t>
      </w:r>
      <w:r>
        <w:t>及14.2款</w:t>
      </w:r>
      <w:r>
        <w:rPr>
          <w:rFonts w:hint="eastAsia"/>
        </w:rPr>
        <w:t>〔</w:t>
      </w:r>
      <w:r>
        <w:t>竣工结算审核</w:t>
      </w:r>
      <w:r>
        <w:rPr>
          <w:rFonts w:hint="eastAsia"/>
        </w:rPr>
        <w:t>〕</w:t>
      </w:r>
      <w:r>
        <w:t>的约定，</w:t>
      </w:r>
      <w:r>
        <w:rPr>
          <w:rFonts w:hint="eastAsia"/>
        </w:rPr>
        <w:t>对已</w:t>
      </w:r>
      <w:r>
        <w:t>完合格工程</w:t>
      </w:r>
      <w:r>
        <w:rPr>
          <w:rFonts w:hint="eastAsia"/>
        </w:rPr>
        <w:t>进行</w:t>
      </w:r>
      <w:r>
        <w:t>结算，并支付相应</w:t>
      </w:r>
      <w:r>
        <w:rPr>
          <w:rFonts w:hint="eastAsia"/>
        </w:rPr>
        <w:t>合同</w:t>
      </w:r>
      <w:r>
        <w:t>价款。</w:t>
      </w:r>
    </w:p>
    <w:p w14:paraId="351450D6">
      <w:pPr>
        <w:bidi w:val="0"/>
      </w:pPr>
      <w:bookmarkStart w:id="713" w:name="_Toc351203597"/>
      <w:bookmarkStart w:id="714" w:name="_Toc337558814"/>
      <w:r>
        <w:t>14.4 最终结清</w:t>
      </w:r>
      <w:bookmarkEnd w:id="713"/>
    </w:p>
    <w:bookmarkEnd w:id="714"/>
    <w:p w14:paraId="5830E025">
      <w:pPr>
        <w:bidi w:val="0"/>
      </w:pPr>
      <w:r>
        <w:t>14.4.1 最终结清申请单</w:t>
      </w:r>
    </w:p>
    <w:p w14:paraId="6C2BE5C8">
      <w:pPr>
        <w:bidi w:val="0"/>
      </w:pPr>
      <w:r>
        <w:t>（1）除专用合同条款另有约定外，承包人应在缺陷责任期终止证书颁发后7天内，按专用合同条款约定的份数向发包人提交最终结清申请单，并提供相关证明材料。</w:t>
      </w:r>
    </w:p>
    <w:p w14:paraId="78AB8EB0">
      <w:pPr>
        <w:bidi w:val="0"/>
      </w:pPr>
      <w:r>
        <w:t>除专用合同条款另有约定外，最终结清申请单应列明质量保证金、应扣除的质量保证金、缺陷责任期内发生的增减费用。</w:t>
      </w:r>
    </w:p>
    <w:p w14:paraId="57E33600">
      <w:pPr>
        <w:bidi w:val="0"/>
      </w:pPr>
      <w:r>
        <w:t>（2）发包人对最终结清申请单内容有异议的，有权要求承包人进行修正和提供补充资料，承包人应向发包人提交修正后的最终结清申请单。</w:t>
      </w:r>
    </w:p>
    <w:p w14:paraId="32AB1BC9">
      <w:pPr>
        <w:bidi w:val="0"/>
      </w:pPr>
      <w:r>
        <w:t>14.4.2 最终结清证书和支付</w:t>
      </w:r>
    </w:p>
    <w:p w14:paraId="18F25CA6">
      <w:pPr>
        <w:bidi w:val="0"/>
      </w:pPr>
      <w:r>
        <w:t>（1）除专用合同条款另有约定外，发包人应在收到承包人提交的最终结清申请单后14天内完成审批并向承包人颁发最终结清证书。发包人逾期未完成</w:t>
      </w:r>
      <w:r>
        <w:rPr>
          <w:rFonts w:hint="eastAsia"/>
        </w:rPr>
        <w:t>审批</w:t>
      </w:r>
      <w:r>
        <w:t>，又未提出修改意见的，视为发包人同意承包人提交的最终结清申请单，且自发包人收到承包人提交的最终结清申请单后15天起视为已颁发最终结清证书。</w:t>
      </w:r>
    </w:p>
    <w:p w14:paraId="5CAA04A2">
      <w:pPr>
        <w:bidi w:val="0"/>
      </w:pPr>
      <w: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71AB694">
      <w:pPr>
        <w:bidi w:val="0"/>
      </w:pPr>
      <w:r>
        <w:t>（3）承包人对发包人颁发的最终结清证书有异议的，按第20条</w:t>
      </w:r>
      <w:r>
        <w:rPr>
          <w:rFonts w:hint="eastAsia"/>
        </w:rPr>
        <w:t>〔</w:t>
      </w:r>
      <w:r>
        <w:t>争议解决</w:t>
      </w:r>
      <w:r>
        <w:rPr>
          <w:rFonts w:hint="eastAsia"/>
        </w:rPr>
        <w:t>〕</w:t>
      </w:r>
      <w:r>
        <w:t>的约定办理。</w:t>
      </w:r>
    </w:p>
    <w:p w14:paraId="7B72BF02">
      <w:pPr>
        <w:pStyle w:val="66"/>
        <w:bidi w:val="0"/>
      </w:pPr>
      <w:bookmarkStart w:id="715" w:name="_Toc351203598"/>
      <w:bookmarkStart w:id="716" w:name="_Toc337558815"/>
      <w:r>
        <w:t>15. 缺陷责任与保修</w:t>
      </w:r>
      <w:bookmarkEnd w:id="715"/>
    </w:p>
    <w:bookmarkEnd w:id="705"/>
    <w:bookmarkEnd w:id="706"/>
    <w:bookmarkEnd w:id="716"/>
    <w:p w14:paraId="4A8177FB">
      <w:pPr>
        <w:bidi w:val="0"/>
      </w:pPr>
      <w:bookmarkStart w:id="717" w:name="_Toc351203599"/>
      <w:bookmarkStart w:id="718" w:name="_Toc337558816"/>
      <w:bookmarkStart w:id="719" w:name="_Toc296346615"/>
      <w:bookmarkStart w:id="720" w:name="_Toc296503114"/>
      <w:r>
        <w:t>15.1 工程保修的原则</w:t>
      </w:r>
      <w:bookmarkEnd w:id="717"/>
    </w:p>
    <w:bookmarkEnd w:id="718"/>
    <w:p w14:paraId="1F07E587">
      <w:pPr>
        <w:bidi w:val="0"/>
      </w:pPr>
      <w:r>
        <w:t>在工程移交发包人后，因承包人原因产生的质量缺陷，承包人应承担质量缺陷责任和保修义务。缺陷责任期届满，承包人仍应按合同约定的工程各部位保修年限承担保修义务。</w:t>
      </w:r>
    </w:p>
    <w:p w14:paraId="087308B2">
      <w:pPr>
        <w:bidi w:val="0"/>
      </w:pPr>
      <w:bookmarkStart w:id="721" w:name="_Toc351203600"/>
      <w:bookmarkStart w:id="722" w:name="_Toc337558817"/>
      <w:r>
        <w:t>15.2 缺陷责任期</w:t>
      </w:r>
      <w:bookmarkEnd w:id="719"/>
      <w:bookmarkEnd w:id="720"/>
      <w:bookmarkEnd w:id="721"/>
    </w:p>
    <w:bookmarkEnd w:id="722"/>
    <w:p w14:paraId="3A1F5829">
      <w:pPr>
        <w:bidi w:val="0"/>
      </w:pPr>
      <w:r>
        <w:t>15.2.1 缺陷责任期</w:t>
      </w:r>
      <w:r>
        <w:rPr>
          <w:rFonts w:hint="eastAsia"/>
        </w:rPr>
        <w:t>从工程通过竣工验收之日</w:t>
      </w:r>
      <w:r>
        <w:t>起计算，合同当事人应在专用合同条款约定缺陷责任期的具体期限，但该期限最长不超过24个月。</w:t>
      </w:r>
    </w:p>
    <w:p w14:paraId="0127B0A9">
      <w:pPr>
        <w:bidi w:val="0"/>
      </w:pPr>
      <w:r>
        <w:t>单位工程先于全部工程进行验收，经验收合格并交付使用的，该单位工程缺陷责任期自单位工程验收合格之日起算。</w:t>
      </w:r>
      <w:r>
        <w:rPr>
          <w:rFonts w:hint="eastAsia"/>
        </w:rPr>
        <w:t>因承包人原因导致工程无法按合同约定期限进行竣工验收的，缺陷责任期从实际通过竣工验收之日起计算。</w:t>
      </w:r>
      <w:r>
        <w:t>因发包人原因导致工程无法按合同约定期限进行竣工验收的，</w:t>
      </w:r>
      <w:r>
        <w:rPr>
          <w:rFonts w:hint="eastAsia"/>
        </w:rPr>
        <w:t>在承包人提交竣工验收报告90天后，工程自动进入缺陷责任期</w:t>
      </w:r>
      <w:r>
        <w:t>；发包人未经竣工验收擅自使用工程的，缺陷责任期自工程转移占有之日起开始计算。</w:t>
      </w:r>
    </w:p>
    <w:p w14:paraId="703875DA">
      <w:pPr>
        <w:bidi w:val="0"/>
        <w:rPr>
          <w:rFonts w:hint="eastAsia"/>
        </w:rPr>
      </w:pPr>
      <w:r>
        <w:t>15.2.2</w:t>
      </w:r>
      <w:r>
        <w:rPr>
          <w:rFonts w:hint="eastAsia"/>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w:t>
      </w:r>
      <w:r>
        <w:t>发包人有权要求承包人延长缺陷责任期，并应在原缺陷责任期届满前发出延长通知</w:t>
      </w:r>
      <w:r>
        <w:rPr>
          <w:rFonts w:hint="eastAsia"/>
          <w:lang w:eastAsia="zh-CN"/>
        </w:rPr>
        <w:t>。</w:t>
      </w:r>
      <w:r>
        <w:t>但缺陷责任期</w:t>
      </w:r>
      <w:r>
        <w:rPr>
          <w:rFonts w:hint="eastAsia"/>
          <w:lang w:eastAsia="zh-CN"/>
        </w:rPr>
        <w:t>（含延长部分）</w:t>
      </w:r>
      <w:r>
        <w:t>最长不能超过24个月。</w:t>
      </w:r>
    </w:p>
    <w:p w14:paraId="18969B53">
      <w:pPr>
        <w:bidi w:val="0"/>
      </w:pPr>
      <w:r>
        <w:rPr>
          <w:rFonts w:hint="eastAsia"/>
        </w:rPr>
        <w:t>由他人原因造成的缺陷，发包人负责组织维修，承包人不承担费用，且发包人不得从保证金中扣除费用。</w:t>
      </w:r>
    </w:p>
    <w:p w14:paraId="28C46C4D">
      <w:pPr>
        <w:bidi w:val="0"/>
      </w:pPr>
      <w:r>
        <w:t>15.2.3 任何一项缺陷或损坏修复后，经检查证明其影响了工程或工程设备的使用性能，承包人应重新进行合同约定的试验和试运行，试验和试运行的全部费用应由责任方承担。</w:t>
      </w:r>
    </w:p>
    <w:p w14:paraId="6D96AF1B">
      <w:pPr>
        <w:bidi w:val="0"/>
        <w:rPr>
          <w:rFonts w:hint="eastAsia"/>
        </w:rPr>
      </w:pPr>
      <w:r>
        <w:t>15.2.4</w:t>
      </w:r>
      <w:r>
        <w:rPr>
          <w:rFonts w:hint="eastAsia"/>
        </w:rPr>
        <w:t xml:space="preserve"> </w:t>
      </w:r>
      <w:r>
        <w:t>除专用合同条款另有约定外，承包人应于缺陷责任期届满后7天内向发包人发出缺陷责任期</w:t>
      </w:r>
      <w:r>
        <w:rPr>
          <w:rFonts w:hint="eastAsia"/>
        </w:rPr>
        <w:t>届</w:t>
      </w:r>
      <w:r>
        <w:t>满通知，发包人应在</w:t>
      </w:r>
      <w:r>
        <w:rPr>
          <w:rFonts w:hint="eastAsia"/>
        </w:rPr>
        <w:t>收</w:t>
      </w:r>
      <w:r>
        <w:t>到缺陷责任期满通知后14天内核实承包人是否履行缺陷</w:t>
      </w:r>
      <w:r>
        <w:rPr>
          <w:rFonts w:hint="eastAsia"/>
        </w:rPr>
        <w:t>修复</w:t>
      </w:r>
      <w:r>
        <w:t>义务，承包人未能履行缺陷</w:t>
      </w:r>
      <w:r>
        <w:rPr>
          <w:rFonts w:hint="eastAsia"/>
        </w:rPr>
        <w:t>修复</w:t>
      </w:r>
      <w:r>
        <w:t>义务的，发包人有权扣除相应金额的维修费用。发包人应在</w:t>
      </w:r>
      <w:r>
        <w:rPr>
          <w:rFonts w:hint="eastAsia"/>
        </w:rPr>
        <w:t>收到</w:t>
      </w:r>
      <w:r>
        <w:t>缺陷责任期</w:t>
      </w:r>
      <w:r>
        <w:rPr>
          <w:rFonts w:hint="eastAsia"/>
        </w:rPr>
        <w:t>届</w:t>
      </w:r>
      <w:r>
        <w:t>满</w:t>
      </w:r>
      <w:r>
        <w:rPr>
          <w:rFonts w:hint="eastAsia"/>
        </w:rPr>
        <w:t>通知后</w:t>
      </w:r>
      <w:r>
        <w:t>14天内，向承包人颁发缺陷责任期终止证</w:t>
      </w:r>
      <w:r>
        <w:rPr>
          <w:rFonts w:hint="eastAsia"/>
        </w:rPr>
        <w:t>书</w:t>
      </w:r>
      <w:r>
        <w:t>。</w:t>
      </w:r>
    </w:p>
    <w:p w14:paraId="30DEBBFD">
      <w:pPr>
        <w:bidi w:val="0"/>
      </w:pPr>
      <w:bookmarkStart w:id="723" w:name="_Toc351203601"/>
      <w:bookmarkStart w:id="724" w:name="_Toc337558818"/>
      <w:bookmarkStart w:id="725" w:name="_Toc296503115"/>
      <w:bookmarkStart w:id="726" w:name="_Toc296346616"/>
      <w:r>
        <w:t>15.3 质量保证金</w:t>
      </w:r>
      <w:bookmarkEnd w:id="723"/>
    </w:p>
    <w:bookmarkEnd w:id="724"/>
    <w:p w14:paraId="7384EE69">
      <w:pPr>
        <w:bidi w:val="0"/>
      </w:pPr>
      <w:r>
        <w:rPr>
          <w:rFonts w:hint="eastAsia"/>
        </w:rPr>
        <w:t>经合同当事人协商一致扣留质量保证金的，应在专用合同条款中予以明确。</w:t>
      </w:r>
    </w:p>
    <w:p w14:paraId="43ED8900">
      <w:pPr>
        <w:bidi w:val="0"/>
        <w:rPr>
          <w:rFonts w:hint="eastAsia"/>
        </w:rPr>
      </w:pPr>
      <w:r>
        <w:rPr>
          <w:rFonts w:hint="eastAsia"/>
        </w:rPr>
        <w:t>在工程项目竣工前，承包人已经提供履约担保的，发包人不得同时预留工程质量保证金。</w:t>
      </w:r>
    </w:p>
    <w:p w14:paraId="569278FC">
      <w:pPr>
        <w:bidi w:val="0"/>
      </w:pPr>
      <w:r>
        <w:t xml:space="preserve">15.3.1 </w:t>
      </w:r>
      <w:r>
        <w:rPr>
          <w:rFonts w:hint="eastAsia"/>
        </w:rPr>
        <w:t>承包人提供</w:t>
      </w:r>
      <w:r>
        <w:t>质量保证金的</w:t>
      </w:r>
      <w:r>
        <w:rPr>
          <w:rFonts w:hint="eastAsia"/>
        </w:rPr>
        <w:t>方</w:t>
      </w:r>
      <w:r>
        <w:t>式</w:t>
      </w:r>
    </w:p>
    <w:p w14:paraId="1D20E34F">
      <w:pPr>
        <w:bidi w:val="0"/>
      </w:pPr>
      <w:r>
        <w:rPr>
          <w:rFonts w:hint="eastAsia"/>
        </w:rPr>
        <w:t>承包人提供</w:t>
      </w:r>
      <w:r>
        <w:t>质量保证金</w:t>
      </w:r>
      <w:r>
        <w:rPr>
          <w:rFonts w:hint="eastAsia"/>
        </w:rPr>
        <w:t>有</w:t>
      </w:r>
      <w:r>
        <w:t>以下</w:t>
      </w:r>
      <w:r>
        <w:rPr>
          <w:rFonts w:hint="eastAsia"/>
        </w:rPr>
        <w:t>三种方</w:t>
      </w:r>
      <w:r>
        <w:t>式：</w:t>
      </w:r>
    </w:p>
    <w:p w14:paraId="7EDAB5A1">
      <w:pPr>
        <w:bidi w:val="0"/>
      </w:pPr>
      <w:r>
        <w:t xml:space="preserve">（1）质量保证金保函； </w:t>
      </w:r>
    </w:p>
    <w:p w14:paraId="2D1E9A66">
      <w:pPr>
        <w:bidi w:val="0"/>
      </w:pPr>
      <w:r>
        <w:rPr>
          <w:rFonts w:hint="eastAsia"/>
        </w:rPr>
        <w:t>（</w:t>
      </w:r>
      <w:r>
        <w:t>2）相应比例的工程款；</w:t>
      </w:r>
    </w:p>
    <w:p w14:paraId="17C64FB2">
      <w:pPr>
        <w:bidi w:val="0"/>
      </w:pPr>
      <w:r>
        <w:t>（3）双方约定的其他</w:t>
      </w:r>
      <w:r>
        <w:rPr>
          <w:rFonts w:hint="eastAsia"/>
        </w:rPr>
        <w:t>方</w:t>
      </w:r>
      <w:r>
        <w:t>式。</w:t>
      </w:r>
    </w:p>
    <w:p w14:paraId="0BC9125B">
      <w:pPr>
        <w:bidi w:val="0"/>
      </w:pPr>
      <w:r>
        <w:t>除专用合同条款另有约定外，质量保证金</w:t>
      </w:r>
      <w:r>
        <w:rPr>
          <w:rFonts w:hint="eastAsia"/>
        </w:rPr>
        <w:t>原则上</w:t>
      </w:r>
      <w:r>
        <w:t>采</w:t>
      </w:r>
      <w:r>
        <w:rPr>
          <w:rFonts w:hint="eastAsia"/>
        </w:rPr>
        <w:t>用上述</w:t>
      </w:r>
      <w:r>
        <w:t>第（1）种</w:t>
      </w:r>
      <w:r>
        <w:rPr>
          <w:rFonts w:hint="eastAsia"/>
        </w:rPr>
        <w:t>方式。</w:t>
      </w:r>
    </w:p>
    <w:p w14:paraId="11E1D3F5">
      <w:pPr>
        <w:bidi w:val="0"/>
      </w:pPr>
      <w:r>
        <w:t>15.3.2 质量保证金的扣留</w:t>
      </w:r>
    </w:p>
    <w:p w14:paraId="5A289AAC">
      <w:pPr>
        <w:bidi w:val="0"/>
      </w:pPr>
      <w:r>
        <w:t>质量保证金</w:t>
      </w:r>
      <w:r>
        <w:rPr>
          <w:rFonts w:hint="eastAsia"/>
        </w:rPr>
        <w:t>的</w:t>
      </w:r>
      <w:r>
        <w:t>扣留</w:t>
      </w:r>
      <w:r>
        <w:rPr>
          <w:rFonts w:hint="eastAsia"/>
        </w:rPr>
        <w:t>有</w:t>
      </w:r>
      <w:r>
        <w:t>以下</w:t>
      </w:r>
      <w:r>
        <w:rPr>
          <w:rFonts w:hint="eastAsia"/>
        </w:rPr>
        <w:t>三</w:t>
      </w:r>
      <w:r>
        <w:t>种</w:t>
      </w:r>
      <w:r>
        <w:rPr>
          <w:rFonts w:hint="eastAsia"/>
        </w:rPr>
        <w:t>方式</w:t>
      </w:r>
      <w:r>
        <w:t>：</w:t>
      </w:r>
    </w:p>
    <w:p w14:paraId="0F3E4013">
      <w:pPr>
        <w:bidi w:val="0"/>
      </w:pPr>
      <w:r>
        <w:t>（1）在支付工程进度款时逐次扣留，在此情形下，质量保证金的计算基数不包括预付款的支付、扣回以及价格调整的金额；</w:t>
      </w:r>
    </w:p>
    <w:p w14:paraId="378CEA39">
      <w:pPr>
        <w:bidi w:val="0"/>
      </w:pPr>
      <w:r>
        <w:t>（2）工</w:t>
      </w:r>
      <w:bookmarkStart w:id="727" w:name="#go6"/>
      <w:bookmarkEnd w:id="727"/>
      <w:r>
        <w:t>程竣工结算时一次性扣留质量保证金；</w:t>
      </w:r>
    </w:p>
    <w:p w14:paraId="6B83ECCE">
      <w:pPr>
        <w:bidi w:val="0"/>
      </w:pPr>
      <w:r>
        <w:t>（3）双方约定的其他扣留方式。</w:t>
      </w:r>
    </w:p>
    <w:p w14:paraId="4F74727A">
      <w:pPr>
        <w:bidi w:val="0"/>
      </w:pPr>
      <w:r>
        <w:t>除专用合同条款另有约定外，质量保证金</w:t>
      </w:r>
      <w:r>
        <w:rPr>
          <w:rFonts w:hint="eastAsia"/>
        </w:rPr>
        <w:t>的</w:t>
      </w:r>
      <w:r>
        <w:t>扣留</w:t>
      </w:r>
      <w:r>
        <w:rPr>
          <w:rFonts w:hint="eastAsia"/>
        </w:rPr>
        <w:t>原则上</w:t>
      </w:r>
      <w:r>
        <w:t>采</w:t>
      </w:r>
      <w:r>
        <w:rPr>
          <w:rFonts w:hint="eastAsia"/>
        </w:rPr>
        <w:t>用上述</w:t>
      </w:r>
      <w:r>
        <w:t>第（1）种方式</w:t>
      </w:r>
      <w:r>
        <w:rPr>
          <w:rFonts w:hint="eastAsia"/>
        </w:rPr>
        <w:t>。</w:t>
      </w:r>
    </w:p>
    <w:p w14:paraId="22FBCAFD">
      <w:pPr>
        <w:bidi w:val="0"/>
      </w:pPr>
      <w:r>
        <w:t>发</w:t>
      </w:r>
      <w:bookmarkStart w:id="728" w:name="#go4"/>
      <w:bookmarkEnd w:id="728"/>
      <w:r>
        <w:t>包人累计扣留的质量保证金不得超过</w:t>
      </w:r>
      <w:r>
        <w:rPr>
          <w:rFonts w:hint="eastAsia"/>
        </w:rPr>
        <w:t>工程价款结算总额</w:t>
      </w:r>
      <w:r>
        <w:t>的3%</w:t>
      </w:r>
      <w:r>
        <w:rPr>
          <w:rFonts w:hint="eastAsia"/>
        </w:rPr>
        <w:t>。如</w:t>
      </w:r>
      <w:r>
        <w:t>承包人在发包人签发竣工付款证书后28天内提交质量保证金保函，发包人应同时退还扣留的作为质量保证金的工程价款</w:t>
      </w:r>
      <w:r>
        <w:rPr>
          <w:rFonts w:hint="eastAsia"/>
        </w:rPr>
        <w:t>；保函金额不得超过工程价款结算总额的3%</w:t>
      </w:r>
      <w:r>
        <w:t>。</w:t>
      </w:r>
    </w:p>
    <w:p w14:paraId="1B82560C">
      <w:pPr>
        <w:bidi w:val="0"/>
      </w:pPr>
      <w:r>
        <w:rPr>
          <w:rFonts w:hint="eastAsia"/>
        </w:rPr>
        <w:t>发包人在退还质量保证金的同时</w:t>
      </w:r>
      <w:r>
        <w:t>按照中国人民银行发布的同期同类贷款基准利率支付</w:t>
      </w:r>
      <w:r>
        <w:rPr>
          <w:rFonts w:hint="eastAsia"/>
        </w:rPr>
        <w:t>利息。</w:t>
      </w:r>
    </w:p>
    <w:p w14:paraId="1B3BB2A1">
      <w:pPr>
        <w:bidi w:val="0"/>
      </w:pPr>
      <w:r>
        <w:t>15.3.3 质量保证金的退还</w:t>
      </w:r>
    </w:p>
    <w:p w14:paraId="159FD549">
      <w:pPr>
        <w:bidi w:val="0"/>
      </w:pPr>
      <w:r>
        <w:rPr>
          <w:rFonts w:hint="eastAsia"/>
        </w:rPr>
        <w:t>缺陷责任期内，承包人认真履行合同约定的责任，到期后，承包人可向发包人申请返还保证金。</w:t>
      </w:r>
    </w:p>
    <w:p w14:paraId="4E0F0634">
      <w:pPr>
        <w:bidi w:val="0"/>
      </w:pPr>
      <w:r>
        <w:rPr>
          <w:rFonts w:hint="eastAsia"/>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0C02C7C">
      <w:pPr>
        <w:bidi w:val="0"/>
      </w:pPr>
      <w:r>
        <w:rPr>
          <w:rFonts w:hint="eastAsia"/>
        </w:rPr>
        <w:t>发包人和承包人对保证金预留、返还以及工程维修质量、费用有争议的，按本合同第20条约定的争议和纠纷解决程序处理</w:t>
      </w:r>
      <w:r>
        <w:t>。</w:t>
      </w:r>
    </w:p>
    <w:p w14:paraId="1FBE29AD">
      <w:pPr>
        <w:bidi w:val="0"/>
      </w:pPr>
      <w:bookmarkStart w:id="729" w:name="_Toc351203602"/>
      <w:bookmarkStart w:id="730" w:name="_Toc337558819"/>
      <w:r>
        <w:t>15.4 保修</w:t>
      </w:r>
      <w:bookmarkEnd w:id="729"/>
    </w:p>
    <w:bookmarkEnd w:id="725"/>
    <w:bookmarkEnd w:id="726"/>
    <w:bookmarkEnd w:id="730"/>
    <w:p w14:paraId="4902EE6E">
      <w:pPr>
        <w:bidi w:val="0"/>
      </w:pPr>
      <w:r>
        <w:t>15.4.1保修责任</w:t>
      </w:r>
    </w:p>
    <w:p w14:paraId="545B1004">
      <w:pPr>
        <w:bidi w:val="0"/>
      </w:pPr>
      <w: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90E0273">
      <w:pPr>
        <w:bidi w:val="0"/>
      </w:pPr>
      <w:r>
        <w:t>发包人未经竣工验收擅自使用工程的，保修期自转移占有之日起算。</w:t>
      </w:r>
    </w:p>
    <w:p w14:paraId="23986CFA">
      <w:pPr>
        <w:bidi w:val="0"/>
      </w:pPr>
      <w:r>
        <w:t>15.4.2 修复费用</w:t>
      </w:r>
    </w:p>
    <w:p w14:paraId="0CBB24F7">
      <w:pPr>
        <w:bidi w:val="0"/>
      </w:pPr>
      <w:r>
        <w:t>保修期内，修复的费用按照以下约定处理：</w:t>
      </w:r>
    </w:p>
    <w:p w14:paraId="642CC5EE">
      <w:pPr>
        <w:bidi w:val="0"/>
      </w:pPr>
      <w:r>
        <w:t>（1）保修期内，因承包人原因造成工程的缺陷、损坏，承包人应负责修复，并承担修复的费用以及因工程的缺陷、损坏造成的人身伤害和财产损失；</w:t>
      </w:r>
    </w:p>
    <w:p w14:paraId="243BE501">
      <w:pPr>
        <w:bidi w:val="0"/>
      </w:pPr>
      <w:r>
        <w:t>（2）保修期内，因发包人使用不当造成工程的缺陷、损坏，可以委托承包人修复，但发包人应承担修复的费用，并支付承包人合理利润；</w:t>
      </w:r>
    </w:p>
    <w:p w14:paraId="7DFC9AF9">
      <w:pPr>
        <w:bidi w:val="0"/>
      </w:pPr>
      <w:r>
        <w:t>（3）因其他原因造成工程的缺陷、损坏，可以委托承包人修复，发包人应承担修复的费用，并支付承包人合理的利润，因工程的缺陷、损坏造成的人身伤害和财产损失由责任方承担。</w:t>
      </w:r>
    </w:p>
    <w:p w14:paraId="77A4C3BA">
      <w:pPr>
        <w:bidi w:val="0"/>
      </w:pPr>
      <w:r>
        <w:t>15.4.3 修复通知</w:t>
      </w:r>
    </w:p>
    <w:p w14:paraId="163A127B">
      <w:pPr>
        <w:bidi w:val="0"/>
        <w:rPr>
          <w:rFonts w:hint="eastAsia"/>
        </w:rPr>
      </w:pPr>
      <w: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695AC5FB">
      <w:pPr>
        <w:bidi w:val="0"/>
      </w:pPr>
      <w:r>
        <w:t>15.4.4 未能修复</w:t>
      </w:r>
    </w:p>
    <w:p w14:paraId="4A319A29">
      <w:pPr>
        <w:bidi w:val="0"/>
      </w:pPr>
      <w:r>
        <w:t>因承包人原因造成工程的缺陷或损坏，承包人拒绝维修或未能在合理期限内修复缺陷或损坏，且经发包人书面催告后仍未修复的，发包人有权自行修复或委托第三方修复，所需费用由承包人承担。</w:t>
      </w:r>
      <w:r>
        <w:rPr>
          <w:rFonts w:hint="eastAsia"/>
        </w:rPr>
        <w:t>但修复范围超出缺陷或损坏范围的，超出范围部分的修复费用由发包人承担。</w:t>
      </w:r>
    </w:p>
    <w:p w14:paraId="177FCA97">
      <w:pPr>
        <w:bidi w:val="0"/>
      </w:pPr>
      <w:r>
        <w:t>15.4.5 承包人出入权</w:t>
      </w:r>
    </w:p>
    <w:p w14:paraId="05EA6404">
      <w:pPr>
        <w:bidi w:val="0"/>
      </w:pPr>
      <w: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E5F42E1">
      <w:pPr>
        <w:pStyle w:val="66"/>
        <w:bidi w:val="0"/>
      </w:pPr>
      <w:bookmarkStart w:id="731" w:name="_Toc351203603"/>
      <w:bookmarkStart w:id="732" w:name="_Toc337558820"/>
      <w:r>
        <w:t>16. 违约</w:t>
      </w:r>
      <w:bookmarkEnd w:id="731"/>
    </w:p>
    <w:bookmarkEnd w:id="732"/>
    <w:p w14:paraId="326FA6EA">
      <w:pPr>
        <w:bidi w:val="0"/>
      </w:pPr>
      <w:bookmarkStart w:id="733" w:name="_Toc296503129"/>
      <w:bookmarkStart w:id="734" w:name="_Toc296346630"/>
      <w:bookmarkStart w:id="735" w:name="_Toc351203604"/>
      <w:bookmarkStart w:id="736" w:name="_Toc337558821"/>
      <w:r>
        <w:t>16.1 发</w:t>
      </w:r>
      <w:bookmarkEnd w:id="733"/>
      <w:bookmarkEnd w:id="734"/>
      <w:r>
        <w:t>包人违约</w:t>
      </w:r>
      <w:bookmarkEnd w:id="735"/>
    </w:p>
    <w:bookmarkEnd w:id="736"/>
    <w:p w14:paraId="52F2BA88">
      <w:pPr>
        <w:bidi w:val="0"/>
      </w:pPr>
      <w:r>
        <w:t>16.1.1 发包人违约的情形</w:t>
      </w:r>
    </w:p>
    <w:p w14:paraId="6A7B1CC1">
      <w:pPr>
        <w:bidi w:val="0"/>
      </w:pPr>
      <w:r>
        <w:t>在合同履行过程中发生的下列情形，属于发包人违约：</w:t>
      </w:r>
    </w:p>
    <w:p w14:paraId="1FFBF5CA">
      <w:pPr>
        <w:bidi w:val="0"/>
      </w:pPr>
      <w:r>
        <w:t>（1）因发包人原因未能在计划开工日期前7天内下达开工通知的；</w:t>
      </w:r>
    </w:p>
    <w:p w14:paraId="78EAB3B0">
      <w:pPr>
        <w:bidi w:val="0"/>
      </w:pPr>
      <w:r>
        <w:t>（2）因发包人原因未能按合同约定支付合同价款的；</w:t>
      </w:r>
    </w:p>
    <w:p w14:paraId="5633D3E2">
      <w:pPr>
        <w:bidi w:val="0"/>
      </w:pPr>
      <w:r>
        <w:t>（3）发包人违反第10.1款</w:t>
      </w:r>
      <w:r>
        <w:rPr>
          <w:rFonts w:hint="eastAsia"/>
        </w:rPr>
        <w:t>〔</w:t>
      </w:r>
      <w:r>
        <w:t>变更的范围</w:t>
      </w:r>
      <w:r>
        <w:rPr>
          <w:rFonts w:hint="eastAsia"/>
        </w:rPr>
        <w:t>〕</w:t>
      </w:r>
      <w:r>
        <w:t>第（2）项约定，自行实施被取消的工作或转由他人实施的；</w:t>
      </w:r>
    </w:p>
    <w:p w14:paraId="41F9EB45">
      <w:pPr>
        <w:bidi w:val="0"/>
      </w:pPr>
      <w:r>
        <w:t>（4）发包人提供的材料、工程设备的规格、数量或质量不符合合同约定，或因发包人原因导致交货日期延误或交货地点变更等情况的；</w:t>
      </w:r>
    </w:p>
    <w:p w14:paraId="19EE100E">
      <w:pPr>
        <w:bidi w:val="0"/>
      </w:pPr>
      <w:r>
        <w:t>（5）因发包人违反合同约定造成暂停施工的；</w:t>
      </w:r>
    </w:p>
    <w:p w14:paraId="7CC81AB1">
      <w:pPr>
        <w:bidi w:val="0"/>
      </w:pPr>
      <w:r>
        <w:t>（6）发包人无正当理由没有在约定期限内发出复工指示，导致承包人无法复工的；</w:t>
      </w:r>
    </w:p>
    <w:p w14:paraId="3619AEE9">
      <w:pPr>
        <w:bidi w:val="0"/>
      </w:pPr>
      <w:r>
        <w:t>（7）发包人明确表示或者以其行为表明不履行合同主要义务的；</w:t>
      </w:r>
    </w:p>
    <w:p w14:paraId="23C98946">
      <w:pPr>
        <w:bidi w:val="0"/>
      </w:pPr>
      <w:r>
        <w:t>（8）发包人未能按照合同约定履行其他义务的。</w:t>
      </w:r>
    </w:p>
    <w:p w14:paraId="4717CE8E">
      <w:pPr>
        <w:bidi w:val="0"/>
      </w:pPr>
      <w: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6823E559">
      <w:pPr>
        <w:bidi w:val="0"/>
      </w:pPr>
      <w:r>
        <w:t>16.1.2 发包人违约的责任</w:t>
      </w:r>
    </w:p>
    <w:p w14:paraId="590411AD">
      <w:pPr>
        <w:bidi w:val="0"/>
        <w:rPr>
          <w:rFonts w:hint="eastAsia"/>
        </w:rPr>
      </w:pPr>
      <w:r>
        <w:t>发包人应承担因其违约给承包人增加的费用和（或）延误的工期，并支付承包人合理的利润。此外，合同当事人可在专用合同条款中另行约定发包人违约责任的承担方式和计算方法。</w:t>
      </w:r>
    </w:p>
    <w:p w14:paraId="07DFEA1A">
      <w:pPr>
        <w:bidi w:val="0"/>
      </w:pPr>
      <w:r>
        <w:t>16.1.3 因发包人违约解除合同</w:t>
      </w:r>
    </w:p>
    <w:p w14:paraId="21ED1CDD">
      <w:pPr>
        <w:bidi w:val="0"/>
      </w:pPr>
      <w:r>
        <w:t>除专用合同条款另有约定外，承包人按第16.1.1项</w:t>
      </w:r>
      <w:r>
        <w:rPr>
          <w:rFonts w:hint="eastAsia"/>
        </w:rPr>
        <w:t>〔</w:t>
      </w:r>
      <w:r>
        <w:t>发包人违约的情形</w:t>
      </w:r>
      <w:r>
        <w:rPr>
          <w:rFonts w:hint="eastAsia"/>
        </w:rPr>
        <w:t>〕</w:t>
      </w:r>
      <w:r>
        <w:t>约定暂停施工满28天后</w:t>
      </w:r>
      <w:r>
        <w:rPr>
          <w:rFonts w:hint="eastAsia"/>
        </w:rPr>
        <w:t>，</w:t>
      </w:r>
      <w:r>
        <w:t>发包人仍不纠正其违约行为并致使合同目的不能实现的，</w:t>
      </w:r>
      <w:r>
        <w:rPr>
          <w:rFonts w:hint="eastAsia"/>
        </w:rPr>
        <w:t>或</w:t>
      </w:r>
      <w:r>
        <w:t>出现第16.1.1项</w:t>
      </w:r>
      <w:r>
        <w:rPr>
          <w:rFonts w:hint="eastAsia"/>
        </w:rPr>
        <w:t>〔</w:t>
      </w:r>
      <w:r>
        <w:t>发包人违约的情形</w:t>
      </w:r>
      <w:r>
        <w:rPr>
          <w:rFonts w:hint="eastAsia"/>
        </w:rPr>
        <w:t>〕</w:t>
      </w:r>
      <w:r>
        <w:t>第（7）目约定的违约情况，承包人有权解除合同，发包人应承担由此增加的费用，并支付承包人合理的利润。</w:t>
      </w:r>
    </w:p>
    <w:p w14:paraId="58C1E672">
      <w:pPr>
        <w:bidi w:val="0"/>
      </w:pPr>
      <w:r>
        <w:t>16.1.4 因发包人违约解除合同后的付款</w:t>
      </w:r>
    </w:p>
    <w:p w14:paraId="6BD336DE">
      <w:pPr>
        <w:bidi w:val="0"/>
      </w:pPr>
      <w:r>
        <w:t>承包人按照本款约定解除合同的，发包人应在解除合同后28天内支付下列款项，并解除履约担保：</w:t>
      </w:r>
    </w:p>
    <w:p w14:paraId="491594DD">
      <w:pPr>
        <w:bidi w:val="0"/>
      </w:pPr>
      <w:r>
        <w:t>（1）合同解除前所完成工作的价款；</w:t>
      </w:r>
    </w:p>
    <w:p w14:paraId="57A2FAE5">
      <w:pPr>
        <w:bidi w:val="0"/>
      </w:pPr>
      <w:r>
        <w:t>（2）承包人为工程施工订购并已付款的材料、工程设备和其他物品的价款；</w:t>
      </w:r>
    </w:p>
    <w:p w14:paraId="6C6DC16B">
      <w:pPr>
        <w:bidi w:val="0"/>
      </w:pPr>
      <w:r>
        <w:t>（3）承包人撤离施工现场以及遣散承包人人员的款项；</w:t>
      </w:r>
    </w:p>
    <w:p w14:paraId="666F085E">
      <w:pPr>
        <w:bidi w:val="0"/>
      </w:pPr>
      <w:r>
        <w:t>（4）按照合同约定在合同解除前应支付的违约金；</w:t>
      </w:r>
    </w:p>
    <w:p w14:paraId="07919EDE">
      <w:pPr>
        <w:bidi w:val="0"/>
      </w:pPr>
      <w:r>
        <w:t>（5）按照合同约定应当支付给承包人的其他款项；</w:t>
      </w:r>
    </w:p>
    <w:p w14:paraId="04012DF5">
      <w:pPr>
        <w:bidi w:val="0"/>
      </w:pPr>
      <w:r>
        <w:t>（6）按照合同约定应退还的质量保证金；</w:t>
      </w:r>
    </w:p>
    <w:p w14:paraId="0F3CB3AC">
      <w:pPr>
        <w:bidi w:val="0"/>
      </w:pPr>
      <w:r>
        <w:t>（7）因解除合同给承包人造成的损失。</w:t>
      </w:r>
    </w:p>
    <w:p w14:paraId="0DFC991A">
      <w:pPr>
        <w:bidi w:val="0"/>
      </w:pPr>
      <w:r>
        <w:t>合同当事人未能就解除合同后的结清达成一致的，按照第20条</w:t>
      </w:r>
      <w:r>
        <w:rPr>
          <w:rFonts w:hint="eastAsia"/>
        </w:rPr>
        <w:t>〔</w:t>
      </w:r>
      <w:r>
        <w:t>争议解决</w:t>
      </w:r>
      <w:r>
        <w:rPr>
          <w:rFonts w:hint="eastAsia"/>
        </w:rPr>
        <w:t>〕</w:t>
      </w:r>
      <w:r>
        <w:t>的约定处理。</w:t>
      </w:r>
    </w:p>
    <w:p w14:paraId="550AA289">
      <w:pPr>
        <w:bidi w:val="0"/>
      </w:pPr>
      <w:r>
        <w:t>承包人应妥善做好已完工程和与工程有关的已购材料、工程设备的保护和移交工作，并将施工设备和人员撤出施工现场，发包人应为承包人撤出提供必要条件。</w:t>
      </w:r>
    </w:p>
    <w:p w14:paraId="166BDEA7">
      <w:pPr>
        <w:bidi w:val="0"/>
      </w:pPr>
      <w:bookmarkStart w:id="737" w:name="_Toc351203605"/>
      <w:bookmarkStart w:id="738" w:name="_Toc296346632"/>
      <w:bookmarkStart w:id="739" w:name="_Toc337558822"/>
      <w:bookmarkStart w:id="740" w:name="_Toc296503131"/>
      <w:r>
        <w:t>16.2 承包人违约</w:t>
      </w:r>
      <w:bookmarkEnd w:id="737"/>
    </w:p>
    <w:bookmarkEnd w:id="738"/>
    <w:bookmarkEnd w:id="739"/>
    <w:bookmarkEnd w:id="740"/>
    <w:p w14:paraId="2E607C3C">
      <w:pPr>
        <w:bidi w:val="0"/>
      </w:pPr>
      <w:r>
        <w:t>16.2.1 承包人违约的情形</w:t>
      </w:r>
    </w:p>
    <w:p w14:paraId="2002D9CA">
      <w:pPr>
        <w:bidi w:val="0"/>
      </w:pPr>
      <w:r>
        <w:t>在合同履行过程中发生的下列情形，属于承包人违约：</w:t>
      </w:r>
    </w:p>
    <w:p w14:paraId="35AFF901">
      <w:pPr>
        <w:bidi w:val="0"/>
      </w:pPr>
      <w:r>
        <w:t>（1）承包人违反合同约定进行转包或违法分包的；</w:t>
      </w:r>
    </w:p>
    <w:p w14:paraId="26B42E6F">
      <w:pPr>
        <w:bidi w:val="0"/>
      </w:pPr>
      <w:r>
        <w:t>（2）承包人违反合同约定采购和使用不合格的材料和工程设备的；</w:t>
      </w:r>
    </w:p>
    <w:p w14:paraId="2120CE4D">
      <w:pPr>
        <w:bidi w:val="0"/>
      </w:pPr>
      <w:r>
        <w:t xml:space="preserve">（3）因承包人原因导致工程质量不符合合同要求的； </w:t>
      </w:r>
    </w:p>
    <w:p w14:paraId="3F74ADA0">
      <w:pPr>
        <w:bidi w:val="0"/>
      </w:pPr>
      <w:r>
        <w:t>（4）承包人违反第8.9款</w:t>
      </w:r>
      <w:r>
        <w:rPr>
          <w:rFonts w:hint="eastAsia"/>
        </w:rPr>
        <w:t>〔</w:t>
      </w:r>
      <w:r>
        <w:t>材料与设备专用</w:t>
      </w:r>
      <w:r>
        <w:rPr>
          <w:rFonts w:hint="eastAsia"/>
        </w:rPr>
        <w:t>要求〕</w:t>
      </w:r>
      <w:r>
        <w:t>的约定，未经批准，私自将已按照合同约定进入施工现场的材料或设备撤离施工现场的；</w:t>
      </w:r>
    </w:p>
    <w:p w14:paraId="537C5754">
      <w:pPr>
        <w:bidi w:val="0"/>
      </w:pPr>
      <w:r>
        <w:t>（5）承包人未能按施工进度计划及时完成合同约定的工作，造成工期延误的；</w:t>
      </w:r>
    </w:p>
    <w:p w14:paraId="329B899A">
      <w:pPr>
        <w:bidi w:val="0"/>
      </w:pPr>
      <w:r>
        <w:t>（6）承包人在缺陷责任期及保修期内，未能在合理期限对工程缺陷进行修复，或拒绝按发包人要求进行修复的；</w:t>
      </w:r>
    </w:p>
    <w:p w14:paraId="3908B15B">
      <w:pPr>
        <w:bidi w:val="0"/>
      </w:pPr>
      <w:r>
        <w:t>（7）承包人明确表示或者以其行为表明不履行合同主要义务的；</w:t>
      </w:r>
    </w:p>
    <w:p w14:paraId="77B4F8A0">
      <w:pPr>
        <w:bidi w:val="0"/>
      </w:pPr>
      <w:r>
        <w:t>（8）承包人未能按照合同约定履行其他义务的。</w:t>
      </w:r>
    </w:p>
    <w:p w14:paraId="4C1FC6EE">
      <w:pPr>
        <w:bidi w:val="0"/>
      </w:pPr>
      <w:r>
        <w:t>承包人发生除本项第（7）目约定以外的其他违约情况时，监理人可向承包人发出整改通知，要求其在指定的期限内改正。</w:t>
      </w:r>
    </w:p>
    <w:p w14:paraId="76613C10">
      <w:pPr>
        <w:bidi w:val="0"/>
      </w:pPr>
      <w:r>
        <w:t>16.2.2 承包人违约的责任</w:t>
      </w:r>
    </w:p>
    <w:p w14:paraId="5B2B3AAA">
      <w:pPr>
        <w:bidi w:val="0"/>
      </w:pPr>
      <w:r>
        <w:t>承包人应承担因其违约行为而增加的费用</w:t>
      </w:r>
      <w:r>
        <w:rPr>
          <w:rFonts w:hint="eastAsia"/>
        </w:rPr>
        <w:t>和（或）延误的</w:t>
      </w:r>
      <w:r>
        <w:t>工期。此外，合同当事人可在专用合同条款中另行约定承包人违约责任的承担方式和计算方法。</w:t>
      </w:r>
    </w:p>
    <w:p w14:paraId="16C41FD6">
      <w:pPr>
        <w:bidi w:val="0"/>
      </w:pPr>
      <w:r>
        <w:t>16.2.3 因承包人违约解除合同</w:t>
      </w:r>
    </w:p>
    <w:p w14:paraId="06E2AD5F">
      <w:pPr>
        <w:bidi w:val="0"/>
      </w:pPr>
      <w:r>
        <w:t>除专用合同条款另有约定外，出现第16.2.1项</w:t>
      </w:r>
      <w:r>
        <w:rPr>
          <w:rFonts w:hint="eastAsia"/>
        </w:rPr>
        <w:t>〔</w:t>
      </w:r>
      <w:r>
        <w:t>承包人违约的情形</w:t>
      </w:r>
      <w:r>
        <w:rPr>
          <w:rFonts w:hint="eastAsia"/>
        </w:rPr>
        <w:t>〕</w:t>
      </w:r>
      <w:r>
        <w:t>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w:t>
      </w:r>
      <w:r>
        <w:rPr>
          <w:rFonts w:hint="eastAsia"/>
        </w:rPr>
        <w:t>合同当事人应在专用合同条款约定相应费用的承担方式。</w:t>
      </w:r>
      <w:r>
        <w:t>发包人</w:t>
      </w:r>
      <w:r>
        <w:rPr>
          <w:rFonts w:hint="eastAsia"/>
        </w:rPr>
        <w:t>继续使用的</w:t>
      </w:r>
      <w:r>
        <w:t>行为不免除或减轻承包人应承担的违约责任。</w:t>
      </w:r>
    </w:p>
    <w:p w14:paraId="6B50EAAF">
      <w:pPr>
        <w:bidi w:val="0"/>
      </w:pPr>
      <w:r>
        <w:t>16.2.4因承包人违约解除合同后的处理</w:t>
      </w:r>
    </w:p>
    <w:p w14:paraId="3922A5C7">
      <w:pPr>
        <w:bidi w:val="0"/>
      </w:pPr>
      <w:r>
        <w:t>因承包人原因导致合同解除的，则合同当事人应在合同解除后28天内完成估价、付款和清算，并按以下约定执行：</w:t>
      </w:r>
    </w:p>
    <w:p w14:paraId="77714DD4">
      <w:pPr>
        <w:bidi w:val="0"/>
      </w:pPr>
      <w:r>
        <w:t>（1）合同解除后，按第4.4款</w:t>
      </w:r>
      <w:r>
        <w:rPr>
          <w:rFonts w:hint="eastAsia"/>
        </w:rPr>
        <w:t>〔</w:t>
      </w:r>
      <w:r>
        <w:t>商定或确定</w:t>
      </w:r>
      <w:r>
        <w:rPr>
          <w:rFonts w:hint="eastAsia"/>
        </w:rPr>
        <w:t>〕</w:t>
      </w:r>
      <w:r>
        <w:t>商定或确定承包人实际完成工作对应的合同价款，以及承包人已提供的材料、工程设备、施工设备和临时工程等的价值；</w:t>
      </w:r>
    </w:p>
    <w:p w14:paraId="4F0DEC31">
      <w:pPr>
        <w:bidi w:val="0"/>
      </w:pPr>
      <w:r>
        <w:t>（2）合同解除后，承包人应支付的违约金；</w:t>
      </w:r>
    </w:p>
    <w:p w14:paraId="0A523F48">
      <w:pPr>
        <w:bidi w:val="0"/>
      </w:pPr>
      <w:r>
        <w:t>（3）合同解除后，因解除合同给发包人造成的损失；</w:t>
      </w:r>
    </w:p>
    <w:p w14:paraId="126289A7">
      <w:pPr>
        <w:bidi w:val="0"/>
      </w:pPr>
      <w:r>
        <w:t>（4）合同解除后，承包人应按照发包人要求和监理人的指示完成现场的清理和撤离；</w:t>
      </w:r>
    </w:p>
    <w:p w14:paraId="79661D98">
      <w:pPr>
        <w:bidi w:val="0"/>
      </w:pPr>
      <w:r>
        <w:t>（5）发包人和承包人应在合同解除后进行清算，出具最终结清付款证书，结清全部款项。</w:t>
      </w:r>
    </w:p>
    <w:p w14:paraId="203D3B19">
      <w:pPr>
        <w:bidi w:val="0"/>
      </w:pPr>
      <w:r>
        <w:rPr>
          <w:rFonts w:hint="eastAsia"/>
        </w:rPr>
        <w:t>因承包人违约解除合同的，</w:t>
      </w:r>
      <w:r>
        <w:t>发包人有权暂停对承包人的付款，查清各项付款和已扣款项。发包人和承包人未能就合同解除后的清算和款项支付达成一致的，按照第20条</w:t>
      </w:r>
      <w:r>
        <w:rPr>
          <w:rFonts w:hint="eastAsia"/>
        </w:rPr>
        <w:t>〔</w:t>
      </w:r>
      <w:r>
        <w:t>争议解决</w:t>
      </w:r>
      <w:r>
        <w:rPr>
          <w:rFonts w:hint="eastAsia"/>
        </w:rPr>
        <w:t>〕</w:t>
      </w:r>
      <w:r>
        <w:t>的约定处理。</w:t>
      </w:r>
    </w:p>
    <w:p w14:paraId="5EC413C9">
      <w:pPr>
        <w:bidi w:val="0"/>
      </w:pPr>
      <w:r>
        <w:t>16.2.5采购合同权益转让</w:t>
      </w:r>
    </w:p>
    <w:p w14:paraId="668EA860">
      <w:pPr>
        <w:bidi w:val="0"/>
      </w:pPr>
      <w: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2114213A">
      <w:pPr>
        <w:bidi w:val="0"/>
      </w:pPr>
      <w:bookmarkStart w:id="741" w:name="_Toc351203606"/>
      <w:r>
        <w:t>16.3 第三人造成的违约</w:t>
      </w:r>
      <w:bookmarkEnd w:id="741"/>
    </w:p>
    <w:p w14:paraId="07EA5028">
      <w:pPr>
        <w:bidi w:val="0"/>
      </w:pPr>
      <w:r>
        <w:t>在履行合同过程中，一方当事人因第三人的原因造成违约的，应当向对方当事人承担违约责任。一方当事人和第三人之间的纠纷，依照法律规定或者按照约定解决。</w:t>
      </w:r>
    </w:p>
    <w:p w14:paraId="04240968">
      <w:pPr>
        <w:pStyle w:val="66"/>
        <w:bidi w:val="0"/>
      </w:pPr>
      <w:bookmarkStart w:id="742" w:name="_Toc296503116"/>
      <w:bookmarkStart w:id="743" w:name="_Toc296346617"/>
      <w:bookmarkStart w:id="744" w:name="_Toc337558823"/>
      <w:bookmarkStart w:id="745" w:name="_Toc351203607"/>
      <w:r>
        <w:t>17. 不可抗力</w:t>
      </w:r>
      <w:bookmarkEnd w:id="742"/>
      <w:bookmarkEnd w:id="743"/>
      <w:bookmarkEnd w:id="744"/>
      <w:bookmarkEnd w:id="745"/>
    </w:p>
    <w:p w14:paraId="405E0415">
      <w:pPr>
        <w:bidi w:val="0"/>
      </w:pPr>
      <w:bookmarkStart w:id="746" w:name="_Toc351203608"/>
      <w:bookmarkStart w:id="747" w:name="_Toc337558824"/>
      <w:bookmarkStart w:id="748" w:name="_Toc296346618"/>
      <w:bookmarkStart w:id="749" w:name="_Toc296503117"/>
      <w:r>
        <w:t>17.1 不可抗力的确认</w:t>
      </w:r>
      <w:bookmarkEnd w:id="746"/>
    </w:p>
    <w:bookmarkEnd w:id="747"/>
    <w:bookmarkEnd w:id="748"/>
    <w:bookmarkEnd w:id="749"/>
    <w:p w14:paraId="2A9A309B">
      <w:pPr>
        <w:bidi w:val="0"/>
      </w:pPr>
      <w:r>
        <w:t>不可抗力是指合同当事人在签订合同时不可预见，在合同履行过程中不可避免且不能克服的自然灾害和社会性突发事件，如地震、海啸、瘟疫、骚乱、戒严、暴动、战争和专用合同条款中约定的其他情形。</w:t>
      </w:r>
    </w:p>
    <w:p w14:paraId="5CCB4B1D">
      <w:pPr>
        <w:bidi w:val="0"/>
      </w:pPr>
      <w:r>
        <w:t>不可抗力发生后，发包人和承包人应收集证明不可抗力发生及不可抗力造成损失的证据，并及时认真统计所造成的损失。合同当事人对是否属于不可抗力或其损失的意见不一致的，由监理人按第4.4款</w:t>
      </w:r>
      <w:r>
        <w:rPr>
          <w:rFonts w:hint="eastAsia"/>
        </w:rPr>
        <w:t>〔</w:t>
      </w:r>
      <w:r>
        <w:t>商定或确定</w:t>
      </w:r>
      <w:r>
        <w:rPr>
          <w:rFonts w:hint="eastAsia"/>
        </w:rPr>
        <w:t>〕</w:t>
      </w:r>
      <w:r>
        <w:t>的约定处理。发生争议时，按第20条</w:t>
      </w:r>
      <w:r>
        <w:rPr>
          <w:rFonts w:hint="eastAsia"/>
        </w:rPr>
        <w:t>〔</w:t>
      </w:r>
      <w:r>
        <w:t>争议解决</w:t>
      </w:r>
      <w:r>
        <w:rPr>
          <w:rFonts w:hint="eastAsia"/>
        </w:rPr>
        <w:t>〕</w:t>
      </w:r>
      <w:r>
        <w:t>的约定处理。</w:t>
      </w:r>
    </w:p>
    <w:p w14:paraId="539C2D03">
      <w:pPr>
        <w:bidi w:val="0"/>
      </w:pPr>
      <w:bookmarkStart w:id="750" w:name="_Toc351203609"/>
      <w:bookmarkStart w:id="751" w:name="_Toc337558825"/>
      <w:bookmarkStart w:id="752" w:name="_Toc296503118"/>
      <w:bookmarkStart w:id="753" w:name="_Toc296346619"/>
      <w:r>
        <w:t>17.2 不可抗力的通知</w:t>
      </w:r>
      <w:bookmarkEnd w:id="750"/>
    </w:p>
    <w:bookmarkEnd w:id="751"/>
    <w:bookmarkEnd w:id="752"/>
    <w:bookmarkEnd w:id="753"/>
    <w:p w14:paraId="094B96A0">
      <w:pPr>
        <w:bidi w:val="0"/>
      </w:pPr>
      <w:r>
        <w:rPr>
          <w:rFonts w:hint="eastAsia"/>
        </w:rPr>
        <w:t>合同</w:t>
      </w:r>
      <w:r>
        <w:t>一方当事人遇到不可抗力事件，使其履行合同义务受到阻碍时，应立即通知合同另一方当事人和监理人，书面说明不可抗力和受阻碍的详细情况，并提供必要的证明。</w:t>
      </w:r>
    </w:p>
    <w:p w14:paraId="10DAD718">
      <w:pPr>
        <w:bidi w:val="0"/>
      </w:pPr>
      <w:r>
        <w:t>不可抗力持续发生的，合同一方当事人应及时向合同另一方当事人和监理人提交中间报告，说明不可抗力和履行合同受阻的情况，并于不可抗力事件结束后28天内提交最终报告及有关资料。</w:t>
      </w:r>
    </w:p>
    <w:p w14:paraId="68D0763D">
      <w:pPr>
        <w:bidi w:val="0"/>
      </w:pPr>
      <w:bookmarkStart w:id="754" w:name="_Toc351203610"/>
      <w:bookmarkStart w:id="755" w:name="_Toc337558826"/>
      <w:bookmarkStart w:id="756" w:name="_Toc296346620"/>
      <w:bookmarkStart w:id="757" w:name="_Toc296503119"/>
      <w:r>
        <w:t>17.3 不可抗力后果的承担</w:t>
      </w:r>
      <w:bookmarkEnd w:id="754"/>
    </w:p>
    <w:bookmarkEnd w:id="755"/>
    <w:bookmarkEnd w:id="756"/>
    <w:bookmarkEnd w:id="757"/>
    <w:p w14:paraId="70055D96">
      <w:pPr>
        <w:bidi w:val="0"/>
      </w:pPr>
      <w:r>
        <w:t xml:space="preserve">17.3.1 </w:t>
      </w:r>
      <w:r>
        <w:rPr>
          <w:rFonts w:hint="eastAsia"/>
        </w:rPr>
        <w:t>不可抗力引起的后果及造成的损失由合同当事人按照法律规定及合同约定各自承担。</w:t>
      </w:r>
      <w:r>
        <w:t>不可抗力发生前已完</w:t>
      </w:r>
      <w:r>
        <w:rPr>
          <w:rFonts w:hint="eastAsia"/>
        </w:rPr>
        <w:t>成的</w:t>
      </w:r>
      <w:r>
        <w:t>工程应当按照合同约定进行计量</w:t>
      </w:r>
      <w:r>
        <w:rPr>
          <w:rFonts w:hint="eastAsia"/>
        </w:rPr>
        <w:t>支付</w:t>
      </w:r>
      <w:r>
        <w:t>。</w:t>
      </w:r>
    </w:p>
    <w:p w14:paraId="42CA39AB">
      <w:pPr>
        <w:bidi w:val="0"/>
      </w:pPr>
      <w:r>
        <w:t>17.3.2 不可抗力导致的人员伤亡、财产损失、费用增加和（或）工期延误等后果，由合同当事人按以下原则承担：</w:t>
      </w:r>
    </w:p>
    <w:p w14:paraId="7F75A0F8">
      <w:pPr>
        <w:bidi w:val="0"/>
      </w:pPr>
      <w:r>
        <w:t>（1）永久工程、已运至施工现场的材料和工程设备的损坏，以及因工程损坏造成的第三人人员伤亡和财产损失由发包人承担；</w:t>
      </w:r>
    </w:p>
    <w:p w14:paraId="73F9D9F3">
      <w:pPr>
        <w:bidi w:val="0"/>
      </w:pPr>
      <w:r>
        <w:t>（2）承包人施工设备的损坏由承包人承担；</w:t>
      </w:r>
    </w:p>
    <w:p w14:paraId="11ACF452">
      <w:pPr>
        <w:bidi w:val="0"/>
      </w:pPr>
      <w:r>
        <w:t>（3）发包人和承包人承担各自人员伤亡和财产的损失；</w:t>
      </w:r>
    </w:p>
    <w:p w14:paraId="39116CD5">
      <w:pPr>
        <w:bidi w:val="0"/>
      </w:pPr>
      <w:r>
        <w:t>（4）因不可抗力影响承包人履行合同约定的义务，已经引起或将引起工期延误的，应当顺延工期，由此导致承包人停工的费用损失由发包人和承包人合理分担，停工期间必须支付的工人工资由发包人承担；</w:t>
      </w:r>
    </w:p>
    <w:p w14:paraId="16532521">
      <w:pPr>
        <w:bidi w:val="0"/>
      </w:pPr>
      <w:r>
        <w:t>（5）因不可抗力引起或将引起工期延误，发包人要求赶工的，由此增加的赶工费用由发包人承担；</w:t>
      </w:r>
    </w:p>
    <w:p w14:paraId="5F60422F">
      <w:pPr>
        <w:bidi w:val="0"/>
      </w:pPr>
      <w:r>
        <w:t>（6）承包人在停工期间按照发包人要求照管、清理和修复工程的费用由发包人承担。</w:t>
      </w:r>
    </w:p>
    <w:p w14:paraId="353FBC22">
      <w:pPr>
        <w:bidi w:val="0"/>
      </w:pPr>
      <w:r>
        <w:t>不可抗力发生后，合同当事人均应采取措施尽量避免和减少损失的扩大，任何一方当事人没有采取有效措施导致损失扩大的，应对扩大的损失承担责任。</w:t>
      </w:r>
    </w:p>
    <w:p w14:paraId="7335F661">
      <w:pPr>
        <w:bidi w:val="0"/>
      </w:pPr>
      <w:r>
        <w:t>因合同一方迟延履行合同义务，在迟延履行期间遭遇不可抗力的，不免除其违约责任。</w:t>
      </w:r>
    </w:p>
    <w:p w14:paraId="65BDA3A9">
      <w:pPr>
        <w:bidi w:val="0"/>
      </w:pPr>
      <w:bookmarkStart w:id="758" w:name="_Toc351203611"/>
      <w:bookmarkStart w:id="759" w:name="_Toc337558827"/>
      <w:r>
        <w:t>17.4 因不可抗力解除合同</w:t>
      </w:r>
      <w:bookmarkEnd w:id="758"/>
    </w:p>
    <w:bookmarkEnd w:id="759"/>
    <w:p w14:paraId="4F4AB76A">
      <w:pPr>
        <w:bidi w:val="0"/>
      </w:pPr>
      <w:r>
        <w:t>因不可抗力导致合同无法履行连续超过84天或累计超过140天的，发包人和承包人均有权解除合同。合同解除后，由双方当事人按照第4.4款</w:t>
      </w:r>
      <w:r>
        <w:rPr>
          <w:rFonts w:hint="eastAsia"/>
        </w:rPr>
        <w:t>〔</w:t>
      </w:r>
      <w:r>
        <w:t>商定或确定</w:t>
      </w:r>
      <w:r>
        <w:rPr>
          <w:rFonts w:hint="eastAsia"/>
        </w:rPr>
        <w:t>〕</w:t>
      </w:r>
      <w:r>
        <w:t>商定或确定发包人应支付的款项，该款项包括：</w:t>
      </w:r>
    </w:p>
    <w:p w14:paraId="362F858A">
      <w:pPr>
        <w:bidi w:val="0"/>
      </w:pPr>
      <w:r>
        <w:t>（1）合同解除前承包人已完成工作的价款；</w:t>
      </w:r>
    </w:p>
    <w:p w14:paraId="6771D3E3">
      <w:pPr>
        <w:bidi w:val="0"/>
      </w:pPr>
      <w:r>
        <w:t>（2）承包人为工程订购的并已交付给承包人，或承包人有责任接受交付的材料、工程设备和其他物品的价款；</w:t>
      </w:r>
    </w:p>
    <w:p w14:paraId="13C51BEF">
      <w:pPr>
        <w:bidi w:val="0"/>
      </w:pPr>
      <w:r>
        <w:t>（3）发包人要求承包人退货或解除订货合同而产生的费用，或因不能退货或解除合同而产生的损失；</w:t>
      </w:r>
    </w:p>
    <w:p w14:paraId="495BE802">
      <w:pPr>
        <w:bidi w:val="0"/>
      </w:pPr>
      <w:r>
        <w:t>（4）承包人撤离施工现场以及遣散承包人人员的费用；</w:t>
      </w:r>
    </w:p>
    <w:p w14:paraId="0386F3BD">
      <w:pPr>
        <w:bidi w:val="0"/>
      </w:pPr>
      <w:r>
        <w:t>（5）按照合同约定在合同解除前应支付给承包人的其他款项；</w:t>
      </w:r>
    </w:p>
    <w:p w14:paraId="0B4B17B8">
      <w:pPr>
        <w:bidi w:val="0"/>
      </w:pPr>
      <w:r>
        <w:t>（6）扣减承包人按照合同约定应向发包人支付的款项；</w:t>
      </w:r>
    </w:p>
    <w:p w14:paraId="4DFF08FB">
      <w:pPr>
        <w:bidi w:val="0"/>
      </w:pPr>
      <w:r>
        <w:t>（7）双方商定或确定的其他款项。</w:t>
      </w:r>
    </w:p>
    <w:p w14:paraId="7CCE6A81">
      <w:pPr>
        <w:bidi w:val="0"/>
      </w:pPr>
      <w:r>
        <w:t>除专用合同条款另有约定外，合同解除后，发包人应在商定或确定上述款项后28天内完成上述款项的支付。</w:t>
      </w:r>
    </w:p>
    <w:p w14:paraId="5BD39ADA">
      <w:pPr>
        <w:pStyle w:val="66"/>
        <w:bidi w:val="0"/>
      </w:pPr>
      <w:bookmarkStart w:id="760" w:name="_Toc351203612"/>
      <w:bookmarkStart w:id="761" w:name="_Toc296346621"/>
      <w:bookmarkStart w:id="762" w:name="_Toc337558828"/>
      <w:bookmarkStart w:id="763" w:name="_Toc296503120"/>
      <w:r>
        <w:t>18. 保险</w:t>
      </w:r>
      <w:bookmarkEnd w:id="760"/>
    </w:p>
    <w:bookmarkEnd w:id="761"/>
    <w:bookmarkEnd w:id="762"/>
    <w:bookmarkEnd w:id="763"/>
    <w:p w14:paraId="4E294CB9">
      <w:pPr>
        <w:bidi w:val="0"/>
      </w:pPr>
      <w:bookmarkStart w:id="764" w:name="_Toc351203613"/>
      <w:bookmarkStart w:id="765" w:name="_Toc296346622"/>
      <w:bookmarkStart w:id="766" w:name="_Toc296503121"/>
      <w:bookmarkStart w:id="767" w:name="_Toc337558829"/>
      <w:r>
        <w:t>18.1 工程保险</w:t>
      </w:r>
      <w:bookmarkEnd w:id="764"/>
    </w:p>
    <w:bookmarkEnd w:id="765"/>
    <w:bookmarkEnd w:id="766"/>
    <w:bookmarkEnd w:id="767"/>
    <w:p w14:paraId="347BA4F4">
      <w:pPr>
        <w:bidi w:val="0"/>
      </w:pPr>
      <w:r>
        <w:t>除专用合同条款另有约定外，发包人应投保建筑工程一切险或安装工程一切险；发包人委托承包人投保的，因投保产生的保险费和其他相关费用由发包人承担。</w:t>
      </w:r>
    </w:p>
    <w:p w14:paraId="6D43C57F">
      <w:pPr>
        <w:bidi w:val="0"/>
      </w:pPr>
      <w:bookmarkStart w:id="768" w:name="_Toc351203614"/>
      <w:bookmarkStart w:id="769" w:name="_Toc296503122"/>
      <w:bookmarkStart w:id="770" w:name="_Toc337558830"/>
      <w:bookmarkStart w:id="771" w:name="_Toc296346623"/>
      <w:r>
        <w:t>18.2 工伤保险</w:t>
      </w:r>
      <w:bookmarkEnd w:id="768"/>
    </w:p>
    <w:bookmarkEnd w:id="769"/>
    <w:bookmarkEnd w:id="770"/>
    <w:bookmarkEnd w:id="771"/>
    <w:p w14:paraId="2A6A74F0">
      <w:pPr>
        <w:bidi w:val="0"/>
      </w:pPr>
      <w:r>
        <w:t>18.2.1 发包人应依照法律规定参加工伤保险，并为在施工现场的全部员工办理工伤保险，缴纳工伤保险费，并要求监理人及由发包人为履行合同聘请的第三方依法参加工伤保险。</w:t>
      </w:r>
    </w:p>
    <w:p w14:paraId="633F1743">
      <w:pPr>
        <w:bidi w:val="0"/>
      </w:pPr>
      <w:r>
        <w:t>18.2.2 承包人应依照法律规定参加工伤保险，并为其履行合同的全部员工办理工伤保险，缴纳工伤保险费，并要求分包人及由承包人为履行合同聘请的第三方依法参加工伤保险。</w:t>
      </w:r>
    </w:p>
    <w:p w14:paraId="17D75428">
      <w:pPr>
        <w:bidi w:val="0"/>
      </w:pPr>
      <w:bookmarkStart w:id="772" w:name="_Toc351203615"/>
      <w:bookmarkStart w:id="773" w:name="_Toc296346626"/>
      <w:bookmarkStart w:id="774" w:name="_Toc337558831"/>
      <w:bookmarkStart w:id="775" w:name="_Toc296503125"/>
      <w:r>
        <w:t>18.3其他保险</w:t>
      </w:r>
      <w:bookmarkEnd w:id="772"/>
    </w:p>
    <w:bookmarkEnd w:id="773"/>
    <w:bookmarkEnd w:id="774"/>
    <w:bookmarkEnd w:id="775"/>
    <w:p w14:paraId="6632C130">
      <w:pPr>
        <w:bidi w:val="0"/>
      </w:pPr>
      <w:r>
        <w:t>发包人和承包人可以为其施工现场的全部人员办理意外伤害保险并支付保险费，包括其员工及为履行合同聘请的第三方的人员，具体事项由合同当事人在专用合同条款约定。</w:t>
      </w:r>
    </w:p>
    <w:p w14:paraId="4E0D185C">
      <w:pPr>
        <w:bidi w:val="0"/>
      </w:pPr>
      <w:r>
        <w:t>除专用合同条款另有约定外，承包人应为其施工设备等办理财产保险。</w:t>
      </w:r>
    </w:p>
    <w:p w14:paraId="1597648B">
      <w:pPr>
        <w:bidi w:val="0"/>
      </w:pPr>
      <w:bookmarkStart w:id="776" w:name="_Toc351203616"/>
      <w:r>
        <w:t>18.4持续保险</w:t>
      </w:r>
      <w:bookmarkEnd w:id="776"/>
    </w:p>
    <w:p w14:paraId="4A3C0A85">
      <w:pPr>
        <w:bidi w:val="0"/>
      </w:pPr>
      <w:r>
        <w:t>合同当事人应与保险人保持联系，使保险人能够随时了解工程实施中的变动，并确保按保险合同条款要求持续保险。</w:t>
      </w:r>
    </w:p>
    <w:p w14:paraId="3E04249D">
      <w:pPr>
        <w:bidi w:val="0"/>
      </w:pPr>
      <w:bookmarkStart w:id="777" w:name="_Toc351203617"/>
      <w:bookmarkStart w:id="778" w:name="_Toc296503126"/>
      <w:bookmarkStart w:id="779" w:name="_Toc296346627"/>
      <w:bookmarkStart w:id="780" w:name="_Toc337558832"/>
      <w:r>
        <w:t>18.5 保险凭证</w:t>
      </w:r>
      <w:bookmarkEnd w:id="777"/>
    </w:p>
    <w:bookmarkEnd w:id="778"/>
    <w:bookmarkEnd w:id="779"/>
    <w:bookmarkEnd w:id="780"/>
    <w:p w14:paraId="3386DD8E">
      <w:pPr>
        <w:bidi w:val="0"/>
      </w:pPr>
      <w:r>
        <w:t>合同当事人应及时向另一方当事人提交其已投保的各项保险的凭证和保险单复印件。</w:t>
      </w:r>
    </w:p>
    <w:p w14:paraId="31AA9A41">
      <w:pPr>
        <w:bidi w:val="0"/>
      </w:pPr>
      <w:bookmarkStart w:id="781" w:name="_Toc351203618"/>
      <w:bookmarkStart w:id="782" w:name="_Toc337558833"/>
      <w:bookmarkStart w:id="783" w:name="_Toc296346628"/>
      <w:bookmarkStart w:id="784" w:name="_Toc296503127"/>
      <w:r>
        <w:t>18.6 未按约定投保的补救</w:t>
      </w:r>
      <w:bookmarkEnd w:id="781"/>
    </w:p>
    <w:bookmarkEnd w:id="782"/>
    <w:bookmarkEnd w:id="783"/>
    <w:bookmarkEnd w:id="784"/>
    <w:p w14:paraId="79C92B3E">
      <w:pPr>
        <w:bidi w:val="0"/>
      </w:pPr>
      <w:r>
        <w:t>18.6.1发包人未按合同约定办理保险，或未能使保险持续有效的，则承包人可代为办理，所需费用由发包人承担。发包人未按合同约定办理保险，导致未能得到足额赔偿的，由发包人负责补足。</w:t>
      </w:r>
    </w:p>
    <w:p w14:paraId="06434179">
      <w:pPr>
        <w:bidi w:val="0"/>
        <w:rPr>
          <w:rFonts w:hint="eastAsia"/>
        </w:rPr>
      </w:pPr>
      <w:r>
        <w:t>18.6.2承包人未按合同约定办理保险，或未能使保险持续有效的，则发包人可代为办理，所需费用由承包人承担。承包人未按合同约定办理保险，导致未能得到足额赔偿的，由承包人负责补足。</w:t>
      </w:r>
    </w:p>
    <w:p w14:paraId="004934ED">
      <w:pPr>
        <w:bidi w:val="0"/>
      </w:pPr>
      <w:bookmarkStart w:id="785" w:name="_Toc351203619"/>
      <w:bookmarkStart w:id="786" w:name="_Toc337558834"/>
      <w:r>
        <w:t>18.7 通知义务</w:t>
      </w:r>
      <w:bookmarkEnd w:id="785"/>
    </w:p>
    <w:bookmarkEnd w:id="786"/>
    <w:p w14:paraId="419579D6">
      <w:pPr>
        <w:bidi w:val="0"/>
      </w:pPr>
      <w:r>
        <w:t>除专用合同条款另有约定外，发包人变更除工伤保险之外的保险合同时，应事先征得承包人同意，并通知监理人；承包人变更除工伤保险之外的保险合同时，应事先征得发包人同意，并通知监理人。</w:t>
      </w:r>
    </w:p>
    <w:p w14:paraId="1FCF8519">
      <w:pPr>
        <w:bidi w:val="0"/>
      </w:pPr>
      <w:r>
        <w:t>保险事故发生时，投保人应按照保险合同规定的条件和期限及时向保险人报告。发包人和承包人应当在知道保险事故发生后及时通知对方。</w:t>
      </w:r>
    </w:p>
    <w:p w14:paraId="308E1CA0">
      <w:pPr>
        <w:pStyle w:val="66"/>
        <w:bidi w:val="0"/>
      </w:pPr>
      <w:bookmarkStart w:id="787" w:name="_Toc351203620"/>
      <w:bookmarkStart w:id="788" w:name="_Toc337558835"/>
      <w:bookmarkStart w:id="789" w:name="_Toc296503140"/>
      <w:bookmarkStart w:id="790" w:name="_Toc296346641"/>
      <w:r>
        <w:t>19. 索赔</w:t>
      </w:r>
      <w:bookmarkEnd w:id="787"/>
    </w:p>
    <w:bookmarkEnd w:id="788"/>
    <w:bookmarkEnd w:id="789"/>
    <w:bookmarkEnd w:id="790"/>
    <w:p w14:paraId="0FBDC5DE">
      <w:pPr>
        <w:bidi w:val="0"/>
      </w:pPr>
      <w:bookmarkStart w:id="791" w:name="_Toc351203621"/>
      <w:bookmarkStart w:id="792" w:name="_Toc296346642"/>
      <w:bookmarkStart w:id="793" w:name="_Toc296503141"/>
      <w:bookmarkStart w:id="794" w:name="_Toc337558836"/>
      <w:r>
        <w:t>19.1承包人的索赔</w:t>
      </w:r>
      <w:bookmarkEnd w:id="791"/>
    </w:p>
    <w:bookmarkEnd w:id="792"/>
    <w:bookmarkEnd w:id="793"/>
    <w:bookmarkEnd w:id="794"/>
    <w:p w14:paraId="1FD62391">
      <w:pPr>
        <w:bidi w:val="0"/>
      </w:pPr>
      <w:r>
        <w:t>根据合同约定，承包人认为有权得到追加付款和（或）延长工期的，应按以下程序向</w:t>
      </w:r>
      <w:r>
        <w:rPr>
          <w:rFonts w:hint="eastAsia"/>
        </w:rPr>
        <w:t>发包</w:t>
      </w:r>
      <w:r>
        <w:t>人提出索赔：</w:t>
      </w:r>
    </w:p>
    <w:p w14:paraId="2E106C2D">
      <w:pPr>
        <w:bidi w:val="0"/>
      </w:pPr>
      <w:r>
        <w:t>（1）承包人应在知道或应当知道索赔事件发生后28天内，向监理人递交索赔意向通知书，并说明发生索赔事件的事由；承包人未在前述28天内发出索赔意向通知书的，丧失要求追加付款和（或）延长工期的权利；</w:t>
      </w:r>
    </w:p>
    <w:p w14:paraId="4DCAA92A">
      <w:pPr>
        <w:bidi w:val="0"/>
      </w:pPr>
      <w:r>
        <w:t>（2）承包人应在发出索赔意向通知书后28天内，向监理人正式递交索赔报告；索赔报告应详细说明索赔理由以及要求追加的付款金额和（或）延长的工期，并附必要的记录和证明材料；</w:t>
      </w:r>
    </w:p>
    <w:p w14:paraId="51217ACE">
      <w:pPr>
        <w:bidi w:val="0"/>
      </w:pPr>
      <w:r>
        <w:t>（3）索赔事件具有持续影响的，承包人应按合理时间间隔继续递交延续索赔通知，说明持续影响的实际情况和记录，列出累计的追加付款金额和（或）工期延长天数；</w:t>
      </w:r>
    </w:p>
    <w:p w14:paraId="5405375D">
      <w:pPr>
        <w:bidi w:val="0"/>
        <w:rPr>
          <w:rFonts w:hint="eastAsia"/>
        </w:rPr>
      </w:pPr>
      <w:r>
        <w:t>（4）在索赔事件影响结束后28天内，承包人应向监理人递交最终索赔报告，说明最终要求索赔的追加付款金额和（或）延长的工期，并附必要的记录和证明材料。</w:t>
      </w:r>
    </w:p>
    <w:p w14:paraId="2A3C505F">
      <w:pPr>
        <w:bidi w:val="0"/>
      </w:pPr>
      <w:bookmarkStart w:id="795" w:name="_Toc351203622"/>
      <w:bookmarkStart w:id="796" w:name="_Toc296346643"/>
      <w:bookmarkStart w:id="797" w:name="_Toc296503142"/>
      <w:bookmarkStart w:id="798" w:name="_Toc337558837"/>
      <w:r>
        <w:t>19.2 对承包人索赔的处理</w:t>
      </w:r>
      <w:bookmarkEnd w:id="795"/>
    </w:p>
    <w:bookmarkEnd w:id="796"/>
    <w:bookmarkEnd w:id="797"/>
    <w:bookmarkEnd w:id="798"/>
    <w:p w14:paraId="0EFDC7F4">
      <w:pPr>
        <w:bidi w:val="0"/>
      </w:pPr>
      <w:r>
        <w:t>对承包人索赔的处理如下：</w:t>
      </w:r>
    </w:p>
    <w:p w14:paraId="60692F30">
      <w:pPr>
        <w:bidi w:val="0"/>
      </w:pPr>
      <w:r>
        <w:t>（1）监理人应在收到索赔报告后14天内完成审查并报送发包人。监理人对索赔报告存在异议的，有权要求承包人提交全部原始记录副本；</w:t>
      </w:r>
    </w:p>
    <w:p w14:paraId="0C625EE4">
      <w:pPr>
        <w:bidi w:val="0"/>
      </w:pPr>
      <w:r>
        <w:t>（2）发包人应在监理人收到索赔报告或有关索赔的进一步证明材料后的28天内，由监理人向承包人出具经发包人签认的索赔处理结果。发包人逾期答复的，则视为认可承包人的索赔要求；</w:t>
      </w:r>
    </w:p>
    <w:p w14:paraId="0E924037">
      <w:pPr>
        <w:bidi w:val="0"/>
      </w:pPr>
      <w:r>
        <w:t>（3）承包人接受索赔处理结果的，索赔款项在当期进度款中进行支付；承包人不接受索赔处理结果的，按照第20条</w:t>
      </w:r>
      <w:r>
        <w:rPr>
          <w:rFonts w:hint="eastAsia"/>
        </w:rPr>
        <w:t>〔</w:t>
      </w:r>
      <w:r>
        <w:t>争议解决</w:t>
      </w:r>
      <w:r>
        <w:rPr>
          <w:rFonts w:hint="eastAsia"/>
        </w:rPr>
        <w:t>〕</w:t>
      </w:r>
      <w:r>
        <w:t>约定处理。</w:t>
      </w:r>
    </w:p>
    <w:p w14:paraId="0FB54497">
      <w:pPr>
        <w:bidi w:val="0"/>
      </w:pPr>
      <w:bookmarkStart w:id="799" w:name="_Toc351203623"/>
      <w:bookmarkStart w:id="800" w:name="_Toc296346644"/>
      <w:bookmarkStart w:id="801" w:name="_Toc296503143"/>
      <w:bookmarkStart w:id="802" w:name="_Toc337558838"/>
      <w:r>
        <w:t>19.3发包人的索赔</w:t>
      </w:r>
      <w:bookmarkEnd w:id="799"/>
    </w:p>
    <w:bookmarkEnd w:id="800"/>
    <w:bookmarkEnd w:id="801"/>
    <w:bookmarkEnd w:id="802"/>
    <w:p w14:paraId="7BF596FA">
      <w:pPr>
        <w:bidi w:val="0"/>
      </w:pPr>
      <w:r>
        <w:t>根据合同约定，发包人认为有权得到赔付金额和（或）延长缺陷责任期的，监理人应向承包人发出通知并附有详细的证明。</w:t>
      </w:r>
    </w:p>
    <w:p w14:paraId="46C0C5FD">
      <w:pPr>
        <w:bidi w:val="0"/>
        <w:rPr>
          <w:rFonts w:hint="eastAsia"/>
        </w:rPr>
      </w:pPr>
      <w: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E1F4B0F">
      <w:pPr>
        <w:bidi w:val="0"/>
      </w:pPr>
      <w:bookmarkStart w:id="803" w:name="_Toc351203624"/>
      <w:bookmarkStart w:id="804" w:name="_Toc296346645"/>
      <w:bookmarkStart w:id="805" w:name="_Toc337558839"/>
      <w:bookmarkStart w:id="806" w:name="_Toc296503144"/>
      <w:r>
        <w:t>19.4 对发包人索赔的处理</w:t>
      </w:r>
      <w:bookmarkEnd w:id="803"/>
    </w:p>
    <w:bookmarkEnd w:id="804"/>
    <w:bookmarkEnd w:id="805"/>
    <w:bookmarkEnd w:id="806"/>
    <w:p w14:paraId="32E697DE">
      <w:pPr>
        <w:bidi w:val="0"/>
      </w:pPr>
      <w:r>
        <w:t>对发包人索赔的处理如下：</w:t>
      </w:r>
    </w:p>
    <w:p w14:paraId="53CD3DA9">
      <w:pPr>
        <w:bidi w:val="0"/>
      </w:pPr>
      <w:r>
        <w:t>（1）承包人收到发包人提交的索赔报告后，应及时审查索赔报告的内容、查验发包人证明材料；</w:t>
      </w:r>
    </w:p>
    <w:p w14:paraId="6F31891B">
      <w:pPr>
        <w:bidi w:val="0"/>
      </w:pPr>
      <w:r>
        <w:t>（2）承包人应在收到索赔报告或有关索赔的进一步证明材料后28天内，将索赔处理结果答复发包人。如果承包人未在上述期限内作出答复的，则视为对发包人索赔要求的认可；</w:t>
      </w:r>
    </w:p>
    <w:p w14:paraId="58E5343C">
      <w:pPr>
        <w:bidi w:val="0"/>
      </w:pPr>
      <w:r>
        <w:t>（3）承包人接受索赔处理结果的，发包人可从应支付给承包人的合同价款中扣除赔付的金额或延长缺陷责任期；发包人不接受索赔处理结果的，按第20条</w:t>
      </w:r>
      <w:r>
        <w:rPr>
          <w:rFonts w:hint="eastAsia"/>
        </w:rPr>
        <w:t>〔</w:t>
      </w:r>
      <w:r>
        <w:t>争议解决</w:t>
      </w:r>
      <w:r>
        <w:rPr>
          <w:rFonts w:hint="eastAsia"/>
        </w:rPr>
        <w:t>〕</w:t>
      </w:r>
      <w:r>
        <w:t>约定处理。</w:t>
      </w:r>
    </w:p>
    <w:p w14:paraId="7CCC8D8F">
      <w:pPr>
        <w:bidi w:val="0"/>
      </w:pPr>
      <w:bookmarkStart w:id="807" w:name="_Toc351203625"/>
      <w:r>
        <w:t>19.5 提出索赔的期限</w:t>
      </w:r>
      <w:bookmarkEnd w:id="807"/>
    </w:p>
    <w:p w14:paraId="2E980E95">
      <w:pPr>
        <w:bidi w:val="0"/>
      </w:pPr>
      <w:r>
        <w:t>（1）承包人按第14.2款</w:t>
      </w:r>
      <w:r>
        <w:rPr>
          <w:rFonts w:hint="eastAsia"/>
        </w:rPr>
        <w:t>〔</w:t>
      </w:r>
      <w:r>
        <w:t>竣工结算审核</w:t>
      </w:r>
      <w:r>
        <w:rPr>
          <w:rFonts w:hint="eastAsia"/>
        </w:rPr>
        <w:t>〕</w:t>
      </w:r>
      <w:r>
        <w:t>约定接收竣工付款证书后，应被视为已无权再提出在工程接收证书颁发前所发生的任何索赔。</w:t>
      </w:r>
    </w:p>
    <w:p w14:paraId="3390A3BF">
      <w:pPr>
        <w:bidi w:val="0"/>
      </w:pPr>
      <w:r>
        <w:t>（2）承包人按第14.4款</w:t>
      </w:r>
      <w:r>
        <w:rPr>
          <w:rFonts w:hint="eastAsia"/>
        </w:rPr>
        <w:t>〔</w:t>
      </w:r>
      <w:r>
        <w:t>最终结清</w:t>
      </w:r>
      <w:r>
        <w:rPr>
          <w:rFonts w:hint="eastAsia"/>
        </w:rPr>
        <w:t>〕</w:t>
      </w:r>
      <w:r>
        <w:t>提交的最终结清申请单中，只限于提出工程接收证书颁发后发生的索赔。提出索赔的期限自接受最终结清证书时终止。</w:t>
      </w:r>
    </w:p>
    <w:p w14:paraId="5EA9D846">
      <w:pPr>
        <w:pStyle w:val="66"/>
        <w:bidi w:val="0"/>
      </w:pPr>
      <w:bookmarkStart w:id="808" w:name="_Toc351203626"/>
      <w:r>
        <w:t>20</w:t>
      </w:r>
      <w:bookmarkStart w:id="809" w:name="_Toc296346647"/>
      <w:bookmarkStart w:id="810" w:name="_Toc296503146"/>
      <w:bookmarkStart w:id="811" w:name="_Toc337558840"/>
      <w:r>
        <w:t>. 争议解决</w:t>
      </w:r>
      <w:bookmarkEnd w:id="808"/>
    </w:p>
    <w:bookmarkEnd w:id="809"/>
    <w:bookmarkEnd w:id="810"/>
    <w:bookmarkEnd w:id="811"/>
    <w:p w14:paraId="42F62DD5">
      <w:pPr>
        <w:bidi w:val="0"/>
      </w:pPr>
      <w:bookmarkStart w:id="812" w:name="_Toc351203627"/>
      <w:bookmarkStart w:id="813" w:name="_Toc296503147"/>
      <w:bookmarkStart w:id="814" w:name="_Toc296346648"/>
      <w:bookmarkStart w:id="815" w:name="_Toc337558841"/>
      <w:r>
        <w:t>20.1和解</w:t>
      </w:r>
      <w:bookmarkEnd w:id="812"/>
    </w:p>
    <w:bookmarkEnd w:id="813"/>
    <w:bookmarkEnd w:id="814"/>
    <w:bookmarkEnd w:id="815"/>
    <w:p w14:paraId="53406207">
      <w:pPr>
        <w:bidi w:val="0"/>
      </w:pPr>
      <w:r>
        <w:t>合同当事人可以就争议自行和解，自行和解达成协议的经双方签字并盖章后作为合同补充文件，双方均应遵照执行。</w:t>
      </w:r>
    </w:p>
    <w:p w14:paraId="62928C78">
      <w:pPr>
        <w:bidi w:val="0"/>
      </w:pPr>
      <w:bookmarkStart w:id="816" w:name="_Toc351203628"/>
      <w:r>
        <w:t>20</w:t>
      </w:r>
      <w:bookmarkStart w:id="817" w:name="_Toc296346649"/>
      <w:bookmarkStart w:id="818" w:name="_Toc296503148"/>
      <w:bookmarkStart w:id="819" w:name="_Toc337558842"/>
      <w:r>
        <w:t>.2调解</w:t>
      </w:r>
      <w:bookmarkEnd w:id="816"/>
    </w:p>
    <w:bookmarkEnd w:id="817"/>
    <w:bookmarkEnd w:id="818"/>
    <w:bookmarkEnd w:id="819"/>
    <w:p w14:paraId="7BD49C8B">
      <w:pPr>
        <w:bidi w:val="0"/>
      </w:pPr>
      <w:r>
        <w:t>合同当事人可以就争议请求建设行政主管部门</w:t>
      </w:r>
      <w:r>
        <w:rPr>
          <w:rFonts w:hint="eastAsia"/>
        </w:rPr>
        <w:t>、行业协会</w:t>
      </w:r>
      <w:r>
        <w:t>或</w:t>
      </w:r>
      <w:r>
        <w:rPr>
          <w:rFonts w:hint="eastAsia"/>
        </w:rPr>
        <w:t>其他</w:t>
      </w:r>
      <w:r>
        <w:t>第三方进行调解，调解达成协议的，经双方签字并盖章后作为合同补充文件，双方均应遵照执行。</w:t>
      </w:r>
    </w:p>
    <w:p w14:paraId="3C57E020">
      <w:pPr>
        <w:bidi w:val="0"/>
      </w:pPr>
      <w:bookmarkStart w:id="820" w:name="_Toc351203629"/>
      <w:bookmarkStart w:id="821" w:name="_Toc337558843"/>
      <w:bookmarkStart w:id="822" w:name="_Toc296346650"/>
      <w:bookmarkStart w:id="823" w:name="_Toc296503149"/>
      <w:r>
        <w:t>20.3争议评审</w:t>
      </w:r>
      <w:bookmarkEnd w:id="820"/>
    </w:p>
    <w:bookmarkEnd w:id="821"/>
    <w:bookmarkEnd w:id="822"/>
    <w:bookmarkEnd w:id="823"/>
    <w:p w14:paraId="744E1231">
      <w:pPr>
        <w:bidi w:val="0"/>
      </w:pPr>
      <w:r>
        <w:t>合同当事人在专用合同条款中约定采取争议评审方式解决争议</w:t>
      </w:r>
      <w:r>
        <w:rPr>
          <w:rFonts w:hint="eastAsia"/>
        </w:rPr>
        <w:t>以及评审规则，并</w:t>
      </w:r>
      <w:r>
        <w:t xml:space="preserve">按下列约定执行： </w:t>
      </w:r>
    </w:p>
    <w:p w14:paraId="44A31FF2">
      <w:pPr>
        <w:bidi w:val="0"/>
      </w:pPr>
      <w:r>
        <w:t>20.3.1 争议评审小组的确定</w:t>
      </w:r>
    </w:p>
    <w:p w14:paraId="646A46C1">
      <w:pPr>
        <w:bidi w:val="0"/>
      </w:pPr>
      <w:r>
        <w:t>合同当事人可以共同选择一名或三名争议评审员，组成争议评审小组。除专用合同条款另有约定外，合同当事人应当自合同签订后28天内，或者争议发生后14天内，选定争议评审员。</w:t>
      </w:r>
    </w:p>
    <w:p w14:paraId="783DE4CA">
      <w:pPr>
        <w:bidi w:val="0"/>
      </w:pPr>
      <w: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w:t>
      </w:r>
      <w:r>
        <w:rPr>
          <w:rFonts w:hint="eastAsia"/>
        </w:rPr>
        <w:t>评审</w:t>
      </w:r>
      <w:r>
        <w:t xml:space="preserve">机构指定第三名首席争议评审员。 </w:t>
      </w:r>
    </w:p>
    <w:p w14:paraId="152F279A">
      <w:pPr>
        <w:bidi w:val="0"/>
      </w:pPr>
      <w:r>
        <w:t>除专用合同条款另有约定外，评审员报酬由发包人和承包人各承担一半。</w:t>
      </w:r>
    </w:p>
    <w:p w14:paraId="453DF96D">
      <w:pPr>
        <w:bidi w:val="0"/>
      </w:pPr>
      <w:r>
        <w:t>20.3.2 争议评审小组的决定</w:t>
      </w:r>
    </w:p>
    <w:p w14:paraId="1B3F78C2">
      <w:pPr>
        <w:bidi w:val="0"/>
        <w:rPr>
          <w:rFonts w:hint="eastAsia"/>
        </w:rPr>
      </w:pPr>
      <w: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70C4E0C">
      <w:pPr>
        <w:bidi w:val="0"/>
      </w:pPr>
      <w:r>
        <w:t>20.3.3 争议评审小组决定的效力</w:t>
      </w:r>
    </w:p>
    <w:p w14:paraId="05032106">
      <w:pPr>
        <w:bidi w:val="0"/>
      </w:pPr>
      <w:r>
        <w:t>争议评审小组作出的书面决定经合同当事人签字确认后，对双方具有约束力，双方应遵照执行。</w:t>
      </w:r>
    </w:p>
    <w:p w14:paraId="540C96AF">
      <w:pPr>
        <w:bidi w:val="0"/>
      </w:pPr>
      <w:r>
        <w:t>任何一方当事人不接受争议评审小组决定</w:t>
      </w:r>
      <w:r>
        <w:rPr>
          <w:rFonts w:hint="eastAsia"/>
        </w:rPr>
        <w:t>或不履行争议评审小组决定的</w:t>
      </w:r>
      <w:r>
        <w:t>，双方可选择采用其他争议解决方式。</w:t>
      </w:r>
    </w:p>
    <w:p w14:paraId="32BFFC17">
      <w:pPr>
        <w:bidi w:val="0"/>
      </w:pPr>
      <w:bookmarkStart w:id="824" w:name="_Toc351203630"/>
      <w:bookmarkStart w:id="825" w:name="_Toc296346651"/>
      <w:bookmarkStart w:id="826" w:name="_Toc337558844"/>
      <w:bookmarkStart w:id="827" w:name="_Toc296503150"/>
      <w:r>
        <w:t>20.4仲裁或诉讼</w:t>
      </w:r>
      <w:bookmarkEnd w:id="824"/>
    </w:p>
    <w:bookmarkEnd w:id="825"/>
    <w:bookmarkEnd w:id="826"/>
    <w:bookmarkEnd w:id="827"/>
    <w:p w14:paraId="28254DD2">
      <w:pPr>
        <w:bidi w:val="0"/>
      </w:pPr>
      <w:r>
        <w:t>因合同及合同有关事项产生的争议，合同当事人可以在专用合同条款中约定以下一种方式解决争议：</w:t>
      </w:r>
    </w:p>
    <w:p w14:paraId="1BAE725F">
      <w:pPr>
        <w:bidi w:val="0"/>
      </w:pPr>
      <w:r>
        <w:t>（1）向约定的仲裁委员会申请仲裁；</w:t>
      </w:r>
    </w:p>
    <w:p w14:paraId="39628F57">
      <w:pPr>
        <w:bidi w:val="0"/>
      </w:pPr>
      <w:r>
        <w:t>（2）向有管辖权的人民法院起诉。</w:t>
      </w:r>
    </w:p>
    <w:p w14:paraId="3E040894">
      <w:pPr>
        <w:bidi w:val="0"/>
      </w:pPr>
      <w:bookmarkStart w:id="828" w:name="_Toc351203631"/>
      <w:bookmarkStart w:id="829" w:name="_Toc337558845"/>
      <w:bookmarkStart w:id="830" w:name="_Toc296503152"/>
      <w:bookmarkStart w:id="831" w:name="_Toc296346653"/>
      <w:r>
        <w:t>20.5争议解决条款效力</w:t>
      </w:r>
      <w:bookmarkEnd w:id="828"/>
    </w:p>
    <w:bookmarkEnd w:id="829"/>
    <w:bookmarkEnd w:id="830"/>
    <w:bookmarkEnd w:id="831"/>
    <w:p w14:paraId="06E75A11">
      <w:pPr>
        <w:bidi w:val="0"/>
      </w:pPr>
      <w:r>
        <w:t xml:space="preserve">合同有关争议解决的条款独立存在，合同的变更、解除、终止、无效或者被撤销均不影响其效力。 </w:t>
      </w:r>
    </w:p>
    <w:p w14:paraId="79D275BF">
      <w:pPr>
        <w:rPr>
          <w:rFonts w:ascii="华文中宋" w:hAnsi="华文中宋" w:eastAsia="华文中宋"/>
          <w:sz w:val="44"/>
          <w:szCs w:val="44"/>
        </w:rPr>
      </w:pPr>
      <w:bookmarkStart w:id="832" w:name="_Toc351203632"/>
      <w:r>
        <w:rPr>
          <w:rFonts w:ascii="华文中宋" w:hAnsi="华文中宋" w:eastAsia="华文中宋"/>
          <w:sz w:val="44"/>
          <w:szCs w:val="44"/>
        </w:rPr>
        <w:br w:type="page"/>
      </w:r>
    </w:p>
    <w:p w14:paraId="11F629E4">
      <w:pPr>
        <w:pStyle w:val="69"/>
        <w:bidi w:val="0"/>
        <w:rPr>
          <w:rFonts w:ascii="华文中宋" w:hAnsi="华文中宋" w:eastAsia="华文中宋"/>
          <w:sz w:val="44"/>
          <w:szCs w:val="44"/>
        </w:rPr>
      </w:pPr>
      <w:r>
        <w:rPr>
          <w:rFonts w:ascii="华文中宋" w:hAnsi="华文中宋" w:eastAsia="华文中宋"/>
          <w:sz w:val="44"/>
          <w:szCs w:val="44"/>
        </w:rPr>
        <w:t>第三</w:t>
      </w:r>
      <w:r>
        <w:rPr>
          <w:rFonts w:hint="eastAsia" w:ascii="华文中宋" w:hAnsi="华文中宋" w:eastAsia="华文中宋"/>
          <w:sz w:val="44"/>
          <w:szCs w:val="44"/>
          <w:lang w:val="en-US" w:eastAsia="zh-CN"/>
        </w:rPr>
        <w:t>章</w:t>
      </w:r>
      <w:r>
        <w:rPr>
          <w:rFonts w:ascii="华文中宋" w:hAnsi="华文中宋" w:eastAsia="华文中宋"/>
          <w:sz w:val="44"/>
          <w:szCs w:val="44"/>
        </w:rPr>
        <w:t xml:space="preserve"> </w:t>
      </w:r>
      <w:r>
        <w:rPr>
          <w:rFonts w:hint="eastAsia" w:ascii="华文中宋" w:hAnsi="华文中宋" w:eastAsia="华文中宋"/>
          <w:sz w:val="44"/>
          <w:szCs w:val="44"/>
        </w:rPr>
        <w:t>专用合同条款</w:t>
      </w:r>
      <w:bookmarkEnd w:id="832"/>
    </w:p>
    <w:p w14:paraId="79CC4ADB">
      <w:pPr>
        <w:pStyle w:val="12"/>
        <w:keepNext w:val="0"/>
        <w:keepLines w:val="0"/>
        <w:pageBreakBefore w:val="0"/>
        <w:widowControl/>
        <w:kinsoku w:val="0"/>
        <w:wordWrap/>
        <w:overflowPunct/>
        <w:topLinePunct w:val="0"/>
        <w:autoSpaceDE w:val="0"/>
        <w:autoSpaceDN w:val="0"/>
        <w:bidi w:val="0"/>
        <w:adjustRightInd w:val="0"/>
        <w:snapToGrid w:val="0"/>
        <w:spacing w:line="480" w:lineRule="exact"/>
        <w:ind w:left="0" w:right="0"/>
        <w:textAlignment w:val="baseline"/>
        <w:rPr>
          <w:rFonts w:hint="eastAsia" w:ascii="仿宋" w:hAnsi="仿宋" w:eastAsia="仿宋" w:cs="仿宋"/>
          <w:b/>
          <w:bCs/>
          <w:color w:val="000000"/>
          <w:spacing w:val="-9"/>
          <w:sz w:val="28"/>
          <w:szCs w:val="28"/>
        </w:rPr>
      </w:pPr>
      <w:bookmarkStart w:id="833" w:name="_Toc387249012"/>
      <w:bookmarkStart w:id="834" w:name="_Toc351203652"/>
    </w:p>
    <w:p w14:paraId="541F7F6E">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 一般约定</w:t>
      </w:r>
    </w:p>
    <w:p w14:paraId="1271345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1.1 词语定义</w:t>
      </w:r>
    </w:p>
    <w:p w14:paraId="67AA664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1.1.1合同</w:t>
      </w:r>
    </w:p>
    <w:p w14:paraId="56E4EFD9">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1.1.1.10其他合同文件包括：</w:t>
      </w:r>
      <w:r>
        <w:rPr>
          <w:rFonts w:hint="eastAsia" w:ascii="仿宋_GB2312" w:hAnsi="仿宋" w:eastAsia="仿宋_GB2312" w:cs="宋体"/>
          <w:color w:val="000000"/>
          <w:sz w:val="28"/>
          <w:szCs w:val="28"/>
          <w:u w:val="single"/>
        </w:rPr>
        <w:t>（1）合同协议书；（2）中标通知书（成交通知局）；（3）本工程施工招标文件（磋商文件）；（4）投标书及其附件（含承包人在评标期间递交和确认并经业主同意的对有关问题的补充资料和澄清文件等）;(5)合同专用条款（含数据表和招标文件补充答疑书中与此有关的部分）；（6）合同通用条款；（7）标准、规范及有关技术文件（含招标文件补充答疑书中与此有关的部分）；（8）工程量清单；（9）工程报价书，双方有关工程的洽谈、变更等书面协议或文件均视为本合同的组成部分。图纸与技术标准和要求之间有矛盾或不一致的，以其中要求较严格的标准为准 。合同双方在合同履行过程中签订的补充协议也构成合同文件的组成部分，其解释顺序视其内容与其它合同文件的相互关系而定</w:t>
      </w:r>
      <w:r>
        <w:rPr>
          <w:rFonts w:hint="eastAsia" w:ascii="仿宋_GB2312" w:hAnsi="仿宋" w:eastAsia="仿宋_GB2312"/>
          <w:color w:val="000000"/>
          <w:sz w:val="28"/>
          <w:szCs w:val="28"/>
          <w:u w:val="single"/>
        </w:rPr>
        <w:t>。</w:t>
      </w:r>
    </w:p>
    <w:p w14:paraId="1BA6262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1.1.2 合同当事人及其他相关方</w:t>
      </w:r>
    </w:p>
    <w:p w14:paraId="7FF4492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1.1.2.4监理人：</w:t>
      </w:r>
    </w:p>
    <w:p w14:paraId="74E9135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名    称：</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333FB7D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资质类别和等级：</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2161256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43A135C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电子信箱：</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70E1833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通信地址：</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16F53C9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1.1.2.5 设计人：</w:t>
      </w:r>
    </w:p>
    <w:p w14:paraId="3A4BF8E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名    称：</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78426CD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资质类别和等级：</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7F67435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189B0CA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电子信箱：</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6148019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通信地址：</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2A3716E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1.1.3 工程和设备</w:t>
      </w:r>
    </w:p>
    <w:p w14:paraId="7E8C202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1.1.3.7 作为施工现场组成部分的其他场所包括：</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施工所必需的临时设施。</w:t>
      </w:r>
    </w:p>
    <w:p w14:paraId="19BE01A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1.1.3.9 永久占地包括：</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经许可，实施合同工程需永久占用的土地</w:t>
      </w:r>
      <w:r>
        <w:rPr>
          <w:rFonts w:hint="eastAsia" w:ascii="仿宋_GB2312" w:hAnsi="仿宋" w:eastAsia="仿宋_GB2312"/>
          <w:color w:val="000000"/>
          <w:sz w:val="28"/>
          <w:szCs w:val="28"/>
        </w:rPr>
        <w:t>。</w:t>
      </w:r>
    </w:p>
    <w:p w14:paraId="524B468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1.1.3.10 临时占地包括：</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经许可，施工所必需的临时设施所占用地</w:t>
      </w:r>
      <w:r>
        <w:rPr>
          <w:rFonts w:hint="eastAsia" w:ascii="仿宋_GB2312" w:hAnsi="仿宋" w:eastAsia="仿宋_GB2312"/>
          <w:color w:val="000000"/>
          <w:sz w:val="28"/>
          <w:szCs w:val="28"/>
        </w:rPr>
        <w:t>。</w:t>
      </w:r>
    </w:p>
    <w:p w14:paraId="1A40C57D">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 xml:space="preserve">1.3法律 </w:t>
      </w:r>
    </w:p>
    <w:p w14:paraId="018FD0D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适用于合同的其他规范性文件：</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建质[2008]91号。             </w:t>
      </w:r>
    </w:p>
    <w:p w14:paraId="4F5ECED5">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1.4 标准和规范</w:t>
      </w:r>
    </w:p>
    <w:p w14:paraId="68F7CDC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1.4.1适用于工程的标准规范包括：</w:t>
      </w:r>
      <w:r>
        <w:rPr>
          <w:rFonts w:hint="eastAsia" w:ascii="仿宋_GB2312" w:hAnsi="仿宋" w:eastAsia="仿宋_GB2312"/>
          <w:color w:val="000000"/>
          <w:sz w:val="28"/>
          <w:szCs w:val="28"/>
          <w:u w:val="single"/>
        </w:rPr>
        <w:t>《中华人民共和国合同法》、《建筑安装工程承包合同条例》、《建筑法》、《安全生产法》、《建筑工程质量管理条例》、《建筑工程施工质量验收规范》、《建筑工程质量评定检验标准》等国家、行业现行的最新颁布实施的工程施工规范、工程质量验收规范、验收标准、安全标准、环保标准、消防标准.</w:t>
      </w:r>
    </w:p>
    <w:p w14:paraId="71F6DA1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1.4.2 发包人提供国外标准、规范的名称：</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w:t>
      </w:r>
    </w:p>
    <w:p w14:paraId="6D90831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发包人提供国外标准、规范的份数：</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2929BB8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发包人提供国外标准、规范的名称：</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05F27A2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1.4.3发包人对工程的技术标准和功能要求的特殊要求：</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 </w:t>
      </w:r>
    </w:p>
    <w:p w14:paraId="5E486A89">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1.5 合同文件的优先顺序</w:t>
      </w:r>
    </w:p>
    <w:p w14:paraId="0414007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合同文件组成及优先顺序为：</w:t>
      </w:r>
      <w:r>
        <w:rPr>
          <w:rFonts w:hint="eastAsia" w:ascii="仿宋_GB2312" w:hAnsi="仿宋" w:eastAsia="仿宋_GB2312"/>
          <w:color w:val="000000"/>
          <w:sz w:val="28"/>
          <w:szCs w:val="28"/>
          <w:u w:val="single"/>
        </w:rPr>
        <w:t>1、本合同协议书；2、中标通知书（成交通知书）；3、投标文件；4、专用条款及其附件；5、通用合同条款；6、技术标准和要求；7、图纸 8、已标价的工程量清单；9、其他合同文件。</w:t>
      </w:r>
    </w:p>
    <w:p w14:paraId="00AE26CA">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1.6 图纸和承包人文件</w:t>
      </w:r>
      <w:r>
        <w:rPr>
          <w:rFonts w:hint="eastAsia" w:ascii="仿宋_GB2312" w:hAnsi="仿宋" w:eastAsia="仿宋_GB2312"/>
          <w:b/>
          <w:color w:val="000000"/>
          <w:sz w:val="28"/>
          <w:szCs w:val="28"/>
        </w:rPr>
        <w:tab/>
      </w:r>
    </w:p>
    <w:p w14:paraId="0DB8F39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1.6.1 图纸的提供</w:t>
      </w:r>
    </w:p>
    <w:p w14:paraId="5002BDE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发包人向承包人提供图纸的期限：</w:t>
      </w:r>
      <w:r>
        <w:rPr>
          <w:rFonts w:hint="eastAsia" w:ascii="仿宋_GB2312" w:hAnsi="仿宋" w:eastAsia="仿宋_GB2312" w:cs="宋体"/>
          <w:color w:val="000000"/>
          <w:sz w:val="28"/>
          <w:szCs w:val="28"/>
          <w:u w:val="single"/>
        </w:rPr>
        <w:t xml:space="preserve">         </w:t>
      </w:r>
      <w:r>
        <w:rPr>
          <w:rFonts w:hint="eastAsia" w:ascii="仿宋_GB2312" w:hAnsi="仿宋" w:eastAsia="仿宋_GB2312"/>
          <w:color w:val="000000"/>
          <w:sz w:val="28"/>
          <w:szCs w:val="28"/>
          <w:u w:val="none"/>
        </w:rPr>
        <w:t>。</w:t>
      </w:r>
    </w:p>
    <w:p w14:paraId="3F7E8CCF">
      <w:pPr>
        <w:pStyle w:val="73"/>
        <w:spacing w:line="420" w:lineRule="exact"/>
        <w:ind w:left="0" w:right="26"/>
        <w:rPr>
          <w:rFonts w:hint="eastAsia" w:ascii="仿宋_GB2312" w:hAnsi="仿宋" w:eastAsia="仿宋_GB2312"/>
          <w:color w:val="000000"/>
          <w:sz w:val="28"/>
          <w:szCs w:val="28"/>
          <w:lang w:eastAsia="zh-CN"/>
        </w:rPr>
      </w:pPr>
      <w:r>
        <w:rPr>
          <w:rFonts w:hint="eastAsia" w:ascii="仿宋_GB2312" w:hAnsi="仿宋" w:eastAsia="仿宋_GB2312"/>
          <w:color w:val="000000"/>
          <w:sz w:val="28"/>
          <w:szCs w:val="28"/>
        </w:rPr>
        <w:t>发包人向承包人提供图纸的数量：</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lang w:eastAsia="zh-CN"/>
        </w:rPr>
        <w:t>。</w:t>
      </w:r>
    </w:p>
    <w:p w14:paraId="17E9A1B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发包人向承包人提供图纸的内容：</w:t>
      </w:r>
      <w:r>
        <w:rPr>
          <w:rFonts w:hint="eastAsia" w:ascii="仿宋_GB2312" w:hAnsi="仿宋" w:eastAsia="仿宋_GB2312" w:cs="宋体"/>
          <w:color w:val="000000"/>
          <w:sz w:val="28"/>
          <w:szCs w:val="28"/>
          <w:u w:val="single"/>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654F059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1.6.4 承包人文件</w:t>
      </w:r>
    </w:p>
    <w:p w14:paraId="040D3558">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需要由承包人提供的文件，包括：</w:t>
      </w:r>
      <w:r>
        <w:rPr>
          <w:rFonts w:hint="eastAsia" w:ascii="仿宋_GB2312" w:hAnsi="仿宋" w:eastAsia="仿宋_GB2312"/>
          <w:color w:val="000000"/>
          <w:sz w:val="28"/>
          <w:szCs w:val="28"/>
          <w:u w:val="single"/>
        </w:rPr>
        <w:t xml:space="preserve"> 施工组织设计，施工技术措施及各项资源需要量的计划等</w:t>
      </w:r>
      <w:r>
        <w:rPr>
          <w:rFonts w:hint="eastAsia" w:ascii="仿宋_GB2312" w:hAnsi="仿宋" w:eastAsia="仿宋_GB2312"/>
          <w:color w:val="000000"/>
          <w:sz w:val="28"/>
          <w:szCs w:val="28"/>
        </w:rPr>
        <w:t>；</w:t>
      </w:r>
    </w:p>
    <w:p w14:paraId="3B8B39A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承包人提供的文件的期限为：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开工前14天</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091EDE3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承包人提供的文件的数量为：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s="宋体"/>
          <w:color w:val="000000"/>
          <w:sz w:val="28"/>
          <w:szCs w:val="28"/>
          <w:u w:val="single"/>
        </w:rPr>
        <w:t>3份</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4F771D2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承包人提供的文件的形式为：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书面</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rPr>
        <w:t>；</w:t>
      </w:r>
    </w:p>
    <w:p w14:paraId="0C2268C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发包人审批承包人文件的期限：</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在承包人提供文件后三天内审定完毕</w:t>
      </w:r>
      <w:r>
        <w:rPr>
          <w:rFonts w:hint="eastAsia" w:ascii="仿宋_GB2312" w:hAnsi="仿宋" w:eastAsia="仿宋_GB2312"/>
          <w:color w:val="000000"/>
          <w:sz w:val="28"/>
          <w:szCs w:val="28"/>
        </w:rPr>
        <w:t>。</w:t>
      </w:r>
    </w:p>
    <w:p w14:paraId="1EA918D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1.6.5 现场图纸准备</w:t>
      </w:r>
    </w:p>
    <w:p w14:paraId="651CFB7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关于现场图纸准备的约定：</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s="宋体"/>
          <w:color w:val="000000"/>
          <w:sz w:val="28"/>
          <w:szCs w:val="28"/>
          <w:u w:val="single"/>
        </w:rPr>
        <w:t>无</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rPr>
        <w:t>。</w:t>
      </w:r>
    </w:p>
    <w:p w14:paraId="5E0D077B">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1.7 联络</w:t>
      </w:r>
    </w:p>
    <w:p w14:paraId="5A76754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1.7.1发包人和承包人应当在</w:t>
      </w:r>
      <w:r>
        <w:rPr>
          <w:rFonts w:hint="eastAsia" w:ascii="仿宋_GB2312" w:hAnsi="仿宋" w:eastAsia="仿宋_GB2312"/>
          <w:color w:val="000000"/>
          <w:sz w:val="28"/>
          <w:szCs w:val="28"/>
          <w:u w:val="single"/>
        </w:rPr>
        <w:t xml:space="preserve"> 提前3天</w:t>
      </w:r>
      <w:r>
        <w:rPr>
          <w:rFonts w:hint="eastAsia" w:ascii="仿宋_GB2312" w:hAnsi="仿宋" w:eastAsia="仿宋_GB2312"/>
          <w:color w:val="000000"/>
          <w:sz w:val="28"/>
          <w:szCs w:val="28"/>
        </w:rPr>
        <w:t>内将与合同有关的通知、批准、证明、证书、指示、指令、要求、请求、同意、意见、确定和决定等书面函件送达对方当事人。</w:t>
      </w:r>
    </w:p>
    <w:p w14:paraId="7C82B91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1.7.2 发包人接收文件的地点：</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s="宋体"/>
          <w:color w:val="000000"/>
          <w:sz w:val="28"/>
          <w:szCs w:val="28"/>
          <w:u w:val="single"/>
        </w:rPr>
        <w:t>现场办公室</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6F92127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发包人指定的接收人为：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业主派驻现场代表 </w:t>
      </w:r>
      <w:r>
        <w:rPr>
          <w:rFonts w:hint="eastAsia" w:ascii="仿宋_GB2312" w:hAnsi="仿宋" w:eastAsia="仿宋_GB2312"/>
          <w:color w:val="000000"/>
          <w:sz w:val="28"/>
          <w:szCs w:val="28"/>
        </w:rPr>
        <w:t>。</w:t>
      </w:r>
    </w:p>
    <w:p w14:paraId="2E0DF4F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承包人接收文件的地点：</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承包人施工现场项目部 </w:t>
      </w:r>
      <w:r>
        <w:rPr>
          <w:rFonts w:hint="eastAsia" w:ascii="仿宋_GB2312" w:hAnsi="仿宋" w:eastAsia="仿宋_GB2312"/>
          <w:color w:val="000000"/>
          <w:sz w:val="28"/>
          <w:szCs w:val="28"/>
        </w:rPr>
        <w:t>；</w:t>
      </w:r>
    </w:p>
    <w:p w14:paraId="17BA735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承包人指定的接收人为：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项目经理 </w:t>
      </w:r>
      <w:r>
        <w:rPr>
          <w:rFonts w:hint="eastAsia" w:ascii="仿宋_GB2312" w:hAnsi="仿宋" w:eastAsia="仿宋_GB2312"/>
          <w:color w:val="000000"/>
          <w:sz w:val="28"/>
          <w:szCs w:val="28"/>
        </w:rPr>
        <w:t>。</w:t>
      </w:r>
    </w:p>
    <w:p w14:paraId="670609A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监理人接收文件的地点：</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监理人施工现场监理办公室</w:t>
      </w:r>
      <w:r>
        <w:rPr>
          <w:rFonts w:hint="eastAsia" w:ascii="仿宋_GB2312" w:hAnsi="仿宋" w:eastAsia="仿宋_GB2312"/>
          <w:color w:val="000000"/>
          <w:sz w:val="28"/>
          <w:szCs w:val="28"/>
        </w:rPr>
        <w:t>；</w:t>
      </w:r>
    </w:p>
    <w:p w14:paraId="5B31C83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监理人指定的接收人为：</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总监</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10EA78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1.10 交通运输</w:t>
      </w:r>
    </w:p>
    <w:p w14:paraId="72F42CD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1.10.1 出入现场的权利</w:t>
      </w:r>
    </w:p>
    <w:p w14:paraId="0485492A">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关于出入现场的权利的约定：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按签订合同约定。</w:t>
      </w:r>
    </w:p>
    <w:p w14:paraId="454CC41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1.10.3 场内交通</w:t>
      </w:r>
    </w:p>
    <w:p w14:paraId="5C3AAD6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关于场外交通和场内交通的边界的约定：</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s="宋体"/>
          <w:color w:val="000000"/>
          <w:sz w:val="28"/>
          <w:szCs w:val="28"/>
          <w:u w:val="single"/>
        </w:rPr>
        <w:t>施工现场围墙</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07A277B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关于发包人向承包人免费提供满足工程施工需要的场内道路和交通设施的约定：</w:t>
      </w:r>
      <w:r>
        <w:rPr>
          <w:rFonts w:hint="eastAsia" w:ascii="仿宋_GB2312" w:hAnsi="仿宋" w:eastAsia="仿宋_GB2312" w:cs="宋体"/>
          <w:color w:val="000000"/>
          <w:sz w:val="28"/>
          <w:szCs w:val="28"/>
          <w:u w:val="single"/>
        </w:rPr>
        <w:t>承包人负责办理通道的相关手续，以满足施工运输要求</w:t>
      </w:r>
      <w:r>
        <w:rPr>
          <w:rFonts w:hint="eastAsia" w:ascii="仿宋_GB2312" w:hAnsi="仿宋" w:eastAsia="仿宋_GB2312"/>
          <w:color w:val="000000"/>
          <w:sz w:val="28"/>
          <w:szCs w:val="28"/>
          <w:u w:val="single"/>
        </w:rPr>
        <w:t xml:space="preserve"> </w:t>
      </w:r>
    </w:p>
    <w:p w14:paraId="438C0E8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1.10.4超大件和超重件的运输</w:t>
      </w:r>
    </w:p>
    <w:p w14:paraId="52396B7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运输超大件或超重件所需的道路和桥梁临时加固改造费用和其他有关费用由</w:t>
      </w:r>
      <w:r>
        <w:rPr>
          <w:rFonts w:hint="eastAsia" w:ascii="仿宋_GB2312" w:hAnsi="仿宋" w:eastAsia="仿宋_GB2312"/>
          <w:color w:val="000000"/>
          <w:sz w:val="28"/>
          <w:szCs w:val="28"/>
          <w:u w:val="single"/>
        </w:rPr>
        <w:t xml:space="preserve"> 承包人</w:t>
      </w:r>
      <w:r>
        <w:rPr>
          <w:rFonts w:hint="eastAsia" w:ascii="仿宋_GB2312" w:hAnsi="仿宋" w:eastAsia="仿宋_GB2312"/>
          <w:color w:val="000000"/>
          <w:sz w:val="28"/>
          <w:szCs w:val="28"/>
        </w:rPr>
        <w:t>承担。</w:t>
      </w:r>
    </w:p>
    <w:p w14:paraId="31A7DBC4">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1.11 知识产权</w:t>
      </w:r>
    </w:p>
    <w:p w14:paraId="03D7515A">
      <w:pPr>
        <w:pStyle w:val="73"/>
        <w:spacing w:before="0" w:after="0" w:line="420" w:lineRule="exact"/>
        <w:ind w:left="0"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1.11.1关于发包人提供给承包人的图纸、发包人为实施工程自行编制或委托编制的技术规范以及反映发包人关于合同要求或其他类似性质的文件的著作权的归属：</w:t>
      </w:r>
      <w:r>
        <w:rPr>
          <w:rFonts w:hint="eastAsia" w:ascii="仿宋_GB2312" w:hAnsi="仿宋" w:eastAsia="仿宋_GB2312"/>
          <w:color w:val="000000"/>
          <w:sz w:val="28"/>
          <w:szCs w:val="28"/>
          <w:u w:val="single"/>
        </w:rPr>
        <w:t>发包人</w:t>
      </w:r>
      <w:r>
        <w:rPr>
          <w:rFonts w:hint="eastAsia" w:ascii="仿宋_GB2312" w:hAnsi="仿宋" w:eastAsia="仿宋_GB2312"/>
          <w:color w:val="000000"/>
          <w:sz w:val="28"/>
          <w:szCs w:val="28"/>
        </w:rPr>
        <w:t>。</w:t>
      </w:r>
    </w:p>
    <w:p w14:paraId="2645A1C3">
      <w:pPr>
        <w:spacing w:line="420" w:lineRule="exact"/>
        <w:ind w:left="274" w:leftChars="114" w:right="26" w:firstLine="140" w:firstLineChars="5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关于发包人提供的上述文件的使用限制的要求：</w:t>
      </w:r>
      <w:r>
        <w:rPr>
          <w:rFonts w:hint="eastAsia" w:ascii="仿宋_GB2312" w:hAnsi="仿宋" w:eastAsia="仿宋_GB2312"/>
          <w:color w:val="000000"/>
          <w:sz w:val="28"/>
          <w:szCs w:val="28"/>
          <w:u w:val="single"/>
        </w:rPr>
        <w:t xml:space="preserve">应经发包人许可 。 </w:t>
      </w:r>
    </w:p>
    <w:p w14:paraId="57903C89">
      <w:pPr>
        <w:spacing w:line="420" w:lineRule="exact"/>
        <w:ind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1.11.2 关于承包人为实施工程所编制文件的著作权的归属：</w:t>
      </w:r>
      <w:r>
        <w:rPr>
          <w:rFonts w:hint="eastAsia" w:ascii="仿宋_GB2312" w:hAnsi="仿宋" w:eastAsia="仿宋_GB2312"/>
          <w:color w:val="000000"/>
          <w:sz w:val="28"/>
          <w:szCs w:val="28"/>
          <w:u w:val="single"/>
        </w:rPr>
        <w:t>发包人。</w:t>
      </w:r>
    </w:p>
    <w:p w14:paraId="448B0F82">
      <w:pPr>
        <w:spacing w:line="420" w:lineRule="exact"/>
        <w:ind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1.11.3关于承包人提供的上述文件的使用限制的要求：</w:t>
      </w:r>
      <w:r>
        <w:rPr>
          <w:rFonts w:hint="eastAsia" w:ascii="仿宋_GB2312" w:hAnsi="仿宋" w:eastAsia="仿宋_GB2312"/>
          <w:color w:val="000000"/>
          <w:sz w:val="28"/>
          <w:szCs w:val="28"/>
          <w:u w:val="single"/>
        </w:rPr>
        <w:t>不丢失、保存完好、存档、未经发包方同意不得外借。</w:t>
      </w:r>
    </w:p>
    <w:p w14:paraId="6BD17DDD">
      <w:pPr>
        <w:pStyle w:val="73"/>
        <w:spacing w:line="420" w:lineRule="exact"/>
        <w:ind w:left="0"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1.11.4 承包人在施工过程中所采用的专利、专有技术、技术秘密的使用费的承担方式：</w:t>
      </w:r>
      <w:r>
        <w:rPr>
          <w:rFonts w:hint="eastAsia" w:ascii="仿宋_GB2312" w:hAnsi="仿宋" w:eastAsia="仿宋_GB2312"/>
          <w:color w:val="000000"/>
          <w:sz w:val="28"/>
          <w:szCs w:val="28"/>
          <w:u w:val="single"/>
        </w:rPr>
        <w:t xml:space="preserve">  按通用条款执行 </w:t>
      </w:r>
      <w:r>
        <w:rPr>
          <w:rFonts w:hint="eastAsia" w:ascii="仿宋_GB2312" w:hAnsi="仿宋" w:eastAsia="仿宋_GB2312"/>
          <w:color w:val="000000"/>
          <w:sz w:val="28"/>
          <w:szCs w:val="28"/>
        </w:rPr>
        <w:t>。</w:t>
      </w:r>
    </w:p>
    <w:p w14:paraId="474A2E90">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1.13工程量清单错误的修正</w:t>
      </w:r>
    </w:p>
    <w:p w14:paraId="57CFB73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出现工程量清单错误时，是否调整合同价格：</w:t>
      </w:r>
      <w:r>
        <w:rPr>
          <w:rFonts w:hint="eastAsia" w:ascii="仿宋_GB2312" w:hAnsi="仿宋" w:eastAsia="仿宋_GB2312"/>
          <w:color w:val="000000"/>
          <w:sz w:val="28"/>
          <w:szCs w:val="28"/>
          <w:u w:val="single"/>
        </w:rPr>
        <w:t xml:space="preserve"> 允许调整 </w:t>
      </w:r>
      <w:r>
        <w:rPr>
          <w:rFonts w:hint="eastAsia" w:ascii="仿宋_GB2312" w:hAnsi="仿宋" w:eastAsia="仿宋_GB2312"/>
          <w:color w:val="000000"/>
          <w:sz w:val="28"/>
          <w:szCs w:val="28"/>
        </w:rPr>
        <w:t>。</w:t>
      </w:r>
    </w:p>
    <w:p w14:paraId="162C3DDD">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允许调整合同价格的工程量偏差范围：</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s="宋体"/>
          <w:color w:val="000000"/>
          <w:sz w:val="28"/>
          <w:szCs w:val="28"/>
          <w:u w:val="single"/>
        </w:rPr>
        <w:t>依据《建设工程工程量清单计价规范》GB50500-2013及</w:t>
      </w:r>
      <w:r>
        <w:rPr>
          <w:rFonts w:hint="eastAsia" w:ascii="仿宋_GB2312" w:hAnsi="仿宋" w:eastAsia="仿宋_GB2312"/>
          <w:color w:val="000000"/>
          <w:sz w:val="28"/>
          <w:szCs w:val="28"/>
          <w:u w:val="single"/>
        </w:rPr>
        <w:t>工程量清单偏差≥±15%的范围内允许调整</w:t>
      </w:r>
    </w:p>
    <w:p w14:paraId="0F4442EF">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2. 发包人</w:t>
      </w:r>
    </w:p>
    <w:p w14:paraId="07F9B120">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2.2 发包人代表</w:t>
      </w:r>
    </w:p>
    <w:p w14:paraId="76E0AB9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发包人代表：</w:t>
      </w:r>
    </w:p>
    <w:p w14:paraId="53166F1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姓    名：</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62619A7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身份证号：</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5CF6446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职    务：</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666B6EC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450E76B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电子信箱：</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5E7D48F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通信地址：</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26312B23">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color w:val="000000"/>
          <w:sz w:val="28"/>
          <w:szCs w:val="28"/>
        </w:rPr>
        <w:t>发包人对发包人代表的授权范围如下：</w:t>
      </w:r>
      <w:r>
        <w:rPr>
          <w:rFonts w:hint="eastAsia" w:ascii="仿宋_GB2312" w:hAnsi="仿宋" w:eastAsia="仿宋_GB2312"/>
          <w:color w:val="000000"/>
          <w:sz w:val="28"/>
          <w:szCs w:val="28"/>
          <w:u w:val="single"/>
        </w:rPr>
        <w:t>1、督促监理工程师按照监理合同办事；2、协调各有关单位工作；3、工程进度与工程量的确认；4、督促并控制好工程进度、质量、投资。</w:t>
      </w:r>
    </w:p>
    <w:p w14:paraId="2C480DFF">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2.4 施工现场、施工条件和基础资料的提供</w:t>
      </w:r>
    </w:p>
    <w:p w14:paraId="059012D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2.4.1 提供施工现场</w:t>
      </w:r>
    </w:p>
    <w:p w14:paraId="31E7456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关于发包人移交施工现场的期限要求：</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开工日期7天前 </w:t>
      </w:r>
      <w:r>
        <w:rPr>
          <w:rFonts w:hint="eastAsia" w:ascii="仿宋_GB2312" w:hAnsi="仿宋" w:eastAsia="仿宋_GB2312"/>
          <w:color w:val="000000"/>
          <w:sz w:val="28"/>
          <w:szCs w:val="28"/>
        </w:rPr>
        <w:t>。</w:t>
      </w:r>
    </w:p>
    <w:p w14:paraId="074834E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2.4.2 提供施工条件</w:t>
      </w:r>
    </w:p>
    <w:p w14:paraId="280FEC99">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关于发包人应负责提供施工所需要的条件，包括：</w:t>
      </w:r>
      <w:r>
        <w:rPr>
          <w:rFonts w:hint="eastAsia" w:ascii="仿宋_GB2312" w:hAnsi="仿宋" w:eastAsia="仿宋_GB2312"/>
          <w:color w:val="000000"/>
          <w:sz w:val="28"/>
          <w:szCs w:val="28"/>
          <w:u w:val="single"/>
        </w:rPr>
        <w:t xml:space="preserve">按通用条款执行 </w:t>
      </w:r>
      <w:r>
        <w:rPr>
          <w:rFonts w:hint="eastAsia" w:ascii="仿宋_GB2312" w:hAnsi="仿宋" w:eastAsia="仿宋_GB2312"/>
          <w:color w:val="000000"/>
          <w:sz w:val="28"/>
          <w:szCs w:val="28"/>
        </w:rPr>
        <w:t>。</w:t>
      </w:r>
    </w:p>
    <w:p w14:paraId="0953A2D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2.5 资金来源证明及支付担保</w:t>
      </w:r>
    </w:p>
    <w:p w14:paraId="4EE30F5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发包人提供资金来源证明的期限要求：</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753E220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发包人是否提供支付担保：</w:t>
      </w:r>
      <w:r>
        <w:rPr>
          <w:rFonts w:hint="eastAsia" w:ascii="仿宋_GB2312" w:hAnsi="仿宋" w:eastAsia="仿宋_GB2312"/>
          <w:color w:val="000000"/>
          <w:sz w:val="28"/>
          <w:szCs w:val="28"/>
          <w:u w:val="single"/>
        </w:rPr>
        <w:t>无。</w:t>
      </w:r>
    </w:p>
    <w:p w14:paraId="6F81E65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发包人提供支付担保的形式：</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rPr>
        <w:t>。</w:t>
      </w:r>
    </w:p>
    <w:p w14:paraId="5D085F2C">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3. 承包人</w:t>
      </w:r>
    </w:p>
    <w:p w14:paraId="36307F46">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3.1 承包人的一般义务</w:t>
      </w:r>
    </w:p>
    <w:p w14:paraId="2DB34DC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（9）承包人提交的竣工资料的内容：</w:t>
      </w:r>
      <w:r>
        <w:rPr>
          <w:rFonts w:hint="eastAsia" w:ascii="仿宋_GB2312" w:hAnsi="仿宋" w:eastAsia="仿宋_GB2312"/>
          <w:color w:val="000000"/>
          <w:sz w:val="28"/>
          <w:szCs w:val="28"/>
          <w:u w:val="single"/>
        </w:rPr>
        <w:t>必须真实准确与工程实际相符合。</w:t>
      </w:r>
    </w:p>
    <w:p w14:paraId="756737E3">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承包人需要提交的竣工资料套数：</w:t>
      </w:r>
      <w:r>
        <w:rPr>
          <w:rFonts w:hint="eastAsia" w:ascii="仿宋_GB2312" w:hAnsi="仿宋" w:eastAsia="仿宋_GB2312"/>
          <w:color w:val="000000"/>
          <w:sz w:val="28"/>
          <w:szCs w:val="28"/>
          <w:u w:val="single"/>
        </w:rPr>
        <w:t xml:space="preserve"> 竣工图六套（要求计算机出图），其中原件五套，电子文件一套；竣工资料三套。</w:t>
      </w:r>
    </w:p>
    <w:p w14:paraId="0B29ADFC">
      <w:pPr>
        <w:spacing w:line="420" w:lineRule="exact"/>
        <w:ind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承包人提交的竣工资料的费用承担：</w:t>
      </w:r>
      <w:r>
        <w:rPr>
          <w:rFonts w:hint="eastAsia" w:ascii="仿宋_GB2312" w:hAnsi="仿宋" w:eastAsia="仿宋_GB2312"/>
          <w:color w:val="000000"/>
          <w:sz w:val="28"/>
          <w:szCs w:val="28"/>
          <w:u w:val="single"/>
        </w:rPr>
        <w:t xml:space="preserve"> 发生费用由承包人承担  </w:t>
      </w:r>
      <w:r>
        <w:rPr>
          <w:rFonts w:hint="eastAsia" w:ascii="仿宋_GB2312" w:hAnsi="仿宋" w:eastAsia="仿宋_GB2312"/>
          <w:color w:val="000000"/>
          <w:sz w:val="28"/>
          <w:szCs w:val="28"/>
        </w:rPr>
        <w:t>。</w:t>
      </w:r>
    </w:p>
    <w:p w14:paraId="16C3342A">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承包人提交的竣工资料移交时间：</w:t>
      </w:r>
      <w:r>
        <w:rPr>
          <w:rFonts w:hint="eastAsia" w:ascii="仿宋_GB2312" w:hAnsi="仿宋" w:eastAsia="仿宋_GB2312"/>
          <w:color w:val="000000"/>
          <w:sz w:val="28"/>
          <w:szCs w:val="28"/>
          <w:u w:val="single"/>
        </w:rPr>
        <w:t xml:space="preserve"> 竣工验收后15日内、备案之前  </w:t>
      </w:r>
      <w:r>
        <w:rPr>
          <w:rFonts w:hint="eastAsia" w:ascii="仿宋_GB2312" w:hAnsi="仿宋" w:eastAsia="仿宋_GB2312"/>
          <w:color w:val="000000"/>
          <w:sz w:val="28"/>
          <w:szCs w:val="28"/>
        </w:rPr>
        <w:t>。</w:t>
      </w:r>
    </w:p>
    <w:p w14:paraId="5AB36703">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承包人提交的竣工资料形式要求：</w:t>
      </w:r>
      <w:r>
        <w:rPr>
          <w:rFonts w:hint="eastAsia" w:ascii="仿宋_GB2312" w:hAnsi="仿宋" w:eastAsia="仿宋_GB2312"/>
          <w:color w:val="000000"/>
          <w:sz w:val="28"/>
          <w:szCs w:val="28"/>
          <w:u w:val="single"/>
        </w:rPr>
        <w:t xml:space="preserve"> 纸质形式和电子文件</w:t>
      </w:r>
      <w:r>
        <w:rPr>
          <w:rFonts w:hint="eastAsia" w:ascii="仿宋_GB2312" w:hAnsi="仿宋" w:eastAsia="仿宋_GB2312"/>
          <w:color w:val="000000"/>
          <w:sz w:val="28"/>
          <w:szCs w:val="28"/>
        </w:rPr>
        <w:t>。</w:t>
      </w:r>
    </w:p>
    <w:p w14:paraId="235046C2">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（10）承包人应履行的其他义务：</w:t>
      </w:r>
    </w:p>
    <w:p w14:paraId="66D722EE">
      <w:pPr>
        <w:pStyle w:val="73"/>
        <w:spacing w:line="420" w:lineRule="exact"/>
        <w:ind w:left="0" w:right="28"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1）承包人施工时必须与电信、广电、给水、电力等有关部门密切配合，保质保量完成施工任务。</w:t>
      </w:r>
    </w:p>
    <w:p w14:paraId="535A7457">
      <w:pPr>
        <w:pStyle w:val="73"/>
        <w:spacing w:line="420" w:lineRule="exact"/>
        <w:ind w:left="0" w:right="28"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2）承包人在施工时，必须全面协调好与周边环境关系，施工时承包人因自身原因未处理好周边环境关系而导致工程停工，发包人将不承担由此引起的工期延误及其他工程费用损失。</w:t>
      </w:r>
    </w:p>
    <w:p w14:paraId="3E65D785">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3.2 项目经理</w:t>
      </w:r>
    </w:p>
    <w:p w14:paraId="132DC613">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3.2.1 项目经理：</w:t>
      </w:r>
    </w:p>
    <w:p w14:paraId="3DA3E432">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姓    名：</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5091CC7F">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身份证号：</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1E69AC5E">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执业资格等级：</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1DAE2FA4">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注册证书号：</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49C5359C">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执业印章号：</w:t>
      </w:r>
      <w:r>
        <w:rPr>
          <w:rFonts w:hint="eastAsia" w:ascii="仿宋_GB2312" w:hAnsi="仿宋" w:eastAsia="仿宋_GB2312" w:cs="宋体"/>
          <w:color w:val="000000"/>
          <w:sz w:val="28"/>
          <w:szCs w:val="28"/>
          <w:u w:val="single"/>
        </w:rPr>
        <w:t>      </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489F737C">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安全生产考核合格证书号：</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3BEC0B47">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7352F309">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电子信箱：</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0AA36744">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通信地址：</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0C27451F">
      <w:pPr>
        <w:pStyle w:val="73"/>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承包人对项目经理的授权范围如下：</w:t>
      </w:r>
      <w:r>
        <w:rPr>
          <w:rFonts w:hint="eastAsia" w:ascii="仿宋_GB2312" w:hAnsi="仿宋" w:eastAsia="仿宋_GB2312" w:cs="宋体"/>
          <w:color w:val="000000"/>
          <w:sz w:val="28"/>
          <w:szCs w:val="28"/>
          <w:u w:val="single"/>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2CD9B776">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关于项目经理每月在施工现场的时间要求：</w:t>
      </w:r>
      <w:r>
        <w:rPr>
          <w:rFonts w:hint="eastAsia" w:ascii="仿宋_GB2312" w:hAnsi="仿宋" w:eastAsia="仿宋_GB2312"/>
          <w:color w:val="000000"/>
          <w:sz w:val="28"/>
          <w:szCs w:val="28"/>
          <w:u w:val="single"/>
        </w:rPr>
        <w:t>项目负责人（项目经理）每月到位率必须不少于22天，每天不少于4小时。</w:t>
      </w:r>
    </w:p>
    <w:p w14:paraId="7F5001F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承包人未提交劳动合同，以及没有为项目经理缴纳社会保险证明的违约责任：</w:t>
      </w:r>
      <w:r>
        <w:rPr>
          <w:rFonts w:hint="eastAsia" w:ascii="仿宋_GB2312" w:hAnsi="仿宋" w:eastAsia="仿宋_GB2312"/>
          <w:color w:val="000000"/>
          <w:sz w:val="28"/>
          <w:szCs w:val="28"/>
          <w:u w:val="single"/>
        </w:rPr>
        <w:t xml:space="preserve">甲乙双方约定     </w:t>
      </w:r>
    </w:p>
    <w:p w14:paraId="2223AC29">
      <w:pPr>
        <w:pStyle w:val="73"/>
        <w:widowControl/>
        <w:spacing w:line="38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项目经理未经批准，擅自离开施工现场的违约责任：</w:t>
      </w:r>
      <w:r>
        <w:rPr>
          <w:rFonts w:hint="eastAsia" w:ascii="仿宋_GB2312" w:hAnsi="仿宋" w:eastAsia="仿宋_GB2312"/>
          <w:color w:val="000000"/>
          <w:sz w:val="28"/>
          <w:szCs w:val="28"/>
          <w:u w:val="single"/>
        </w:rPr>
        <w:t>项目负责人（项目经理）如不能达到承诺的到位率，在当月的工程进度款中按2000元/天扣罚；如累计到位率不到总到位率的70%（到位率由监理工程师与发包方派驻工程师共同考核），则承包人将承担中标价2%的违约金。</w:t>
      </w:r>
    </w:p>
    <w:p w14:paraId="7F0AD06D">
      <w:pPr>
        <w:pStyle w:val="73"/>
        <w:widowControl/>
        <w:spacing w:line="38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3.2.3 承包人擅自更换项目经理的违约责任：</w:t>
      </w:r>
      <w:r>
        <w:rPr>
          <w:rFonts w:hint="eastAsia" w:ascii="仿宋_GB2312" w:hAnsi="仿宋" w:eastAsia="仿宋_GB2312"/>
          <w:color w:val="000000"/>
          <w:sz w:val="28"/>
          <w:szCs w:val="28"/>
          <w:u w:val="single"/>
        </w:rPr>
        <w:t>若擅自变更，则承包人承担中标价2%的违约金，并按《吐鲁番市建设工程各方责任主体及从业人员不良行为公示制度》执行。</w:t>
      </w:r>
    </w:p>
    <w:p w14:paraId="3F8548F8">
      <w:pPr>
        <w:pStyle w:val="73"/>
        <w:widowControl/>
        <w:spacing w:line="38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3.2.4 承包人无正当理由拒绝更换项目经理的违约责任：</w:t>
      </w:r>
      <w:r>
        <w:rPr>
          <w:rFonts w:hint="eastAsia" w:ascii="仿宋_GB2312" w:hAnsi="仿宋" w:eastAsia="仿宋_GB2312"/>
          <w:color w:val="000000"/>
          <w:sz w:val="28"/>
          <w:szCs w:val="28"/>
          <w:u w:val="single"/>
        </w:rPr>
        <w:t>由此对发包人造成的工期延误和经济损失由承包人承担。</w:t>
      </w:r>
    </w:p>
    <w:p w14:paraId="518D0E99">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3.3 承包人人员</w:t>
      </w:r>
    </w:p>
    <w:p w14:paraId="22C55BC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3.3.1 承包人提交项目管理机构及施工现场管理人员安排报告的期限： </w:t>
      </w:r>
      <w:r>
        <w:rPr>
          <w:rFonts w:hint="eastAsia" w:ascii="仿宋_GB2312" w:hAnsi="仿宋" w:eastAsia="仿宋_GB2312"/>
          <w:color w:val="000000"/>
          <w:sz w:val="28"/>
          <w:szCs w:val="28"/>
          <w:u w:val="single"/>
        </w:rPr>
        <w:t>7天内。</w:t>
      </w:r>
    </w:p>
    <w:p w14:paraId="5387081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3.3.3 承包人无正当理由拒绝撤换主要施工管理人员的违约责任：</w:t>
      </w:r>
      <w:r>
        <w:rPr>
          <w:rFonts w:hint="eastAsia" w:ascii="仿宋_GB2312" w:hAnsi="仿宋" w:eastAsia="仿宋_GB2312"/>
          <w:color w:val="000000"/>
          <w:sz w:val="28"/>
          <w:szCs w:val="28"/>
          <w:u w:val="single"/>
        </w:rPr>
        <w:t>由此对发包人造成的工期延误和经济损失由承包人承担。</w:t>
      </w:r>
    </w:p>
    <w:p w14:paraId="442E48C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 xml:space="preserve">3.3.4 承包人主要施工管理人员离开施工现场的批准要求： </w:t>
      </w:r>
      <w:r>
        <w:rPr>
          <w:rFonts w:hint="eastAsia" w:ascii="仿宋_GB2312" w:hAnsi="仿宋" w:eastAsia="仿宋_GB2312"/>
          <w:color w:val="000000"/>
          <w:sz w:val="28"/>
          <w:szCs w:val="28"/>
          <w:u w:val="single"/>
        </w:rPr>
        <w:t xml:space="preserve">执行通用条款  </w:t>
      </w:r>
      <w:r>
        <w:rPr>
          <w:rFonts w:hint="eastAsia" w:ascii="仿宋_GB2312" w:hAnsi="仿宋" w:eastAsia="仿宋_GB2312"/>
          <w:color w:val="000000"/>
          <w:sz w:val="28"/>
          <w:szCs w:val="28"/>
        </w:rPr>
        <w:t>。</w:t>
      </w:r>
    </w:p>
    <w:p w14:paraId="7D7F790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3.3.5承包人擅自更换主要施工管理人员的违约责任：</w:t>
      </w:r>
      <w:r>
        <w:rPr>
          <w:rFonts w:hint="eastAsia" w:ascii="仿宋_GB2312" w:hAnsi="仿宋" w:eastAsia="仿宋_GB2312"/>
          <w:color w:val="000000"/>
          <w:sz w:val="28"/>
          <w:szCs w:val="28"/>
          <w:u w:val="single"/>
        </w:rPr>
        <w:t>未经发包人同意不得擅自更换主要施工管理人员，否则承包人承担中标价2%的违约金。</w:t>
      </w:r>
    </w:p>
    <w:p w14:paraId="273A0ADE">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承包人主要施工管理人员擅自离开施工现场的违约责任：</w:t>
      </w:r>
      <w:r>
        <w:rPr>
          <w:rFonts w:hint="eastAsia" w:ascii="仿宋_GB2312" w:hAnsi="仿宋" w:eastAsia="仿宋_GB2312"/>
          <w:color w:val="000000"/>
          <w:sz w:val="28"/>
          <w:szCs w:val="28"/>
          <w:u w:val="single"/>
        </w:rPr>
        <w:t>项目管理班子人员在施工现场时间必须与投标文件的承诺相一致。如未经工程师书面同意达不到承诺要求的，项目技术负责人每缺一天罚款2000元，其他每缺一天罚款300元，并在当月的工程进度款中扣除。</w:t>
      </w:r>
    </w:p>
    <w:p w14:paraId="33F8B85D">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3.5 分包</w:t>
      </w:r>
    </w:p>
    <w:p w14:paraId="41A616A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3.5.1 分包的一般约定</w:t>
      </w:r>
    </w:p>
    <w:p w14:paraId="14420D5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禁止分包的工程包括：</w:t>
      </w:r>
      <w:r>
        <w:rPr>
          <w:rFonts w:hint="eastAsia" w:ascii="仿宋_GB2312" w:hAnsi="仿宋" w:eastAsia="仿宋_GB2312" w:cs="宋体"/>
          <w:color w:val="000000"/>
          <w:sz w:val="28"/>
          <w:szCs w:val="28"/>
          <w:u w:val="single"/>
        </w:rPr>
        <w:t>按通用条款执行</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4C62F1E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主体结构、关键性工作的范围：</w:t>
      </w:r>
      <w:r>
        <w:rPr>
          <w:rFonts w:hint="eastAsia" w:ascii="仿宋_GB2312" w:hAnsi="仿宋" w:eastAsia="仿宋_GB2312"/>
          <w:color w:val="000000"/>
          <w:sz w:val="28"/>
          <w:szCs w:val="28"/>
          <w:u w:val="single"/>
        </w:rPr>
        <w:t>（详见招标文件清单部分）</w:t>
      </w:r>
      <w:r>
        <w:rPr>
          <w:rFonts w:hint="eastAsia" w:ascii="仿宋_GB2312" w:hAnsi="仿宋" w:eastAsia="仿宋_GB2312"/>
          <w:color w:val="000000"/>
          <w:sz w:val="28"/>
          <w:szCs w:val="28"/>
        </w:rPr>
        <w:t xml:space="preserve"> 。</w:t>
      </w:r>
    </w:p>
    <w:p w14:paraId="50B8B59A">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3.5.2分包的确定</w:t>
      </w:r>
    </w:p>
    <w:p w14:paraId="5AF533A6">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允许分包的专业工程包括：</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08A83D05">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其他关于分包的约定：</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5F9011A">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3.5.4 分包合同价款</w:t>
      </w:r>
    </w:p>
    <w:p w14:paraId="45AAFAF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关于分包合同价款支付的约定：</w:t>
      </w:r>
      <w:r>
        <w:rPr>
          <w:rFonts w:hint="eastAsia" w:ascii="仿宋_GB2312" w:hAnsi="仿宋" w:eastAsia="仿宋_GB2312" w:cs="宋体"/>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2CCCFFB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3.6 工程照管与成品、半成品保护</w:t>
      </w:r>
    </w:p>
    <w:p w14:paraId="7761F37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承包人负责照管工程及工程相关的材料、工程设备的起始时间：</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725E211A">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3.7 履约担保</w:t>
      </w:r>
    </w:p>
    <w:p w14:paraId="1347DAC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承包人是否提供履约担保：</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2A5C74AE">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承包人提供履约担保的形式、金额及期限的：</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eastAsia="zh-CN"/>
        </w:rPr>
        <w:t>。</w:t>
      </w:r>
      <w:r>
        <w:rPr>
          <w:rFonts w:hint="eastAsia" w:ascii="仿宋_GB2312" w:hAnsi="仿宋" w:eastAsia="仿宋_GB2312"/>
          <w:color w:val="000000"/>
          <w:sz w:val="28"/>
          <w:szCs w:val="28"/>
          <w:u w:val="single"/>
        </w:rPr>
        <w:t xml:space="preserve">   </w:t>
      </w:r>
    </w:p>
    <w:p w14:paraId="3574BF78">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4. 监理人</w:t>
      </w:r>
    </w:p>
    <w:p w14:paraId="193FEF58">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4.1监理人的一般规定</w:t>
      </w:r>
    </w:p>
    <w:p w14:paraId="75197455">
      <w:pPr>
        <w:pStyle w:val="73"/>
        <w:spacing w:line="420" w:lineRule="exact"/>
        <w:ind w:left="0"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关于监理人的监理内容：</w:t>
      </w:r>
      <w:r>
        <w:rPr>
          <w:rFonts w:hint="eastAsia" w:ascii="仿宋_GB2312" w:hAnsi="仿宋" w:eastAsia="仿宋_GB2312"/>
          <w:color w:val="000000"/>
          <w:sz w:val="28"/>
          <w:szCs w:val="28"/>
          <w:u w:val="single"/>
        </w:rPr>
        <w:t>按照发包人与监理方签订的合同，依照合同和有关法律、法规、负责和主持整个项目的监理工作，在合同规定范围内，对工程项目施工进行全过程监理（包括工程质量、工期进度、安全文明施工管理、工程量与工程款的审核等）</w:t>
      </w:r>
      <w:r>
        <w:rPr>
          <w:rFonts w:hint="eastAsia" w:ascii="仿宋_GB2312" w:hAnsi="仿宋" w:eastAsia="仿宋_GB2312"/>
          <w:color w:val="000000"/>
          <w:sz w:val="28"/>
          <w:szCs w:val="28"/>
        </w:rPr>
        <w:t>。</w:t>
      </w:r>
    </w:p>
    <w:p w14:paraId="78D486A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关于监理人的监理权限：</w:t>
      </w:r>
      <w:r>
        <w:rPr>
          <w:rFonts w:hint="eastAsia" w:ascii="仿宋_GB2312" w:hAnsi="仿宋" w:eastAsia="仿宋_GB2312"/>
          <w:color w:val="000000"/>
          <w:sz w:val="28"/>
          <w:szCs w:val="28"/>
          <w:u w:val="single"/>
        </w:rPr>
        <w:t xml:space="preserve">按监理合同实施   </w:t>
      </w:r>
      <w:r>
        <w:rPr>
          <w:rFonts w:hint="eastAsia" w:ascii="仿宋_GB2312" w:hAnsi="仿宋" w:eastAsia="仿宋_GB2312"/>
          <w:color w:val="000000"/>
          <w:sz w:val="28"/>
          <w:szCs w:val="28"/>
        </w:rPr>
        <w:t xml:space="preserve">。 </w:t>
      </w:r>
    </w:p>
    <w:p w14:paraId="0311CA67">
      <w:pPr>
        <w:spacing w:line="420" w:lineRule="exact"/>
        <w:ind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关于监理人在施工现场的办公场所、生活场所的提供和费用承担的约定：</w:t>
      </w:r>
      <w:r>
        <w:rPr>
          <w:rFonts w:hint="eastAsia" w:ascii="仿宋_GB2312" w:hAnsi="仿宋" w:eastAsia="仿宋_GB2312"/>
          <w:color w:val="000000"/>
          <w:sz w:val="28"/>
          <w:szCs w:val="28"/>
          <w:u w:val="single"/>
        </w:rPr>
        <w:t xml:space="preserve">自负。      </w:t>
      </w:r>
    </w:p>
    <w:p w14:paraId="1E374DD9">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4.2 监理人员</w:t>
      </w:r>
    </w:p>
    <w:p w14:paraId="48D6EFCD">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总监理工程师：</w:t>
      </w:r>
    </w:p>
    <w:p w14:paraId="5495C427">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姓    名：</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03E44D2E">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职    务：</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360B8054">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监理工程师执业资格证书号：</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69E82097">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联系电话：</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20BABFB0">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电子信箱：</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0F0B6D6D">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通信地址：</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w:t>
      </w:r>
      <w:r>
        <w:rPr>
          <w:rFonts w:hint="eastAsia" w:ascii="仿宋_GB2312" w:hAnsi="仿宋" w:eastAsia="仿宋_GB2312"/>
          <w:color w:val="000000"/>
          <w:sz w:val="28"/>
          <w:szCs w:val="28"/>
        </w:rPr>
        <w:t>；</w:t>
      </w:r>
    </w:p>
    <w:p w14:paraId="517900A6">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关于监理人的其他约定：</w:t>
      </w:r>
      <w:r>
        <w:rPr>
          <w:rFonts w:hint="eastAsia" w:ascii="仿宋_GB2312" w:hAnsi="仿宋" w:eastAsia="仿宋_GB2312" w:cs="宋体"/>
          <w:color w:val="000000"/>
          <w:sz w:val="28"/>
          <w:szCs w:val="28"/>
          <w:u w:val="single"/>
        </w:rPr>
        <w:t>严格履行本职职责，认真、细致、负责完成与业主签订的合同</w:t>
      </w:r>
      <w:r>
        <w:rPr>
          <w:rFonts w:hint="eastAsia" w:ascii="仿宋_GB2312" w:hAnsi="仿宋" w:eastAsia="仿宋_GB2312"/>
          <w:color w:val="000000"/>
          <w:sz w:val="28"/>
          <w:szCs w:val="28"/>
        </w:rPr>
        <w:t>。</w:t>
      </w:r>
    </w:p>
    <w:p w14:paraId="570C1E6B">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4.4 商定或确定</w:t>
      </w:r>
    </w:p>
    <w:p w14:paraId="3EB03ED3">
      <w:pPr>
        <w:pStyle w:val="73"/>
        <w:widowControl/>
        <w:spacing w:line="3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在发包人和承包人不能通过协商达成一致意见时，发包人授权监理人对以下事项进行确定：</w:t>
      </w:r>
    </w:p>
    <w:p w14:paraId="1C7F9AAB">
      <w:pPr>
        <w:pStyle w:val="73"/>
        <w:widowControl/>
        <w:spacing w:line="3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w:t>
      </w:r>
      <w:r>
        <w:rPr>
          <w:rFonts w:hint="eastAsia" w:ascii="仿宋_GB2312" w:hAnsi="仿宋" w:eastAsia="仿宋_GB2312"/>
          <w:color w:val="000000"/>
          <w:sz w:val="28"/>
          <w:szCs w:val="28"/>
          <w:u w:val="single"/>
        </w:rPr>
        <w:t xml:space="preserve">质量的争议检测 </w:t>
      </w:r>
      <w:r>
        <w:rPr>
          <w:rFonts w:hint="eastAsia" w:ascii="仿宋_GB2312" w:hAnsi="仿宋" w:eastAsia="仿宋_GB2312"/>
          <w:color w:val="000000"/>
          <w:sz w:val="28"/>
          <w:szCs w:val="28"/>
        </w:rPr>
        <w:t>；</w:t>
      </w:r>
    </w:p>
    <w:p w14:paraId="0BE1F72A">
      <w:pPr>
        <w:pStyle w:val="73"/>
        <w:widowControl/>
        <w:spacing w:line="3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（2）</w:t>
      </w:r>
      <w:r>
        <w:rPr>
          <w:rFonts w:hint="eastAsia" w:ascii="仿宋_GB2312" w:hAnsi="仿宋" w:eastAsia="仿宋_GB2312"/>
          <w:color w:val="000000"/>
          <w:sz w:val="28"/>
          <w:szCs w:val="28"/>
          <w:u w:val="single"/>
        </w:rPr>
        <w:t xml:space="preserve">材料与工程设备的替代  </w:t>
      </w:r>
      <w:r>
        <w:rPr>
          <w:rFonts w:hint="eastAsia" w:ascii="仿宋_GB2312" w:hAnsi="仿宋" w:eastAsia="仿宋_GB2312"/>
          <w:color w:val="000000"/>
          <w:sz w:val="28"/>
          <w:szCs w:val="28"/>
        </w:rPr>
        <w:t>；</w:t>
      </w:r>
    </w:p>
    <w:p w14:paraId="6D991791">
      <w:pPr>
        <w:pStyle w:val="73"/>
        <w:widowControl/>
        <w:spacing w:line="3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（3）</w:t>
      </w:r>
      <w:r>
        <w:rPr>
          <w:rFonts w:hint="eastAsia" w:ascii="仿宋_GB2312" w:hAnsi="仿宋" w:eastAsia="仿宋_GB2312"/>
          <w:color w:val="000000"/>
          <w:sz w:val="28"/>
          <w:szCs w:val="28"/>
          <w:u w:val="single"/>
        </w:rPr>
        <w:t>变更估价</w:t>
      </w:r>
      <w:r>
        <w:rPr>
          <w:rFonts w:hint="eastAsia" w:ascii="仿宋_GB2312" w:hAnsi="仿宋" w:eastAsia="仿宋_GB2312"/>
          <w:color w:val="000000"/>
          <w:sz w:val="28"/>
          <w:szCs w:val="28"/>
        </w:rPr>
        <w:t>。</w:t>
      </w:r>
    </w:p>
    <w:p w14:paraId="09CB674C">
      <w:pPr>
        <w:pStyle w:val="73"/>
        <w:widowControl/>
        <w:spacing w:line="3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（4）</w:t>
      </w:r>
      <w:r>
        <w:rPr>
          <w:rFonts w:hint="eastAsia" w:ascii="仿宋_GB2312" w:hAnsi="仿宋" w:eastAsia="仿宋_GB2312"/>
          <w:color w:val="000000"/>
          <w:sz w:val="28"/>
          <w:szCs w:val="28"/>
          <w:u w:val="single"/>
        </w:rPr>
        <w:t>变更引起的工期调整</w:t>
      </w:r>
      <w:r>
        <w:rPr>
          <w:rFonts w:hint="eastAsia" w:ascii="仿宋_GB2312" w:hAnsi="仿宋" w:eastAsia="仿宋_GB2312"/>
          <w:color w:val="000000"/>
          <w:sz w:val="28"/>
          <w:szCs w:val="28"/>
        </w:rPr>
        <w:t>。</w:t>
      </w:r>
    </w:p>
    <w:p w14:paraId="1F8A122D">
      <w:pPr>
        <w:pStyle w:val="73"/>
        <w:widowControl/>
        <w:spacing w:line="38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（5）</w:t>
      </w:r>
      <w:r>
        <w:rPr>
          <w:rFonts w:hint="eastAsia" w:ascii="仿宋_GB2312" w:hAnsi="仿宋" w:eastAsia="仿宋_GB2312"/>
          <w:color w:val="000000"/>
          <w:sz w:val="28"/>
          <w:szCs w:val="28"/>
          <w:u w:val="single"/>
        </w:rPr>
        <w:t>计日工。</w:t>
      </w:r>
    </w:p>
    <w:p w14:paraId="700AFABC">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(6)</w:t>
      </w:r>
      <w:r>
        <w:rPr>
          <w:rFonts w:hint="eastAsia" w:ascii="仿宋_GB2312" w:hAnsi="仿宋" w:eastAsia="仿宋_GB2312"/>
          <w:color w:val="000000"/>
          <w:sz w:val="28"/>
          <w:szCs w:val="28"/>
          <w:u w:val="single"/>
        </w:rPr>
        <w:t>法律变化引起的调整。</w:t>
      </w:r>
    </w:p>
    <w:p w14:paraId="723B9AD1">
      <w:pPr>
        <w:pStyle w:val="73"/>
        <w:spacing w:line="420" w:lineRule="exact"/>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5. 工程质量</w:t>
      </w:r>
    </w:p>
    <w:p w14:paraId="07C84B00">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5.1 质量要求</w:t>
      </w:r>
    </w:p>
    <w:p w14:paraId="0B0915ED">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5.1.1 特殊质量标准和要求：</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49114351">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关于工程奖项的约定：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157788A">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5.3 隐蔽工程检查</w:t>
      </w:r>
    </w:p>
    <w:p w14:paraId="2D608851">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5.3.2承包人提前通知监理人隐蔽工程检查的期限的约定：</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3281C90A">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监理人不能按时进行检查时，应提前</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24  </w:t>
      </w:r>
      <w:r>
        <w:rPr>
          <w:rFonts w:hint="eastAsia" w:ascii="仿宋_GB2312" w:hAnsi="仿宋" w:eastAsia="仿宋_GB2312"/>
          <w:color w:val="000000"/>
          <w:sz w:val="28"/>
          <w:szCs w:val="28"/>
        </w:rPr>
        <w:t>小时提交书面延期要求。</w:t>
      </w:r>
    </w:p>
    <w:p w14:paraId="5BC5680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关于延期最长不得超过：</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48</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小时。</w:t>
      </w:r>
    </w:p>
    <w:p w14:paraId="788146C4">
      <w:pPr>
        <w:pStyle w:val="73"/>
        <w:spacing w:line="420" w:lineRule="exact"/>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6. 安全文明施工与环境保护</w:t>
      </w:r>
    </w:p>
    <w:p w14:paraId="6B5CF61C">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6.1安全文明施工</w:t>
      </w:r>
    </w:p>
    <w:p w14:paraId="6A0E1490">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6.1.1 项目安全生产的达标目标及相应事项的约定：</w:t>
      </w:r>
      <w:r>
        <w:rPr>
          <w:rFonts w:hint="eastAsia" w:ascii="仿宋_GB2312" w:hAnsi="仿宋" w:eastAsia="仿宋_GB2312"/>
          <w:color w:val="000000"/>
          <w:sz w:val="28"/>
          <w:szCs w:val="28"/>
          <w:u w:val="single"/>
        </w:rPr>
        <w:t>承包人应按《建筑施工企业安全生产管理机构设置及专职安全生产管理人员配备办法》（建质【2008】91号）设置专职安全生产管理人员，并按照相关内容和国家行业规范要求采取有效的安全措施，以保证自身及第三人和周边环境的安全。</w:t>
      </w:r>
    </w:p>
    <w:p w14:paraId="6B87333A">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6.1.4 关于治安保卫的特别约定：</w:t>
      </w:r>
      <w:r>
        <w:rPr>
          <w:rFonts w:hint="eastAsia" w:ascii="仿宋_GB2312" w:hAnsi="仿宋" w:eastAsia="仿宋_GB2312"/>
          <w:color w:val="000000"/>
          <w:sz w:val="28"/>
          <w:szCs w:val="28"/>
          <w:u w:val="single"/>
        </w:rPr>
        <w:t xml:space="preserve"> 施工现场的安全保卫工作（包括此项工作发生的费用）均由承包人承担。</w:t>
      </w:r>
    </w:p>
    <w:p w14:paraId="673F8237">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关于编制施工场地治安管理计划的约定：</w:t>
      </w:r>
      <w:r>
        <w:rPr>
          <w:rFonts w:hint="eastAsia" w:ascii="仿宋_GB2312" w:hAnsi="仿宋" w:eastAsia="仿宋_GB2312"/>
          <w:color w:val="000000"/>
          <w:sz w:val="28"/>
          <w:szCs w:val="28"/>
          <w:u w:val="single"/>
        </w:rPr>
        <w:t xml:space="preserve"> 按通用条款执行         </w:t>
      </w:r>
      <w:r>
        <w:rPr>
          <w:rFonts w:hint="eastAsia" w:ascii="仿宋_GB2312" w:hAnsi="仿宋" w:eastAsia="仿宋_GB2312"/>
          <w:color w:val="000000"/>
          <w:sz w:val="28"/>
          <w:szCs w:val="28"/>
        </w:rPr>
        <w:t>。</w:t>
      </w:r>
    </w:p>
    <w:p w14:paraId="0B396FEB">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6.1.5 文明施工</w:t>
      </w:r>
    </w:p>
    <w:p w14:paraId="4D0F908B">
      <w:pPr>
        <w:pStyle w:val="73"/>
        <w:spacing w:line="420" w:lineRule="exact"/>
        <w:ind w:left="0" w:right="28"/>
        <w:rPr>
          <w:rFonts w:hint="eastAsia" w:ascii="仿宋_GB2312" w:hAnsi="仿宋" w:eastAsia="仿宋_GB2312"/>
          <w:bCs/>
          <w:color w:val="000000"/>
          <w:sz w:val="28"/>
          <w:szCs w:val="28"/>
          <w:u w:val="single"/>
        </w:rPr>
      </w:pPr>
      <w:r>
        <w:rPr>
          <w:rFonts w:hint="eastAsia" w:ascii="仿宋_GB2312" w:hAnsi="仿宋" w:eastAsia="仿宋_GB2312"/>
          <w:color w:val="000000"/>
          <w:sz w:val="28"/>
          <w:szCs w:val="28"/>
        </w:rPr>
        <w:t>合同当事人对文明施工的要求：①</w:t>
      </w:r>
      <w:r>
        <w:rPr>
          <w:rFonts w:hint="eastAsia" w:ascii="仿宋_GB2312" w:hAnsi="仿宋" w:eastAsia="仿宋_GB2312"/>
          <w:color w:val="000000"/>
          <w:sz w:val="28"/>
          <w:szCs w:val="28"/>
          <w:u w:val="single"/>
        </w:rPr>
        <w:t>承包人必须按照规定进行施工现场文明施工管理，</w:t>
      </w:r>
      <w:r>
        <w:rPr>
          <w:rFonts w:hint="eastAsia" w:ascii="仿宋_GB2312" w:hAnsi="仿宋" w:eastAsia="仿宋_GB2312"/>
          <w:bCs/>
          <w:color w:val="000000"/>
          <w:sz w:val="28"/>
          <w:szCs w:val="28"/>
          <w:u w:val="single"/>
        </w:rPr>
        <w:t>所发生的费用由承包人承担。</w:t>
      </w:r>
      <w:r>
        <w:rPr>
          <w:rFonts w:hint="eastAsia" w:ascii="仿宋_GB2312" w:hAnsi="仿宋" w:eastAsia="仿宋_GB2312"/>
          <w:color w:val="000000"/>
          <w:sz w:val="28"/>
          <w:szCs w:val="28"/>
        </w:rPr>
        <w:t>②</w:t>
      </w:r>
      <w:r>
        <w:rPr>
          <w:rFonts w:hint="eastAsia" w:ascii="仿宋_GB2312" w:hAnsi="仿宋" w:eastAsia="仿宋_GB2312"/>
          <w:bCs/>
          <w:color w:val="000000"/>
          <w:sz w:val="28"/>
          <w:szCs w:val="28"/>
          <w:u w:val="single"/>
        </w:rPr>
        <w:t>承包人必须做好施工现场周围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文明施工、标准化管理规定，明确具体措施，积极落实各项安全生产工作，杜绝重大伤亡事故。</w:t>
      </w:r>
    </w:p>
    <w:p w14:paraId="766A1D14">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6.1.6 关于安全文明施工费支付比例和支付期限的约定：</w:t>
      </w:r>
      <w:r>
        <w:rPr>
          <w:rFonts w:hint="eastAsia" w:ascii="仿宋_GB2312" w:hAnsi="仿宋" w:eastAsia="仿宋_GB2312"/>
          <w:color w:val="000000"/>
          <w:sz w:val="28"/>
          <w:szCs w:val="28"/>
          <w:u w:val="single"/>
        </w:rPr>
        <w:t xml:space="preserve"> 按文明施工措施费相关文件执行</w:t>
      </w:r>
      <w:r>
        <w:rPr>
          <w:rFonts w:hint="eastAsia" w:ascii="仿宋_GB2312" w:hAnsi="仿宋" w:eastAsia="仿宋_GB2312"/>
          <w:color w:val="000000"/>
          <w:sz w:val="28"/>
          <w:szCs w:val="28"/>
        </w:rPr>
        <w:t>。</w:t>
      </w:r>
    </w:p>
    <w:p w14:paraId="5A74964C">
      <w:pPr>
        <w:pStyle w:val="73"/>
        <w:spacing w:line="420" w:lineRule="exact"/>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7. 工期和进度</w:t>
      </w:r>
    </w:p>
    <w:p w14:paraId="173FE9F2">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7.1 施工组织设计</w:t>
      </w:r>
    </w:p>
    <w:p w14:paraId="205FF10E">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7.1.1 合同当事人约定的施工组织设计应包括的其他内容：</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无 </w:t>
      </w:r>
      <w:r>
        <w:rPr>
          <w:rFonts w:hint="eastAsia" w:ascii="仿宋_GB2312" w:hAnsi="仿宋" w:eastAsia="仿宋_GB2312"/>
          <w:color w:val="000000"/>
          <w:sz w:val="28"/>
          <w:szCs w:val="28"/>
        </w:rPr>
        <w:t>。</w:t>
      </w:r>
    </w:p>
    <w:p w14:paraId="64BBC120">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7.1.2 施工组织设计的提交和修改</w:t>
      </w:r>
    </w:p>
    <w:p w14:paraId="43A07359">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承包人提交详细施工组织设计的期限的约定：</w:t>
      </w:r>
      <w:r>
        <w:rPr>
          <w:rFonts w:hint="eastAsia" w:ascii="仿宋_GB2312" w:hAnsi="仿宋" w:eastAsia="仿宋_GB2312"/>
          <w:color w:val="000000"/>
          <w:sz w:val="28"/>
          <w:szCs w:val="28"/>
          <w:u w:val="single"/>
        </w:rPr>
        <w:t>收到中标通知书（成交通知书）后三天内</w:t>
      </w:r>
      <w:r>
        <w:rPr>
          <w:rFonts w:hint="eastAsia" w:ascii="仿宋_GB2312" w:hAnsi="仿宋" w:eastAsia="仿宋_GB2312"/>
          <w:color w:val="000000"/>
          <w:sz w:val="28"/>
          <w:szCs w:val="28"/>
        </w:rPr>
        <w:t>。</w:t>
      </w:r>
    </w:p>
    <w:p w14:paraId="692611E9">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发包人和监理人在收到详细的施工组织设计后确认或提出修改意见的期限：</w:t>
      </w:r>
      <w:r>
        <w:rPr>
          <w:rFonts w:hint="eastAsia" w:ascii="仿宋_GB2312" w:hAnsi="仿宋" w:eastAsia="仿宋_GB2312"/>
          <w:color w:val="000000"/>
          <w:sz w:val="28"/>
          <w:szCs w:val="28"/>
          <w:u w:val="single"/>
        </w:rPr>
        <w:t xml:space="preserve"> 在承包人提供施工组织设计后七天内审定完毕；若发包人对其施工组织设计提出质疑或要求承包人进行修正，承包人在规定期限内应提供修正的施工组织设计，发包人应在七日内对承包人修正的施工组织设计进行最后审定。</w:t>
      </w:r>
    </w:p>
    <w:p w14:paraId="494F04FF">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7.2 施工进度计划</w:t>
      </w:r>
    </w:p>
    <w:p w14:paraId="30DD802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7.2.2 施工进度计划的修订</w:t>
      </w:r>
    </w:p>
    <w:p w14:paraId="689A6BE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发包人和监理人在收到修订的施工进度计划后确认或提出修改意见的期限：</w:t>
      </w:r>
      <w:r>
        <w:rPr>
          <w:rFonts w:hint="eastAsia" w:ascii="仿宋_GB2312" w:hAnsi="仿宋" w:eastAsia="仿宋_GB2312"/>
          <w:color w:val="000000"/>
          <w:sz w:val="28"/>
          <w:szCs w:val="28"/>
          <w:u w:val="single"/>
        </w:rPr>
        <w:t>签收后5天内</w:t>
      </w:r>
      <w:r>
        <w:rPr>
          <w:rFonts w:hint="eastAsia" w:ascii="仿宋_GB2312" w:hAnsi="仿宋" w:eastAsia="仿宋_GB2312"/>
          <w:color w:val="000000"/>
          <w:sz w:val="28"/>
          <w:szCs w:val="28"/>
        </w:rPr>
        <w:t>。</w:t>
      </w:r>
    </w:p>
    <w:p w14:paraId="2E11093F">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7.3 开工</w:t>
      </w:r>
    </w:p>
    <w:p w14:paraId="5A0AE65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7.3.1 开工准备</w:t>
      </w:r>
    </w:p>
    <w:p w14:paraId="19F186AB">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关于承包人提交工程开工报审表的期限：</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1FE922F3">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关于发包人应完成的其他开工准备工作及期限：</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0797AB8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关于承包人应完成的其他开工准备工作及期限：</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1B378E7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7.3.2开工通知</w:t>
      </w:r>
    </w:p>
    <w:p w14:paraId="14998BF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因发包人原因造成监理人未能在计划开工日期之日起</w:t>
      </w:r>
      <w:r>
        <w:rPr>
          <w:rFonts w:hint="eastAsia" w:ascii="仿宋_GB2312" w:hAnsi="仿宋" w:eastAsia="仿宋_GB2312"/>
          <w:color w:val="000000"/>
          <w:sz w:val="28"/>
          <w:szCs w:val="28"/>
          <w:u w:val="single"/>
        </w:rPr>
        <w:t xml:space="preserve"> 90 </w:t>
      </w:r>
      <w:r>
        <w:rPr>
          <w:rFonts w:hint="eastAsia" w:ascii="仿宋_GB2312" w:hAnsi="仿宋" w:eastAsia="仿宋_GB2312"/>
          <w:color w:val="000000"/>
          <w:sz w:val="28"/>
          <w:szCs w:val="28"/>
        </w:rPr>
        <w:t>天内发出开工通知的，承包人有权提出价格调整要求，或者解除合同。</w:t>
      </w:r>
    </w:p>
    <w:p w14:paraId="64C8FF21">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7.4 测量放线</w:t>
      </w:r>
    </w:p>
    <w:p w14:paraId="43B913E6">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7.4.1发包人通过监理人向承包人提供测量基准点、基准线和水准点及其书面资料的期限：</w:t>
      </w:r>
      <w:r>
        <w:rPr>
          <w:rFonts w:hint="eastAsia" w:ascii="仿宋_GB2312" w:hAnsi="仿宋" w:eastAsia="仿宋_GB2312"/>
          <w:color w:val="000000"/>
          <w:sz w:val="28"/>
          <w:szCs w:val="28"/>
          <w:u w:val="single"/>
        </w:rPr>
        <w:t xml:space="preserve"> 开工前7天内</w:t>
      </w:r>
      <w:r>
        <w:rPr>
          <w:rFonts w:hint="eastAsia" w:ascii="仿宋_GB2312" w:hAnsi="仿宋" w:eastAsia="仿宋_GB2312"/>
          <w:color w:val="000000"/>
          <w:sz w:val="28"/>
          <w:szCs w:val="28"/>
        </w:rPr>
        <w:t>。</w:t>
      </w:r>
    </w:p>
    <w:p w14:paraId="5FCCE875">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7.5 工期延误</w:t>
      </w:r>
    </w:p>
    <w:p w14:paraId="7BA33F0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7.5.1 因发包人原因导致工期延误</w:t>
      </w:r>
    </w:p>
    <w:p w14:paraId="1F3FABE7">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（7）因发包人原因导致工期延误的其他情形：</w:t>
      </w:r>
      <w:r>
        <w:rPr>
          <w:rFonts w:hint="eastAsia" w:ascii="仿宋_GB2312" w:hAnsi="仿宋" w:eastAsia="仿宋_GB2312"/>
          <w:color w:val="000000"/>
          <w:sz w:val="28"/>
          <w:szCs w:val="28"/>
          <w:u w:val="single"/>
        </w:rPr>
        <w:t xml:space="preserve"> 执行通用条款    </w:t>
      </w:r>
      <w:r>
        <w:rPr>
          <w:rFonts w:hint="eastAsia" w:ascii="仿宋_GB2312" w:hAnsi="仿宋" w:eastAsia="仿宋_GB2312"/>
          <w:color w:val="000000"/>
          <w:sz w:val="28"/>
          <w:szCs w:val="28"/>
        </w:rPr>
        <w:t>。</w:t>
      </w:r>
    </w:p>
    <w:p w14:paraId="26A389EA">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7.5.2 因承包人原因导致工期延误</w:t>
      </w:r>
    </w:p>
    <w:p w14:paraId="7247D6BB">
      <w:pPr>
        <w:pStyle w:val="73"/>
        <w:widowControl/>
        <w:spacing w:line="38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因承包人原因造成工期延误，逾期竣工违约金的计算方法为：</w:t>
      </w:r>
      <w:r>
        <w:rPr>
          <w:rFonts w:hint="eastAsia" w:ascii="仿宋_GB2312" w:hAnsi="仿宋" w:eastAsia="仿宋_GB2312"/>
          <w:color w:val="000000"/>
          <w:sz w:val="28"/>
          <w:szCs w:val="28"/>
          <w:u w:val="single"/>
        </w:rPr>
        <w:t xml:space="preserve"> 除每天向发包人支付合同价万分之五的工期违约金外，还必须承担由此给发包人造成的其他经济损失，直至追究法律责任</w:t>
      </w:r>
      <w:r>
        <w:rPr>
          <w:rFonts w:hint="eastAsia" w:ascii="仿宋_GB2312" w:hAnsi="仿宋" w:eastAsia="仿宋_GB2312"/>
          <w:color w:val="000000"/>
          <w:sz w:val="28"/>
          <w:szCs w:val="28"/>
        </w:rPr>
        <w:t>。</w:t>
      </w:r>
    </w:p>
    <w:p w14:paraId="50B2B3C2">
      <w:pPr>
        <w:pStyle w:val="73"/>
        <w:widowControl/>
        <w:spacing w:line="380" w:lineRule="exact"/>
        <w:ind w:left="0" w:right="26"/>
        <w:rPr>
          <w:rFonts w:hint="eastAsia" w:ascii="仿宋_GB2312" w:hAnsi="仿宋" w:eastAsia="仿宋_GB2312"/>
          <w:color w:val="000000"/>
          <w:sz w:val="28"/>
          <w:szCs w:val="28"/>
          <w:highlight w:val="yellow"/>
        </w:rPr>
      </w:pPr>
      <w:r>
        <w:rPr>
          <w:rFonts w:hint="eastAsia" w:ascii="仿宋_GB2312" w:hAnsi="仿宋" w:eastAsia="仿宋_GB2312"/>
          <w:color w:val="000000"/>
          <w:sz w:val="28"/>
          <w:szCs w:val="28"/>
        </w:rPr>
        <w:t>因承包人原因造成工期延误，逾</w:t>
      </w:r>
      <w:bookmarkStart w:id="835" w:name="_Toc312678014"/>
      <w:bookmarkStart w:id="836" w:name="_Toc318581171"/>
      <w:r>
        <w:rPr>
          <w:rFonts w:hint="eastAsia" w:ascii="仿宋_GB2312" w:hAnsi="仿宋" w:eastAsia="仿宋_GB2312"/>
          <w:color w:val="000000"/>
          <w:sz w:val="28"/>
          <w:szCs w:val="28"/>
        </w:rPr>
        <w:t>期竣工违约金的上限：</w:t>
      </w:r>
      <w:r>
        <w:rPr>
          <w:rFonts w:hint="eastAsia" w:ascii="仿宋_GB2312" w:hAnsi="仿宋" w:eastAsia="仿宋_GB2312"/>
          <w:color w:val="000000"/>
          <w:sz w:val="28"/>
          <w:szCs w:val="28"/>
          <w:u w:val="single"/>
        </w:rPr>
        <w:t xml:space="preserve"> 合同价款的5%   </w:t>
      </w:r>
      <w:r>
        <w:rPr>
          <w:rFonts w:hint="eastAsia" w:ascii="仿宋_GB2312" w:hAnsi="仿宋" w:eastAsia="仿宋_GB2312"/>
          <w:color w:val="000000"/>
          <w:sz w:val="28"/>
          <w:szCs w:val="28"/>
        </w:rPr>
        <w:t>。</w:t>
      </w:r>
      <w:bookmarkEnd w:id="835"/>
      <w:bookmarkEnd w:id="836"/>
    </w:p>
    <w:p w14:paraId="1F8FAC7A">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7.6 不利物质条件</w:t>
      </w:r>
    </w:p>
    <w:p w14:paraId="76803A5A">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不利物质条件的其他情形和有关约定：</w:t>
      </w:r>
      <w:r>
        <w:rPr>
          <w:rFonts w:hint="eastAsia" w:ascii="仿宋_GB2312" w:hAnsi="仿宋" w:eastAsia="仿宋_GB2312"/>
          <w:color w:val="000000"/>
          <w:sz w:val="28"/>
          <w:szCs w:val="28"/>
          <w:u w:val="single"/>
        </w:rPr>
        <w:t xml:space="preserve">执行通用条款 </w:t>
      </w:r>
      <w:r>
        <w:rPr>
          <w:rFonts w:hint="eastAsia" w:ascii="仿宋_GB2312" w:hAnsi="仿宋" w:eastAsia="仿宋_GB2312"/>
          <w:color w:val="000000"/>
          <w:sz w:val="28"/>
          <w:szCs w:val="28"/>
        </w:rPr>
        <w:t>。</w:t>
      </w:r>
    </w:p>
    <w:p w14:paraId="7EEAEEAC">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7.7异常恶劣的气候条件</w:t>
      </w:r>
    </w:p>
    <w:p w14:paraId="73AB60E1">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发包人和承包人同意以下情形视为异常恶劣的气候条件：</w:t>
      </w:r>
    </w:p>
    <w:p w14:paraId="2492B711">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（1） </w:t>
      </w:r>
      <w:r>
        <w:rPr>
          <w:rFonts w:hint="eastAsia" w:ascii="仿宋_GB2312" w:hAnsi="仿宋" w:eastAsia="仿宋_GB2312"/>
          <w:color w:val="000000"/>
          <w:sz w:val="28"/>
          <w:szCs w:val="28"/>
          <w:u w:val="single"/>
        </w:rPr>
        <w:t>出现10级以上大风</w:t>
      </w:r>
      <w:r>
        <w:rPr>
          <w:rFonts w:hint="eastAsia" w:ascii="仿宋_GB2312" w:hAnsi="仿宋" w:eastAsia="仿宋_GB2312"/>
          <w:color w:val="000000"/>
          <w:sz w:val="28"/>
          <w:szCs w:val="28"/>
        </w:rPr>
        <w:t xml:space="preserve"> ；</w:t>
      </w:r>
    </w:p>
    <w:p w14:paraId="62E31E7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（2） </w:t>
      </w:r>
      <w:r>
        <w:rPr>
          <w:rFonts w:hint="eastAsia" w:ascii="仿宋_GB2312" w:hAnsi="仿宋" w:eastAsia="仿宋_GB2312"/>
          <w:color w:val="000000"/>
          <w:sz w:val="28"/>
          <w:szCs w:val="28"/>
          <w:u w:val="single"/>
        </w:rPr>
        <w:t>高温超过45℃连续3天以上</w:t>
      </w:r>
      <w:r>
        <w:rPr>
          <w:rFonts w:hint="eastAsia" w:ascii="仿宋_GB2312" w:hAnsi="仿宋" w:eastAsia="仿宋_GB2312"/>
          <w:color w:val="000000"/>
          <w:sz w:val="28"/>
          <w:szCs w:val="28"/>
        </w:rPr>
        <w:t xml:space="preserve"> ；</w:t>
      </w:r>
    </w:p>
    <w:p w14:paraId="7391DDBE">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7.9 提前竣工的奖励</w:t>
      </w:r>
    </w:p>
    <w:p w14:paraId="4B857A8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7.9.2提前竣工的奖励：</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5C2F4C4">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8. 材料与设备</w:t>
      </w:r>
    </w:p>
    <w:p w14:paraId="52E2C26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8.4材料与工程设备的保管与使用</w:t>
      </w:r>
    </w:p>
    <w:p w14:paraId="714198CD">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8.4.1发包人供应的材料设备的保管费用的承担：</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5085EE1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8.6 样品</w:t>
      </w:r>
    </w:p>
    <w:p w14:paraId="4D333F7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8.6.1</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样品的报送与封存</w:t>
      </w:r>
    </w:p>
    <w:p w14:paraId="5A280B7C">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需要承包人报送样品的材料或工程设备，样品的种类、名称、规格、数量要求：</w:t>
      </w:r>
      <w:r>
        <w:rPr>
          <w:rFonts w:hint="eastAsia" w:ascii="仿宋_GB2312" w:hAnsi="仿宋" w:eastAsia="仿宋_GB2312"/>
          <w:color w:val="000000"/>
          <w:sz w:val="28"/>
          <w:szCs w:val="28"/>
          <w:u w:val="single"/>
        </w:rPr>
        <w:t>按管理部门要求和发包人要求确定</w:t>
      </w:r>
      <w:r>
        <w:rPr>
          <w:rFonts w:hint="eastAsia" w:ascii="仿宋_GB2312" w:hAnsi="仿宋" w:eastAsia="仿宋_GB2312"/>
          <w:color w:val="000000"/>
          <w:sz w:val="28"/>
          <w:szCs w:val="28"/>
        </w:rPr>
        <w:t>。</w:t>
      </w:r>
    </w:p>
    <w:p w14:paraId="3DE1CAF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8.8 施工设备和临时设施</w:t>
      </w:r>
    </w:p>
    <w:p w14:paraId="4A8AA52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8.8.1 承包人提供的施工设备和临时设施</w:t>
      </w:r>
    </w:p>
    <w:p w14:paraId="1E19CE0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关于修建临时设施费用承担的约定：</w:t>
      </w:r>
      <w:r>
        <w:rPr>
          <w:rFonts w:hint="eastAsia" w:ascii="仿宋_GB2312" w:hAnsi="仿宋" w:eastAsia="仿宋_GB2312"/>
          <w:color w:val="000000"/>
          <w:sz w:val="28"/>
          <w:szCs w:val="28"/>
          <w:u w:val="single"/>
        </w:rPr>
        <w:t>甲乙双方约定</w:t>
      </w:r>
    </w:p>
    <w:p w14:paraId="026223C6">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9. 试验与检验</w:t>
      </w:r>
    </w:p>
    <w:p w14:paraId="409A9EA6">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9.1试验设备与试验人员</w:t>
      </w:r>
    </w:p>
    <w:p w14:paraId="4C6DDB9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9.1.2 试验设备</w:t>
      </w:r>
    </w:p>
    <w:p w14:paraId="738EFC0C">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施工现场需要配置的试验场所：</w:t>
      </w:r>
      <w:r>
        <w:rPr>
          <w:rFonts w:hint="eastAsia" w:ascii="仿宋_GB2312" w:hAnsi="仿宋" w:eastAsia="仿宋_GB2312"/>
          <w:color w:val="000000"/>
          <w:sz w:val="28"/>
          <w:szCs w:val="28"/>
          <w:u w:val="single"/>
        </w:rPr>
        <w:t xml:space="preserve">承包人设置试验室用房 </w:t>
      </w:r>
      <w:r>
        <w:rPr>
          <w:rFonts w:hint="eastAsia" w:ascii="仿宋_GB2312" w:hAnsi="仿宋" w:eastAsia="仿宋_GB2312"/>
          <w:color w:val="000000"/>
          <w:sz w:val="28"/>
          <w:szCs w:val="28"/>
        </w:rPr>
        <w:t xml:space="preserve">。 </w:t>
      </w:r>
    </w:p>
    <w:p w14:paraId="3B5D075A">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施工现场需要配备的试验设备：</w:t>
      </w:r>
      <w:r>
        <w:rPr>
          <w:rFonts w:hint="eastAsia" w:ascii="仿宋_GB2312" w:hAnsi="仿宋" w:eastAsia="仿宋_GB2312"/>
          <w:color w:val="000000"/>
          <w:sz w:val="28"/>
          <w:szCs w:val="28"/>
          <w:u w:val="single"/>
        </w:rPr>
        <w:t>（检测委托）建设单位应当委托具有相应资质的检测机构从事工程质量检测业务</w:t>
      </w:r>
      <w:r>
        <w:rPr>
          <w:rFonts w:hint="eastAsia" w:ascii="仿宋_GB2312" w:hAnsi="仿宋" w:eastAsia="仿宋_GB2312"/>
          <w:color w:val="000000"/>
          <w:sz w:val="28"/>
          <w:szCs w:val="28"/>
        </w:rPr>
        <w:t>。</w:t>
      </w:r>
    </w:p>
    <w:p w14:paraId="10C52FBC">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施工现场需要具备的其他试验条件：</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307984B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9.4 现场工艺试验 </w:t>
      </w:r>
    </w:p>
    <w:p w14:paraId="6BEF8AA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现场工艺试验的有关约定：</w:t>
      </w:r>
      <w:r>
        <w:rPr>
          <w:rFonts w:hint="eastAsia" w:ascii="仿宋_GB2312" w:hAnsi="仿宋" w:eastAsia="仿宋_GB2312"/>
          <w:color w:val="000000"/>
          <w:sz w:val="28"/>
          <w:szCs w:val="28"/>
          <w:u w:val="single"/>
        </w:rPr>
        <w:t>执行通用条款</w:t>
      </w:r>
      <w:r>
        <w:rPr>
          <w:rFonts w:hint="eastAsia" w:ascii="仿宋_GB2312" w:hAnsi="仿宋" w:eastAsia="仿宋_GB2312"/>
          <w:color w:val="000000"/>
          <w:sz w:val="28"/>
          <w:szCs w:val="28"/>
        </w:rPr>
        <w:t>。</w:t>
      </w:r>
    </w:p>
    <w:p w14:paraId="6952FDAC">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10. 变更</w:t>
      </w:r>
    </w:p>
    <w:p w14:paraId="7A221478">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10.1变更的范围</w:t>
      </w:r>
    </w:p>
    <w:p w14:paraId="715CD8F7">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关于变更的范围的约定：</w:t>
      </w:r>
      <w:r>
        <w:rPr>
          <w:rFonts w:hint="eastAsia" w:ascii="仿宋_GB2312" w:hAnsi="仿宋" w:eastAsia="仿宋_GB2312"/>
          <w:color w:val="000000"/>
          <w:sz w:val="28"/>
          <w:szCs w:val="28"/>
          <w:u w:val="single"/>
        </w:rPr>
        <w:t>通用条款10.1</w:t>
      </w:r>
    </w:p>
    <w:p w14:paraId="2E168FD4">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10.4 变更估价</w:t>
      </w:r>
    </w:p>
    <w:p w14:paraId="1B3CC92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10.4.1 变更估价原则</w:t>
      </w:r>
    </w:p>
    <w:p w14:paraId="6474D23F">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 xml:space="preserve">关于变更估价的约定: </w:t>
      </w:r>
      <w:r>
        <w:rPr>
          <w:rFonts w:hint="eastAsia" w:ascii="仿宋_GB2312" w:hAnsi="仿宋" w:eastAsia="仿宋_GB2312"/>
          <w:color w:val="000000"/>
          <w:sz w:val="28"/>
          <w:szCs w:val="28"/>
          <w:u w:val="single"/>
        </w:rPr>
        <w:t>按本合同12.1条第一款规定执行。</w:t>
      </w:r>
    </w:p>
    <w:p w14:paraId="60F4E5F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10.5承包人的合理化建议</w:t>
      </w:r>
    </w:p>
    <w:p w14:paraId="6A4A934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监理人审查承包人合理化建议的期限：</w:t>
      </w:r>
      <w:r>
        <w:rPr>
          <w:rFonts w:hint="eastAsia" w:ascii="仿宋_GB2312" w:hAnsi="仿宋" w:eastAsia="仿宋_GB2312"/>
          <w:color w:val="000000"/>
          <w:sz w:val="28"/>
          <w:szCs w:val="28"/>
          <w:u w:val="single"/>
        </w:rPr>
        <w:t xml:space="preserve"> 执行通用条款</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0E32567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发包人审批承包人合理化建议的期限：</w:t>
      </w:r>
      <w:r>
        <w:rPr>
          <w:rFonts w:hint="eastAsia" w:ascii="仿宋_GB2312" w:hAnsi="仿宋" w:eastAsia="仿宋_GB2312"/>
          <w:color w:val="000000"/>
          <w:sz w:val="28"/>
          <w:szCs w:val="28"/>
          <w:u w:val="single"/>
        </w:rPr>
        <w:t xml:space="preserve"> 执行通用条款</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49C3EED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承包人提出的合理化建议降低了合同价格或者提高了工程经济效益的奖励的方法和金额为：</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2389D5E4">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10.7 暂估价</w:t>
      </w:r>
    </w:p>
    <w:p w14:paraId="6BFE35E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10.7.1 依法必须招标的暂估价项目</w:t>
      </w:r>
    </w:p>
    <w:p w14:paraId="358617F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对于依法必须招标的暂估价项目的确认和批准采取招标方式确定。</w:t>
      </w:r>
    </w:p>
    <w:p w14:paraId="57185B7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10.7.2 不属于依法必须招标的暂估价项目</w:t>
      </w:r>
    </w:p>
    <w:p w14:paraId="6DD48AB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对于不属于依法必须招标的暂估价项目的确认和批准采取直接实施方式确定。</w:t>
      </w:r>
    </w:p>
    <w:p w14:paraId="0128A4A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第3种方式：承包人直接实施的暂估价项目</w:t>
      </w:r>
    </w:p>
    <w:p w14:paraId="02C4C07A">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承包人直接实施的暂估价项目的约定：</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eastAsia="zh-CN"/>
        </w:rPr>
        <w:t>。</w:t>
      </w:r>
      <w:r>
        <w:rPr>
          <w:rFonts w:hint="eastAsia" w:ascii="仿宋_GB2312" w:hAnsi="仿宋" w:eastAsia="仿宋_GB2312"/>
          <w:color w:val="000000"/>
          <w:sz w:val="28"/>
          <w:szCs w:val="28"/>
          <w:u w:val="single"/>
        </w:rPr>
        <w:t xml:space="preserve">   </w:t>
      </w:r>
    </w:p>
    <w:p w14:paraId="47997441">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10.8 暂列金额</w:t>
      </w:r>
    </w:p>
    <w:p w14:paraId="08205ACA">
      <w:pPr>
        <w:pStyle w:val="73"/>
        <w:widowControl/>
        <w:spacing w:line="380" w:lineRule="exact"/>
        <w:ind w:left="0" w:right="26"/>
        <w:rPr>
          <w:rFonts w:hint="eastAsia" w:ascii="仿宋_GB2312" w:hAnsi="仿宋" w:eastAsia="仿宋_GB2312"/>
          <w:color w:val="000000"/>
          <w:sz w:val="28"/>
          <w:szCs w:val="28"/>
          <w:highlight w:val="yellow"/>
          <w:u w:val="single"/>
        </w:rPr>
      </w:pPr>
      <w:r>
        <w:rPr>
          <w:rFonts w:hint="eastAsia" w:ascii="仿宋_GB2312" w:hAnsi="仿宋" w:eastAsia="仿宋_GB2312"/>
          <w:color w:val="000000"/>
          <w:sz w:val="28"/>
          <w:szCs w:val="28"/>
        </w:rPr>
        <w:t>合同当事人关于暂列金额使用的约定：</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         </w:t>
      </w:r>
    </w:p>
    <w:p w14:paraId="082791B7">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11. 价格调整</w:t>
      </w:r>
    </w:p>
    <w:p w14:paraId="0659C358">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11.1 市场价格波动引起的调整</w:t>
      </w:r>
    </w:p>
    <w:p w14:paraId="6409F96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市场价格波动是否调整合同价格的约定：</w:t>
      </w:r>
      <w:r>
        <w:rPr>
          <w:rFonts w:hint="eastAsia" w:ascii="仿宋_GB2312" w:hAnsi="仿宋" w:eastAsia="仿宋_GB2312"/>
          <w:color w:val="000000"/>
          <w:sz w:val="28"/>
          <w:szCs w:val="28"/>
          <w:u w:val="single"/>
        </w:rPr>
        <w:t xml:space="preserve">市场价格波动超过合同当事人约定的范围，合同价格予以调整 </w:t>
      </w:r>
      <w:r>
        <w:rPr>
          <w:rFonts w:hint="eastAsia" w:ascii="仿宋_GB2312" w:hAnsi="仿宋" w:eastAsia="仿宋_GB2312"/>
          <w:color w:val="000000"/>
          <w:sz w:val="28"/>
          <w:szCs w:val="28"/>
        </w:rPr>
        <w:t>。</w:t>
      </w:r>
    </w:p>
    <w:p w14:paraId="19C5BCB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因市场价格波动调整合同价格，采用以下第</w:t>
      </w:r>
      <w:r>
        <w:rPr>
          <w:rFonts w:hint="eastAsia" w:ascii="仿宋_GB2312" w:hAnsi="仿宋" w:eastAsia="仿宋_GB2312"/>
          <w:color w:val="000000"/>
          <w:sz w:val="28"/>
          <w:szCs w:val="28"/>
          <w:u w:val="single"/>
        </w:rPr>
        <w:t xml:space="preserve"> 2 </w:t>
      </w:r>
      <w:r>
        <w:rPr>
          <w:rFonts w:hint="eastAsia" w:ascii="仿宋_GB2312" w:hAnsi="仿宋" w:eastAsia="仿宋_GB2312"/>
          <w:color w:val="000000"/>
          <w:sz w:val="28"/>
          <w:szCs w:val="28"/>
        </w:rPr>
        <w:t>种方式对合同价格进行调整：</w:t>
      </w:r>
    </w:p>
    <w:p w14:paraId="4AE7102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第1种方式：采用价格指数进行价格调整。</w:t>
      </w:r>
    </w:p>
    <w:p w14:paraId="2BB0C404">
      <w:pPr>
        <w:pStyle w:val="73"/>
        <w:spacing w:line="420" w:lineRule="exact"/>
        <w:ind w:left="140" w:right="26" w:hanging="140" w:hangingChars="50"/>
        <w:rPr>
          <w:rFonts w:hint="eastAsia" w:ascii="仿宋_GB2312" w:hAnsi="仿宋" w:eastAsia="仿宋_GB2312"/>
          <w:color w:val="000000"/>
          <w:sz w:val="28"/>
          <w:szCs w:val="28"/>
        </w:rPr>
      </w:pPr>
      <w:r>
        <w:rPr>
          <w:rFonts w:hint="eastAsia" w:ascii="仿宋_GB2312" w:hAnsi="仿宋" w:eastAsia="仿宋_GB2312"/>
          <w:color w:val="000000"/>
          <w:sz w:val="28"/>
          <w:szCs w:val="28"/>
        </w:rPr>
        <w:t>关于各可调因子、定值和变值权重，以及基本价格指数及其来源的约定：</w:t>
      </w:r>
      <w:r>
        <w:rPr>
          <w:rFonts w:hint="eastAsia" w:ascii="仿宋_GB2312" w:hAnsi="仿宋" w:eastAsia="仿宋_GB2312"/>
          <w:color w:val="000000"/>
          <w:sz w:val="28"/>
          <w:szCs w:val="28"/>
          <w:u w:val="single"/>
        </w:rPr>
        <w:t>无。</w:t>
      </w:r>
    </w:p>
    <w:p w14:paraId="4780CF8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第2种方式：采用造价信息进行价格调整。</w:t>
      </w:r>
    </w:p>
    <w:p w14:paraId="21CF60A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（2）关于基准价格的约定：</w:t>
      </w:r>
      <w:r>
        <w:rPr>
          <w:rFonts w:hint="eastAsia" w:ascii="仿宋_GB2312" w:hAnsi="仿宋" w:eastAsia="仿宋_GB2312"/>
          <w:color w:val="000000"/>
          <w:sz w:val="28"/>
          <w:szCs w:val="28"/>
          <w:u w:val="single"/>
        </w:rPr>
        <w:t>招标文件发放时期的吐鲁番市建设工程价格信息。</w:t>
      </w:r>
    </w:p>
    <w:p w14:paraId="52D3EF74">
      <w:pPr>
        <w:pStyle w:val="73"/>
        <w:spacing w:line="420" w:lineRule="exact"/>
        <w:ind w:left="0" w:right="26"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专用合同条款①承包人在已标价工程量清单或预算书中载明材料单价低于基准价格的：专用合同条款合同履行期间材料单价涨幅以基准价格为基础超过</w:t>
      </w:r>
      <w:r>
        <w:rPr>
          <w:rFonts w:hint="eastAsia" w:ascii="仿宋_GB2312" w:hAnsi="仿宋" w:eastAsia="仿宋_GB2312"/>
          <w:color w:val="000000"/>
          <w:sz w:val="28"/>
          <w:szCs w:val="28"/>
          <w:u w:val="single"/>
        </w:rPr>
        <w:t>5%</w:t>
      </w:r>
      <w:r>
        <w:rPr>
          <w:rFonts w:hint="eastAsia" w:ascii="仿宋_GB2312" w:hAnsi="仿宋" w:eastAsia="仿宋_GB2312"/>
          <w:color w:val="000000"/>
          <w:sz w:val="28"/>
          <w:szCs w:val="28"/>
        </w:rPr>
        <w:t>时，或材料单价跌幅以在已标价工程量清单或预算书中载明材料单价为基础超过</w:t>
      </w:r>
      <w:r>
        <w:rPr>
          <w:rFonts w:hint="eastAsia" w:ascii="仿宋_GB2312" w:hAnsi="仿宋" w:eastAsia="仿宋_GB2312"/>
          <w:color w:val="000000"/>
          <w:sz w:val="28"/>
          <w:szCs w:val="28"/>
          <w:u w:val="single"/>
        </w:rPr>
        <w:t xml:space="preserve">5% </w:t>
      </w:r>
      <w:r>
        <w:rPr>
          <w:rFonts w:hint="eastAsia" w:ascii="仿宋_GB2312" w:hAnsi="仿宋" w:eastAsia="仿宋_GB2312"/>
          <w:color w:val="000000"/>
          <w:sz w:val="28"/>
          <w:szCs w:val="28"/>
        </w:rPr>
        <w:t>时，其超过部分据实调整。</w:t>
      </w:r>
    </w:p>
    <w:p w14:paraId="4EF6BA9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②承包人在已标价工程量清单或预算书中载明材料单价高于基准价格的：专用合同条款合同履行期间材料单价跌幅以基准价格为基础超过</w:t>
      </w:r>
      <w:r>
        <w:rPr>
          <w:rFonts w:hint="eastAsia" w:ascii="仿宋_GB2312" w:hAnsi="仿宋" w:eastAsia="仿宋_GB2312"/>
          <w:color w:val="000000"/>
          <w:sz w:val="28"/>
          <w:szCs w:val="28"/>
          <w:u w:val="single"/>
        </w:rPr>
        <w:t>5%</w:t>
      </w:r>
      <w:r>
        <w:rPr>
          <w:rFonts w:hint="eastAsia" w:ascii="仿宋_GB2312" w:hAnsi="仿宋" w:eastAsia="仿宋_GB2312"/>
          <w:color w:val="000000"/>
          <w:sz w:val="28"/>
          <w:szCs w:val="28"/>
        </w:rPr>
        <w:t>时，材料单价涨幅以在已标价工程量清单或预算书中载明材料单价为基础超过5</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时，其超过部分据实调整。</w:t>
      </w:r>
    </w:p>
    <w:p w14:paraId="4B9A16A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③承包人在已标价工程量清单或预算书中载明材料单价等于基准价格的：专用合同条款合同履行期间材料单价涨跌幅以基准价格为基础超过</w:t>
      </w:r>
      <w:r>
        <w:rPr>
          <w:rFonts w:hint="eastAsia" w:ascii="仿宋_GB2312" w:hAnsi="仿宋" w:eastAsia="仿宋_GB2312"/>
          <w:color w:val="000000"/>
          <w:sz w:val="28"/>
          <w:szCs w:val="28"/>
          <w:u w:val="single"/>
        </w:rPr>
        <w:t>5%</w:t>
      </w:r>
      <w:r>
        <w:rPr>
          <w:rFonts w:hint="eastAsia" w:ascii="仿宋_GB2312" w:hAnsi="仿宋" w:eastAsia="仿宋_GB2312"/>
          <w:color w:val="000000"/>
          <w:sz w:val="28"/>
          <w:szCs w:val="28"/>
        </w:rPr>
        <w:t>时，其超过部分据实调整。</w:t>
      </w:r>
    </w:p>
    <w:p w14:paraId="3655A90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第3种方式：其他价格调整方式：</w:t>
      </w:r>
      <w:r>
        <w:rPr>
          <w:rFonts w:hint="eastAsia" w:ascii="仿宋_GB2312" w:hAnsi="仿宋" w:eastAsia="仿宋_GB2312"/>
          <w:color w:val="000000"/>
          <w:sz w:val="28"/>
          <w:szCs w:val="28"/>
          <w:u w:val="single"/>
        </w:rPr>
        <w:t>按合同工期平均信息价调整</w:t>
      </w:r>
    </w:p>
    <w:p w14:paraId="156117E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采用按合同工期平均信息价调整的方法为：</w:t>
      </w:r>
    </w:p>
    <w:p w14:paraId="5AAFF09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fldChar w:fldCharType="begin"/>
      </w:r>
      <w:r>
        <w:rPr>
          <w:rFonts w:hint="eastAsia" w:ascii="仿宋_GB2312" w:hAnsi="仿宋" w:eastAsia="仿宋_GB2312"/>
          <w:color w:val="000000"/>
          <w:sz w:val="28"/>
          <w:szCs w:val="28"/>
        </w:rPr>
        <w:instrText xml:space="preserve"> eq \o\ac(○,1)</w:instrText>
      </w:r>
      <w:r>
        <w:rPr>
          <w:rFonts w:hint="eastAsia" w:ascii="仿宋_GB2312" w:hAnsi="仿宋" w:eastAsia="仿宋_GB2312"/>
          <w:color w:val="000000"/>
          <w:sz w:val="28"/>
          <w:szCs w:val="28"/>
        </w:rPr>
        <w:fldChar w:fldCharType="end"/>
      </w:r>
      <w:r>
        <w:rPr>
          <w:rFonts w:hint="eastAsia" w:ascii="仿宋_GB2312" w:hAnsi="仿宋" w:eastAsia="仿宋_GB2312"/>
          <w:color w:val="000000"/>
          <w:sz w:val="28"/>
          <w:szCs w:val="28"/>
        </w:rPr>
        <w:t>人工调整范围：当合同工期的人工的信息价的平均值（指同类人工单价，下同）与投标报价编制期对应的信息价之比上涨或下降幅度在5%以上时，调整合同价格。</w:t>
      </w:r>
    </w:p>
    <w:p w14:paraId="3E38119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fldChar w:fldCharType="begin"/>
      </w:r>
      <w:r>
        <w:rPr>
          <w:rFonts w:hint="eastAsia" w:ascii="仿宋_GB2312" w:hAnsi="仿宋" w:eastAsia="仿宋_GB2312"/>
          <w:color w:val="000000"/>
          <w:sz w:val="28"/>
          <w:szCs w:val="28"/>
        </w:rPr>
        <w:instrText xml:space="preserve"> eq \o\ac(○,2)</w:instrText>
      </w:r>
      <w:r>
        <w:rPr>
          <w:rFonts w:hint="eastAsia" w:ascii="仿宋_GB2312" w:hAnsi="仿宋" w:eastAsia="仿宋_GB2312"/>
          <w:color w:val="000000"/>
          <w:sz w:val="28"/>
          <w:szCs w:val="28"/>
        </w:rPr>
        <w:fldChar w:fldCharType="end"/>
      </w:r>
      <w:r>
        <w:rPr>
          <w:rFonts w:hint="eastAsia" w:ascii="仿宋_GB2312" w:hAnsi="仿宋" w:eastAsia="仿宋_GB2312"/>
          <w:color w:val="000000"/>
          <w:sz w:val="28"/>
          <w:szCs w:val="28"/>
        </w:rPr>
        <w:t>施工机械台班价格的调整是指因机上人工及燃料动力费用价格的变化引起机械台班价格的变化，其调整范围为：当合同工期内的单类机械的价格上涨或下降幅度在5%以上时，调整合同价格。</w:t>
      </w:r>
    </w:p>
    <w:p w14:paraId="4AD81F1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③材料价格调整范围为：</w:t>
      </w:r>
    </w:p>
    <w:p w14:paraId="4B79D71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（a）单种规格材料的合价占单位工程造价比例在1%（含1%）以上至10%（不含10%）以下的，且该材料合同工期的信息价平均值与投标文件编制期对应的信息价之比上涨或下降幅度在5%以上时，调整合同价格。</w:t>
      </w:r>
    </w:p>
    <w:p w14:paraId="11EB0B8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（b）单种规格材料的合价占单位工程造价比例在10%（含10%）以上的，且该材料合同工期的信息价平均值与投标文件编制期对应的信息价之比上涨或下降幅度在3%以上时，调整合同价格。</w:t>
      </w:r>
    </w:p>
    <w:p w14:paraId="4E094F6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④人工、材料及施工机械台班价格风险调整范围应以单位工程为计算单位，如房屋建筑工程造价应将建筑、安装等分开计算，安装工程造价应将电器照明、给排水、消防等分开计算，单种规格的材料合价及单位工程造价应以原合同口径计算为准。</w:t>
      </w:r>
    </w:p>
    <w:p w14:paraId="31EEE0C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⑤价格波动引起合同价款的调整方法采用抽料补差调整法。</w:t>
      </w:r>
    </w:p>
    <w:p w14:paraId="746D4EC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计算式：A=∑[B/C－1．05（或1.03）]×C×E         </w:t>
      </w:r>
    </w:p>
    <w:p w14:paraId="46976B3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当B＞1．05C（或1.03 C）时</w:t>
      </w:r>
    </w:p>
    <w:p w14:paraId="1146A01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A=∑[B/C－0．95（或0.97）]×C×E          </w:t>
      </w:r>
    </w:p>
    <w:p w14:paraId="4F60CB8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当B＜0．95C（或.0.97C）时</w:t>
      </w:r>
    </w:p>
    <w:p w14:paraId="6834C1E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其中：A为价格调整部分合计</w:t>
      </w:r>
    </w:p>
    <w:p w14:paraId="512A486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B为合同工期的调价因素的各自的信息价的平均值。</w:t>
      </w:r>
    </w:p>
    <w:p w14:paraId="0F34AED1">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C为投标报价编制期的调价因素各自的信息价</w:t>
      </w:r>
    </w:p>
    <w:p w14:paraId="38A3130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E各调价因素的消耗量（以投标文件确定的消耗量为准）</w:t>
      </w:r>
    </w:p>
    <w:p w14:paraId="79E3BBB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⑥工期按以下原则确定</w:t>
      </w:r>
    </w:p>
    <w:p w14:paraId="1F7B8DC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计算式：S=n+m</w:t>
      </w:r>
    </w:p>
    <w:p w14:paraId="7ACDB7E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其中：S为计算信息价平均工期</w:t>
      </w:r>
    </w:p>
    <w:p w14:paraId="62B9822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n为合同工期（按日历月计，遇小数点进位取整数）</w:t>
      </w:r>
    </w:p>
    <w:p w14:paraId="577C661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m为计算差价的延误工期增加月份数</w:t>
      </w:r>
    </w:p>
    <w:p w14:paraId="0A240C0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计算价差的延误工期增加月份数，按以下原则由承发包双方协商确定：因非承包人造成工期延误，延误期间如遇调价因素价格上涨的，差价由发包人承担，增加计算差价的延误工期；反之，如遇价格下降的，差价由承包人受益，不增加计算差价的延误工期。因承包人原因造成工期延误的，延误期间如遇调价因素价格上涨的，差价由承包人承担，不增加计算差价的延误工期；反之，如遇价格下降的，差价由承包人受益，增加计算差价的延误工期。</w:t>
      </w:r>
    </w:p>
    <w:p w14:paraId="3112129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⑦价格调整部分只计取税金，不得计取其他任何费用。</w:t>
      </w:r>
    </w:p>
    <w:p w14:paraId="13F46292">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上述条款中的信息价是指工程所在地区工程造价主管部门发布的信息价。</w:t>
      </w:r>
    </w:p>
    <w:p w14:paraId="4D27AE26">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 xml:space="preserve">12. 合同价格、计量与支付  </w:t>
      </w:r>
    </w:p>
    <w:p w14:paraId="419A9629">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12.1 合同价格形式</w:t>
      </w:r>
    </w:p>
    <w:p w14:paraId="7C6603D8">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1、单价合同。</w:t>
      </w:r>
    </w:p>
    <w:p w14:paraId="47355AFA">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综合单价包含的风险范围：承包人所报的综合单价在承包人应承担的风险范围内不因市场的变化而变动。</w:t>
      </w:r>
    </w:p>
    <w:p w14:paraId="4413154F">
      <w:pPr>
        <w:spacing w:line="420" w:lineRule="exact"/>
        <w:ind w:right="26" w:firstLine="420" w:firstLineChars="150"/>
        <w:rPr>
          <w:rFonts w:hint="eastAsia" w:ascii="仿宋_GB2312" w:hAnsi="仿宋" w:eastAsia="仿宋_GB2312"/>
          <w:color w:val="000000"/>
          <w:sz w:val="28"/>
          <w:szCs w:val="28"/>
        </w:rPr>
      </w:pPr>
      <w:r>
        <w:rPr>
          <w:rFonts w:hint="eastAsia" w:ascii="仿宋_GB2312" w:hAnsi="仿宋" w:eastAsia="仿宋_GB2312"/>
          <w:color w:val="000000"/>
          <w:sz w:val="28"/>
          <w:szCs w:val="28"/>
        </w:rPr>
        <w:t>风险费用的计算方法：</w:t>
      </w:r>
      <w:r>
        <w:rPr>
          <w:rFonts w:hint="eastAsia" w:ascii="仿宋_GB2312" w:hAnsi="仿宋" w:eastAsia="仿宋_GB2312"/>
          <w:color w:val="000000"/>
          <w:sz w:val="28"/>
          <w:szCs w:val="28"/>
          <w:u w:val="single"/>
        </w:rPr>
        <w:t>由承包人在投标时自行考虑，自行承担。</w:t>
      </w:r>
    </w:p>
    <w:p w14:paraId="6035687B">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风险范围以外合同价格的调整方法：</w:t>
      </w:r>
    </w:p>
    <w:p w14:paraId="7DB2B463">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A、因法律变化引起的调整按通用条款11.2执行；</w:t>
      </w:r>
    </w:p>
    <w:p w14:paraId="7FF42B1C">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B、因市场价格波动引起的调整按11.1款（市场价格波动引起的调整）约定执行。</w:t>
      </w:r>
    </w:p>
    <w:p w14:paraId="00933E0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C、单价的调整</w:t>
      </w:r>
    </w:p>
    <w:p w14:paraId="147EEFF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1）发包人提供的工程量清单有数量误差，或设计变更引起工程量数量增减，在本款下述约定的幅度内执行合同原有的价格；</w:t>
      </w:r>
    </w:p>
    <w:p w14:paraId="196D127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其工程量增加或减少超过本项目工程量15%及以上时，其增加部分工程量或减少后剩余部分工程量的相应的综合单价由承包人</w:t>
      </w:r>
      <w:r>
        <w:rPr>
          <w:rFonts w:hint="eastAsia" w:ascii="仿宋_GB2312" w:hAnsi="仿宋" w:eastAsia="仿宋_GB2312"/>
          <w:color w:val="000000"/>
          <w:sz w:val="28"/>
          <w:szCs w:val="28"/>
          <w:u w:val="single"/>
        </w:rPr>
        <w:t>参考投标时所采用的计价依据</w:t>
      </w:r>
      <w:r>
        <w:rPr>
          <w:rFonts w:hint="eastAsia" w:ascii="仿宋_GB2312" w:hAnsi="仿宋" w:eastAsia="仿宋_GB2312"/>
          <w:color w:val="000000"/>
          <w:sz w:val="28"/>
          <w:szCs w:val="28"/>
        </w:rPr>
        <w:t>提出适当单价，经发包人委托有资质的单位审定后，作为结算依据。</w:t>
      </w:r>
    </w:p>
    <w:p w14:paraId="66FE382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2）发包人提供的工程量清单项目漏项，或变更引起新的工程项目，其相应单价确定方法为：</w:t>
      </w:r>
    </w:p>
    <w:p w14:paraId="106110C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fldChar w:fldCharType="begin"/>
      </w:r>
      <w:r>
        <w:rPr>
          <w:rFonts w:hint="eastAsia" w:ascii="仿宋_GB2312" w:hAnsi="仿宋" w:eastAsia="仿宋_GB2312"/>
          <w:color w:val="000000"/>
          <w:sz w:val="28"/>
          <w:szCs w:val="28"/>
        </w:rPr>
        <w:instrText xml:space="preserve"> eq \o\ac(○,1)</w:instrText>
      </w:r>
      <w:r>
        <w:rPr>
          <w:rFonts w:hint="eastAsia" w:ascii="仿宋_GB2312" w:hAnsi="仿宋" w:eastAsia="仿宋_GB2312"/>
          <w:color w:val="000000"/>
          <w:sz w:val="28"/>
          <w:szCs w:val="28"/>
        </w:rPr>
        <w:fldChar w:fldCharType="end"/>
      </w:r>
      <w:r>
        <w:rPr>
          <w:rFonts w:hint="eastAsia" w:ascii="仿宋_GB2312" w:hAnsi="仿宋" w:eastAsia="仿宋_GB2312"/>
          <w:color w:val="000000"/>
          <w:sz w:val="28"/>
          <w:szCs w:val="28"/>
        </w:rPr>
        <w:t>已标价工程量清单或预算书有相同项目的，按照相同项目单价认定；</w:t>
      </w:r>
    </w:p>
    <w:p w14:paraId="171FB99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fldChar w:fldCharType="begin"/>
      </w:r>
      <w:r>
        <w:rPr>
          <w:rFonts w:hint="eastAsia" w:ascii="仿宋_GB2312" w:hAnsi="仿宋" w:eastAsia="仿宋_GB2312"/>
          <w:color w:val="000000"/>
          <w:sz w:val="28"/>
          <w:szCs w:val="28"/>
        </w:rPr>
        <w:instrText xml:space="preserve"> eq \o\ac(○,2)</w:instrText>
      </w:r>
      <w:r>
        <w:rPr>
          <w:rFonts w:hint="eastAsia" w:ascii="仿宋_GB2312" w:hAnsi="仿宋" w:eastAsia="仿宋_GB2312"/>
          <w:color w:val="000000"/>
          <w:sz w:val="28"/>
          <w:szCs w:val="28"/>
        </w:rPr>
        <w:fldChar w:fldCharType="end"/>
      </w:r>
      <w:r>
        <w:rPr>
          <w:rFonts w:hint="eastAsia" w:ascii="仿宋_GB2312" w:hAnsi="仿宋" w:eastAsia="仿宋_GB2312"/>
          <w:color w:val="000000"/>
          <w:sz w:val="28"/>
          <w:szCs w:val="28"/>
        </w:rPr>
        <w:t>已标价工程量清单或预算书中无相同项目，但有类似项目的，参照类似项目的单价认定：</w:t>
      </w:r>
    </w:p>
    <w:p w14:paraId="39851FEE">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（a）某种材料（或半成品及成品）等级、标准变化时清单组合子目不变，仅调整不同材料价格；</w:t>
      </w:r>
    </w:p>
    <w:p w14:paraId="677D1B9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（b）清单项目某一特征或工程内容变化，不影响其他特征及工作内容价格的，其他特征组合标准不变，仅调整发生变化的组合子目价格：</w:t>
      </w:r>
    </w:p>
    <w:p w14:paraId="137DC0E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③合同中没有类似工程项目单价的，由承包人</w:t>
      </w:r>
      <w:r>
        <w:rPr>
          <w:rFonts w:hint="eastAsia" w:ascii="仿宋_GB2312" w:hAnsi="仿宋" w:eastAsia="仿宋_GB2312"/>
          <w:color w:val="000000"/>
          <w:sz w:val="28"/>
          <w:szCs w:val="28"/>
          <w:u w:val="single"/>
        </w:rPr>
        <w:t>参考投标时所采用的计价依据</w:t>
      </w:r>
      <w:r>
        <w:rPr>
          <w:rFonts w:hint="eastAsia" w:ascii="仿宋_GB2312" w:hAnsi="仿宋" w:eastAsia="仿宋_GB2312"/>
          <w:color w:val="000000"/>
          <w:sz w:val="28"/>
          <w:szCs w:val="28"/>
        </w:rPr>
        <w:t>提出适当单价，经发包人确认后执行。</w:t>
      </w:r>
    </w:p>
    <w:p w14:paraId="740CC56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施工图纸或设计变更与工程量项目特征描述不符时，发承包双方应按新的项目特征确定相应工程量清单项目的综合单价。</w:t>
      </w:r>
    </w:p>
    <w:p w14:paraId="18E9417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D、措施项目费调整</w:t>
      </w:r>
    </w:p>
    <w:p w14:paraId="5D9297D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分部分项工程量清单漏项或非承包人原因的工程变更，造成施工组织设计或施工方案变更，以及分部分项工程量变化，引起措施项目数量、内容发生变化，应调整措施项目费。原措施费中已有的措施项目，按原措施费的组价方法调整；原措施中没有的措施项目，由承包人根据措施项目变更情况，提出适当的措施费变更要求，经发包人确认后调整。</w:t>
      </w:r>
    </w:p>
    <w:p w14:paraId="10E9A66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（1）采用综合单价计价的措施项目，参考上述C款的规定，依据承发包双方确认的工程量和综合单价计算。</w:t>
      </w:r>
    </w:p>
    <w:p w14:paraId="612FEEB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（2）采用以“项”计价的措施项目，应依据合同约定的措施项目金额和承发包双方确认调整后的措施费金额计算。</w:t>
      </w:r>
    </w:p>
    <w:p w14:paraId="6BB232A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2、总价合同。</w:t>
      </w:r>
    </w:p>
    <w:p w14:paraId="0111BE8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总价包含的风险范围：</w:t>
      </w:r>
      <w:r>
        <w:rPr>
          <w:rFonts w:hint="eastAsia" w:ascii="仿宋_GB2312" w:hAnsi="仿宋" w:eastAsia="仿宋_GB2312"/>
          <w:color w:val="000000"/>
          <w:sz w:val="28"/>
          <w:szCs w:val="28"/>
          <w:u w:val="single"/>
        </w:rPr>
        <w:t>无  。</w:t>
      </w:r>
    </w:p>
    <w:p w14:paraId="3CF52B32">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风险费用的计算方法：</w:t>
      </w:r>
      <w:r>
        <w:rPr>
          <w:rFonts w:hint="eastAsia" w:ascii="仿宋_GB2312" w:hAnsi="仿宋" w:eastAsia="仿宋_GB2312"/>
          <w:color w:val="000000"/>
          <w:sz w:val="28"/>
          <w:szCs w:val="28"/>
          <w:u w:val="single"/>
        </w:rPr>
        <w:t>无  。</w:t>
      </w:r>
    </w:p>
    <w:p w14:paraId="780D47B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风险范围以外合同价格的调整方法：</w:t>
      </w:r>
      <w:r>
        <w:rPr>
          <w:rFonts w:hint="eastAsia" w:ascii="仿宋_GB2312" w:hAnsi="仿宋" w:eastAsia="仿宋_GB2312"/>
          <w:color w:val="000000"/>
          <w:sz w:val="28"/>
          <w:szCs w:val="28"/>
          <w:u w:val="single"/>
        </w:rPr>
        <w:t xml:space="preserve">无 </w:t>
      </w:r>
      <w:r>
        <w:rPr>
          <w:rFonts w:hint="eastAsia" w:ascii="仿宋_GB2312" w:hAnsi="仿宋" w:eastAsia="仿宋_GB2312"/>
          <w:color w:val="000000"/>
          <w:sz w:val="28"/>
          <w:szCs w:val="28"/>
        </w:rPr>
        <w:t xml:space="preserve"> 。</w:t>
      </w:r>
    </w:p>
    <w:p w14:paraId="28045A4C">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12.2 预付款</w:t>
      </w:r>
    </w:p>
    <w:p w14:paraId="7D0F621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12.2.1 预付款的支付</w:t>
      </w:r>
    </w:p>
    <w:p w14:paraId="6645715E">
      <w:pPr>
        <w:pStyle w:val="73"/>
        <w:spacing w:line="420" w:lineRule="exact"/>
        <w:ind w:left="0" w:right="26"/>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预付款支付比例或金额：</w:t>
      </w:r>
      <w:r>
        <w:rPr>
          <w:rFonts w:hint="eastAsia" w:ascii="仿宋_GB2312" w:hAnsi="仿宋" w:eastAsia="仿宋_GB2312"/>
          <w:color w:val="auto"/>
          <w:sz w:val="28"/>
          <w:szCs w:val="28"/>
          <w:u w:val="single"/>
        </w:rPr>
        <w:t>预付款按合同价（扣暂列金额）的30%。</w:t>
      </w:r>
    </w:p>
    <w:p w14:paraId="7E1B19BA">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预付款支付期限：</w:t>
      </w:r>
      <w:r>
        <w:rPr>
          <w:rFonts w:hint="eastAsia" w:ascii="仿宋_GB2312" w:hAnsi="仿宋" w:eastAsia="仿宋_GB2312"/>
          <w:color w:val="000000"/>
          <w:sz w:val="28"/>
          <w:szCs w:val="28"/>
          <w:u w:val="single"/>
        </w:rPr>
        <w:t xml:space="preserve">合同签定并取得开工报告7日内 </w:t>
      </w:r>
      <w:r>
        <w:rPr>
          <w:rFonts w:hint="eastAsia" w:ascii="仿宋_GB2312" w:hAnsi="仿宋" w:eastAsia="仿宋_GB2312"/>
          <w:color w:val="000000"/>
          <w:sz w:val="28"/>
          <w:szCs w:val="28"/>
        </w:rPr>
        <w:t>。</w:t>
      </w:r>
    </w:p>
    <w:p w14:paraId="3EF91C5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预付款扣回的方式：</w:t>
      </w:r>
      <w:r>
        <w:rPr>
          <w:rFonts w:hint="eastAsia" w:ascii="仿宋_GB2312" w:hAnsi="仿宋" w:eastAsia="仿宋_GB2312"/>
          <w:color w:val="000000"/>
          <w:sz w:val="28"/>
          <w:szCs w:val="28"/>
          <w:u w:val="single"/>
        </w:rPr>
        <w:t>甲乙双方约定。</w:t>
      </w:r>
    </w:p>
    <w:p w14:paraId="07F3896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12.2.2 预付款担保</w:t>
      </w:r>
    </w:p>
    <w:p w14:paraId="69B89D4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承包人提交预付款担保的期限：</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rPr>
        <w:t>。</w:t>
      </w:r>
    </w:p>
    <w:p w14:paraId="25BBC90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预付款担保的形式为：</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rPr>
        <w:t>。</w:t>
      </w:r>
    </w:p>
    <w:p w14:paraId="31127343">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12.3 计量</w:t>
      </w:r>
    </w:p>
    <w:p w14:paraId="770D4E7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12.3.1 计量原则</w:t>
      </w:r>
    </w:p>
    <w:p w14:paraId="4D830D2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工程量计算规则：</w:t>
      </w:r>
      <w:r>
        <w:rPr>
          <w:rFonts w:hint="eastAsia" w:ascii="仿宋_GB2312" w:hAnsi="仿宋" w:eastAsia="仿宋_GB2312"/>
          <w:color w:val="000000"/>
          <w:sz w:val="28"/>
          <w:szCs w:val="28"/>
          <w:u w:val="single"/>
          <w:lang w:eastAsia="zh-CN"/>
        </w:rPr>
        <w:t>《</w:t>
      </w:r>
      <w:r>
        <w:rPr>
          <w:rFonts w:hint="eastAsia" w:ascii="仿宋_GB2312" w:hAnsi="仿宋" w:eastAsia="仿宋_GB2312"/>
          <w:color w:val="000000"/>
          <w:sz w:val="28"/>
          <w:szCs w:val="28"/>
          <w:u w:val="single"/>
        </w:rPr>
        <w:t>房屋建筑与装饰工程工程量计算规范》(GB50854-2013)。《市政工程工程量计算规范》(GB50857-2013)。</w:t>
      </w:r>
    </w:p>
    <w:p w14:paraId="3BA10A57">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12.3.2 计量周期</w:t>
      </w:r>
    </w:p>
    <w:p w14:paraId="367A157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关于计量周期的约定：</w:t>
      </w:r>
      <w:r>
        <w:rPr>
          <w:rFonts w:hint="eastAsia" w:ascii="仿宋_GB2312" w:hAnsi="仿宋" w:eastAsia="仿宋_GB2312"/>
          <w:color w:val="000000"/>
          <w:sz w:val="28"/>
          <w:szCs w:val="28"/>
          <w:u w:val="single"/>
        </w:rPr>
        <w:t>工程量的计量按月进行</w:t>
      </w:r>
      <w:r>
        <w:rPr>
          <w:rFonts w:hint="eastAsia" w:ascii="仿宋_GB2312" w:hAnsi="仿宋" w:eastAsia="仿宋_GB2312"/>
          <w:color w:val="000000"/>
          <w:sz w:val="28"/>
          <w:szCs w:val="28"/>
        </w:rPr>
        <w:t>。</w:t>
      </w:r>
    </w:p>
    <w:p w14:paraId="6F35C32F">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12.3.3 单价合同的计量</w:t>
      </w:r>
    </w:p>
    <w:p w14:paraId="4B7C348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关于单价合同计量的约定：</w:t>
      </w:r>
      <w:r>
        <w:rPr>
          <w:rFonts w:hint="eastAsia" w:ascii="仿宋_GB2312" w:hAnsi="仿宋" w:eastAsia="仿宋_GB2312"/>
          <w:color w:val="000000"/>
          <w:sz w:val="28"/>
          <w:szCs w:val="28"/>
          <w:u w:val="single"/>
        </w:rPr>
        <w:t>承包人应当在每月15日前向发包人 提交已完工程量的报告，该报告必须一式四份。发包人接到报告后14天内核实已完工程量，并在核实前一天通知承包人，承包人应提供条件并派人参加核实。承包人收到通知后不参加核实，以发包人核实的工程量作为工程款支付的依据。发包人不按约定时间通知承包人，致使承包人未能参加核实，核实结果无效。发包人收到承包人报告后14天内未核实完工程量，从第15天起，承包人报告的工程量即视为确认，作为工程价款支付的依据。</w:t>
      </w:r>
    </w:p>
    <w:p w14:paraId="2CF1628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12.3.4 总价合同的计量</w:t>
      </w:r>
    </w:p>
    <w:p w14:paraId="73DB97B0">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关于总价合同计量的约定：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67BFEA6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12.3.5</w:t>
      </w:r>
      <w:r>
        <w:rPr>
          <w:rFonts w:hint="eastAsia" w:ascii="仿宋_GB2312" w:hAnsi="仿宋" w:eastAsia="仿宋_GB2312"/>
          <w:color w:val="000000"/>
          <w:sz w:val="28"/>
          <w:szCs w:val="28"/>
          <w:lang w:val="en-US" w:eastAsia="zh-CN"/>
        </w:rPr>
        <w:t xml:space="preserve"> </w:t>
      </w:r>
      <w:r>
        <w:rPr>
          <w:rFonts w:hint="eastAsia" w:ascii="仿宋_GB2312" w:hAnsi="仿宋" w:eastAsia="仿宋_GB2312"/>
          <w:color w:val="000000"/>
          <w:sz w:val="28"/>
          <w:szCs w:val="28"/>
        </w:rPr>
        <w:t>总价合同采用支付分解表计量支付的，是否适用第12.3.4 项〔总价合同的计量〕约定进行计量：</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722EFC0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12.3.6 其他价格形式合同的计量</w:t>
      </w:r>
    </w:p>
    <w:p w14:paraId="28503B7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其他价格形式的计量方式和程序：</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2089EA2B">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12.4 工程进度款支付</w:t>
      </w:r>
    </w:p>
    <w:p w14:paraId="06D60A0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12.4.1 付款周期</w:t>
      </w:r>
    </w:p>
    <w:p w14:paraId="7A05DFC1">
      <w:pPr>
        <w:pStyle w:val="73"/>
        <w:spacing w:line="420" w:lineRule="exact"/>
        <w:ind w:left="0" w:right="26"/>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关于付款周期的约定：</w:t>
      </w:r>
      <w:r>
        <w:rPr>
          <w:rFonts w:hint="eastAsia" w:ascii="仿宋_GB2312" w:hAnsi="仿宋" w:eastAsia="仿宋_GB2312"/>
          <w:color w:val="auto"/>
          <w:sz w:val="28"/>
          <w:szCs w:val="28"/>
          <w:u w:val="single"/>
        </w:rPr>
        <w:t>工程进度款按月结算，每月支付80%的进度款。工程累计付款至签约合同价（不含暂列金）的80%时停止支付，工程竣工验收合格后十五日内付款至合同价的97%，结算价款的3%作为工程质量保修金。确认增减的变更工程价款，作为调整（减）合同价款与工程进度款同期支付。验收后付款及变更项目付款，需经建设单位审核批准后付款。</w:t>
      </w:r>
    </w:p>
    <w:p w14:paraId="5ACC78DD">
      <w:pPr>
        <w:pStyle w:val="73"/>
        <w:spacing w:line="420" w:lineRule="exact"/>
        <w:ind w:left="0" w:right="26"/>
        <w:rPr>
          <w:rFonts w:hint="eastAsia" w:ascii="仿宋_GB2312" w:hAnsi="仿宋" w:eastAsia="仿宋_GB2312"/>
          <w:color w:val="auto"/>
          <w:sz w:val="28"/>
          <w:szCs w:val="28"/>
        </w:rPr>
      </w:pPr>
      <w:r>
        <w:rPr>
          <w:rFonts w:hint="eastAsia" w:ascii="仿宋_GB2312" w:hAnsi="仿宋" w:eastAsia="仿宋_GB2312"/>
          <w:color w:val="auto"/>
          <w:sz w:val="28"/>
          <w:szCs w:val="28"/>
        </w:rPr>
        <w:t>12.4.2 进度付款申请单的编制</w:t>
      </w:r>
    </w:p>
    <w:p w14:paraId="4DC519D2">
      <w:pPr>
        <w:pStyle w:val="73"/>
        <w:spacing w:line="420" w:lineRule="exact"/>
        <w:ind w:left="0" w:right="26"/>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关于进度付款申请单编制的约定：</w:t>
      </w:r>
      <w:r>
        <w:rPr>
          <w:rFonts w:hint="eastAsia" w:ascii="仿宋_GB2312" w:hAnsi="仿宋" w:eastAsia="仿宋_GB2312"/>
          <w:color w:val="auto"/>
          <w:sz w:val="28"/>
          <w:szCs w:val="28"/>
          <w:u w:val="single"/>
        </w:rPr>
        <w:t>按通用条款12.4.2执行</w:t>
      </w:r>
      <w:r>
        <w:rPr>
          <w:rFonts w:hint="eastAsia" w:ascii="仿宋_GB2312" w:hAnsi="仿宋" w:eastAsia="仿宋_GB2312"/>
          <w:color w:val="auto"/>
          <w:sz w:val="28"/>
          <w:szCs w:val="28"/>
        </w:rPr>
        <w:t>。</w:t>
      </w:r>
    </w:p>
    <w:p w14:paraId="3FFBB803">
      <w:pPr>
        <w:pStyle w:val="73"/>
        <w:spacing w:line="420" w:lineRule="exact"/>
        <w:ind w:left="0" w:right="26"/>
        <w:rPr>
          <w:rFonts w:hint="eastAsia" w:ascii="仿宋_GB2312" w:hAnsi="仿宋" w:eastAsia="仿宋_GB2312"/>
          <w:color w:val="auto"/>
          <w:sz w:val="28"/>
          <w:szCs w:val="28"/>
        </w:rPr>
      </w:pPr>
      <w:r>
        <w:rPr>
          <w:rFonts w:hint="eastAsia" w:ascii="仿宋_GB2312" w:hAnsi="仿宋" w:eastAsia="仿宋_GB2312"/>
          <w:color w:val="auto"/>
          <w:sz w:val="28"/>
          <w:szCs w:val="28"/>
        </w:rPr>
        <w:t>12.4.3 进度付款申请单的提交</w:t>
      </w:r>
    </w:p>
    <w:p w14:paraId="25500D02">
      <w:pPr>
        <w:pStyle w:val="73"/>
        <w:spacing w:line="420" w:lineRule="exact"/>
        <w:ind w:left="0" w:right="26"/>
        <w:rPr>
          <w:rFonts w:hint="eastAsia" w:ascii="仿宋_GB2312" w:hAnsi="仿宋" w:eastAsia="仿宋_GB2312"/>
          <w:color w:val="auto"/>
          <w:sz w:val="28"/>
          <w:szCs w:val="28"/>
        </w:rPr>
      </w:pPr>
      <w:r>
        <w:rPr>
          <w:rFonts w:hint="eastAsia" w:ascii="仿宋_GB2312" w:hAnsi="仿宋" w:eastAsia="仿宋_GB2312"/>
          <w:color w:val="auto"/>
          <w:sz w:val="28"/>
          <w:szCs w:val="28"/>
        </w:rPr>
        <w:t>（1）单价合同进度付款申请单提交的约定：</w:t>
      </w:r>
      <w:r>
        <w:rPr>
          <w:rFonts w:hint="eastAsia" w:ascii="仿宋_GB2312" w:hAnsi="仿宋" w:eastAsia="仿宋_GB2312"/>
          <w:color w:val="auto"/>
          <w:sz w:val="28"/>
          <w:szCs w:val="28"/>
          <w:u w:val="single"/>
        </w:rPr>
        <w:t>按通用条款12.4.3执行</w:t>
      </w:r>
      <w:r>
        <w:rPr>
          <w:rFonts w:hint="eastAsia" w:ascii="仿宋_GB2312" w:hAnsi="仿宋" w:eastAsia="仿宋_GB2312"/>
          <w:color w:val="auto"/>
          <w:sz w:val="28"/>
          <w:szCs w:val="28"/>
        </w:rPr>
        <w:t>。</w:t>
      </w:r>
    </w:p>
    <w:p w14:paraId="6E1A7547">
      <w:pPr>
        <w:pStyle w:val="73"/>
        <w:spacing w:line="420" w:lineRule="exact"/>
        <w:ind w:left="0" w:right="26"/>
        <w:rPr>
          <w:rFonts w:hint="eastAsia" w:ascii="仿宋_GB2312" w:hAnsi="仿宋" w:eastAsia="仿宋_GB2312"/>
          <w:color w:val="auto"/>
          <w:sz w:val="28"/>
          <w:szCs w:val="28"/>
        </w:rPr>
      </w:pPr>
      <w:r>
        <w:rPr>
          <w:rFonts w:hint="eastAsia" w:ascii="仿宋_GB2312" w:hAnsi="仿宋" w:eastAsia="仿宋_GB2312"/>
          <w:color w:val="auto"/>
          <w:sz w:val="28"/>
          <w:szCs w:val="28"/>
        </w:rPr>
        <w:t>（2）总价合同进度付款申请单提交的约定：</w:t>
      </w:r>
      <w:r>
        <w:rPr>
          <w:rFonts w:hint="eastAsia" w:ascii="仿宋_GB2312" w:hAnsi="仿宋" w:eastAsia="仿宋_GB2312"/>
          <w:color w:val="auto"/>
          <w:sz w:val="28"/>
          <w:szCs w:val="28"/>
          <w:u w:val="single"/>
        </w:rPr>
        <w:t xml:space="preserve"> 无</w:t>
      </w:r>
      <w:r>
        <w:rPr>
          <w:rFonts w:hint="eastAsia" w:ascii="仿宋_GB2312" w:hAnsi="仿宋" w:eastAsia="仿宋_GB2312"/>
          <w:color w:val="auto"/>
          <w:sz w:val="28"/>
          <w:szCs w:val="28"/>
          <w:u w:val="single"/>
          <w:lang w:val="en-US" w:eastAsia="zh-CN"/>
        </w:rPr>
        <w:t xml:space="preserve"> </w:t>
      </w:r>
      <w:r>
        <w:rPr>
          <w:rFonts w:hint="eastAsia" w:ascii="仿宋_GB2312" w:hAnsi="仿宋" w:eastAsia="仿宋_GB2312"/>
          <w:color w:val="auto"/>
          <w:sz w:val="28"/>
          <w:szCs w:val="28"/>
        </w:rPr>
        <w:t>。</w:t>
      </w:r>
    </w:p>
    <w:p w14:paraId="7AA8718A">
      <w:pPr>
        <w:pStyle w:val="73"/>
        <w:spacing w:line="420" w:lineRule="exact"/>
        <w:ind w:left="0" w:right="26"/>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（3）其他价格形式合同进度付款申请单提交的约定：</w:t>
      </w:r>
      <w:r>
        <w:rPr>
          <w:rFonts w:hint="eastAsia" w:ascii="仿宋_GB2312" w:hAnsi="仿宋" w:eastAsia="仿宋_GB2312"/>
          <w:color w:val="auto"/>
          <w:sz w:val="28"/>
          <w:szCs w:val="28"/>
          <w:u w:val="single"/>
        </w:rPr>
        <w:t xml:space="preserve"> 无  </w:t>
      </w:r>
      <w:r>
        <w:rPr>
          <w:rFonts w:hint="eastAsia" w:ascii="仿宋_GB2312" w:hAnsi="仿宋" w:eastAsia="仿宋_GB2312"/>
          <w:color w:val="auto"/>
          <w:sz w:val="28"/>
          <w:szCs w:val="28"/>
        </w:rPr>
        <w:t>。</w:t>
      </w:r>
    </w:p>
    <w:p w14:paraId="20389153">
      <w:pPr>
        <w:pStyle w:val="73"/>
        <w:spacing w:line="420" w:lineRule="exact"/>
        <w:ind w:left="0" w:right="26"/>
        <w:rPr>
          <w:rFonts w:hint="eastAsia" w:ascii="仿宋_GB2312" w:hAnsi="仿宋" w:eastAsia="仿宋_GB2312"/>
          <w:color w:val="auto"/>
          <w:sz w:val="28"/>
          <w:szCs w:val="28"/>
        </w:rPr>
      </w:pPr>
      <w:r>
        <w:rPr>
          <w:rFonts w:hint="eastAsia" w:ascii="仿宋_GB2312" w:hAnsi="仿宋" w:eastAsia="仿宋_GB2312"/>
          <w:color w:val="auto"/>
          <w:sz w:val="28"/>
          <w:szCs w:val="28"/>
        </w:rPr>
        <w:t>12.4.4 进度款审核和支付</w:t>
      </w:r>
    </w:p>
    <w:p w14:paraId="11255B74">
      <w:pPr>
        <w:pStyle w:val="73"/>
        <w:spacing w:line="420" w:lineRule="exact"/>
        <w:ind w:left="0" w:right="26"/>
        <w:rPr>
          <w:rFonts w:hint="eastAsia" w:ascii="仿宋_GB2312" w:hAnsi="仿宋" w:eastAsia="仿宋_GB2312"/>
          <w:color w:val="auto"/>
          <w:sz w:val="28"/>
          <w:szCs w:val="28"/>
          <w:u w:val="single"/>
        </w:rPr>
      </w:pPr>
      <w:r>
        <w:rPr>
          <w:rFonts w:hint="eastAsia" w:ascii="仿宋_GB2312" w:hAnsi="仿宋" w:eastAsia="仿宋_GB2312"/>
          <w:color w:val="auto"/>
          <w:sz w:val="28"/>
          <w:szCs w:val="28"/>
        </w:rPr>
        <w:t>（1）发包人支付进度款的期限：</w:t>
      </w:r>
      <w:r>
        <w:rPr>
          <w:rFonts w:hint="eastAsia" w:ascii="仿宋_GB2312" w:hAnsi="仿宋" w:eastAsia="仿宋_GB2312"/>
          <w:color w:val="auto"/>
          <w:sz w:val="28"/>
          <w:szCs w:val="28"/>
          <w:u w:val="single"/>
        </w:rPr>
        <w:t>次月10日前由发包人工程师审核后支付合同价80%的工程款，工程款待支付到合同价款的80%时不再按进度付款，待工程竣工验收合格后，支付到实际完成工程量的97%，结算价款的3%作为工程质量保证金,质保期满后无质量问题无息返还。</w:t>
      </w:r>
    </w:p>
    <w:p w14:paraId="2620A165">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发包人逾期支付进度款的违约金的计算方式：</w:t>
      </w:r>
    </w:p>
    <w:p w14:paraId="5261B3B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12.4.6 支付分解表的编制</w:t>
      </w:r>
    </w:p>
    <w:p w14:paraId="0B8F3C43">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2、总价合同支付分解表的编制与审批：</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661F429">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3、单价合同的总价项目支付分解表的编制与审批：</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0275E417">
      <w:pPr>
        <w:pStyle w:val="73"/>
        <w:spacing w:line="42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13. 验收和工程试车</w:t>
      </w:r>
    </w:p>
    <w:p w14:paraId="047397DA">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13.1 分部分项工程验收</w:t>
      </w:r>
    </w:p>
    <w:p w14:paraId="5DFA7BE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13.1.2监理人不能按时进行验收时，应提前</w:t>
      </w:r>
      <w:r>
        <w:rPr>
          <w:rFonts w:hint="eastAsia" w:ascii="仿宋_GB2312" w:hAnsi="仿宋" w:eastAsia="仿宋_GB2312"/>
          <w:color w:val="000000"/>
          <w:sz w:val="28"/>
          <w:szCs w:val="28"/>
          <w:u w:val="single"/>
        </w:rPr>
        <w:t xml:space="preserve">  24 </w:t>
      </w:r>
      <w:r>
        <w:rPr>
          <w:rFonts w:hint="eastAsia" w:ascii="仿宋_GB2312" w:hAnsi="仿宋" w:eastAsia="仿宋_GB2312"/>
          <w:color w:val="000000"/>
          <w:sz w:val="28"/>
          <w:szCs w:val="28"/>
        </w:rPr>
        <w:t>小时提交书面延期要求。</w:t>
      </w:r>
    </w:p>
    <w:p w14:paraId="78FA86A7">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color w:val="000000"/>
          <w:sz w:val="28"/>
          <w:szCs w:val="28"/>
        </w:rPr>
        <w:t>关于延期最长不得超过：</w:t>
      </w:r>
      <w:r>
        <w:rPr>
          <w:rFonts w:hint="eastAsia" w:ascii="仿宋_GB2312" w:hAnsi="仿宋" w:eastAsia="仿宋_GB2312"/>
          <w:color w:val="000000"/>
          <w:sz w:val="28"/>
          <w:szCs w:val="28"/>
          <w:u w:val="single"/>
        </w:rPr>
        <w:t xml:space="preserve"> 48 </w:t>
      </w:r>
      <w:r>
        <w:rPr>
          <w:rFonts w:hint="eastAsia" w:ascii="仿宋_GB2312" w:hAnsi="仿宋" w:eastAsia="仿宋_GB2312"/>
          <w:color w:val="000000"/>
          <w:sz w:val="28"/>
          <w:szCs w:val="28"/>
        </w:rPr>
        <w:t>小时。</w:t>
      </w:r>
    </w:p>
    <w:p w14:paraId="445A886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13.2 竣工验收</w:t>
      </w:r>
    </w:p>
    <w:p w14:paraId="728D88A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13.2.2竣工验收程序</w:t>
      </w:r>
    </w:p>
    <w:p w14:paraId="3988A972">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关于竣工验收程序的约定：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按通用条款执行</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6F449E61">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发包人不按照本项约定组织竣工验收、颁发工程接收证书的违约金的计算方法：</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90EB20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13.2.5移交、接收全部与部分工程</w:t>
      </w:r>
    </w:p>
    <w:p w14:paraId="61C852D8">
      <w:pPr>
        <w:pStyle w:val="73"/>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承包人向发包人移交工程的期限：</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颁发工程接收证书后7天内完成工程的移交 </w:t>
      </w:r>
      <w:r>
        <w:rPr>
          <w:rFonts w:hint="eastAsia" w:ascii="仿宋_GB2312" w:hAnsi="仿宋" w:eastAsia="仿宋_GB2312"/>
          <w:color w:val="000000"/>
          <w:sz w:val="28"/>
          <w:szCs w:val="28"/>
        </w:rPr>
        <w:t>。</w:t>
      </w:r>
    </w:p>
    <w:p w14:paraId="319227EF">
      <w:pPr>
        <w:pStyle w:val="73"/>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发包人未按本合同约定接收全部或部分工程的，违约金的计算方法为：</w:t>
      </w:r>
      <w:r>
        <w:rPr>
          <w:rFonts w:hint="eastAsia" w:ascii="仿宋_GB2312" w:hAnsi="仿宋" w:eastAsia="仿宋_GB2312"/>
          <w:color w:val="000000"/>
          <w:sz w:val="28"/>
          <w:szCs w:val="28"/>
          <w:u w:val="single"/>
        </w:rPr>
        <w:t xml:space="preserve">承担由此发生的与工程有关的各项费用 </w:t>
      </w:r>
      <w:r>
        <w:rPr>
          <w:rFonts w:hint="eastAsia" w:ascii="仿宋_GB2312" w:hAnsi="仿宋" w:eastAsia="仿宋_GB2312"/>
          <w:color w:val="000000"/>
          <w:sz w:val="28"/>
          <w:szCs w:val="28"/>
        </w:rPr>
        <w:t>。</w:t>
      </w:r>
    </w:p>
    <w:p w14:paraId="4B12CE5D">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承包人未按时移交工程的，违约金的计算方法为：</w:t>
      </w:r>
      <w:r>
        <w:rPr>
          <w:rFonts w:hint="eastAsia" w:ascii="仿宋_GB2312" w:hAnsi="仿宋" w:eastAsia="仿宋_GB2312"/>
          <w:color w:val="000000"/>
          <w:sz w:val="28"/>
          <w:szCs w:val="28"/>
          <w:u w:val="single"/>
        </w:rPr>
        <w:t>按通用条款执行</w:t>
      </w:r>
      <w:r>
        <w:rPr>
          <w:rFonts w:hint="eastAsia" w:ascii="仿宋_GB2312" w:hAnsi="仿宋" w:eastAsia="仿宋_GB2312"/>
          <w:color w:val="000000"/>
          <w:sz w:val="28"/>
          <w:szCs w:val="28"/>
        </w:rPr>
        <w:t>。</w:t>
      </w:r>
    </w:p>
    <w:p w14:paraId="6477A21B">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13.3 工程试车</w:t>
      </w:r>
    </w:p>
    <w:p w14:paraId="128D641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13.3.1 试车程序</w:t>
      </w:r>
    </w:p>
    <w:p w14:paraId="5FCDC2FC">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工程试车内容：</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 </w:t>
      </w:r>
    </w:p>
    <w:p w14:paraId="448D8224">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（1）单机无负荷试车费用由</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承担；</w:t>
      </w:r>
    </w:p>
    <w:p w14:paraId="158509C6">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（2）无负荷联动试车费用由</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承担。</w:t>
      </w:r>
    </w:p>
    <w:p w14:paraId="58A884A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13.3.3 投料试车</w:t>
      </w:r>
    </w:p>
    <w:p w14:paraId="73F6D47D">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关于投料试车相关事项的约定：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17A59FD7">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13.6 竣工退场</w:t>
      </w:r>
    </w:p>
    <w:p w14:paraId="01FB7FC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13.6.1 竣工退场</w:t>
      </w:r>
    </w:p>
    <w:p w14:paraId="4B0E0A06">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承包人完成竣工退场的期限：</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工程移交后15天内  </w:t>
      </w:r>
      <w:r>
        <w:rPr>
          <w:rFonts w:hint="eastAsia" w:ascii="仿宋_GB2312" w:hAnsi="仿宋" w:eastAsia="仿宋_GB2312"/>
          <w:color w:val="000000"/>
          <w:sz w:val="28"/>
          <w:szCs w:val="28"/>
        </w:rPr>
        <w:t>。</w:t>
      </w:r>
    </w:p>
    <w:p w14:paraId="5E70ECF1">
      <w:pPr>
        <w:pStyle w:val="73"/>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14. 竣工结算</w:t>
      </w:r>
    </w:p>
    <w:p w14:paraId="42D93D54">
      <w:pPr>
        <w:pStyle w:val="73"/>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14.1 竣工付款申请</w:t>
      </w:r>
    </w:p>
    <w:p w14:paraId="4DC60AC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承包人提交竣工付款申请单的期限：</w:t>
      </w:r>
      <w:r>
        <w:rPr>
          <w:rFonts w:hint="eastAsia" w:ascii="仿宋_GB2312" w:hAnsi="仿宋" w:eastAsia="仿宋_GB2312"/>
          <w:color w:val="000000"/>
          <w:sz w:val="28"/>
          <w:szCs w:val="28"/>
          <w:u w:val="single"/>
        </w:rPr>
        <w:t xml:space="preserve">申报的工程竣工结算书已经过发包人审定后的15个工作日 </w:t>
      </w:r>
      <w:r>
        <w:rPr>
          <w:rFonts w:hint="eastAsia" w:ascii="仿宋_GB2312" w:hAnsi="仿宋" w:eastAsia="仿宋_GB2312"/>
          <w:color w:val="000000"/>
          <w:sz w:val="28"/>
          <w:szCs w:val="28"/>
        </w:rPr>
        <w:t>。</w:t>
      </w:r>
    </w:p>
    <w:p w14:paraId="2FB8A47B">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竣工付款申请单应包括的内容：</w:t>
      </w:r>
      <w:r>
        <w:rPr>
          <w:rFonts w:hint="eastAsia" w:ascii="仿宋_GB2312" w:hAnsi="仿宋" w:eastAsia="仿宋_GB2312"/>
          <w:color w:val="000000"/>
          <w:sz w:val="28"/>
          <w:szCs w:val="28"/>
          <w:u w:val="single"/>
        </w:rPr>
        <w:t xml:space="preserve">按通用条款执行         </w:t>
      </w:r>
      <w:r>
        <w:rPr>
          <w:rFonts w:hint="eastAsia" w:ascii="仿宋_GB2312" w:hAnsi="仿宋" w:eastAsia="仿宋_GB2312"/>
          <w:color w:val="000000"/>
          <w:sz w:val="28"/>
          <w:szCs w:val="28"/>
        </w:rPr>
        <w:t>。</w:t>
      </w:r>
    </w:p>
    <w:p w14:paraId="222DD245">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14.2 竣工结算审核</w:t>
      </w:r>
    </w:p>
    <w:p w14:paraId="2306E1CF">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发包人审批竣工付款申请单的期限：</w:t>
      </w:r>
      <w:r>
        <w:rPr>
          <w:rFonts w:hint="eastAsia" w:ascii="仿宋_GB2312" w:hAnsi="仿宋" w:eastAsia="仿宋_GB2312"/>
          <w:color w:val="000000"/>
          <w:sz w:val="28"/>
          <w:szCs w:val="28"/>
          <w:u w:val="single"/>
        </w:rPr>
        <w:t>以审计机关出具的工程结算报告日期为准。</w:t>
      </w:r>
    </w:p>
    <w:p w14:paraId="394DA74C">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发包人完成竣工付款的期限：</w:t>
      </w:r>
      <w:r>
        <w:rPr>
          <w:rFonts w:hint="eastAsia" w:ascii="仿宋_GB2312" w:hAnsi="仿宋" w:eastAsia="仿宋_GB2312"/>
          <w:color w:val="000000"/>
          <w:sz w:val="28"/>
          <w:szCs w:val="28"/>
          <w:u w:val="single"/>
        </w:rPr>
        <w:t>审计机关出具工程结算报告后14天内，完成对承包人的竣工付款</w:t>
      </w:r>
      <w:r>
        <w:rPr>
          <w:rFonts w:hint="eastAsia" w:ascii="仿宋_GB2312" w:hAnsi="仿宋" w:eastAsia="仿宋_GB2312"/>
          <w:color w:val="000000"/>
          <w:sz w:val="28"/>
          <w:szCs w:val="28"/>
        </w:rPr>
        <w:t>。</w:t>
      </w:r>
    </w:p>
    <w:p w14:paraId="4F510B83">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关于竣工付款证书异议部分复核的方式和程序：</w:t>
      </w:r>
      <w:r>
        <w:rPr>
          <w:rFonts w:hint="eastAsia" w:ascii="仿宋_GB2312" w:hAnsi="仿宋" w:eastAsia="仿宋_GB2312"/>
          <w:color w:val="000000"/>
          <w:sz w:val="28"/>
          <w:szCs w:val="28"/>
          <w:u w:val="single"/>
        </w:rPr>
        <w:t xml:space="preserve">和解、调解、争议评审 </w:t>
      </w:r>
      <w:r>
        <w:rPr>
          <w:rFonts w:hint="eastAsia" w:ascii="仿宋_GB2312" w:hAnsi="仿宋" w:eastAsia="仿宋_GB2312"/>
          <w:color w:val="000000"/>
          <w:sz w:val="28"/>
          <w:szCs w:val="28"/>
        </w:rPr>
        <w:t>。</w:t>
      </w:r>
    </w:p>
    <w:p w14:paraId="2DFF1E23">
      <w:pPr>
        <w:pStyle w:val="73"/>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14.4 最终结清</w:t>
      </w:r>
    </w:p>
    <w:p w14:paraId="6E612366">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14.4.1 最终结清申请单</w:t>
      </w:r>
    </w:p>
    <w:p w14:paraId="1992B05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承包人提交最终结清申请单的份数：</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4份</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6AFA89EA">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承包人提交最终结算申请单的期限：</w:t>
      </w:r>
      <w:r>
        <w:rPr>
          <w:rFonts w:hint="eastAsia" w:ascii="仿宋_GB2312" w:hAnsi="仿宋" w:eastAsia="仿宋_GB2312"/>
          <w:color w:val="000000"/>
          <w:sz w:val="28"/>
          <w:szCs w:val="28"/>
          <w:u w:val="single"/>
        </w:rPr>
        <w:t xml:space="preserve">在缺陷责任期终止证书颁发后7天内  </w:t>
      </w:r>
      <w:r>
        <w:rPr>
          <w:rFonts w:hint="eastAsia" w:ascii="仿宋_GB2312" w:hAnsi="仿宋" w:eastAsia="仿宋_GB2312"/>
          <w:color w:val="000000"/>
          <w:sz w:val="28"/>
          <w:szCs w:val="28"/>
        </w:rPr>
        <w:t xml:space="preserve">。 </w:t>
      </w:r>
    </w:p>
    <w:p w14:paraId="1D4A9FDB">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14.4.2 最终结清证书和支付</w:t>
      </w:r>
    </w:p>
    <w:p w14:paraId="0EBB9E5F">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（1）发包人完成最终结清申请单的审批并颁发最终结清证书的期限：</w:t>
      </w:r>
      <w:r>
        <w:rPr>
          <w:rFonts w:hint="eastAsia" w:ascii="仿宋_GB2312" w:hAnsi="仿宋" w:eastAsia="仿宋_GB2312"/>
          <w:color w:val="000000"/>
          <w:sz w:val="28"/>
          <w:szCs w:val="28"/>
          <w:u w:val="single"/>
        </w:rPr>
        <w:t xml:space="preserve">发包应在收到承包人提交的最终结清申请单后14天内完成  </w:t>
      </w:r>
      <w:r>
        <w:rPr>
          <w:rFonts w:hint="eastAsia" w:ascii="仿宋_GB2312" w:hAnsi="仿宋" w:eastAsia="仿宋_GB2312"/>
          <w:color w:val="000000"/>
          <w:sz w:val="28"/>
          <w:szCs w:val="28"/>
        </w:rPr>
        <w:t>。</w:t>
      </w:r>
    </w:p>
    <w:p w14:paraId="34E8F4D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（2）发包人完成支付的期限：</w:t>
      </w:r>
      <w:r>
        <w:rPr>
          <w:rFonts w:hint="eastAsia" w:ascii="仿宋_GB2312" w:hAnsi="仿宋" w:eastAsia="仿宋_GB2312"/>
          <w:color w:val="000000"/>
          <w:sz w:val="28"/>
          <w:szCs w:val="28"/>
          <w:u w:val="single"/>
        </w:rPr>
        <w:t>发包人应在颁发最终结清证书后7天内完成支付</w:t>
      </w:r>
      <w:r>
        <w:rPr>
          <w:rFonts w:hint="eastAsia" w:ascii="仿宋_GB2312" w:hAnsi="仿宋" w:eastAsia="仿宋_GB2312"/>
          <w:color w:val="000000"/>
          <w:sz w:val="28"/>
          <w:szCs w:val="28"/>
        </w:rPr>
        <w:t>。</w:t>
      </w:r>
    </w:p>
    <w:p w14:paraId="0E61A87E">
      <w:pPr>
        <w:pStyle w:val="73"/>
        <w:spacing w:line="360" w:lineRule="auto"/>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15. 缺陷责任期与保修</w:t>
      </w:r>
    </w:p>
    <w:p w14:paraId="650D66B1">
      <w:pPr>
        <w:pStyle w:val="73"/>
        <w:spacing w:line="360" w:lineRule="auto"/>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15.2缺陷责任期</w:t>
      </w:r>
    </w:p>
    <w:p w14:paraId="55CE1E45">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缺陷责任期的具体期限：</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24个月</w:t>
      </w:r>
      <w:r>
        <w:rPr>
          <w:rFonts w:hint="eastAsia" w:ascii="仿宋_GB2312" w:hAnsi="仿宋" w:eastAsia="仿宋_GB2312"/>
          <w:color w:val="000000"/>
          <w:sz w:val="28"/>
          <w:szCs w:val="28"/>
          <w:u w:val="single"/>
          <w:lang w:eastAsia="zh-CN"/>
        </w:rPr>
        <w:t>。</w:t>
      </w:r>
      <w:r>
        <w:rPr>
          <w:rFonts w:hint="eastAsia" w:ascii="仿宋_GB2312" w:hAnsi="仿宋" w:eastAsia="仿宋_GB2312"/>
          <w:color w:val="000000"/>
          <w:sz w:val="28"/>
          <w:szCs w:val="28"/>
          <w:u w:val="single"/>
        </w:rPr>
        <w:t xml:space="preserve">   </w:t>
      </w:r>
    </w:p>
    <w:p w14:paraId="01295F93">
      <w:pPr>
        <w:pStyle w:val="73"/>
        <w:ind w:left="0" w:right="26"/>
        <w:rPr>
          <w:rFonts w:hint="eastAsia" w:ascii="仿宋_GB2312" w:hAnsi="仿宋" w:eastAsia="仿宋_GB2312"/>
          <w:b/>
          <w:color w:val="000000"/>
          <w:sz w:val="28"/>
          <w:szCs w:val="28"/>
          <w:u w:val="single"/>
        </w:rPr>
      </w:pPr>
      <w:r>
        <w:rPr>
          <w:rFonts w:hint="eastAsia" w:ascii="仿宋_GB2312" w:hAnsi="仿宋" w:eastAsia="仿宋_GB2312"/>
          <w:b/>
          <w:color w:val="000000"/>
          <w:sz w:val="28"/>
          <w:szCs w:val="28"/>
        </w:rPr>
        <w:t>15.3 质量保证金</w:t>
      </w:r>
    </w:p>
    <w:p w14:paraId="1FBA007E">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关于是否扣留质量保证金的约定：</w:t>
      </w:r>
      <w:r>
        <w:rPr>
          <w:rFonts w:hint="eastAsia" w:ascii="仿宋_GB2312" w:hAnsi="仿宋" w:eastAsia="仿宋_GB2312"/>
          <w:color w:val="000000"/>
          <w:sz w:val="28"/>
          <w:szCs w:val="28"/>
          <w:u w:val="single"/>
        </w:rPr>
        <w:t>在工程项目竣工前，承包人按专用合同条款第3.7条提供履约担保的，发包人不得同时预留工程质量保证金</w:t>
      </w:r>
      <w:r>
        <w:rPr>
          <w:rFonts w:hint="eastAsia" w:ascii="仿宋_GB2312" w:hAnsi="仿宋" w:eastAsia="仿宋_GB2312"/>
          <w:color w:val="000000"/>
          <w:sz w:val="28"/>
          <w:szCs w:val="28"/>
        </w:rPr>
        <w:t>。</w:t>
      </w:r>
    </w:p>
    <w:p w14:paraId="7184FA41">
      <w:pPr>
        <w:pStyle w:val="73"/>
        <w:spacing w:line="2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15.3.1 承包人提供质量保证金的方式</w:t>
      </w:r>
    </w:p>
    <w:p w14:paraId="62D0BED4">
      <w:pPr>
        <w:pStyle w:val="73"/>
        <w:spacing w:line="2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质量保证金采用以下第</w:t>
      </w:r>
      <w:r>
        <w:rPr>
          <w:rFonts w:hint="eastAsia" w:ascii="仿宋_GB2312" w:hAnsi="仿宋" w:eastAsia="仿宋_GB2312"/>
          <w:color w:val="000000"/>
          <w:sz w:val="28"/>
          <w:szCs w:val="28"/>
          <w:u w:val="single"/>
        </w:rPr>
        <w:t xml:space="preserve"> （2） </w:t>
      </w:r>
      <w:r>
        <w:rPr>
          <w:rFonts w:hint="eastAsia" w:ascii="仿宋_GB2312" w:hAnsi="仿宋" w:eastAsia="仿宋_GB2312"/>
          <w:color w:val="000000"/>
          <w:sz w:val="28"/>
          <w:szCs w:val="28"/>
        </w:rPr>
        <w:t>种方式：</w:t>
      </w:r>
    </w:p>
    <w:p w14:paraId="48112FE5">
      <w:pPr>
        <w:pStyle w:val="73"/>
        <w:spacing w:line="28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（1）质量保证金保函，保证金额为：</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 xml:space="preserve">； </w:t>
      </w:r>
    </w:p>
    <w:p w14:paraId="3EAB4CD5">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（2）</w:t>
      </w:r>
      <w:r>
        <w:rPr>
          <w:rFonts w:hint="eastAsia" w:ascii="仿宋_GB2312" w:hAnsi="仿宋" w:eastAsia="仿宋_GB2312"/>
          <w:color w:val="000000"/>
          <w:sz w:val="28"/>
          <w:szCs w:val="28"/>
          <w:u w:val="single"/>
        </w:rPr>
        <w:t xml:space="preserve"> 结算价款的3%作为工程质量保证金</w:t>
      </w:r>
      <w:r>
        <w:rPr>
          <w:rFonts w:hint="eastAsia" w:ascii="仿宋_GB2312" w:hAnsi="仿宋" w:eastAsia="仿宋_GB2312"/>
          <w:color w:val="000000"/>
          <w:sz w:val="28"/>
          <w:szCs w:val="28"/>
        </w:rPr>
        <w:t>；</w:t>
      </w:r>
    </w:p>
    <w:p w14:paraId="7619D3EA">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（3）其他方式:</w:t>
      </w:r>
      <w:r>
        <w:rPr>
          <w:rFonts w:hint="eastAsia" w:ascii="仿宋_GB2312" w:hAnsi="仿宋" w:eastAsia="仿宋_GB2312"/>
          <w:color w:val="000000"/>
          <w:sz w:val="28"/>
          <w:szCs w:val="28"/>
          <w:u w:val="single"/>
        </w:rPr>
        <w:t xml:space="preserve">   /    </w:t>
      </w:r>
      <w:r>
        <w:rPr>
          <w:rFonts w:hint="eastAsia" w:ascii="仿宋_GB2312" w:hAnsi="仿宋" w:eastAsia="仿宋_GB2312"/>
          <w:color w:val="000000"/>
          <w:sz w:val="28"/>
          <w:szCs w:val="28"/>
        </w:rPr>
        <w:t>。</w:t>
      </w:r>
    </w:p>
    <w:p w14:paraId="5E748EAF">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15.3.2 质量保证金的扣留 </w:t>
      </w:r>
    </w:p>
    <w:p w14:paraId="49D15E4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质量保证金的扣留采取以下第</w:t>
      </w:r>
      <w:r>
        <w:rPr>
          <w:rFonts w:hint="eastAsia" w:ascii="仿宋_GB2312" w:hAnsi="仿宋" w:eastAsia="仿宋_GB2312"/>
          <w:color w:val="000000"/>
          <w:sz w:val="28"/>
          <w:szCs w:val="28"/>
          <w:u w:val="single"/>
        </w:rPr>
        <w:t xml:space="preserve"> （2） </w:t>
      </w:r>
      <w:r>
        <w:rPr>
          <w:rFonts w:hint="eastAsia" w:ascii="仿宋_GB2312" w:hAnsi="仿宋" w:eastAsia="仿宋_GB2312"/>
          <w:color w:val="000000"/>
          <w:sz w:val="28"/>
          <w:szCs w:val="28"/>
        </w:rPr>
        <w:t>种方式：</w:t>
      </w:r>
    </w:p>
    <w:p w14:paraId="3ACF8ED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（1）在支付工程进度款时逐次扣留，在此情形下，质量保证金的计算基数不包括预付款的支付、扣回以及价格调整的金额；</w:t>
      </w:r>
    </w:p>
    <w:p w14:paraId="5D2BB097">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（2）工程竣工结算时一次性扣留质量保证金；</w:t>
      </w:r>
    </w:p>
    <w:p w14:paraId="6911B549">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（3）其他扣留方式:</w:t>
      </w:r>
      <w:r>
        <w:rPr>
          <w:rFonts w:hint="eastAsia" w:ascii="仿宋_GB2312" w:hAnsi="仿宋" w:eastAsia="仿宋_GB2312"/>
          <w:color w:val="000000"/>
          <w:sz w:val="28"/>
          <w:szCs w:val="28"/>
          <w:u w:val="single"/>
        </w:rPr>
        <w:t xml:space="preserve"> 建设工程质量保证金管理办法第六条在工程项目竣工前，已经缴纳履约保证金的，发包人不得同时预留工程质量保证金，采用工程质量保证担保、工程质量保险等其他保证方式的，发包人不得再预留保证金。</w:t>
      </w:r>
    </w:p>
    <w:p w14:paraId="2F31B450">
      <w:pPr>
        <w:pStyle w:val="73"/>
        <w:spacing w:line="420" w:lineRule="exact"/>
        <w:ind w:left="0" w:right="28"/>
        <w:rPr>
          <w:rFonts w:hint="eastAsia" w:ascii="仿宋_GB2312" w:hAnsi="仿宋" w:eastAsia="仿宋_GB2312"/>
          <w:b/>
          <w:color w:val="000000"/>
          <w:sz w:val="28"/>
          <w:szCs w:val="28"/>
        </w:rPr>
      </w:pPr>
      <w:r>
        <w:rPr>
          <w:rFonts w:hint="eastAsia" w:ascii="仿宋_GB2312" w:hAnsi="仿宋" w:eastAsia="仿宋_GB2312"/>
          <w:color w:val="000000"/>
          <w:sz w:val="28"/>
          <w:szCs w:val="28"/>
        </w:rPr>
        <w:t>关于质量保证金的补充约定：</w:t>
      </w:r>
      <w:r>
        <w:rPr>
          <w:rFonts w:hint="eastAsia" w:ascii="仿宋_GB2312" w:hAnsi="仿宋" w:eastAsia="仿宋_GB2312"/>
          <w:color w:val="000000"/>
          <w:sz w:val="28"/>
          <w:szCs w:val="28"/>
          <w:u w:val="single"/>
        </w:rPr>
        <w:t xml:space="preserve">  /。</w:t>
      </w:r>
    </w:p>
    <w:p w14:paraId="24E64AF2">
      <w:pPr>
        <w:pStyle w:val="73"/>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16. 违约</w:t>
      </w:r>
    </w:p>
    <w:p w14:paraId="51D2CD6C">
      <w:pPr>
        <w:pStyle w:val="73"/>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16.1 发包人违约</w:t>
      </w:r>
    </w:p>
    <w:p w14:paraId="20CD0743">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16.1.1发包人违约的情形</w:t>
      </w:r>
    </w:p>
    <w:p w14:paraId="7B98251D">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发包人违约的其他情形：</w:t>
      </w:r>
      <w:r>
        <w:rPr>
          <w:rFonts w:hint="eastAsia" w:ascii="仿宋_GB2312" w:hAnsi="仿宋" w:eastAsia="仿宋_GB2312"/>
          <w:color w:val="000000"/>
          <w:sz w:val="28"/>
          <w:szCs w:val="28"/>
          <w:u w:val="single"/>
        </w:rPr>
        <w:t xml:space="preserve"> </w:t>
      </w:r>
      <w:r>
        <w:rPr>
          <w:rFonts w:hint="eastAsia" w:ascii="仿宋_GB2312" w:hAnsi="仿宋" w:eastAsia="仿宋_GB2312" w:cs="宋体"/>
          <w:color w:val="000000"/>
          <w:sz w:val="28"/>
          <w:szCs w:val="28"/>
          <w:u w:val="single"/>
        </w:rPr>
        <w:t>按通用合同条款执行</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0C62A198">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    16.1.2 发包人违约的责任</w:t>
      </w:r>
    </w:p>
    <w:p w14:paraId="2603A32D">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发包人违约责任的承担方式和计算方法：</w:t>
      </w:r>
    </w:p>
    <w:p w14:paraId="118027C4">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（1）因发包人原因未能在计划开工日期前7天内下达开工通知的违约责任：</w:t>
      </w:r>
      <w:r>
        <w:rPr>
          <w:rFonts w:hint="eastAsia" w:ascii="仿宋_GB2312" w:hAnsi="仿宋" w:eastAsia="仿宋_GB2312"/>
          <w:color w:val="000000"/>
          <w:sz w:val="28"/>
          <w:szCs w:val="28"/>
          <w:u w:val="single"/>
        </w:rPr>
        <w:t>工期顺延。</w:t>
      </w:r>
    </w:p>
    <w:p w14:paraId="726493E8">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（2）因发包人原因未能按合同约定支付合同价款的违约责任：</w:t>
      </w:r>
      <w:r>
        <w:rPr>
          <w:rFonts w:hint="eastAsia" w:ascii="仿宋_GB2312" w:hAnsi="仿宋" w:eastAsia="仿宋_GB2312"/>
          <w:color w:val="000000"/>
          <w:sz w:val="28"/>
          <w:szCs w:val="28"/>
          <w:u w:val="single"/>
        </w:rPr>
        <w:t>按通用条款执行</w:t>
      </w:r>
      <w:r>
        <w:rPr>
          <w:rFonts w:hint="eastAsia" w:ascii="仿宋_GB2312" w:hAnsi="仿宋" w:eastAsia="仿宋_GB2312"/>
          <w:color w:val="000000"/>
          <w:sz w:val="28"/>
          <w:szCs w:val="28"/>
        </w:rPr>
        <w:t>。</w:t>
      </w:r>
    </w:p>
    <w:p w14:paraId="073618BF">
      <w:pPr>
        <w:pStyle w:val="73"/>
        <w:spacing w:line="42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（3）发包人违反第10.1款〔变更的范围〕第（2）项约定，自行实施被取消的工作或转由他人实施的违约责任：</w:t>
      </w:r>
      <w:r>
        <w:rPr>
          <w:rFonts w:hint="eastAsia" w:ascii="仿宋_GB2312" w:hAnsi="仿宋" w:eastAsia="仿宋_GB2312"/>
          <w:color w:val="000000"/>
          <w:sz w:val="28"/>
          <w:szCs w:val="28"/>
          <w:u w:val="single"/>
        </w:rPr>
        <w:t xml:space="preserve">未能通过竣工验收的由发包人承担责任 </w:t>
      </w:r>
      <w:r>
        <w:rPr>
          <w:rFonts w:hint="eastAsia" w:ascii="仿宋_GB2312" w:hAnsi="仿宋" w:eastAsia="仿宋_GB2312"/>
          <w:color w:val="000000"/>
          <w:sz w:val="28"/>
          <w:szCs w:val="28"/>
        </w:rPr>
        <w:t>。</w:t>
      </w:r>
    </w:p>
    <w:p w14:paraId="22BD7D1E">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（4）发包人提供的材料、工程设备的规格、数量或质量不符合合同约定，或因发包人原因导致交货日期延误或交货地点变更等情况的违约责任：</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4CDCF8F4">
      <w:pPr>
        <w:pStyle w:val="73"/>
        <w:spacing w:line="42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（5）因发包人违反合同约定造成暂停施工的违约责任：</w:t>
      </w:r>
      <w:r>
        <w:rPr>
          <w:rFonts w:hint="eastAsia" w:ascii="仿宋_GB2312" w:hAnsi="仿宋" w:eastAsia="仿宋_GB2312"/>
          <w:color w:val="000000"/>
          <w:sz w:val="28"/>
          <w:szCs w:val="28"/>
          <w:u w:val="single"/>
        </w:rPr>
        <w:t>工期顺延</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6C043856">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（6）发包人无正当理由没有在约定期限内发出复工指示，导致承包人无法复工的违约责任：</w:t>
      </w:r>
      <w:r>
        <w:rPr>
          <w:rFonts w:hint="eastAsia" w:ascii="仿宋_GB2312" w:hAnsi="仿宋" w:eastAsia="仿宋_GB2312"/>
          <w:color w:val="000000"/>
          <w:sz w:val="28"/>
          <w:szCs w:val="28"/>
          <w:u w:val="single"/>
        </w:rPr>
        <w:t>工期顺延</w:t>
      </w:r>
      <w:r>
        <w:rPr>
          <w:rFonts w:hint="eastAsia" w:ascii="仿宋_GB2312" w:hAnsi="仿宋" w:eastAsia="仿宋_GB2312"/>
          <w:color w:val="000000"/>
          <w:sz w:val="28"/>
          <w:szCs w:val="28"/>
        </w:rPr>
        <w:t>。</w:t>
      </w:r>
    </w:p>
    <w:p w14:paraId="56979E85">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（7）其他：</w:t>
      </w:r>
      <w:r>
        <w:rPr>
          <w:rFonts w:hint="eastAsia" w:ascii="仿宋_GB2312" w:hAnsi="仿宋" w:eastAsia="仿宋_GB2312"/>
          <w:color w:val="000000"/>
          <w:sz w:val="28"/>
          <w:szCs w:val="28"/>
          <w:u w:val="single"/>
        </w:rPr>
        <w:t xml:space="preserve"> 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rPr>
        <w:t>。</w:t>
      </w:r>
    </w:p>
    <w:p w14:paraId="69D27CDE">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16.1.3 因发包人违约解除合同</w:t>
      </w:r>
    </w:p>
    <w:p w14:paraId="5BCA318F">
      <w:pPr>
        <w:pStyle w:val="73"/>
        <w:spacing w:line="42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承包人按16.1.1项〔发包人违约的情形〕约定暂停施工满</w:t>
      </w:r>
      <w:r>
        <w:rPr>
          <w:rFonts w:hint="eastAsia" w:ascii="仿宋_GB2312" w:hAnsi="仿宋" w:eastAsia="仿宋_GB2312"/>
          <w:color w:val="000000"/>
          <w:sz w:val="28"/>
          <w:szCs w:val="28"/>
          <w:u w:val="single"/>
        </w:rPr>
        <w:t xml:space="preserve"> 28</w:t>
      </w:r>
      <w:r>
        <w:rPr>
          <w:rFonts w:hint="eastAsia" w:ascii="仿宋_GB2312" w:hAnsi="仿宋" w:eastAsia="仿宋_GB2312"/>
          <w:color w:val="000000"/>
          <w:sz w:val="28"/>
          <w:szCs w:val="28"/>
        </w:rPr>
        <w:t>天后发包人仍不纠正其违约行为并致使合同目的不能实现的，承包人有权解除合同。</w:t>
      </w:r>
    </w:p>
    <w:p w14:paraId="6E2C6908">
      <w:pPr>
        <w:pStyle w:val="73"/>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16.2 承包人违约</w:t>
      </w:r>
    </w:p>
    <w:p w14:paraId="6B069FC2">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16.2.1 承包人违约的情形</w:t>
      </w:r>
    </w:p>
    <w:p w14:paraId="45D5541D">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承包人违约的其他情形：</w:t>
      </w:r>
      <w:r>
        <w:rPr>
          <w:rFonts w:hint="eastAsia" w:ascii="仿宋_GB2312" w:hAnsi="仿宋" w:eastAsia="仿宋_GB2312"/>
          <w:color w:val="000000"/>
          <w:sz w:val="28"/>
          <w:szCs w:val="28"/>
          <w:u w:val="single"/>
        </w:rPr>
        <w:t>按通用条款执行</w:t>
      </w:r>
      <w:r>
        <w:rPr>
          <w:rFonts w:hint="eastAsia" w:ascii="仿宋_GB2312" w:hAnsi="仿宋" w:eastAsia="仿宋_GB2312"/>
          <w:color w:val="000000"/>
          <w:sz w:val="28"/>
          <w:szCs w:val="28"/>
        </w:rPr>
        <w:t>。</w:t>
      </w:r>
    </w:p>
    <w:p w14:paraId="0F0FF50C">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16.2.2承包人违约的责任</w:t>
      </w:r>
    </w:p>
    <w:p w14:paraId="17D43B08">
      <w:pPr>
        <w:pStyle w:val="73"/>
        <w:widowControl/>
        <w:spacing w:line="380" w:lineRule="exact"/>
        <w:ind w:left="0" w:right="26"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承包人违约责任的承担方式和计算方法：</w:t>
      </w:r>
      <w:r>
        <w:rPr>
          <w:rFonts w:hint="eastAsia" w:ascii="仿宋_GB2312" w:hAnsi="仿宋" w:eastAsia="仿宋_GB2312"/>
          <w:color w:val="000000"/>
          <w:sz w:val="28"/>
          <w:szCs w:val="28"/>
          <w:u w:val="single"/>
        </w:rPr>
        <w:t>1.承包人应向发包人和监理单位提供月进度计划，若承包人月施工工期无故延迟达五天及以上，发包人将签发整改通知书，责令承包人限期抢回，并暂扣承包人30%的月应付工程进度款，待工期抢回后，再还暂扣款。</w:t>
      </w:r>
    </w:p>
    <w:p w14:paraId="793206D4">
      <w:pPr>
        <w:pStyle w:val="73"/>
        <w:widowControl/>
        <w:spacing w:line="380" w:lineRule="exact"/>
        <w:ind w:left="0" w:right="26"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2.为了确保工程质量，督促承包人严格按国家有关规定，精心组织施工，本工程设置了质量保证金，承办人在合同签订前提交，同时发包人向承包人提供与质量保证金相同的支付担保。发包人有权对施工中出现的工程质量事故或质量缺陷给予一定的经济处罚，承包人承担因此给发包人造成的一切经济损失，直至追究法律责任。</w:t>
      </w:r>
    </w:p>
    <w:p w14:paraId="0230D59D">
      <w:pPr>
        <w:pStyle w:val="73"/>
        <w:widowControl/>
        <w:spacing w:line="380" w:lineRule="exact"/>
        <w:ind w:left="0" w:right="26"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3.如因承包人原因达不到一次性验收合格的工程质量要求，承包人应赔偿发包人合同价的5%违约金，并承担给发包人造成的一切经济损失，直至追究法律责任。</w:t>
      </w:r>
    </w:p>
    <w:p w14:paraId="32E2B505">
      <w:pPr>
        <w:pStyle w:val="73"/>
        <w:widowControl/>
        <w:spacing w:line="380" w:lineRule="exact"/>
        <w:ind w:left="0" w:right="26" w:firstLine="560" w:firstLineChars="20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4.施工现场文明施工管理未达到标准要求，发包人有权要求承包人按照安全文明施工费的一定比例承担违约责任。</w:t>
      </w:r>
    </w:p>
    <w:p w14:paraId="15818D29">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16.2.3 因承包人违约解除合同</w:t>
      </w:r>
    </w:p>
    <w:p w14:paraId="464DCD40">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关于承包人违约解除合同的特别约定：</w:t>
      </w:r>
      <w:r>
        <w:rPr>
          <w:rFonts w:hint="eastAsia" w:ascii="仿宋_GB2312" w:hAnsi="仿宋" w:eastAsia="仿宋_GB2312"/>
          <w:color w:val="000000"/>
          <w:sz w:val="28"/>
          <w:szCs w:val="28"/>
          <w:u w:val="single"/>
        </w:rPr>
        <w:t>除通用合同条款规定外，承包人还应承担由此给发包人造成的一切经济损失，直至追究法律责任 。</w:t>
      </w:r>
    </w:p>
    <w:p w14:paraId="2392C891">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发包人继续使用承包人在施工现场的材料、设备、临时工程、承包人文件和由承包人或</w:t>
      </w:r>
    </w:p>
    <w:p w14:paraId="13F985C7">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以其名义编制的其他文件的费用承担方式：</w:t>
      </w:r>
      <w:r>
        <w:rPr>
          <w:rFonts w:hint="eastAsia" w:ascii="仿宋_GB2312" w:hAnsi="仿宋" w:eastAsia="仿宋_GB2312"/>
          <w:color w:val="000000"/>
          <w:sz w:val="28"/>
          <w:szCs w:val="28"/>
          <w:u w:val="single"/>
        </w:rPr>
        <w:t xml:space="preserve">按实际发生计算 </w:t>
      </w:r>
      <w:r>
        <w:rPr>
          <w:rFonts w:hint="eastAsia" w:ascii="仿宋_GB2312" w:hAnsi="仿宋" w:eastAsia="仿宋_GB2312"/>
          <w:color w:val="000000"/>
          <w:sz w:val="28"/>
          <w:szCs w:val="28"/>
        </w:rPr>
        <w:t>。</w:t>
      </w:r>
    </w:p>
    <w:p w14:paraId="346A86D1">
      <w:pPr>
        <w:pStyle w:val="73"/>
        <w:spacing w:line="40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 xml:space="preserve">17. 不可抗力 </w:t>
      </w:r>
    </w:p>
    <w:p w14:paraId="60C5FF51">
      <w:pPr>
        <w:pStyle w:val="73"/>
        <w:spacing w:line="40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17.1 不可抗力的确认</w:t>
      </w:r>
    </w:p>
    <w:p w14:paraId="5C03FFA0">
      <w:pPr>
        <w:pStyle w:val="73"/>
        <w:spacing w:line="400" w:lineRule="exact"/>
        <w:ind w:left="0" w:right="26"/>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 xml:space="preserve">除通用合同条款约定的不可抗力事件之外，视为不可抗力的其他情形： </w:t>
      </w:r>
      <w:r>
        <w:rPr>
          <w:rFonts w:hint="eastAsia" w:ascii="仿宋_GB2312" w:hAnsi="仿宋" w:eastAsia="仿宋_GB2312"/>
          <w:color w:val="000000"/>
          <w:sz w:val="28"/>
          <w:szCs w:val="28"/>
          <w:u w:val="single"/>
        </w:rPr>
        <w:t xml:space="preserve">无  </w:t>
      </w:r>
      <w:r>
        <w:rPr>
          <w:rFonts w:hint="eastAsia" w:ascii="仿宋_GB2312" w:hAnsi="仿宋" w:eastAsia="仿宋_GB2312"/>
          <w:color w:val="000000"/>
          <w:sz w:val="28"/>
          <w:szCs w:val="28"/>
        </w:rPr>
        <w:t>。</w:t>
      </w:r>
    </w:p>
    <w:p w14:paraId="7ADE7244">
      <w:pPr>
        <w:pStyle w:val="73"/>
        <w:spacing w:line="40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17.4 因不可抗力解除合同</w:t>
      </w:r>
    </w:p>
    <w:p w14:paraId="4A04FF56">
      <w:pPr>
        <w:pStyle w:val="73"/>
        <w:spacing w:line="40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合同解除后，发包人应在商定或确定发包人应支付款项后</w:t>
      </w:r>
      <w:r>
        <w:rPr>
          <w:rFonts w:hint="eastAsia" w:ascii="仿宋_GB2312" w:hAnsi="仿宋" w:eastAsia="仿宋_GB2312"/>
          <w:color w:val="000000"/>
          <w:sz w:val="28"/>
          <w:szCs w:val="28"/>
          <w:u w:val="single"/>
        </w:rPr>
        <w:t xml:space="preserve">  28 </w:t>
      </w:r>
      <w:r>
        <w:rPr>
          <w:rFonts w:hint="eastAsia" w:ascii="仿宋_GB2312" w:hAnsi="仿宋" w:eastAsia="仿宋_GB2312"/>
          <w:color w:val="000000"/>
          <w:sz w:val="28"/>
          <w:szCs w:val="28"/>
        </w:rPr>
        <w:t>天内完成款项的支付。</w:t>
      </w:r>
    </w:p>
    <w:p w14:paraId="4CDE2F98">
      <w:pPr>
        <w:pStyle w:val="73"/>
        <w:spacing w:line="400" w:lineRule="exact"/>
        <w:ind w:left="0" w:right="26"/>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18. 保险</w:t>
      </w:r>
    </w:p>
    <w:p w14:paraId="20521099">
      <w:pPr>
        <w:pStyle w:val="73"/>
        <w:spacing w:line="40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18.1 工程保险</w:t>
      </w:r>
    </w:p>
    <w:p w14:paraId="42429A07">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关于工程保险的特别约定：</w:t>
      </w:r>
      <w:r>
        <w:rPr>
          <w:rFonts w:hint="eastAsia" w:ascii="仿宋_GB2312" w:hAnsi="仿宋" w:eastAsia="仿宋_GB2312"/>
          <w:color w:val="000000"/>
          <w:sz w:val="28"/>
          <w:szCs w:val="28"/>
          <w:u w:val="single"/>
        </w:rPr>
        <w:t>按通用条款执行。</w:t>
      </w:r>
    </w:p>
    <w:p w14:paraId="1866ACD2">
      <w:pPr>
        <w:pStyle w:val="73"/>
        <w:spacing w:line="40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18.3 其他保险</w:t>
      </w:r>
    </w:p>
    <w:p w14:paraId="09A6A9F9">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关于其他保险的约定：</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无</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0E43638B">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承包人是否应为其施工设备等办理财产保险：</w:t>
      </w:r>
      <w:r>
        <w:rPr>
          <w:rFonts w:hint="eastAsia" w:ascii="仿宋_GB2312" w:hAnsi="仿宋" w:eastAsia="仿宋_GB2312"/>
          <w:color w:val="000000"/>
          <w:sz w:val="28"/>
          <w:szCs w:val="28"/>
          <w:u w:val="single"/>
        </w:rPr>
        <w:t xml:space="preserve"> 承包人自行解决</w:t>
      </w:r>
      <w:r>
        <w:rPr>
          <w:rFonts w:hint="eastAsia" w:ascii="仿宋_GB2312" w:hAnsi="仿宋" w:eastAsia="仿宋_GB2312"/>
          <w:color w:val="000000"/>
          <w:sz w:val="28"/>
          <w:szCs w:val="28"/>
        </w:rPr>
        <w:t>。</w:t>
      </w:r>
    </w:p>
    <w:p w14:paraId="090A1725">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18.7 通知义务</w:t>
      </w:r>
    </w:p>
    <w:p w14:paraId="00912DC0">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关于变更保险合同时的通知义务的约定：</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49B2B439">
      <w:pPr>
        <w:pStyle w:val="73"/>
        <w:spacing w:line="400" w:lineRule="exact"/>
        <w:ind w:left="0" w:right="28"/>
        <w:rPr>
          <w:rFonts w:hint="eastAsia" w:ascii="仿宋_GB2312" w:hAnsi="仿宋" w:eastAsia="仿宋_GB2312"/>
          <w:b/>
          <w:bCs/>
          <w:color w:val="000000"/>
          <w:sz w:val="28"/>
          <w:szCs w:val="28"/>
        </w:rPr>
      </w:pPr>
      <w:r>
        <w:rPr>
          <w:rFonts w:hint="eastAsia" w:ascii="仿宋_GB2312" w:hAnsi="仿宋" w:eastAsia="仿宋_GB2312"/>
          <w:b/>
          <w:bCs/>
          <w:color w:val="000000"/>
          <w:sz w:val="28"/>
          <w:szCs w:val="28"/>
        </w:rPr>
        <w:t>19. 争议解决</w:t>
      </w:r>
    </w:p>
    <w:p w14:paraId="390DA431">
      <w:pPr>
        <w:pStyle w:val="73"/>
        <w:spacing w:line="400" w:lineRule="exact"/>
        <w:ind w:left="0" w:right="28"/>
        <w:rPr>
          <w:rFonts w:hint="eastAsia" w:ascii="仿宋_GB2312" w:hAnsi="仿宋" w:eastAsia="仿宋_GB2312"/>
          <w:b/>
          <w:color w:val="000000"/>
          <w:sz w:val="28"/>
          <w:szCs w:val="28"/>
        </w:rPr>
      </w:pPr>
      <w:r>
        <w:rPr>
          <w:rFonts w:hint="eastAsia" w:ascii="仿宋_GB2312" w:hAnsi="仿宋" w:eastAsia="仿宋_GB2312"/>
          <w:b/>
          <w:color w:val="000000"/>
          <w:sz w:val="28"/>
          <w:szCs w:val="28"/>
        </w:rPr>
        <w:t>19.1 争议评审</w:t>
      </w:r>
    </w:p>
    <w:p w14:paraId="59C81ADE">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合同当事人是否同意将工程争议提交争议评审小组决定：</w:t>
      </w:r>
      <w:r>
        <w:rPr>
          <w:rFonts w:hint="eastAsia" w:ascii="仿宋_GB2312" w:hAnsi="仿宋" w:eastAsia="仿宋_GB2312"/>
          <w:color w:val="000000"/>
          <w:sz w:val="28"/>
          <w:szCs w:val="28"/>
          <w:u w:val="single"/>
        </w:rPr>
        <w:t xml:space="preserve">    否      </w:t>
      </w:r>
      <w:r>
        <w:rPr>
          <w:rFonts w:hint="eastAsia" w:ascii="仿宋_GB2312" w:hAnsi="仿宋" w:eastAsia="仿宋_GB2312"/>
          <w:color w:val="000000"/>
          <w:sz w:val="28"/>
          <w:szCs w:val="28"/>
        </w:rPr>
        <w:t xml:space="preserve">。  </w:t>
      </w:r>
    </w:p>
    <w:p w14:paraId="0608B13B">
      <w:pPr>
        <w:pStyle w:val="73"/>
        <w:spacing w:line="400" w:lineRule="exact"/>
        <w:ind w:left="0" w:right="28"/>
        <w:rPr>
          <w:rFonts w:hint="eastAsia" w:ascii="仿宋_GB2312" w:hAnsi="仿宋" w:eastAsia="仿宋_GB2312"/>
          <w:color w:val="000000"/>
          <w:sz w:val="28"/>
          <w:szCs w:val="28"/>
        </w:rPr>
      </w:pPr>
      <w:r>
        <w:rPr>
          <w:rFonts w:hint="eastAsia" w:ascii="仿宋_GB2312" w:hAnsi="仿宋" w:eastAsia="仿宋_GB2312"/>
          <w:color w:val="000000"/>
          <w:sz w:val="28"/>
          <w:szCs w:val="28"/>
        </w:rPr>
        <w:t>19.1.1 争议评审小组的确定</w:t>
      </w:r>
    </w:p>
    <w:p w14:paraId="027E3224">
      <w:pPr>
        <w:pStyle w:val="73"/>
        <w:spacing w:line="400" w:lineRule="exact"/>
        <w:ind w:left="0" w:right="28"/>
        <w:rPr>
          <w:rFonts w:hint="eastAsia" w:ascii="仿宋_GB2312" w:hAnsi="仿宋" w:eastAsia="仿宋_GB2312"/>
          <w:color w:val="000000"/>
          <w:sz w:val="28"/>
          <w:szCs w:val="28"/>
          <w:u w:val="single"/>
        </w:rPr>
      </w:pPr>
      <w:r>
        <w:rPr>
          <w:rFonts w:hint="eastAsia" w:ascii="仿宋_GB2312" w:hAnsi="仿宋" w:eastAsia="仿宋_GB2312"/>
          <w:color w:val="000000"/>
          <w:sz w:val="28"/>
          <w:szCs w:val="28"/>
        </w:rPr>
        <w:t>争议评审小组成员的确定：</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421493E2">
      <w:pPr>
        <w:pStyle w:val="73"/>
        <w:spacing w:line="40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选定争议评审员的期限：</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2D6F51A3">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争议评审小组成员的报酬承担方式：</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0CFEE99C">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其他事项的约定：</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u w:val="single"/>
          <w:lang w:val="en-US" w:eastAsia="zh-CN"/>
        </w:rPr>
        <w:t xml:space="preserve">  </w:t>
      </w:r>
      <w:r>
        <w:rPr>
          <w:rFonts w:hint="eastAsia" w:ascii="仿宋_GB2312" w:hAnsi="仿宋" w:eastAsia="仿宋_GB2312"/>
          <w:color w:val="000000"/>
          <w:sz w:val="28"/>
          <w:szCs w:val="28"/>
          <w:u w:val="single"/>
        </w:rPr>
        <w:t xml:space="preserve">    </w:t>
      </w:r>
      <w:r>
        <w:rPr>
          <w:rFonts w:hint="eastAsia" w:ascii="仿宋_GB2312" w:hAnsi="仿宋" w:eastAsia="仿宋_GB2312"/>
          <w:color w:val="000000"/>
          <w:sz w:val="28"/>
          <w:szCs w:val="28"/>
        </w:rPr>
        <w:t>。</w:t>
      </w:r>
    </w:p>
    <w:p w14:paraId="2A0E163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19.1.2 争议评审小组的决定  </w:t>
      </w:r>
    </w:p>
    <w:p w14:paraId="6771FDF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合同当事人关于本项的约定：</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w:t>
      </w:r>
    </w:p>
    <w:p w14:paraId="4C512D47">
      <w:pPr>
        <w:pStyle w:val="73"/>
        <w:spacing w:line="420" w:lineRule="exact"/>
        <w:ind w:left="0" w:right="26"/>
        <w:rPr>
          <w:rFonts w:hint="eastAsia" w:ascii="仿宋_GB2312" w:hAnsi="仿宋" w:eastAsia="仿宋_GB2312"/>
          <w:b/>
          <w:color w:val="000000"/>
          <w:sz w:val="28"/>
          <w:szCs w:val="28"/>
        </w:rPr>
      </w:pPr>
      <w:r>
        <w:rPr>
          <w:rFonts w:hint="eastAsia" w:ascii="仿宋_GB2312" w:hAnsi="仿宋" w:eastAsia="仿宋_GB2312"/>
          <w:b/>
          <w:color w:val="000000"/>
          <w:sz w:val="28"/>
          <w:szCs w:val="28"/>
        </w:rPr>
        <w:t>19.2 仲裁或诉讼</w:t>
      </w:r>
    </w:p>
    <w:p w14:paraId="02FB16AD">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因合同及合同有关事项发生的争议，按下列第</w:t>
      </w:r>
      <w:r>
        <w:rPr>
          <w:rFonts w:hint="eastAsia" w:ascii="仿宋_GB2312" w:hAnsi="仿宋" w:eastAsia="仿宋_GB2312"/>
          <w:color w:val="000000"/>
          <w:sz w:val="28"/>
          <w:szCs w:val="28"/>
          <w:u w:val="single"/>
        </w:rPr>
        <w:t xml:space="preserve"> 2 </w:t>
      </w:r>
      <w:r>
        <w:rPr>
          <w:rFonts w:hint="eastAsia" w:ascii="仿宋_GB2312" w:hAnsi="仿宋" w:eastAsia="仿宋_GB2312"/>
          <w:color w:val="000000"/>
          <w:sz w:val="28"/>
          <w:szCs w:val="28"/>
        </w:rPr>
        <w:t>种方式解决：</w:t>
      </w:r>
    </w:p>
    <w:p w14:paraId="721EC3E9">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第一种解决方式：双方达成仲裁协议，向</w:t>
      </w:r>
      <w:r>
        <w:rPr>
          <w:rFonts w:hint="eastAsia" w:ascii="仿宋_GB2312" w:hAnsi="仿宋" w:eastAsia="仿宋_GB2312"/>
          <w:color w:val="000000"/>
          <w:sz w:val="28"/>
          <w:szCs w:val="28"/>
          <w:u w:val="single"/>
        </w:rPr>
        <w:t xml:space="preserve">   无    </w:t>
      </w:r>
      <w:r>
        <w:rPr>
          <w:rFonts w:hint="eastAsia" w:ascii="仿宋_GB2312" w:hAnsi="仿宋" w:eastAsia="仿宋_GB2312"/>
          <w:color w:val="000000"/>
          <w:sz w:val="28"/>
          <w:szCs w:val="28"/>
        </w:rPr>
        <w:t>仲裁委员会申请仲裁；</w:t>
      </w:r>
    </w:p>
    <w:p w14:paraId="6E3DAC08">
      <w:pPr>
        <w:pStyle w:val="73"/>
        <w:spacing w:line="420" w:lineRule="exact"/>
        <w:ind w:left="0" w:right="26"/>
        <w:rPr>
          <w:rFonts w:hint="eastAsia" w:ascii="仿宋_GB2312" w:hAnsi="仿宋" w:eastAsia="仿宋_GB2312"/>
          <w:color w:val="000000"/>
          <w:sz w:val="28"/>
          <w:szCs w:val="28"/>
        </w:rPr>
      </w:pPr>
      <w:r>
        <w:rPr>
          <w:rFonts w:hint="eastAsia" w:ascii="仿宋_GB2312" w:hAnsi="仿宋" w:eastAsia="仿宋_GB2312"/>
          <w:color w:val="000000"/>
          <w:sz w:val="28"/>
          <w:szCs w:val="28"/>
        </w:rPr>
        <w:t>第二种解决方式：向</w:t>
      </w:r>
      <w:r>
        <w:rPr>
          <w:rFonts w:hint="eastAsia" w:ascii="仿宋_GB2312" w:hAnsi="仿宋" w:eastAsia="仿宋_GB2312"/>
          <w:color w:val="000000"/>
          <w:sz w:val="28"/>
          <w:szCs w:val="28"/>
          <w:u w:val="single"/>
        </w:rPr>
        <w:t>工程项目建设地</w:t>
      </w:r>
      <w:r>
        <w:rPr>
          <w:rFonts w:hint="eastAsia" w:ascii="仿宋_GB2312" w:hAnsi="仿宋" w:eastAsia="仿宋_GB2312"/>
          <w:color w:val="000000"/>
          <w:sz w:val="28"/>
          <w:szCs w:val="28"/>
        </w:rPr>
        <w:t>人民法院起诉。</w:t>
      </w:r>
    </w:p>
    <w:p w14:paraId="77D64831">
      <w:pPr>
        <w:pStyle w:val="73"/>
        <w:spacing w:line="420" w:lineRule="exact"/>
        <w:ind w:left="0" w:leftChars="0" w:right="26" w:firstLine="0" w:firstLineChars="0"/>
        <w:rPr>
          <w:rFonts w:hint="eastAsia" w:ascii="仿宋_GB2312" w:hAnsi="仿宋" w:eastAsia="仿宋_GB2312"/>
          <w:b/>
          <w:color w:val="000000"/>
          <w:sz w:val="28"/>
          <w:szCs w:val="28"/>
        </w:rPr>
      </w:pPr>
      <w:r>
        <w:rPr>
          <w:rFonts w:hint="eastAsia" w:ascii="仿宋_GB2312" w:hAnsi="仿宋" w:eastAsia="仿宋_GB2312"/>
          <w:b/>
          <w:color w:val="000000"/>
          <w:sz w:val="28"/>
          <w:szCs w:val="28"/>
        </w:rPr>
        <w:t xml:space="preserve">20、补充条款 </w:t>
      </w:r>
    </w:p>
    <w:p w14:paraId="2F8F9765">
      <w:pPr>
        <w:pStyle w:val="73"/>
        <w:spacing w:line="420" w:lineRule="exact"/>
        <w:ind w:left="0" w:leftChars="0" w:right="26" w:firstLine="0" w:firstLineChars="0"/>
        <w:rPr>
          <w:rFonts w:hint="eastAsia" w:ascii="仿宋_GB2312" w:hAnsi="仿宋" w:eastAsia="仿宋_GB2312"/>
          <w:color w:val="000000"/>
          <w:sz w:val="28"/>
          <w:szCs w:val="28"/>
          <w:u w:val="single"/>
        </w:rPr>
      </w:pPr>
      <w:r>
        <w:rPr>
          <w:rFonts w:hint="eastAsia" w:ascii="仿宋_GB2312" w:hAnsi="仿宋" w:eastAsia="仿宋_GB2312"/>
          <w:color w:val="000000"/>
          <w:sz w:val="28"/>
          <w:szCs w:val="28"/>
          <w:u w:val="single"/>
        </w:rPr>
        <w:t>1.工程结算以</w:t>
      </w:r>
      <w:r>
        <w:rPr>
          <w:rFonts w:hint="eastAsia" w:ascii="仿宋_GB2312" w:hAnsi="仿宋" w:eastAsia="仿宋_GB2312"/>
          <w:bCs/>
          <w:color w:val="000000"/>
          <w:sz w:val="28"/>
          <w:szCs w:val="28"/>
          <w:u w:val="single"/>
        </w:rPr>
        <w:t>审计</w:t>
      </w:r>
      <w:r>
        <w:rPr>
          <w:rFonts w:hint="eastAsia" w:ascii="仿宋_GB2312" w:hAnsi="仿宋" w:eastAsia="仿宋_GB2312"/>
          <w:color w:val="000000"/>
          <w:sz w:val="28"/>
          <w:szCs w:val="28"/>
          <w:u w:val="single"/>
        </w:rPr>
        <w:t xml:space="preserve">为准。   </w:t>
      </w:r>
    </w:p>
    <w:p w14:paraId="7E89162F">
      <w:pPr>
        <w:pStyle w:val="73"/>
        <w:spacing w:line="420" w:lineRule="exact"/>
        <w:ind w:left="0" w:leftChars="0" w:right="720" w:firstLine="0" w:firstLineChars="0"/>
        <w:rPr>
          <w:rFonts w:hint="eastAsia" w:ascii="仿宋" w:hAnsi="仿宋" w:eastAsia="仿宋" w:cs="仿宋"/>
          <w:color w:val="000000"/>
          <w:sz w:val="24"/>
          <w:szCs w:val="24"/>
        </w:rPr>
      </w:pPr>
      <w:r>
        <w:rPr>
          <w:rFonts w:hint="eastAsia" w:ascii="仿宋_GB2312" w:hAnsi="仿宋" w:eastAsia="仿宋_GB2312"/>
          <w:color w:val="000000"/>
          <w:sz w:val="28"/>
          <w:szCs w:val="28"/>
          <w:u w:val="single"/>
        </w:rPr>
        <w:t>2.《安全管理协议书》为本合同从合同，已经双方共同认可，作为本合同的必备组成部分与主合同具备同等法律效力。</w:t>
      </w:r>
      <w:bookmarkEnd w:id="833"/>
    </w:p>
    <w:p w14:paraId="5E1FF1B7">
      <w:pPr>
        <w:rPr>
          <w:rFonts w:ascii="Times New Roman" w:hAnsi="Times New Roman" w:eastAsia="黑体"/>
          <w:b/>
          <w:color w:val="000000"/>
          <w:sz w:val="32"/>
          <w:szCs w:val="32"/>
        </w:rPr>
      </w:pPr>
      <w:r>
        <w:rPr>
          <w:rFonts w:ascii="Times New Roman" w:hAnsi="Times New Roman" w:eastAsia="黑体"/>
          <w:b/>
          <w:color w:val="000000"/>
          <w:sz w:val="32"/>
          <w:szCs w:val="32"/>
        </w:rPr>
        <w:br w:type="page"/>
      </w:r>
    </w:p>
    <w:p w14:paraId="315C723D">
      <w:pPr>
        <w:bidi w:val="0"/>
      </w:pPr>
      <w:r>
        <w:t>附件</w:t>
      </w:r>
      <w:bookmarkEnd w:id="834"/>
    </w:p>
    <w:p w14:paraId="3A252FA7">
      <w:pPr>
        <w:bidi w:val="0"/>
        <w:rPr>
          <w:rFonts w:hint="eastAsia"/>
        </w:rPr>
      </w:pPr>
      <w:r>
        <w:rPr>
          <w:rFonts w:hint="eastAsia"/>
        </w:rPr>
        <w:t>协议书附件：</w:t>
      </w:r>
    </w:p>
    <w:p w14:paraId="7C103256">
      <w:pPr>
        <w:bidi w:val="0"/>
        <w:rPr>
          <w:rFonts w:hint="eastAsia"/>
        </w:rPr>
      </w:pPr>
      <w:r>
        <w:t>附件1：承包人承揽工程项目一览表</w:t>
      </w:r>
    </w:p>
    <w:p w14:paraId="4BFAF970">
      <w:pPr>
        <w:bidi w:val="0"/>
      </w:pPr>
      <w:r>
        <w:rPr>
          <w:rFonts w:hint="eastAsia"/>
        </w:rPr>
        <w:t>专用合同条款附件：</w:t>
      </w:r>
    </w:p>
    <w:p w14:paraId="1A2FB75C">
      <w:pPr>
        <w:bidi w:val="0"/>
      </w:pPr>
      <w:r>
        <w:t>附件2：发包人供应材料设备一览表</w:t>
      </w:r>
    </w:p>
    <w:p w14:paraId="70560B65">
      <w:pPr>
        <w:bidi w:val="0"/>
      </w:pPr>
      <w:r>
        <w:t>附件3：工程质量保修书</w:t>
      </w:r>
    </w:p>
    <w:p w14:paraId="75CC9816">
      <w:pPr>
        <w:bidi w:val="0"/>
      </w:pPr>
      <w:r>
        <w:t>附件4：主要建设工程文件目录</w:t>
      </w:r>
    </w:p>
    <w:p w14:paraId="2021EE36">
      <w:pPr>
        <w:bidi w:val="0"/>
      </w:pPr>
      <w:r>
        <w:t>附件5：承包人用于本工程施工的机械设备表</w:t>
      </w:r>
    </w:p>
    <w:p w14:paraId="4D892038">
      <w:pPr>
        <w:bidi w:val="0"/>
      </w:pPr>
      <w:r>
        <w:t>附件6：承包人主要施工管理人员表</w:t>
      </w:r>
    </w:p>
    <w:p w14:paraId="0CFBD9A8">
      <w:pPr>
        <w:bidi w:val="0"/>
      </w:pPr>
      <w:r>
        <w:t>附件7：分包人主要施工管理人员表</w:t>
      </w:r>
    </w:p>
    <w:p w14:paraId="6FE60531">
      <w:pPr>
        <w:bidi w:val="0"/>
      </w:pPr>
      <w:r>
        <w:t>附件8：履约担保格式</w:t>
      </w:r>
    </w:p>
    <w:p w14:paraId="1001E35E">
      <w:pPr>
        <w:bidi w:val="0"/>
      </w:pPr>
      <w:r>
        <w:t>附件9：预付款担保格式</w:t>
      </w:r>
    </w:p>
    <w:p w14:paraId="029EAE7E">
      <w:pPr>
        <w:bidi w:val="0"/>
      </w:pPr>
      <w:r>
        <w:t>附件10：支付担保格式</w:t>
      </w:r>
    </w:p>
    <w:p w14:paraId="7CAEE173">
      <w:pPr>
        <w:bidi w:val="0"/>
        <w:sectPr>
          <w:headerReference r:id="rId8" w:type="default"/>
          <w:footerReference r:id="rId9" w:type="default"/>
          <w:pgSz w:w="11906" w:h="16838"/>
          <w:pgMar w:top="1440" w:right="1080" w:bottom="1440" w:left="1080" w:header="851" w:footer="992" w:gutter="0"/>
          <w:pgNumType w:fmt="decimal"/>
          <w:cols w:space="720" w:num="1"/>
          <w:docGrid w:type="lines" w:linePitch="312" w:charSpace="0"/>
        </w:sectPr>
      </w:pPr>
      <w:r>
        <w:t>附件11：暂估价一览表</w:t>
      </w:r>
    </w:p>
    <w:p w14:paraId="699B8360">
      <w:pPr>
        <w:spacing w:before="156" w:beforeLines="50" w:after="156" w:afterLines="50" w:line="440" w:lineRule="exact"/>
        <w:jc w:val="left"/>
        <w:rPr>
          <w:rFonts w:hint="eastAsia" w:ascii="仿宋_GB2312" w:hAnsi="Times New Roman" w:eastAsia="仿宋_GB2312"/>
          <w:color w:val="000000"/>
          <w:sz w:val="30"/>
          <w:szCs w:val="30"/>
        </w:rPr>
      </w:pPr>
      <w:r>
        <w:rPr>
          <w:rFonts w:hint="eastAsia" w:ascii="仿宋_GB2312" w:hAnsi="Times New Roman" w:eastAsia="仿宋_GB2312"/>
          <w:color w:val="000000"/>
          <w:sz w:val="30"/>
          <w:szCs w:val="30"/>
        </w:rPr>
        <w:t>附件1：</w:t>
      </w:r>
    </w:p>
    <w:p w14:paraId="3BB46B57">
      <w:pPr>
        <w:spacing w:before="156" w:beforeLines="50" w:after="156" w:afterLines="50" w:line="440" w:lineRule="exact"/>
        <w:jc w:val="center"/>
        <w:rPr>
          <w:rFonts w:hint="eastAsia" w:ascii="Times New Roman" w:hAnsi="Times New Roman" w:eastAsia="黑体"/>
          <w:color w:val="000000"/>
          <w:sz w:val="30"/>
          <w:szCs w:val="30"/>
        </w:rPr>
      </w:pPr>
      <w:r>
        <w:rPr>
          <w:rFonts w:ascii="Times New Roman" w:hAnsi="Times New Roman" w:eastAsia="黑体"/>
          <w:color w:val="000000"/>
          <w:sz w:val="30"/>
          <w:szCs w:val="30"/>
        </w:rPr>
        <w:t>承包人承揽工程项目一览表</w:t>
      </w:r>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229"/>
        <w:gridCol w:w="1774"/>
        <w:gridCol w:w="1364"/>
        <w:gridCol w:w="2320"/>
        <w:gridCol w:w="818"/>
        <w:gridCol w:w="1501"/>
        <w:gridCol w:w="2044"/>
        <w:gridCol w:w="1364"/>
        <w:gridCol w:w="818"/>
        <w:gridCol w:w="818"/>
      </w:tblGrid>
      <w:tr w14:paraId="0E584C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37" w:type="pct"/>
            <w:tcBorders>
              <w:top w:val="single" w:color="auto" w:sz="12" w:space="0"/>
              <w:bottom w:val="double" w:color="auto" w:sz="6" w:space="0"/>
            </w:tcBorders>
            <w:noWrap w:val="0"/>
            <w:vAlign w:val="center"/>
          </w:tcPr>
          <w:p w14:paraId="4C8D0002">
            <w:pPr>
              <w:pStyle w:val="66"/>
              <w:bidi w:val="0"/>
              <w:rPr>
                <w:lang w:val="en-US" w:eastAsia="zh-CN"/>
              </w:rPr>
            </w:pPr>
            <w:r>
              <w:rPr>
                <w:lang w:val="en-US" w:eastAsia="zh-CN"/>
              </w:rPr>
              <w:t>单位工程名称</w:t>
            </w:r>
          </w:p>
        </w:tc>
        <w:tc>
          <w:tcPr>
            <w:tcW w:w="631" w:type="pct"/>
            <w:tcBorders>
              <w:top w:val="single" w:color="auto" w:sz="12" w:space="0"/>
              <w:bottom w:val="double" w:color="auto" w:sz="6" w:space="0"/>
            </w:tcBorders>
            <w:noWrap w:val="0"/>
            <w:vAlign w:val="center"/>
          </w:tcPr>
          <w:p w14:paraId="1EF03A4A">
            <w:pPr>
              <w:pStyle w:val="66"/>
              <w:bidi w:val="0"/>
              <w:rPr>
                <w:lang w:val="en-US" w:eastAsia="zh-CN"/>
              </w:rPr>
            </w:pPr>
            <w:r>
              <w:rPr>
                <w:lang w:val="en-US" w:eastAsia="zh-CN"/>
              </w:rPr>
              <w:t>建设规模</w:t>
            </w:r>
          </w:p>
        </w:tc>
        <w:tc>
          <w:tcPr>
            <w:tcW w:w="485" w:type="pct"/>
            <w:tcBorders>
              <w:top w:val="single" w:color="auto" w:sz="12" w:space="0"/>
              <w:bottom w:val="double" w:color="auto" w:sz="6" w:space="0"/>
            </w:tcBorders>
            <w:noWrap w:val="0"/>
            <w:vAlign w:val="center"/>
          </w:tcPr>
          <w:p w14:paraId="340434E6">
            <w:pPr>
              <w:pStyle w:val="66"/>
              <w:bidi w:val="0"/>
              <w:rPr>
                <w:lang w:val="en-US" w:eastAsia="zh-CN"/>
              </w:rPr>
            </w:pPr>
            <w:r>
              <w:rPr>
                <w:lang w:val="en-US" w:eastAsia="zh-CN"/>
              </w:rPr>
              <w:t>建筑面积(平方米)</w:t>
            </w:r>
          </w:p>
        </w:tc>
        <w:tc>
          <w:tcPr>
            <w:tcW w:w="825" w:type="pct"/>
            <w:tcBorders>
              <w:top w:val="single" w:color="auto" w:sz="12" w:space="0"/>
              <w:bottom w:val="double" w:color="auto" w:sz="6" w:space="0"/>
            </w:tcBorders>
            <w:noWrap w:val="0"/>
            <w:vAlign w:val="center"/>
          </w:tcPr>
          <w:p w14:paraId="5CDEA4B9">
            <w:pPr>
              <w:pStyle w:val="66"/>
              <w:bidi w:val="0"/>
              <w:rPr>
                <w:lang w:val="en-US" w:eastAsia="zh-CN"/>
              </w:rPr>
            </w:pPr>
            <w:r>
              <w:rPr>
                <w:lang w:val="en-US" w:eastAsia="zh-CN"/>
              </w:rPr>
              <w:t>结构</w:t>
            </w:r>
            <w:r>
              <w:rPr>
                <w:rFonts w:hint="eastAsia"/>
                <w:lang w:val="en-US" w:eastAsia="zh-CN"/>
              </w:rPr>
              <w:t>形式</w:t>
            </w:r>
          </w:p>
        </w:tc>
        <w:tc>
          <w:tcPr>
            <w:tcW w:w="291" w:type="pct"/>
            <w:tcBorders>
              <w:top w:val="single" w:color="auto" w:sz="12" w:space="0"/>
              <w:bottom w:val="double" w:color="auto" w:sz="6" w:space="0"/>
            </w:tcBorders>
            <w:noWrap w:val="0"/>
            <w:vAlign w:val="center"/>
          </w:tcPr>
          <w:p w14:paraId="759B1AEC">
            <w:pPr>
              <w:pStyle w:val="66"/>
              <w:bidi w:val="0"/>
              <w:rPr>
                <w:lang w:val="en-US" w:eastAsia="zh-CN"/>
              </w:rPr>
            </w:pPr>
            <w:r>
              <w:rPr>
                <w:lang w:val="en-US" w:eastAsia="zh-CN"/>
              </w:rPr>
              <w:t>层数</w:t>
            </w:r>
          </w:p>
        </w:tc>
        <w:tc>
          <w:tcPr>
            <w:tcW w:w="534" w:type="pct"/>
            <w:tcBorders>
              <w:top w:val="single" w:color="auto" w:sz="12" w:space="0"/>
              <w:bottom w:val="double" w:color="auto" w:sz="6" w:space="0"/>
            </w:tcBorders>
            <w:noWrap w:val="0"/>
            <w:vAlign w:val="center"/>
          </w:tcPr>
          <w:p w14:paraId="336BF545">
            <w:pPr>
              <w:pStyle w:val="66"/>
              <w:bidi w:val="0"/>
              <w:rPr>
                <w:lang w:val="en-US" w:eastAsia="zh-CN"/>
              </w:rPr>
            </w:pPr>
            <w:r>
              <w:rPr>
                <w:lang w:val="en-US" w:eastAsia="zh-CN"/>
              </w:rPr>
              <w:t>生产能力</w:t>
            </w:r>
          </w:p>
        </w:tc>
        <w:tc>
          <w:tcPr>
            <w:tcW w:w="727" w:type="pct"/>
            <w:tcBorders>
              <w:top w:val="single" w:color="auto" w:sz="12" w:space="0"/>
              <w:bottom w:val="double" w:color="auto" w:sz="6" w:space="0"/>
            </w:tcBorders>
            <w:noWrap w:val="0"/>
            <w:vAlign w:val="center"/>
          </w:tcPr>
          <w:p w14:paraId="6CC2396B">
            <w:pPr>
              <w:pStyle w:val="66"/>
              <w:bidi w:val="0"/>
              <w:rPr>
                <w:lang w:val="en-US" w:eastAsia="zh-CN"/>
              </w:rPr>
            </w:pPr>
            <w:r>
              <w:rPr>
                <w:lang w:val="en-US" w:eastAsia="zh-CN"/>
              </w:rPr>
              <w:t>设备安装内容</w:t>
            </w:r>
          </w:p>
        </w:tc>
        <w:tc>
          <w:tcPr>
            <w:tcW w:w="485" w:type="pct"/>
            <w:tcBorders>
              <w:top w:val="single" w:color="auto" w:sz="12" w:space="0"/>
              <w:bottom w:val="double" w:color="auto" w:sz="6" w:space="0"/>
            </w:tcBorders>
            <w:noWrap w:val="0"/>
            <w:vAlign w:val="center"/>
          </w:tcPr>
          <w:p w14:paraId="45069E3B">
            <w:pPr>
              <w:pStyle w:val="66"/>
              <w:bidi w:val="0"/>
              <w:rPr>
                <w:lang w:val="en-US" w:eastAsia="zh-CN"/>
              </w:rPr>
            </w:pPr>
            <w:r>
              <w:rPr>
                <w:lang w:val="en-US" w:eastAsia="zh-CN"/>
              </w:rPr>
              <w:t>合同价格（元）</w:t>
            </w:r>
          </w:p>
        </w:tc>
        <w:tc>
          <w:tcPr>
            <w:tcW w:w="291" w:type="pct"/>
            <w:tcBorders>
              <w:top w:val="single" w:color="auto" w:sz="12" w:space="0"/>
              <w:bottom w:val="double" w:color="auto" w:sz="6" w:space="0"/>
            </w:tcBorders>
            <w:noWrap w:val="0"/>
            <w:vAlign w:val="center"/>
          </w:tcPr>
          <w:p w14:paraId="1E271797">
            <w:pPr>
              <w:pStyle w:val="66"/>
              <w:bidi w:val="0"/>
              <w:rPr>
                <w:lang w:val="en-US" w:eastAsia="zh-CN"/>
              </w:rPr>
            </w:pPr>
            <w:r>
              <w:rPr>
                <w:lang w:val="en-US" w:eastAsia="zh-CN"/>
              </w:rPr>
              <w:t>开工日期</w:t>
            </w:r>
          </w:p>
        </w:tc>
        <w:tc>
          <w:tcPr>
            <w:tcW w:w="291" w:type="pct"/>
            <w:tcBorders>
              <w:top w:val="single" w:color="auto" w:sz="12" w:space="0"/>
              <w:bottom w:val="double" w:color="auto" w:sz="6" w:space="0"/>
            </w:tcBorders>
            <w:noWrap w:val="0"/>
            <w:vAlign w:val="center"/>
          </w:tcPr>
          <w:p w14:paraId="0A044176">
            <w:pPr>
              <w:pStyle w:val="66"/>
              <w:bidi w:val="0"/>
              <w:rPr>
                <w:lang w:val="en-US" w:eastAsia="zh-CN"/>
              </w:rPr>
            </w:pPr>
            <w:r>
              <w:rPr>
                <w:lang w:val="en-US" w:eastAsia="zh-CN"/>
              </w:rPr>
              <w:t>竣工日期</w:t>
            </w:r>
          </w:p>
        </w:tc>
      </w:tr>
      <w:tr w14:paraId="6657E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double" w:color="auto" w:sz="6" w:space="0"/>
              <w:bottom w:val="single" w:color="auto" w:sz="6" w:space="0"/>
            </w:tcBorders>
            <w:noWrap w:val="0"/>
            <w:vAlign w:val="center"/>
          </w:tcPr>
          <w:p w14:paraId="03767466">
            <w:pPr>
              <w:pStyle w:val="66"/>
              <w:bidi w:val="0"/>
              <w:rPr>
                <w:lang w:val="en-US" w:eastAsia="zh-CN"/>
              </w:rPr>
            </w:pPr>
          </w:p>
        </w:tc>
        <w:tc>
          <w:tcPr>
            <w:tcW w:w="631" w:type="pct"/>
            <w:tcBorders>
              <w:top w:val="double" w:color="auto" w:sz="6" w:space="0"/>
              <w:bottom w:val="single" w:color="auto" w:sz="6" w:space="0"/>
            </w:tcBorders>
            <w:noWrap w:val="0"/>
            <w:vAlign w:val="center"/>
          </w:tcPr>
          <w:p w14:paraId="479D3590">
            <w:pPr>
              <w:pStyle w:val="66"/>
              <w:bidi w:val="0"/>
              <w:rPr>
                <w:lang w:val="en-US" w:eastAsia="zh-CN"/>
              </w:rPr>
            </w:pPr>
          </w:p>
        </w:tc>
        <w:tc>
          <w:tcPr>
            <w:tcW w:w="485" w:type="pct"/>
            <w:tcBorders>
              <w:top w:val="double" w:color="auto" w:sz="6" w:space="0"/>
              <w:bottom w:val="single" w:color="auto" w:sz="6" w:space="0"/>
            </w:tcBorders>
            <w:noWrap w:val="0"/>
            <w:vAlign w:val="center"/>
          </w:tcPr>
          <w:p w14:paraId="2B345E3E">
            <w:pPr>
              <w:pStyle w:val="66"/>
              <w:bidi w:val="0"/>
              <w:rPr>
                <w:lang w:val="en-US" w:eastAsia="zh-CN"/>
              </w:rPr>
            </w:pPr>
          </w:p>
        </w:tc>
        <w:tc>
          <w:tcPr>
            <w:tcW w:w="825" w:type="pct"/>
            <w:tcBorders>
              <w:top w:val="double" w:color="auto" w:sz="6" w:space="0"/>
              <w:bottom w:val="single" w:color="auto" w:sz="6" w:space="0"/>
            </w:tcBorders>
            <w:noWrap w:val="0"/>
            <w:vAlign w:val="center"/>
          </w:tcPr>
          <w:p w14:paraId="68E0BAA5">
            <w:pPr>
              <w:pStyle w:val="66"/>
              <w:bidi w:val="0"/>
              <w:rPr>
                <w:lang w:val="en-US" w:eastAsia="zh-CN"/>
              </w:rPr>
            </w:pPr>
          </w:p>
        </w:tc>
        <w:tc>
          <w:tcPr>
            <w:tcW w:w="291" w:type="pct"/>
            <w:tcBorders>
              <w:top w:val="double" w:color="auto" w:sz="6" w:space="0"/>
              <w:bottom w:val="single" w:color="auto" w:sz="6" w:space="0"/>
            </w:tcBorders>
            <w:noWrap w:val="0"/>
            <w:vAlign w:val="center"/>
          </w:tcPr>
          <w:p w14:paraId="1489F23E">
            <w:pPr>
              <w:pStyle w:val="66"/>
              <w:bidi w:val="0"/>
              <w:rPr>
                <w:lang w:val="en-US" w:eastAsia="zh-CN"/>
              </w:rPr>
            </w:pPr>
          </w:p>
        </w:tc>
        <w:tc>
          <w:tcPr>
            <w:tcW w:w="534" w:type="pct"/>
            <w:tcBorders>
              <w:top w:val="double" w:color="auto" w:sz="6" w:space="0"/>
              <w:bottom w:val="single" w:color="auto" w:sz="6" w:space="0"/>
            </w:tcBorders>
            <w:noWrap w:val="0"/>
            <w:vAlign w:val="center"/>
          </w:tcPr>
          <w:p w14:paraId="106C31FA">
            <w:pPr>
              <w:pStyle w:val="66"/>
              <w:bidi w:val="0"/>
              <w:rPr>
                <w:lang w:val="en-US" w:eastAsia="zh-CN"/>
              </w:rPr>
            </w:pPr>
          </w:p>
        </w:tc>
        <w:tc>
          <w:tcPr>
            <w:tcW w:w="727" w:type="pct"/>
            <w:tcBorders>
              <w:top w:val="double" w:color="auto" w:sz="6" w:space="0"/>
              <w:bottom w:val="single" w:color="auto" w:sz="6" w:space="0"/>
            </w:tcBorders>
            <w:noWrap w:val="0"/>
            <w:vAlign w:val="center"/>
          </w:tcPr>
          <w:p w14:paraId="5FEBCD58">
            <w:pPr>
              <w:pStyle w:val="66"/>
              <w:bidi w:val="0"/>
              <w:rPr>
                <w:lang w:val="en-US" w:eastAsia="zh-CN"/>
              </w:rPr>
            </w:pPr>
          </w:p>
        </w:tc>
        <w:tc>
          <w:tcPr>
            <w:tcW w:w="485" w:type="pct"/>
            <w:tcBorders>
              <w:top w:val="double" w:color="auto" w:sz="6" w:space="0"/>
              <w:bottom w:val="single" w:color="auto" w:sz="6" w:space="0"/>
            </w:tcBorders>
            <w:noWrap w:val="0"/>
            <w:vAlign w:val="center"/>
          </w:tcPr>
          <w:p w14:paraId="5287811E">
            <w:pPr>
              <w:pStyle w:val="66"/>
              <w:bidi w:val="0"/>
              <w:rPr>
                <w:lang w:val="en-US" w:eastAsia="zh-CN"/>
              </w:rPr>
            </w:pPr>
          </w:p>
        </w:tc>
        <w:tc>
          <w:tcPr>
            <w:tcW w:w="291" w:type="pct"/>
            <w:tcBorders>
              <w:top w:val="double" w:color="auto" w:sz="6" w:space="0"/>
              <w:bottom w:val="single" w:color="auto" w:sz="6" w:space="0"/>
            </w:tcBorders>
            <w:noWrap w:val="0"/>
            <w:vAlign w:val="center"/>
          </w:tcPr>
          <w:p w14:paraId="368524D6">
            <w:pPr>
              <w:pStyle w:val="66"/>
              <w:bidi w:val="0"/>
              <w:rPr>
                <w:lang w:val="en-US" w:eastAsia="zh-CN"/>
              </w:rPr>
            </w:pPr>
          </w:p>
        </w:tc>
        <w:tc>
          <w:tcPr>
            <w:tcW w:w="291" w:type="pct"/>
            <w:tcBorders>
              <w:top w:val="double" w:color="auto" w:sz="6" w:space="0"/>
              <w:bottom w:val="single" w:color="auto" w:sz="6" w:space="0"/>
            </w:tcBorders>
            <w:noWrap w:val="0"/>
            <w:vAlign w:val="center"/>
          </w:tcPr>
          <w:p w14:paraId="4E632526">
            <w:pPr>
              <w:pStyle w:val="66"/>
              <w:bidi w:val="0"/>
              <w:rPr>
                <w:lang w:val="en-US" w:eastAsia="zh-CN"/>
              </w:rPr>
            </w:pPr>
          </w:p>
        </w:tc>
      </w:tr>
      <w:tr w14:paraId="6D011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1120653">
            <w:pPr>
              <w:pStyle w:val="66"/>
              <w:bidi w:val="0"/>
              <w:rPr>
                <w:lang w:val="en-US" w:eastAsia="zh-CN"/>
              </w:rPr>
            </w:pPr>
          </w:p>
        </w:tc>
        <w:tc>
          <w:tcPr>
            <w:tcW w:w="631" w:type="pct"/>
            <w:tcBorders>
              <w:top w:val="nil"/>
            </w:tcBorders>
            <w:noWrap w:val="0"/>
            <w:vAlign w:val="center"/>
          </w:tcPr>
          <w:p w14:paraId="48CCB1AA">
            <w:pPr>
              <w:pStyle w:val="66"/>
              <w:bidi w:val="0"/>
              <w:rPr>
                <w:lang w:val="en-US" w:eastAsia="zh-CN"/>
              </w:rPr>
            </w:pPr>
          </w:p>
        </w:tc>
        <w:tc>
          <w:tcPr>
            <w:tcW w:w="485" w:type="pct"/>
            <w:tcBorders>
              <w:top w:val="nil"/>
            </w:tcBorders>
            <w:noWrap w:val="0"/>
            <w:vAlign w:val="center"/>
          </w:tcPr>
          <w:p w14:paraId="7DBEC45F">
            <w:pPr>
              <w:pStyle w:val="66"/>
              <w:bidi w:val="0"/>
              <w:rPr>
                <w:lang w:val="en-US" w:eastAsia="zh-CN"/>
              </w:rPr>
            </w:pPr>
          </w:p>
        </w:tc>
        <w:tc>
          <w:tcPr>
            <w:tcW w:w="825" w:type="pct"/>
            <w:tcBorders>
              <w:top w:val="nil"/>
            </w:tcBorders>
            <w:noWrap w:val="0"/>
            <w:vAlign w:val="center"/>
          </w:tcPr>
          <w:p w14:paraId="4F1B5EAC">
            <w:pPr>
              <w:pStyle w:val="66"/>
              <w:bidi w:val="0"/>
              <w:rPr>
                <w:lang w:val="en-US" w:eastAsia="zh-CN"/>
              </w:rPr>
            </w:pPr>
          </w:p>
        </w:tc>
        <w:tc>
          <w:tcPr>
            <w:tcW w:w="291" w:type="pct"/>
            <w:tcBorders>
              <w:top w:val="nil"/>
            </w:tcBorders>
            <w:noWrap w:val="0"/>
            <w:vAlign w:val="center"/>
          </w:tcPr>
          <w:p w14:paraId="1EF6313F">
            <w:pPr>
              <w:pStyle w:val="66"/>
              <w:bidi w:val="0"/>
              <w:rPr>
                <w:lang w:val="en-US" w:eastAsia="zh-CN"/>
              </w:rPr>
            </w:pPr>
          </w:p>
        </w:tc>
        <w:tc>
          <w:tcPr>
            <w:tcW w:w="534" w:type="pct"/>
            <w:tcBorders>
              <w:top w:val="nil"/>
            </w:tcBorders>
            <w:noWrap w:val="0"/>
            <w:vAlign w:val="center"/>
          </w:tcPr>
          <w:p w14:paraId="1571EF77">
            <w:pPr>
              <w:pStyle w:val="66"/>
              <w:bidi w:val="0"/>
              <w:rPr>
                <w:lang w:val="en-US" w:eastAsia="zh-CN"/>
              </w:rPr>
            </w:pPr>
          </w:p>
        </w:tc>
        <w:tc>
          <w:tcPr>
            <w:tcW w:w="727" w:type="pct"/>
            <w:tcBorders>
              <w:top w:val="nil"/>
            </w:tcBorders>
            <w:noWrap w:val="0"/>
            <w:vAlign w:val="center"/>
          </w:tcPr>
          <w:p w14:paraId="13452607">
            <w:pPr>
              <w:pStyle w:val="66"/>
              <w:bidi w:val="0"/>
              <w:rPr>
                <w:lang w:val="en-US" w:eastAsia="zh-CN"/>
              </w:rPr>
            </w:pPr>
          </w:p>
        </w:tc>
        <w:tc>
          <w:tcPr>
            <w:tcW w:w="485" w:type="pct"/>
            <w:tcBorders>
              <w:top w:val="nil"/>
            </w:tcBorders>
            <w:noWrap w:val="0"/>
            <w:vAlign w:val="center"/>
          </w:tcPr>
          <w:p w14:paraId="06014752">
            <w:pPr>
              <w:pStyle w:val="66"/>
              <w:bidi w:val="0"/>
              <w:rPr>
                <w:lang w:val="en-US" w:eastAsia="zh-CN"/>
              </w:rPr>
            </w:pPr>
          </w:p>
        </w:tc>
        <w:tc>
          <w:tcPr>
            <w:tcW w:w="291" w:type="pct"/>
            <w:tcBorders>
              <w:top w:val="nil"/>
            </w:tcBorders>
            <w:noWrap w:val="0"/>
            <w:vAlign w:val="center"/>
          </w:tcPr>
          <w:p w14:paraId="185A13ED">
            <w:pPr>
              <w:pStyle w:val="66"/>
              <w:bidi w:val="0"/>
              <w:rPr>
                <w:lang w:val="en-US" w:eastAsia="zh-CN"/>
              </w:rPr>
            </w:pPr>
          </w:p>
        </w:tc>
        <w:tc>
          <w:tcPr>
            <w:tcW w:w="291" w:type="pct"/>
            <w:tcBorders>
              <w:top w:val="nil"/>
            </w:tcBorders>
            <w:noWrap w:val="0"/>
            <w:vAlign w:val="center"/>
          </w:tcPr>
          <w:p w14:paraId="19370B05">
            <w:pPr>
              <w:pStyle w:val="66"/>
              <w:bidi w:val="0"/>
              <w:rPr>
                <w:lang w:val="en-US" w:eastAsia="zh-CN"/>
              </w:rPr>
            </w:pPr>
          </w:p>
        </w:tc>
      </w:tr>
      <w:tr w14:paraId="66C54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4A292F3B">
            <w:pPr>
              <w:pStyle w:val="66"/>
              <w:bidi w:val="0"/>
              <w:rPr>
                <w:lang w:val="en-US" w:eastAsia="zh-CN"/>
              </w:rPr>
            </w:pPr>
          </w:p>
        </w:tc>
        <w:tc>
          <w:tcPr>
            <w:tcW w:w="631" w:type="pct"/>
            <w:tcBorders>
              <w:top w:val="nil"/>
            </w:tcBorders>
            <w:noWrap w:val="0"/>
            <w:vAlign w:val="center"/>
          </w:tcPr>
          <w:p w14:paraId="13875B1A">
            <w:pPr>
              <w:pStyle w:val="66"/>
              <w:bidi w:val="0"/>
              <w:rPr>
                <w:lang w:val="en-US" w:eastAsia="zh-CN"/>
              </w:rPr>
            </w:pPr>
          </w:p>
        </w:tc>
        <w:tc>
          <w:tcPr>
            <w:tcW w:w="485" w:type="pct"/>
            <w:tcBorders>
              <w:top w:val="nil"/>
            </w:tcBorders>
            <w:noWrap w:val="0"/>
            <w:vAlign w:val="center"/>
          </w:tcPr>
          <w:p w14:paraId="2D6B1FB3">
            <w:pPr>
              <w:pStyle w:val="66"/>
              <w:bidi w:val="0"/>
              <w:rPr>
                <w:lang w:val="en-US" w:eastAsia="zh-CN"/>
              </w:rPr>
            </w:pPr>
          </w:p>
        </w:tc>
        <w:tc>
          <w:tcPr>
            <w:tcW w:w="825" w:type="pct"/>
            <w:tcBorders>
              <w:top w:val="nil"/>
            </w:tcBorders>
            <w:noWrap w:val="0"/>
            <w:vAlign w:val="center"/>
          </w:tcPr>
          <w:p w14:paraId="38AF4C47">
            <w:pPr>
              <w:pStyle w:val="66"/>
              <w:bidi w:val="0"/>
              <w:rPr>
                <w:lang w:val="en-US" w:eastAsia="zh-CN"/>
              </w:rPr>
            </w:pPr>
          </w:p>
        </w:tc>
        <w:tc>
          <w:tcPr>
            <w:tcW w:w="291" w:type="pct"/>
            <w:tcBorders>
              <w:top w:val="nil"/>
            </w:tcBorders>
            <w:noWrap w:val="0"/>
            <w:vAlign w:val="center"/>
          </w:tcPr>
          <w:p w14:paraId="1CE8C2A0">
            <w:pPr>
              <w:pStyle w:val="66"/>
              <w:bidi w:val="0"/>
              <w:rPr>
                <w:lang w:val="en-US" w:eastAsia="zh-CN"/>
              </w:rPr>
            </w:pPr>
          </w:p>
        </w:tc>
        <w:tc>
          <w:tcPr>
            <w:tcW w:w="534" w:type="pct"/>
            <w:tcBorders>
              <w:top w:val="nil"/>
            </w:tcBorders>
            <w:noWrap w:val="0"/>
            <w:vAlign w:val="center"/>
          </w:tcPr>
          <w:p w14:paraId="164650BD">
            <w:pPr>
              <w:pStyle w:val="66"/>
              <w:bidi w:val="0"/>
              <w:rPr>
                <w:lang w:val="en-US" w:eastAsia="zh-CN"/>
              </w:rPr>
            </w:pPr>
          </w:p>
        </w:tc>
        <w:tc>
          <w:tcPr>
            <w:tcW w:w="727" w:type="pct"/>
            <w:tcBorders>
              <w:top w:val="nil"/>
            </w:tcBorders>
            <w:noWrap w:val="0"/>
            <w:vAlign w:val="center"/>
          </w:tcPr>
          <w:p w14:paraId="7823B7AF">
            <w:pPr>
              <w:pStyle w:val="66"/>
              <w:bidi w:val="0"/>
              <w:rPr>
                <w:lang w:val="en-US" w:eastAsia="zh-CN"/>
              </w:rPr>
            </w:pPr>
          </w:p>
        </w:tc>
        <w:tc>
          <w:tcPr>
            <w:tcW w:w="485" w:type="pct"/>
            <w:tcBorders>
              <w:top w:val="nil"/>
            </w:tcBorders>
            <w:noWrap w:val="0"/>
            <w:vAlign w:val="center"/>
          </w:tcPr>
          <w:p w14:paraId="28A15AAA">
            <w:pPr>
              <w:pStyle w:val="66"/>
              <w:bidi w:val="0"/>
              <w:rPr>
                <w:lang w:val="en-US" w:eastAsia="zh-CN"/>
              </w:rPr>
            </w:pPr>
          </w:p>
        </w:tc>
        <w:tc>
          <w:tcPr>
            <w:tcW w:w="291" w:type="pct"/>
            <w:tcBorders>
              <w:top w:val="nil"/>
            </w:tcBorders>
            <w:noWrap w:val="0"/>
            <w:vAlign w:val="center"/>
          </w:tcPr>
          <w:p w14:paraId="433B1DEA">
            <w:pPr>
              <w:pStyle w:val="66"/>
              <w:bidi w:val="0"/>
              <w:rPr>
                <w:lang w:val="en-US" w:eastAsia="zh-CN"/>
              </w:rPr>
            </w:pPr>
          </w:p>
        </w:tc>
        <w:tc>
          <w:tcPr>
            <w:tcW w:w="291" w:type="pct"/>
            <w:tcBorders>
              <w:top w:val="nil"/>
            </w:tcBorders>
            <w:noWrap w:val="0"/>
            <w:vAlign w:val="center"/>
          </w:tcPr>
          <w:p w14:paraId="373A090F">
            <w:pPr>
              <w:pStyle w:val="66"/>
              <w:bidi w:val="0"/>
              <w:rPr>
                <w:lang w:val="en-US" w:eastAsia="zh-CN"/>
              </w:rPr>
            </w:pPr>
          </w:p>
        </w:tc>
      </w:tr>
      <w:tr w14:paraId="469979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39384150">
            <w:pPr>
              <w:pStyle w:val="66"/>
              <w:bidi w:val="0"/>
              <w:rPr>
                <w:lang w:val="en-US" w:eastAsia="zh-CN"/>
              </w:rPr>
            </w:pPr>
          </w:p>
        </w:tc>
        <w:tc>
          <w:tcPr>
            <w:tcW w:w="631" w:type="pct"/>
            <w:noWrap w:val="0"/>
            <w:vAlign w:val="center"/>
          </w:tcPr>
          <w:p w14:paraId="21C3452B">
            <w:pPr>
              <w:pStyle w:val="66"/>
              <w:bidi w:val="0"/>
              <w:rPr>
                <w:lang w:val="en-US" w:eastAsia="zh-CN"/>
              </w:rPr>
            </w:pPr>
          </w:p>
        </w:tc>
        <w:tc>
          <w:tcPr>
            <w:tcW w:w="485" w:type="pct"/>
            <w:noWrap w:val="0"/>
            <w:vAlign w:val="center"/>
          </w:tcPr>
          <w:p w14:paraId="1C2F063A">
            <w:pPr>
              <w:pStyle w:val="66"/>
              <w:bidi w:val="0"/>
              <w:rPr>
                <w:lang w:val="en-US" w:eastAsia="zh-CN"/>
              </w:rPr>
            </w:pPr>
          </w:p>
        </w:tc>
        <w:tc>
          <w:tcPr>
            <w:tcW w:w="825" w:type="pct"/>
            <w:noWrap w:val="0"/>
            <w:vAlign w:val="center"/>
          </w:tcPr>
          <w:p w14:paraId="62C4753C">
            <w:pPr>
              <w:pStyle w:val="66"/>
              <w:bidi w:val="0"/>
              <w:rPr>
                <w:lang w:val="en-US" w:eastAsia="zh-CN"/>
              </w:rPr>
            </w:pPr>
          </w:p>
        </w:tc>
        <w:tc>
          <w:tcPr>
            <w:tcW w:w="291" w:type="pct"/>
            <w:noWrap w:val="0"/>
            <w:vAlign w:val="center"/>
          </w:tcPr>
          <w:p w14:paraId="2E48C02C">
            <w:pPr>
              <w:pStyle w:val="66"/>
              <w:bidi w:val="0"/>
              <w:rPr>
                <w:lang w:val="en-US" w:eastAsia="zh-CN"/>
              </w:rPr>
            </w:pPr>
          </w:p>
        </w:tc>
        <w:tc>
          <w:tcPr>
            <w:tcW w:w="534" w:type="pct"/>
            <w:noWrap w:val="0"/>
            <w:vAlign w:val="center"/>
          </w:tcPr>
          <w:p w14:paraId="66B63C5A">
            <w:pPr>
              <w:pStyle w:val="66"/>
              <w:bidi w:val="0"/>
              <w:rPr>
                <w:lang w:val="en-US" w:eastAsia="zh-CN"/>
              </w:rPr>
            </w:pPr>
          </w:p>
        </w:tc>
        <w:tc>
          <w:tcPr>
            <w:tcW w:w="727" w:type="pct"/>
            <w:noWrap w:val="0"/>
            <w:vAlign w:val="center"/>
          </w:tcPr>
          <w:p w14:paraId="2B8D58B3">
            <w:pPr>
              <w:pStyle w:val="66"/>
              <w:bidi w:val="0"/>
              <w:rPr>
                <w:lang w:val="en-US" w:eastAsia="zh-CN"/>
              </w:rPr>
            </w:pPr>
          </w:p>
        </w:tc>
        <w:tc>
          <w:tcPr>
            <w:tcW w:w="485" w:type="pct"/>
            <w:noWrap w:val="0"/>
            <w:vAlign w:val="center"/>
          </w:tcPr>
          <w:p w14:paraId="2F242EC9">
            <w:pPr>
              <w:pStyle w:val="66"/>
              <w:bidi w:val="0"/>
              <w:rPr>
                <w:lang w:val="en-US" w:eastAsia="zh-CN"/>
              </w:rPr>
            </w:pPr>
          </w:p>
        </w:tc>
        <w:tc>
          <w:tcPr>
            <w:tcW w:w="291" w:type="pct"/>
            <w:noWrap w:val="0"/>
            <w:vAlign w:val="center"/>
          </w:tcPr>
          <w:p w14:paraId="13E82474">
            <w:pPr>
              <w:pStyle w:val="66"/>
              <w:bidi w:val="0"/>
              <w:rPr>
                <w:lang w:val="en-US" w:eastAsia="zh-CN"/>
              </w:rPr>
            </w:pPr>
          </w:p>
        </w:tc>
        <w:tc>
          <w:tcPr>
            <w:tcW w:w="291" w:type="pct"/>
            <w:noWrap w:val="0"/>
            <w:vAlign w:val="center"/>
          </w:tcPr>
          <w:p w14:paraId="7C2B1F80">
            <w:pPr>
              <w:pStyle w:val="66"/>
              <w:bidi w:val="0"/>
              <w:rPr>
                <w:lang w:val="en-US" w:eastAsia="zh-CN"/>
              </w:rPr>
            </w:pPr>
          </w:p>
        </w:tc>
      </w:tr>
      <w:tr w14:paraId="3C1F3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F658B2C">
            <w:pPr>
              <w:pStyle w:val="66"/>
              <w:bidi w:val="0"/>
              <w:rPr>
                <w:lang w:val="en-US" w:eastAsia="zh-CN"/>
              </w:rPr>
            </w:pPr>
          </w:p>
        </w:tc>
        <w:tc>
          <w:tcPr>
            <w:tcW w:w="631" w:type="pct"/>
            <w:tcBorders>
              <w:top w:val="nil"/>
            </w:tcBorders>
            <w:noWrap w:val="0"/>
            <w:vAlign w:val="center"/>
          </w:tcPr>
          <w:p w14:paraId="3EB7E222">
            <w:pPr>
              <w:pStyle w:val="66"/>
              <w:bidi w:val="0"/>
              <w:rPr>
                <w:lang w:val="en-US" w:eastAsia="zh-CN"/>
              </w:rPr>
            </w:pPr>
          </w:p>
        </w:tc>
        <w:tc>
          <w:tcPr>
            <w:tcW w:w="485" w:type="pct"/>
            <w:tcBorders>
              <w:top w:val="nil"/>
            </w:tcBorders>
            <w:noWrap w:val="0"/>
            <w:vAlign w:val="center"/>
          </w:tcPr>
          <w:p w14:paraId="25F0EABB">
            <w:pPr>
              <w:pStyle w:val="66"/>
              <w:bidi w:val="0"/>
              <w:rPr>
                <w:lang w:val="en-US" w:eastAsia="zh-CN"/>
              </w:rPr>
            </w:pPr>
          </w:p>
        </w:tc>
        <w:tc>
          <w:tcPr>
            <w:tcW w:w="825" w:type="pct"/>
            <w:tcBorders>
              <w:top w:val="nil"/>
            </w:tcBorders>
            <w:noWrap w:val="0"/>
            <w:vAlign w:val="center"/>
          </w:tcPr>
          <w:p w14:paraId="564CD577">
            <w:pPr>
              <w:pStyle w:val="66"/>
              <w:bidi w:val="0"/>
              <w:rPr>
                <w:lang w:val="en-US" w:eastAsia="zh-CN"/>
              </w:rPr>
            </w:pPr>
          </w:p>
        </w:tc>
        <w:tc>
          <w:tcPr>
            <w:tcW w:w="291" w:type="pct"/>
            <w:tcBorders>
              <w:top w:val="nil"/>
            </w:tcBorders>
            <w:noWrap w:val="0"/>
            <w:vAlign w:val="center"/>
          </w:tcPr>
          <w:p w14:paraId="4BE287E2">
            <w:pPr>
              <w:pStyle w:val="66"/>
              <w:bidi w:val="0"/>
              <w:rPr>
                <w:lang w:val="en-US" w:eastAsia="zh-CN"/>
              </w:rPr>
            </w:pPr>
          </w:p>
        </w:tc>
        <w:tc>
          <w:tcPr>
            <w:tcW w:w="534" w:type="pct"/>
            <w:tcBorders>
              <w:top w:val="nil"/>
            </w:tcBorders>
            <w:noWrap w:val="0"/>
            <w:vAlign w:val="center"/>
          </w:tcPr>
          <w:p w14:paraId="1C140193">
            <w:pPr>
              <w:pStyle w:val="66"/>
              <w:bidi w:val="0"/>
              <w:rPr>
                <w:lang w:val="en-US" w:eastAsia="zh-CN"/>
              </w:rPr>
            </w:pPr>
          </w:p>
        </w:tc>
        <w:tc>
          <w:tcPr>
            <w:tcW w:w="727" w:type="pct"/>
            <w:tcBorders>
              <w:top w:val="nil"/>
            </w:tcBorders>
            <w:noWrap w:val="0"/>
            <w:vAlign w:val="center"/>
          </w:tcPr>
          <w:p w14:paraId="4E0C4EC4">
            <w:pPr>
              <w:pStyle w:val="66"/>
              <w:bidi w:val="0"/>
              <w:rPr>
                <w:lang w:val="en-US" w:eastAsia="zh-CN"/>
              </w:rPr>
            </w:pPr>
          </w:p>
        </w:tc>
        <w:tc>
          <w:tcPr>
            <w:tcW w:w="485" w:type="pct"/>
            <w:tcBorders>
              <w:top w:val="nil"/>
            </w:tcBorders>
            <w:noWrap w:val="0"/>
            <w:vAlign w:val="center"/>
          </w:tcPr>
          <w:p w14:paraId="32EAB704">
            <w:pPr>
              <w:pStyle w:val="66"/>
              <w:bidi w:val="0"/>
              <w:rPr>
                <w:lang w:val="en-US" w:eastAsia="zh-CN"/>
              </w:rPr>
            </w:pPr>
          </w:p>
        </w:tc>
        <w:tc>
          <w:tcPr>
            <w:tcW w:w="291" w:type="pct"/>
            <w:tcBorders>
              <w:top w:val="nil"/>
            </w:tcBorders>
            <w:noWrap w:val="0"/>
            <w:vAlign w:val="center"/>
          </w:tcPr>
          <w:p w14:paraId="4D1D6068">
            <w:pPr>
              <w:pStyle w:val="66"/>
              <w:bidi w:val="0"/>
              <w:rPr>
                <w:lang w:val="en-US" w:eastAsia="zh-CN"/>
              </w:rPr>
            </w:pPr>
          </w:p>
        </w:tc>
        <w:tc>
          <w:tcPr>
            <w:tcW w:w="291" w:type="pct"/>
            <w:tcBorders>
              <w:top w:val="nil"/>
            </w:tcBorders>
            <w:noWrap w:val="0"/>
            <w:vAlign w:val="center"/>
          </w:tcPr>
          <w:p w14:paraId="4C2808A9">
            <w:pPr>
              <w:pStyle w:val="66"/>
              <w:bidi w:val="0"/>
              <w:rPr>
                <w:lang w:val="en-US" w:eastAsia="zh-CN"/>
              </w:rPr>
            </w:pPr>
          </w:p>
        </w:tc>
      </w:tr>
      <w:tr w14:paraId="5313A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162E7927">
            <w:pPr>
              <w:pStyle w:val="66"/>
              <w:bidi w:val="0"/>
              <w:rPr>
                <w:lang w:val="en-US" w:eastAsia="zh-CN"/>
              </w:rPr>
            </w:pPr>
          </w:p>
        </w:tc>
        <w:tc>
          <w:tcPr>
            <w:tcW w:w="631" w:type="pct"/>
            <w:noWrap w:val="0"/>
            <w:vAlign w:val="center"/>
          </w:tcPr>
          <w:p w14:paraId="1979586C">
            <w:pPr>
              <w:pStyle w:val="66"/>
              <w:bidi w:val="0"/>
              <w:rPr>
                <w:lang w:val="en-US" w:eastAsia="zh-CN"/>
              </w:rPr>
            </w:pPr>
          </w:p>
        </w:tc>
        <w:tc>
          <w:tcPr>
            <w:tcW w:w="485" w:type="pct"/>
            <w:noWrap w:val="0"/>
            <w:vAlign w:val="center"/>
          </w:tcPr>
          <w:p w14:paraId="46A3D1FF">
            <w:pPr>
              <w:pStyle w:val="66"/>
              <w:bidi w:val="0"/>
              <w:rPr>
                <w:lang w:val="en-US" w:eastAsia="zh-CN"/>
              </w:rPr>
            </w:pPr>
          </w:p>
        </w:tc>
        <w:tc>
          <w:tcPr>
            <w:tcW w:w="825" w:type="pct"/>
            <w:noWrap w:val="0"/>
            <w:vAlign w:val="center"/>
          </w:tcPr>
          <w:p w14:paraId="6CD22F6B">
            <w:pPr>
              <w:pStyle w:val="66"/>
              <w:bidi w:val="0"/>
              <w:rPr>
                <w:lang w:val="en-US" w:eastAsia="zh-CN"/>
              </w:rPr>
            </w:pPr>
          </w:p>
        </w:tc>
        <w:tc>
          <w:tcPr>
            <w:tcW w:w="291" w:type="pct"/>
            <w:noWrap w:val="0"/>
            <w:vAlign w:val="center"/>
          </w:tcPr>
          <w:p w14:paraId="3D189EA0">
            <w:pPr>
              <w:pStyle w:val="66"/>
              <w:bidi w:val="0"/>
              <w:rPr>
                <w:lang w:val="en-US" w:eastAsia="zh-CN"/>
              </w:rPr>
            </w:pPr>
          </w:p>
        </w:tc>
        <w:tc>
          <w:tcPr>
            <w:tcW w:w="534" w:type="pct"/>
            <w:noWrap w:val="0"/>
            <w:vAlign w:val="center"/>
          </w:tcPr>
          <w:p w14:paraId="79D617E3">
            <w:pPr>
              <w:pStyle w:val="66"/>
              <w:bidi w:val="0"/>
              <w:rPr>
                <w:lang w:val="en-US" w:eastAsia="zh-CN"/>
              </w:rPr>
            </w:pPr>
          </w:p>
        </w:tc>
        <w:tc>
          <w:tcPr>
            <w:tcW w:w="727" w:type="pct"/>
            <w:noWrap w:val="0"/>
            <w:vAlign w:val="center"/>
          </w:tcPr>
          <w:p w14:paraId="44D51038">
            <w:pPr>
              <w:pStyle w:val="66"/>
              <w:bidi w:val="0"/>
              <w:rPr>
                <w:lang w:val="en-US" w:eastAsia="zh-CN"/>
              </w:rPr>
            </w:pPr>
          </w:p>
        </w:tc>
        <w:tc>
          <w:tcPr>
            <w:tcW w:w="485" w:type="pct"/>
            <w:noWrap w:val="0"/>
            <w:vAlign w:val="center"/>
          </w:tcPr>
          <w:p w14:paraId="0ACE182C">
            <w:pPr>
              <w:pStyle w:val="66"/>
              <w:bidi w:val="0"/>
              <w:rPr>
                <w:lang w:val="en-US" w:eastAsia="zh-CN"/>
              </w:rPr>
            </w:pPr>
          </w:p>
        </w:tc>
        <w:tc>
          <w:tcPr>
            <w:tcW w:w="291" w:type="pct"/>
            <w:noWrap w:val="0"/>
            <w:vAlign w:val="center"/>
          </w:tcPr>
          <w:p w14:paraId="6140D661">
            <w:pPr>
              <w:pStyle w:val="66"/>
              <w:bidi w:val="0"/>
              <w:rPr>
                <w:lang w:val="en-US" w:eastAsia="zh-CN"/>
              </w:rPr>
            </w:pPr>
          </w:p>
        </w:tc>
        <w:tc>
          <w:tcPr>
            <w:tcW w:w="291" w:type="pct"/>
            <w:noWrap w:val="0"/>
            <w:vAlign w:val="center"/>
          </w:tcPr>
          <w:p w14:paraId="2912A5FB">
            <w:pPr>
              <w:pStyle w:val="66"/>
              <w:bidi w:val="0"/>
              <w:rPr>
                <w:lang w:val="en-US" w:eastAsia="zh-CN"/>
              </w:rPr>
            </w:pPr>
          </w:p>
        </w:tc>
      </w:tr>
      <w:tr w14:paraId="35879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07D8C086">
            <w:pPr>
              <w:pStyle w:val="66"/>
              <w:bidi w:val="0"/>
              <w:rPr>
                <w:lang w:val="en-US" w:eastAsia="zh-CN"/>
              </w:rPr>
            </w:pPr>
          </w:p>
        </w:tc>
        <w:tc>
          <w:tcPr>
            <w:tcW w:w="631" w:type="pct"/>
            <w:tcBorders>
              <w:top w:val="nil"/>
            </w:tcBorders>
            <w:noWrap w:val="0"/>
            <w:vAlign w:val="center"/>
          </w:tcPr>
          <w:p w14:paraId="3A9686B6">
            <w:pPr>
              <w:pStyle w:val="66"/>
              <w:bidi w:val="0"/>
              <w:rPr>
                <w:lang w:val="en-US" w:eastAsia="zh-CN"/>
              </w:rPr>
            </w:pPr>
          </w:p>
        </w:tc>
        <w:tc>
          <w:tcPr>
            <w:tcW w:w="485" w:type="pct"/>
            <w:tcBorders>
              <w:top w:val="nil"/>
            </w:tcBorders>
            <w:noWrap w:val="0"/>
            <w:vAlign w:val="center"/>
          </w:tcPr>
          <w:p w14:paraId="3E550EF9">
            <w:pPr>
              <w:pStyle w:val="66"/>
              <w:bidi w:val="0"/>
              <w:rPr>
                <w:lang w:val="en-US" w:eastAsia="zh-CN"/>
              </w:rPr>
            </w:pPr>
          </w:p>
        </w:tc>
        <w:tc>
          <w:tcPr>
            <w:tcW w:w="825" w:type="pct"/>
            <w:tcBorders>
              <w:top w:val="nil"/>
            </w:tcBorders>
            <w:noWrap w:val="0"/>
            <w:vAlign w:val="center"/>
          </w:tcPr>
          <w:p w14:paraId="6F068F2B">
            <w:pPr>
              <w:pStyle w:val="66"/>
              <w:bidi w:val="0"/>
              <w:rPr>
                <w:lang w:val="en-US" w:eastAsia="zh-CN"/>
              </w:rPr>
            </w:pPr>
          </w:p>
        </w:tc>
        <w:tc>
          <w:tcPr>
            <w:tcW w:w="291" w:type="pct"/>
            <w:tcBorders>
              <w:top w:val="nil"/>
            </w:tcBorders>
            <w:noWrap w:val="0"/>
            <w:vAlign w:val="center"/>
          </w:tcPr>
          <w:p w14:paraId="65AD9552">
            <w:pPr>
              <w:pStyle w:val="66"/>
              <w:bidi w:val="0"/>
              <w:rPr>
                <w:lang w:val="en-US" w:eastAsia="zh-CN"/>
              </w:rPr>
            </w:pPr>
          </w:p>
        </w:tc>
        <w:tc>
          <w:tcPr>
            <w:tcW w:w="534" w:type="pct"/>
            <w:tcBorders>
              <w:top w:val="nil"/>
            </w:tcBorders>
            <w:noWrap w:val="0"/>
            <w:vAlign w:val="center"/>
          </w:tcPr>
          <w:p w14:paraId="2FB8A5EC">
            <w:pPr>
              <w:pStyle w:val="66"/>
              <w:bidi w:val="0"/>
              <w:rPr>
                <w:lang w:val="en-US" w:eastAsia="zh-CN"/>
              </w:rPr>
            </w:pPr>
          </w:p>
        </w:tc>
        <w:tc>
          <w:tcPr>
            <w:tcW w:w="727" w:type="pct"/>
            <w:tcBorders>
              <w:top w:val="nil"/>
            </w:tcBorders>
            <w:noWrap w:val="0"/>
            <w:vAlign w:val="center"/>
          </w:tcPr>
          <w:p w14:paraId="5DF12F06">
            <w:pPr>
              <w:pStyle w:val="66"/>
              <w:bidi w:val="0"/>
              <w:rPr>
                <w:lang w:val="en-US" w:eastAsia="zh-CN"/>
              </w:rPr>
            </w:pPr>
          </w:p>
        </w:tc>
        <w:tc>
          <w:tcPr>
            <w:tcW w:w="485" w:type="pct"/>
            <w:tcBorders>
              <w:top w:val="nil"/>
            </w:tcBorders>
            <w:noWrap w:val="0"/>
            <w:vAlign w:val="center"/>
          </w:tcPr>
          <w:p w14:paraId="017FC7C8">
            <w:pPr>
              <w:pStyle w:val="66"/>
              <w:bidi w:val="0"/>
              <w:rPr>
                <w:lang w:val="en-US" w:eastAsia="zh-CN"/>
              </w:rPr>
            </w:pPr>
          </w:p>
        </w:tc>
        <w:tc>
          <w:tcPr>
            <w:tcW w:w="291" w:type="pct"/>
            <w:tcBorders>
              <w:top w:val="nil"/>
            </w:tcBorders>
            <w:noWrap w:val="0"/>
            <w:vAlign w:val="center"/>
          </w:tcPr>
          <w:p w14:paraId="42304EC9">
            <w:pPr>
              <w:pStyle w:val="66"/>
              <w:bidi w:val="0"/>
              <w:rPr>
                <w:lang w:val="en-US" w:eastAsia="zh-CN"/>
              </w:rPr>
            </w:pPr>
          </w:p>
        </w:tc>
        <w:tc>
          <w:tcPr>
            <w:tcW w:w="291" w:type="pct"/>
            <w:tcBorders>
              <w:top w:val="nil"/>
            </w:tcBorders>
            <w:noWrap w:val="0"/>
            <w:vAlign w:val="center"/>
          </w:tcPr>
          <w:p w14:paraId="0BCE7DBD">
            <w:pPr>
              <w:pStyle w:val="66"/>
              <w:bidi w:val="0"/>
              <w:rPr>
                <w:lang w:val="en-US" w:eastAsia="zh-CN"/>
              </w:rPr>
            </w:pPr>
          </w:p>
        </w:tc>
      </w:tr>
      <w:tr w14:paraId="3C9AC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tcBorders>
              <w:top w:val="nil"/>
            </w:tcBorders>
            <w:noWrap w:val="0"/>
            <w:vAlign w:val="center"/>
          </w:tcPr>
          <w:p w14:paraId="5B9A45FA">
            <w:pPr>
              <w:pStyle w:val="66"/>
              <w:bidi w:val="0"/>
              <w:rPr>
                <w:lang w:val="en-US" w:eastAsia="zh-CN"/>
              </w:rPr>
            </w:pPr>
          </w:p>
        </w:tc>
        <w:tc>
          <w:tcPr>
            <w:tcW w:w="631" w:type="pct"/>
            <w:tcBorders>
              <w:top w:val="nil"/>
            </w:tcBorders>
            <w:noWrap w:val="0"/>
            <w:vAlign w:val="center"/>
          </w:tcPr>
          <w:p w14:paraId="6ED8880D">
            <w:pPr>
              <w:pStyle w:val="66"/>
              <w:bidi w:val="0"/>
              <w:rPr>
                <w:lang w:val="en-US" w:eastAsia="zh-CN"/>
              </w:rPr>
            </w:pPr>
          </w:p>
        </w:tc>
        <w:tc>
          <w:tcPr>
            <w:tcW w:w="485" w:type="pct"/>
            <w:tcBorders>
              <w:top w:val="nil"/>
            </w:tcBorders>
            <w:noWrap w:val="0"/>
            <w:vAlign w:val="center"/>
          </w:tcPr>
          <w:p w14:paraId="41B7F087">
            <w:pPr>
              <w:pStyle w:val="66"/>
              <w:bidi w:val="0"/>
              <w:rPr>
                <w:lang w:val="en-US" w:eastAsia="zh-CN"/>
              </w:rPr>
            </w:pPr>
          </w:p>
        </w:tc>
        <w:tc>
          <w:tcPr>
            <w:tcW w:w="825" w:type="pct"/>
            <w:tcBorders>
              <w:top w:val="nil"/>
            </w:tcBorders>
            <w:noWrap w:val="0"/>
            <w:vAlign w:val="center"/>
          </w:tcPr>
          <w:p w14:paraId="04CC52B7">
            <w:pPr>
              <w:pStyle w:val="66"/>
              <w:bidi w:val="0"/>
              <w:rPr>
                <w:lang w:val="en-US" w:eastAsia="zh-CN"/>
              </w:rPr>
            </w:pPr>
          </w:p>
        </w:tc>
        <w:tc>
          <w:tcPr>
            <w:tcW w:w="291" w:type="pct"/>
            <w:tcBorders>
              <w:top w:val="nil"/>
            </w:tcBorders>
            <w:noWrap w:val="0"/>
            <w:vAlign w:val="center"/>
          </w:tcPr>
          <w:p w14:paraId="23D2434C">
            <w:pPr>
              <w:pStyle w:val="66"/>
              <w:bidi w:val="0"/>
              <w:rPr>
                <w:lang w:val="en-US" w:eastAsia="zh-CN"/>
              </w:rPr>
            </w:pPr>
          </w:p>
        </w:tc>
        <w:tc>
          <w:tcPr>
            <w:tcW w:w="534" w:type="pct"/>
            <w:tcBorders>
              <w:top w:val="nil"/>
            </w:tcBorders>
            <w:noWrap w:val="0"/>
            <w:vAlign w:val="center"/>
          </w:tcPr>
          <w:p w14:paraId="610C8C82">
            <w:pPr>
              <w:pStyle w:val="66"/>
              <w:bidi w:val="0"/>
              <w:rPr>
                <w:lang w:val="en-US" w:eastAsia="zh-CN"/>
              </w:rPr>
            </w:pPr>
          </w:p>
        </w:tc>
        <w:tc>
          <w:tcPr>
            <w:tcW w:w="727" w:type="pct"/>
            <w:tcBorders>
              <w:top w:val="nil"/>
            </w:tcBorders>
            <w:noWrap w:val="0"/>
            <w:vAlign w:val="center"/>
          </w:tcPr>
          <w:p w14:paraId="0B35A622">
            <w:pPr>
              <w:pStyle w:val="66"/>
              <w:bidi w:val="0"/>
              <w:rPr>
                <w:lang w:val="en-US" w:eastAsia="zh-CN"/>
              </w:rPr>
            </w:pPr>
          </w:p>
        </w:tc>
        <w:tc>
          <w:tcPr>
            <w:tcW w:w="485" w:type="pct"/>
            <w:tcBorders>
              <w:top w:val="nil"/>
            </w:tcBorders>
            <w:noWrap w:val="0"/>
            <w:vAlign w:val="center"/>
          </w:tcPr>
          <w:p w14:paraId="27DBEF55">
            <w:pPr>
              <w:pStyle w:val="66"/>
              <w:bidi w:val="0"/>
              <w:rPr>
                <w:lang w:val="en-US" w:eastAsia="zh-CN"/>
              </w:rPr>
            </w:pPr>
          </w:p>
        </w:tc>
        <w:tc>
          <w:tcPr>
            <w:tcW w:w="291" w:type="pct"/>
            <w:tcBorders>
              <w:top w:val="nil"/>
            </w:tcBorders>
            <w:noWrap w:val="0"/>
            <w:vAlign w:val="center"/>
          </w:tcPr>
          <w:p w14:paraId="62A362A3">
            <w:pPr>
              <w:pStyle w:val="66"/>
              <w:bidi w:val="0"/>
              <w:rPr>
                <w:lang w:val="en-US" w:eastAsia="zh-CN"/>
              </w:rPr>
            </w:pPr>
          </w:p>
        </w:tc>
        <w:tc>
          <w:tcPr>
            <w:tcW w:w="291" w:type="pct"/>
            <w:tcBorders>
              <w:top w:val="nil"/>
            </w:tcBorders>
            <w:noWrap w:val="0"/>
            <w:vAlign w:val="center"/>
          </w:tcPr>
          <w:p w14:paraId="47466674">
            <w:pPr>
              <w:pStyle w:val="66"/>
              <w:bidi w:val="0"/>
              <w:rPr>
                <w:lang w:val="en-US" w:eastAsia="zh-CN"/>
              </w:rPr>
            </w:pPr>
          </w:p>
        </w:tc>
      </w:tr>
      <w:tr w14:paraId="5BADD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437" w:type="pct"/>
            <w:noWrap w:val="0"/>
            <w:vAlign w:val="center"/>
          </w:tcPr>
          <w:p w14:paraId="71CB1E55">
            <w:pPr>
              <w:pStyle w:val="66"/>
              <w:bidi w:val="0"/>
              <w:rPr>
                <w:lang w:val="en-US" w:eastAsia="zh-CN"/>
              </w:rPr>
            </w:pPr>
          </w:p>
        </w:tc>
        <w:tc>
          <w:tcPr>
            <w:tcW w:w="631" w:type="pct"/>
            <w:noWrap w:val="0"/>
            <w:vAlign w:val="center"/>
          </w:tcPr>
          <w:p w14:paraId="6E6A6E88">
            <w:pPr>
              <w:pStyle w:val="66"/>
              <w:bidi w:val="0"/>
              <w:rPr>
                <w:lang w:val="en-US" w:eastAsia="zh-CN"/>
              </w:rPr>
            </w:pPr>
          </w:p>
        </w:tc>
        <w:tc>
          <w:tcPr>
            <w:tcW w:w="485" w:type="pct"/>
            <w:noWrap w:val="0"/>
            <w:vAlign w:val="center"/>
          </w:tcPr>
          <w:p w14:paraId="31DB78EF">
            <w:pPr>
              <w:pStyle w:val="66"/>
              <w:bidi w:val="0"/>
              <w:rPr>
                <w:lang w:val="en-US" w:eastAsia="zh-CN"/>
              </w:rPr>
            </w:pPr>
          </w:p>
        </w:tc>
        <w:tc>
          <w:tcPr>
            <w:tcW w:w="825" w:type="pct"/>
            <w:noWrap w:val="0"/>
            <w:vAlign w:val="center"/>
          </w:tcPr>
          <w:p w14:paraId="0FA16886">
            <w:pPr>
              <w:pStyle w:val="66"/>
              <w:bidi w:val="0"/>
              <w:rPr>
                <w:lang w:val="en-US" w:eastAsia="zh-CN"/>
              </w:rPr>
            </w:pPr>
          </w:p>
        </w:tc>
        <w:tc>
          <w:tcPr>
            <w:tcW w:w="291" w:type="pct"/>
            <w:noWrap w:val="0"/>
            <w:vAlign w:val="center"/>
          </w:tcPr>
          <w:p w14:paraId="60ABE986">
            <w:pPr>
              <w:pStyle w:val="66"/>
              <w:bidi w:val="0"/>
              <w:rPr>
                <w:lang w:val="en-US" w:eastAsia="zh-CN"/>
              </w:rPr>
            </w:pPr>
          </w:p>
        </w:tc>
        <w:tc>
          <w:tcPr>
            <w:tcW w:w="534" w:type="pct"/>
            <w:noWrap w:val="0"/>
            <w:vAlign w:val="center"/>
          </w:tcPr>
          <w:p w14:paraId="509B973C">
            <w:pPr>
              <w:pStyle w:val="66"/>
              <w:bidi w:val="0"/>
              <w:rPr>
                <w:lang w:val="en-US" w:eastAsia="zh-CN"/>
              </w:rPr>
            </w:pPr>
          </w:p>
        </w:tc>
        <w:tc>
          <w:tcPr>
            <w:tcW w:w="727" w:type="pct"/>
            <w:noWrap w:val="0"/>
            <w:vAlign w:val="center"/>
          </w:tcPr>
          <w:p w14:paraId="4DD4E088">
            <w:pPr>
              <w:pStyle w:val="66"/>
              <w:bidi w:val="0"/>
              <w:rPr>
                <w:lang w:val="en-US" w:eastAsia="zh-CN"/>
              </w:rPr>
            </w:pPr>
          </w:p>
        </w:tc>
        <w:tc>
          <w:tcPr>
            <w:tcW w:w="485" w:type="pct"/>
            <w:noWrap w:val="0"/>
            <w:vAlign w:val="center"/>
          </w:tcPr>
          <w:p w14:paraId="4210909A">
            <w:pPr>
              <w:pStyle w:val="66"/>
              <w:bidi w:val="0"/>
              <w:rPr>
                <w:lang w:val="en-US" w:eastAsia="zh-CN"/>
              </w:rPr>
            </w:pPr>
          </w:p>
        </w:tc>
        <w:tc>
          <w:tcPr>
            <w:tcW w:w="291" w:type="pct"/>
            <w:noWrap w:val="0"/>
            <w:vAlign w:val="center"/>
          </w:tcPr>
          <w:p w14:paraId="36371D20">
            <w:pPr>
              <w:pStyle w:val="66"/>
              <w:bidi w:val="0"/>
              <w:rPr>
                <w:lang w:val="en-US" w:eastAsia="zh-CN"/>
              </w:rPr>
            </w:pPr>
          </w:p>
        </w:tc>
        <w:tc>
          <w:tcPr>
            <w:tcW w:w="291" w:type="pct"/>
            <w:noWrap w:val="0"/>
            <w:vAlign w:val="center"/>
          </w:tcPr>
          <w:p w14:paraId="4DC4DF96">
            <w:pPr>
              <w:pStyle w:val="66"/>
              <w:bidi w:val="0"/>
              <w:rPr>
                <w:lang w:val="en-US" w:eastAsia="zh-CN"/>
              </w:rPr>
            </w:pPr>
          </w:p>
        </w:tc>
      </w:tr>
    </w:tbl>
    <w:p w14:paraId="1AF683B0">
      <w:pPr>
        <w:spacing w:line="440" w:lineRule="exact"/>
        <w:rPr>
          <w:rFonts w:ascii="Times New Roman" w:hAnsi="Times New Roman" w:eastAsia="仿宋_GB2312"/>
          <w:b/>
          <w:color w:val="000000"/>
          <w:sz w:val="30"/>
          <w:szCs w:val="30"/>
        </w:rPr>
        <w:sectPr>
          <w:pgSz w:w="16838" w:h="11906" w:orient="landscape"/>
          <w:pgMar w:top="1554" w:right="1418" w:bottom="1531" w:left="1418" w:header="851" w:footer="992" w:gutter="0"/>
          <w:pgNumType w:fmt="decimal"/>
          <w:cols w:space="720" w:num="1"/>
          <w:titlePg/>
          <w:docGrid w:type="linesAndChars" w:linePitch="312" w:charSpace="0"/>
        </w:sectPr>
      </w:pPr>
    </w:p>
    <w:p w14:paraId="30D9854A">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37" w:name="_Toc296891053"/>
      <w:bookmarkStart w:id="838" w:name="_Toc296503225"/>
      <w:bookmarkStart w:id="839" w:name="_Toc296944564"/>
      <w:bookmarkStart w:id="840" w:name="_Toc296347224"/>
      <w:bookmarkStart w:id="841" w:name="_Toc267261692"/>
      <w:bookmarkStart w:id="842" w:name="_Toc296891265"/>
      <w:bookmarkStart w:id="843" w:name="_Toc296346726"/>
      <w:r>
        <w:rPr>
          <w:rFonts w:ascii="Times New Roman" w:hAnsi="Times New Roman" w:eastAsia="仿宋_GB2312"/>
          <w:color w:val="000000"/>
          <w:sz w:val="30"/>
          <w:szCs w:val="30"/>
        </w:rPr>
        <w:t>件2：</w:t>
      </w:r>
    </w:p>
    <w:bookmarkEnd w:id="837"/>
    <w:bookmarkEnd w:id="838"/>
    <w:bookmarkEnd w:id="839"/>
    <w:bookmarkEnd w:id="840"/>
    <w:bookmarkEnd w:id="841"/>
    <w:bookmarkEnd w:id="842"/>
    <w:bookmarkEnd w:id="843"/>
    <w:p w14:paraId="1C042E79">
      <w:pPr>
        <w:spacing w:before="156" w:beforeLines="50" w:after="156" w:afterLines="50" w:line="440" w:lineRule="exact"/>
        <w:jc w:val="center"/>
        <w:rPr>
          <w:rFonts w:hint="eastAsia" w:ascii="Times New Roman" w:hAnsi="Times New Roman" w:eastAsia="黑体"/>
          <w:color w:val="000000"/>
          <w:sz w:val="30"/>
          <w:szCs w:val="30"/>
        </w:rPr>
      </w:pPr>
      <w:r>
        <w:rPr>
          <w:rFonts w:ascii="Times New Roman" w:hAnsi="Times New Roman" w:eastAsia="黑体"/>
          <w:color w:val="000000"/>
          <w:sz w:val="30"/>
          <w:szCs w:val="30"/>
        </w:rPr>
        <w:t>发包人供应材料设备一览表</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61"/>
        <w:gridCol w:w="778"/>
        <w:gridCol w:w="955"/>
        <w:gridCol w:w="908"/>
        <w:gridCol w:w="778"/>
        <w:gridCol w:w="1363"/>
        <w:gridCol w:w="908"/>
      </w:tblGrid>
      <w:tr w14:paraId="3A840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noWrap w:val="0"/>
            <w:vAlign w:val="center"/>
          </w:tcPr>
          <w:p w14:paraId="291E1E4F">
            <w:pPr>
              <w:pStyle w:val="66"/>
              <w:bidi w:val="0"/>
              <w:rPr>
                <w:lang w:val="en-US" w:eastAsia="zh-CN"/>
              </w:rPr>
            </w:pPr>
            <w:r>
              <w:rPr>
                <w:lang w:val="en-US" w:eastAsia="zh-CN"/>
              </w:rPr>
              <w:t>序号</w:t>
            </w:r>
          </w:p>
        </w:tc>
        <w:tc>
          <w:tcPr>
            <w:tcW w:w="596" w:type="pct"/>
            <w:tcBorders>
              <w:top w:val="single" w:color="auto" w:sz="12" w:space="0"/>
              <w:bottom w:val="double" w:color="auto" w:sz="6" w:space="0"/>
            </w:tcBorders>
            <w:noWrap w:val="0"/>
            <w:vAlign w:val="center"/>
          </w:tcPr>
          <w:p w14:paraId="2BAD663B">
            <w:pPr>
              <w:pStyle w:val="66"/>
              <w:bidi w:val="0"/>
              <w:rPr>
                <w:rFonts w:hint="eastAsia"/>
                <w:lang w:val="en-US" w:eastAsia="zh-CN"/>
              </w:rPr>
            </w:pPr>
            <w:r>
              <w:rPr>
                <w:rFonts w:hint="eastAsia"/>
                <w:lang w:val="en-US" w:eastAsia="zh-CN"/>
              </w:rPr>
              <w:t xml:space="preserve">  </w:t>
            </w:r>
            <w:r>
              <w:rPr>
                <w:lang w:val="en-US" w:eastAsia="zh-CN"/>
              </w:rPr>
              <w:t>材料、</w:t>
            </w:r>
          </w:p>
          <w:p w14:paraId="1D6D7453">
            <w:pPr>
              <w:pStyle w:val="66"/>
              <w:bidi w:val="0"/>
              <w:rPr>
                <w:lang w:val="en-US" w:eastAsia="zh-CN"/>
              </w:rPr>
            </w:pPr>
            <w:r>
              <w:rPr>
                <w:lang w:val="en-US" w:eastAsia="zh-CN"/>
              </w:rPr>
              <w:t>设备品种</w:t>
            </w:r>
          </w:p>
        </w:tc>
        <w:tc>
          <w:tcPr>
            <w:tcW w:w="662" w:type="pct"/>
            <w:tcBorders>
              <w:top w:val="single" w:color="auto" w:sz="12" w:space="0"/>
              <w:bottom w:val="double" w:color="auto" w:sz="6" w:space="0"/>
            </w:tcBorders>
            <w:noWrap w:val="0"/>
            <w:vAlign w:val="center"/>
          </w:tcPr>
          <w:p w14:paraId="0A40EDF3">
            <w:pPr>
              <w:pStyle w:val="66"/>
              <w:bidi w:val="0"/>
              <w:rPr>
                <w:lang w:val="en-US" w:eastAsia="zh-CN"/>
              </w:rPr>
            </w:pPr>
            <w:r>
              <w:rPr>
                <w:lang w:val="en-US" w:eastAsia="zh-CN"/>
              </w:rPr>
              <w:t>规格型号</w:t>
            </w:r>
          </w:p>
        </w:tc>
        <w:tc>
          <w:tcPr>
            <w:tcW w:w="439" w:type="pct"/>
            <w:tcBorders>
              <w:top w:val="single" w:color="auto" w:sz="12" w:space="0"/>
              <w:bottom w:val="double" w:color="auto" w:sz="6" w:space="0"/>
            </w:tcBorders>
            <w:noWrap w:val="0"/>
            <w:vAlign w:val="center"/>
          </w:tcPr>
          <w:p w14:paraId="0A53E631">
            <w:pPr>
              <w:pStyle w:val="66"/>
              <w:bidi w:val="0"/>
              <w:rPr>
                <w:lang w:val="en-US" w:eastAsia="zh-CN"/>
              </w:rPr>
            </w:pPr>
            <w:r>
              <w:rPr>
                <w:lang w:val="en-US" w:eastAsia="zh-CN"/>
              </w:rPr>
              <w:t>单位</w:t>
            </w:r>
          </w:p>
        </w:tc>
        <w:tc>
          <w:tcPr>
            <w:tcW w:w="397" w:type="pct"/>
            <w:tcBorders>
              <w:top w:val="single" w:color="auto" w:sz="12" w:space="0"/>
              <w:bottom w:val="double" w:color="auto" w:sz="6" w:space="0"/>
            </w:tcBorders>
            <w:noWrap w:val="0"/>
            <w:vAlign w:val="center"/>
          </w:tcPr>
          <w:p w14:paraId="43482DD8">
            <w:pPr>
              <w:pStyle w:val="66"/>
              <w:bidi w:val="0"/>
              <w:rPr>
                <w:lang w:val="en-US" w:eastAsia="zh-CN"/>
              </w:rPr>
            </w:pPr>
            <w:r>
              <w:rPr>
                <w:lang w:val="en-US" w:eastAsia="zh-CN"/>
              </w:rPr>
              <w:t>数量</w:t>
            </w:r>
          </w:p>
        </w:tc>
        <w:tc>
          <w:tcPr>
            <w:tcW w:w="487" w:type="pct"/>
            <w:tcBorders>
              <w:top w:val="single" w:color="auto" w:sz="12" w:space="0"/>
              <w:bottom w:val="double" w:color="auto" w:sz="6" w:space="0"/>
            </w:tcBorders>
            <w:noWrap w:val="0"/>
            <w:vAlign w:val="center"/>
          </w:tcPr>
          <w:p w14:paraId="391BCCA5">
            <w:pPr>
              <w:pStyle w:val="66"/>
              <w:bidi w:val="0"/>
              <w:rPr>
                <w:lang w:val="en-US" w:eastAsia="zh-CN"/>
              </w:rPr>
            </w:pPr>
            <w:r>
              <w:rPr>
                <w:lang w:val="en-US" w:eastAsia="zh-CN"/>
              </w:rPr>
              <w:t>单价</w:t>
            </w:r>
            <w:r>
              <w:rPr>
                <w:rFonts w:hint="eastAsia"/>
                <w:lang w:val="en-US" w:eastAsia="zh-CN"/>
              </w:rPr>
              <w:t>（元）</w:t>
            </w:r>
          </w:p>
        </w:tc>
        <w:tc>
          <w:tcPr>
            <w:tcW w:w="463" w:type="pct"/>
            <w:tcBorders>
              <w:top w:val="single" w:color="auto" w:sz="12" w:space="0"/>
              <w:bottom w:val="double" w:color="auto" w:sz="6" w:space="0"/>
            </w:tcBorders>
            <w:noWrap w:val="0"/>
            <w:vAlign w:val="center"/>
          </w:tcPr>
          <w:p w14:paraId="38A40C58">
            <w:pPr>
              <w:pStyle w:val="66"/>
              <w:bidi w:val="0"/>
              <w:rPr>
                <w:lang w:val="en-US" w:eastAsia="zh-CN"/>
              </w:rPr>
            </w:pPr>
            <w:r>
              <w:rPr>
                <w:lang w:val="en-US" w:eastAsia="zh-CN"/>
              </w:rPr>
              <w:t>质量等级</w:t>
            </w:r>
          </w:p>
        </w:tc>
        <w:tc>
          <w:tcPr>
            <w:tcW w:w="397" w:type="pct"/>
            <w:tcBorders>
              <w:top w:val="single" w:color="auto" w:sz="12" w:space="0"/>
              <w:bottom w:val="double" w:color="auto" w:sz="6" w:space="0"/>
            </w:tcBorders>
            <w:noWrap w:val="0"/>
            <w:vAlign w:val="center"/>
          </w:tcPr>
          <w:p w14:paraId="22E28ACF">
            <w:pPr>
              <w:pStyle w:val="66"/>
              <w:bidi w:val="0"/>
              <w:rPr>
                <w:lang w:val="en-US" w:eastAsia="zh-CN"/>
              </w:rPr>
            </w:pPr>
            <w:r>
              <w:rPr>
                <w:lang w:val="en-US" w:eastAsia="zh-CN"/>
              </w:rPr>
              <w:t>供应时间</w:t>
            </w:r>
          </w:p>
        </w:tc>
        <w:tc>
          <w:tcPr>
            <w:tcW w:w="695" w:type="pct"/>
            <w:tcBorders>
              <w:top w:val="single" w:color="auto" w:sz="12" w:space="0"/>
              <w:bottom w:val="double" w:color="auto" w:sz="6" w:space="0"/>
            </w:tcBorders>
            <w:noWrap w:val="0"/>
            <w:vAlign w:val="center"/>
          </w:tcPr>
          <w:p w14:paraId="705617E7">
            <w:pPr>
              <w:pStyle w:val="66"/>
              <w:bidi w:val="0"/>
              <w:rPr>
                <w:lang w:val="en-US" w:eastAsia="zh-CN"/>
              </w:rPr>
            </w:pPr>
            <w:r>
              <w:rPr>
                <w:lang w:val="en-US" w:eastAsia="zh-CN"/>
              </w:rPr>
              <w:t>送达地点</w:t>
            </w:r>
          </w:p>
        </w:tc>
        <w:tc>
          <w:tcPr>
            <w:tcW w:w="463" w:type="pct"/>
            <w:tcBorders>
              <w:top w:val="single" w:color="auto" w:sz="12" w:space="0"/>
              <w:bottom w:val="double" w:color="auto" w:sz="6" w:space="0"/>
            </w:tcBorders>
            <w:noWrap w:val="0"/>
            <w:vAlign w:val="center"/>
          </w:tcPr>
          <w:p w14:paraId="360ADD81">
            <w:pPr>
              <w:pStyle w:val="66"/>
              <w:bidi w:val="0"/>
              <w:rPr>
                <w:lang w:val="en-US" w:eastAsia="zh-CN"/>
              </w:rPr>
            </w:pPr>
            <w:r>
              <w:rPr>
                <w:lang w:val="en-US" w:eastAsia="zh-CN"/>
              </w:rPr>
              <w:t>备注</w:t>
            </w:r>
          </w:p>
        </w:tc>
      </w:tr>
      <w:tr w14:paraId="5A1D0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bottom w:val="single" w:color="auto" w:sz="6" w:space="0"/>
            </w:tcBorders>
            <w:noWrap w:val="0"/>
            <w:vAlign w:val="center"/>
          </w:tcPr>
          <w:p w14:paraId="59325606">
            <w:pPr>
              <w:pStyle w:val="66"/>
              <w:bidi w:val="0"/>
              <w:rPr>
                <w:lang w:val="en-US" w:eastAsia="zh-CN"/>
              </w:rPr>
            </w:pPr>
          </w:p>
        </w:tc>
        <w:tc>
          <w:tcPr>
            <w:tcW w:w="596" w:type="pct"/>
            <w:tcBorders>
              <w:top w:val="double" w:color="auto" w:sz="6" w:space="0"/>
              <w:bottom w:val="single" w:color="auto" w:sz="6" w:space="0"/>
            </w:tcBorders>
            <w:noWrap w:val="0"/>
            <w:vAlign w:val="center"/>
          </w:tcPr>
          <w:p w14:paraId="7829A633">
            <w:pPr>
              <w:pStyle w:val="66"/>
              <w:bidi w:val="0"/>
              <w:rPr>
                <w:lang w:val="en-US" w:eastAsia="zh-CN"/>
              </w:rPr>
            </w:pPr>
          </w:p>
        </w:tc>
        <w:tc>
          <w:tcPr>
            <w:tcW w:w="662" w:type="pct"/>
            <w:tcBorders>
              <w:top w:val="double" w:color="auto" w:sz="6" w:space="0"/>
              <w:bottom w:val="single" w:color="auto" w:sz="6" w:space="0"/>
            </w:tcBorders>
            <w:noWrap w:val="0"/>
            <w:vAlign w:val="center"/>
          </w:tcPr>
          <w:p w14:paraId="3908ECAC">
            <w:pPr>
              <w:pStyle w:val="66"/>
              <w:bidi w:val="0"/>
              <w:rPr>
                <w:lang w:val="en-US" w:eastAsia="zh-CN"/>
              </w:rPr>
            </w:pPr>
          </w:p>
        </w:tc>
        <w:tc>
          <w:tcPr>
            <w:tcW w:w="439" w:type="pct"/>
            <w:tcBorders>
              <w:top w:val="double" w:color="auto" w:sz="6" w:space="0"/>
              <w:bottom w:val="single" w:color="auto" w:sz="6" w:space="0"/>
            </w:tcBorders>
            <w:noWrap w:val="0"/>
            <w:vAlign w:val="center"/>
          </w:tcPr>
          <w:p w14:paraId="1927EA90">
            <w:pPr>
              <w:pStyle w:val="66"/>
              <w:bidi w:val="0"/>
              <w:rPr>
                <w:lang w:val="en-US" w:eastAsia="zh-CN"/>
              </w:rPr>
            </w:pPr>
          </w:p>
        </w:tc>
        <w:tc>
          <w:tcPr>
            <w:tcW w:w="397" w:type="pct"/>
            <w:tcBorders>
              <w:top w:val="double" w:color="auto" w:sz="6" w:space="0"/>
              <w:bottom w:val="single" w:color="auto" w:sz="6" w:space="0"/>
            </w:tcBorders>
            <w:noWrap w:val="0"/>
            <w:vAlign w:val="center"/>
          </w:tcPr>
          <w:p w14:paraId="4BA5BB5E">
            <w:pPr>
              <w:pStyle w:val="66"/>
              <w:bidi w:val="0"/>
              <w:rPr>
                <w:lang w:val="en-US" w:eastAsia="zh-CN"/>
              </w:rPr>
            </w:pPr>
          </w:p>
        </w:tc>
        <w:tc>
          <w:tcPr>
            <w:tcW w:w="487" w:type="pct"/>
            <w:tcBorders>
              <w:top w:val="double" w:color="auto" w:sz="6" w:space="0"/>
              <w:bottom w:val="single" w:color="auto" w:sz="6" w:space="0"/>
            </w:tcBorders>
            <w:noWrap w:val="0"/>
            <w:vAlign w:val="center"/>
          </w:tcPr>
          <w:p w14:paraId="710ED306">
            <w:pPr>
              <w:pStyle w:val="66"/>
              <w:bidi w:val="0"/>
              <w:rPr>
                <w:lang w:val="en-US" w:eastAsia="zh-CN"/>
              </w:rPr>
            </w:pPr>
          </w:p>
        </w:tc>
        <w:tc>
          <w:tcPr>
            <w:tcW w:w="463" w:type="pct"/>
            <w:tcBorders>
              <w:top w:val="double" w:color="auto" w:sz="6" w:space="0"/>
              <w:bottom w:val="single" w:color="auto" w:sz="6" w:space="0"/>
            </w:tcBorders>
            <w:noWrap w:val="0"/>
            <w:vAlign w:val="center"/>
          </w:tcPr>
          <w:p w14:paraId="6A31F80C">
            <w:pPr>
              <w:pStyle w:val="66"/>
              <w:bidi w:val="0"/>
              <w:rPr>
                <w:lang w:val="en-US" w:eastAsia="zh-CN"/>
              </w:rPr>
            </w:pPr>
          </w:p>
        </w:tc>
        <w:tc>
          <w:tcPr>
            <w:tcW w:w="397" w:type="pct"/>
            <w:tcBorders>
              <w:top w:val="double" w:color="auto" w:sz="6" w:space="0"/>
              <w:bottom w:val="single" w:color="auto" w:sz="6" w:space="0"/>
            </w:tcBorders>
            <w:noWrap w:val="0"/>
            <w:vAlign w:val="center"/>
          </w:tcPr>
          <w:p w14:paraId="29BFD074">
            <w:pPr>
              <w:pStyle w:val="66"/>
              <w:bidi w:val="0"/>
              <w:rPr>
                <w:lang w:val="en-US" w:eastAsia="zh-CN"/>
              </w:rPr>
            </w:pPr>
          </w:p>
        </w:tc>
        <w:tc>
          <w:tcPr>
            <w:tcW w:w="695" w:type="pct"/>
            <w:tcBorders>
              <w:top w:val="double" w:color="auto" w:sz="6" w:space="0"/>
              <w:bottom w:val="single" w:color="auto" w:sz="6" w:space="0"/>
            </w:tcBorders>
            <w:noWrap w:val="0"/>
            <w:vAlign w:val="center"/>
          </w:tcPr>
          <w:p w14:paraId="19FC1EF3">
            <w:pPr>
              <w:pStyle w:val="66"/>
              <w:bidi w:val="0"/>
              <w:rPr>
                <w:lang w:val="en-US" w:eastAsia="zh-CN"/>
              </w:rPr>
            </w:pPr>
          </w:p>
        </w:tc>
        <w:tc>
          <w:tcPr>
            <w:tcW w:w="463" w:type="pct"/>
            <w:tcBorders>
              <w:top w:val="double" w:color="auto" w:sz="6" w:space="0"/>
              <w:bottom w:val="single" w:color="auto" w:sz="6" w:space="0"/>
            </w:tcBorders>
            <w:noWrap w:val="0"/>
            <w:vAlign w:val="center"/>
          </w:tcPr>
          <w:p w14:paraId="03204515">
            <w:pPr>
              <w:pStyle w:val="66"/>
              <w:bidi w:val="0"/>
              <w:rPr>
                <w:lang w:val="en-US" w:eastAsia="zh-CN"/>
              </w:rPr>
            </w:pPr>
          </w:p>
        </w:tc>
      </w:tr>
      <w:tr w14:paraId="2863F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noWrap w:val="0"/>
            <w:vAlign w:val="center"/>
          </w:tcPr>
          <w:p w14:paraId="2A01A3C9">
            <w:pPr>
              <w:pStyle w:val="66"/>
              <w:bidi w:val="0"/>
              <w:rPr>
                <w:lang w:val="en-US" w:eastAsia="zh-CN"/>
              </w:rPr>
            </w:pPr>
          </w:p>
        </w:tc>
        <w:tc>
          <w:tcPr>
            <w:tcW w:w="596" w:type="pct"/>
            <w:tcBorders>
              <w:top w:val="nil"/>
            </w:tcBorders>
            <w:noWrap w:val="0"/>
            <w:vAlign w:val="center"/>
          </w:tcPr>
          <w:p w14:paraId="2F230758">
            <w:pPr>
              <w:pStyle w:val="66"/>
              <w:bidi w:val="0"/>
              <w:rPr>
                <w:lang w:val="en-US" w:eastAsia="zh-CN"/>
              </w:rPr>
            </w:pPr>
          </w:p>
        </w:tc>
        <w:tc>
          <w:tcPr>
            <w:tcW w:w="662" w:type="pct"/>
            <w:tcBorders>
              <w:top w:val="nil"/>
            </w:tcBorders>
            <w:noWrap w:val="0"/>
            <w:vAlign w:val="center"/>
          </w:tcPr>
          <w:p w14:paraId="44217D39">
            <w:pPr>
              <w:pStyle w:val="66"/>
              <w:bidi w:val="0"/>
              <w:rPr>
                <w:lang w:val="en-US" w:eastAsia="zh-CN"/>
              </w:rPr>
            </w:pPr>
          </w:p>
        </w:tc>
        <w:tc>
          <w:tcPr>
            <w:tcW w:w="439" w:type="pct"/>
            <w:tcBorders>
              <w:top w:val="nil"/>
            </w:tcBorders>
            <w:noWrap w:val="0"/>
            <w:vAlign w:val="center"/>
          </w:tcPr>
          <w:p w14:paraId="4C0A0FA6">
            <w:pPr>
              <w:pStyle w:val="66"/>
              <w:bidi w:val="0"/>
              <w:rPr>
                <w:lang w:val="en-US" w:eastAsia="zh-CN"/>
              </w:rPr>
            </w:pPr>
          </w:p>
        </w:tc>
        <w:tc>
          <w:tcPr>
            <w:tcW w:w="397" w:type="pct"/>
            <w:tcBorders>
              <w:top w:val="nil"/>
            </w:tcBorders>
            <w:noWrap w:val="0"/>
            <w:vAlign w:val="center"/>
          </w:tcPr>
          <w:p w14:paraId="4C372B3D">
            <w:pPr>
              <w:pStyle w:val="66"/>
              <w:bidi w:val="0"/>
              <w:rPr>
                <w:lang w:val="en-US" w:eastAsia="zh-CN"/>
              </w:rPr>
            </w:pPr>
          </w:p>
        </w:tc>
        <w:tc>
          <w:tcPr>
            <w:tcW w:w="487" w:type="pct"/>
            <w:tcBorders>
              <w:top w:val="nil"/>
            </w:tcBorders>
            <w:noWrap w:val="0"/>
            <w:vAlign w:val="center"/>
          </w:tcPr>
          <w:p w14:paraId="1B00DBE8">
            <w:pPr>
              <w:pStyle w:val="66"/>
              <w:bidi w:val="0"/>
              <w:rPr>
                <w:lang w:val="en-US" w:eastAsia="zh-CN"/>
              </w:rPr>
            </w:pPr>
          </w:p>
        </w:tc>
        <w:tc>
          <w:tcPr>
            <w:tcW w:w="463" w:type="pct"/>
            <w:tcBorders>
              <w:top w:val="nil"/>
            </w:tcBorders>
            <w:noWrap w:val="0"/>
            <w:vAlign w:val="center"/>
          </w:tcPr>
          <w:p w14:paraId="630418F5">
            <w:pPr>
              <w:pStyle w:val="66"/>
              <w:bidi w:val="0"/>
              <w:rPr>
                <w:lang w:val="en-US" w:eastAsia="zh-CN"/>
              </w:rPr>
            </w:pPr>
          </w:p>
        </w:tc>
        <w:tc>
          <w:tcPr>
            <w:tcW w:w="397" w:type="pct"/>
            <w:tcBorders>
              <w:top w:val="nil"/>
            </w:tcBorders>
            <w:noWrap w:val="0"/>
            <w:vAlign w:val="center"/>
          </w:tcPr>
          <w:p w14:paraId="3775360A">
            <w:pPr>
              <w:pStyle w:val="66"/>
              <w:bidi w:val="0"/>
              <w:rPr>
                <w:lang w:val="en-US" w:eastAsia="zh-CN"/>
              </w:rPr>
            </w:pPr>
          </w:p>
        </w:tc>
        <w:tc>
          <w:tcPr>
            <w:tcW w:w="695" w:type="pct"/>
            <w:tcBorders>
              <w:top w:val="nil"/>
            </w:tcBorders>
            <w:noWrap w:val="0"/>
            <w:vAlign w:val="center"/>
          </w:tcPr>
          <w:p w14:paraId="1C51D4E7">
            <w:pPr>
              <w:pStyle w:val="66"/>
              <w:bidi w:val="0"/>
              <w:rPr>
                <w:lang w:val="en-US" w:eastAsia="zh-CN"/>
              </w:rPr>
            </w:pPr>
          </w:p>
        </w:tc>
        <w:tc>
          <w:tcPr>
            <w:tcW w:w="463" w:type="pct"/>
            <w:tcBorders>
              <w:top w:val="nil"/>
            </w:tcBorders>
            <w:noWrap w:val="0"/>
            <w:vAlign w:val="center"/>
          </w:tcPr>
          <w:p w14:paraId="42C67E3F">
            <w:pPr>
              <w:pStyle w:val="66"/>
              <w:bidi w:val="0"/>
              <w:rPr>
                <w:lang w:val="en-US" w:eastAsia="zh-CN"/>
              </w:rPr>
            </w:pPr>
          </w:p>
        </w:tc>
      </w:tr>
      <w:tr w14:paraId="23105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3083A7F">
            <w:pPr>
              <w:pStyle w:val="66"/>
              <w:bidi w:val="0"/>
              <w:rPr>
                <w:lang w:val="en-US" w:eastAsia="zh-CN"/>
              </w:rPr>
            </w:pPr>
          </w:p>
        </w:tc>
        <w:tc>
          <w:tcPr>
            <w:tcW w:w="596" w:type="pct"/>
            <w:noWrap w:val="0"/>
            <w:vAlign w:val="center"/>
          </w:tcPr>
          <w:p w14:paraId="4D6AB1BF">
            <w:pPr>
              <w:pStyle w:val="66"/>
              <w:bidi w:val="0"/>
              <w:rPr>
                <w:lang w:val="en-US" w:eastAsia="zh-CN"/>
              </w:rPr>
            </w:pPr>
          </w:p>
        </w:tc>
        <w:tc>
          <w:tcPr>
            <w:tcW w:w="662" w:type="pct"/>
            <w:noWrap w:val="0"/>
            <w:vAlign w:val="center"/>
          </w:tcPr>
          <w:p w14:paraId="6C149452">
            <w:pPr>
              <w:pStyle w:val="66"/>
              <w:bidi w:val="0"/>
              <w:rPr>
                <w:lang w:val="en-US" w:eastAsia="zh-CN"/>
              </w:rPr>
            </w:pPr>
          </w:p>
        </w:tc>
        <w:tc>
          <w:tcPr>
            <w:tcW w:w="439" w:type="pct"/>
            <w:noWrap w:val="0"/>
            <w:vAlign w:val="center"/>
          </w:tcPr>
          <w:p w14:paraId="200310BC">
            <w:pPr>
              <w:pStyle w:val="66"/>
              <w:bidi w:val="0"/>
              <w:rPr>
                <w:lang w:val="en-US" w:eastAsia="zh-CN"/>
              </w:rPr>
            </w:pPr>
          </w:p>
        </w:tc>
        <w:tc>
          <w:tcPr>
            <w:tcW w:w="397" w:type="pct"/>
            <w:noWrap w:val="0"/>
            <w:vAlign w:val="center"/>
          </w:tcPr>
          <w:p w14:paraId="318A6BDD">
            <w:pPr>
              <w:pStyle w:val="66"/>
              <w:bidi w:val="0"/>
              <w:rPr>
                <w:lang w:val="en-US" w:eastAsia="zh-CN"/>
              </w:rPr>
            </w:pPr>
          </w:p>
        </w:tc>
        <w:tc>
          <w:tcPr>
            <w:tcW w:w="487" w:type="pct"/>
            <w:noWrap w:val="0"/>
            <w:vAlign w:val="center"/>
          </w:tcPr>
          <w:p w14:paraId="4DAFD6DD">
            <w:pPr>
              <w:pStyle w:val="66"/>
              <w:bidi w:val="0"/>
              <w:rPr>
                <w:lang w:val="en-US" w:eastAsia="zh-CN"/>
              </w:rPr>
            </w:pPr>
          </w:p>
        </w:tc>
        <w:tc>
          <w:tcPr>
            <w:tcW w:w="463" w:type="pct"/>
            <w:noWrap w:val="0"/>
            <w:vAlign w:val="center"/>
          </w:tcPr>
          <w:p w14:paraId="6A9FEDBA">
            <w:pPr>
              <w:pStyle w:val="66"/>
              <w:bidi w:val="0"/>
              <w:rPr>
                <w:lang w:val="en-US" w:eastAsia="zh-CN"/>
              </w:rPr>
            </w:pPr>
          </w:p>
        </w:tc>
        <w:tc>
          <w:tcPr>
            <w:tcW w:w="397" w:type="pct"/>
            <w:noWrap w:val="0"/>
            <w:vAlign w:val="center"/>
          </w:tcPr>
          <w:p w14:paraId="7D7F3F90">
            <w:pPr>
              <w:pStyle w:val="66"/>
              <w:bidi w:val="0"/>
              <w:rPr>
                <w:lang w:val="en-US" w:eastAsia="zh-CN"/>
              </w:rPr>
            </w:pPr>
          </w:p>
        </w:tc>
        <w:tc>
          <w:tcPr>
            <w:tcW w:w="695" w:type="pct"/>
            <w:noWrap w:val="0"/>
            <w:vAlign w:val="center"/>
          </w:tcPr>
          <w:p w14:paraId="3BDE0AF4">
            <w:pPr>
              <w:pStyle w:val="66"/>
              <w:bidi w:val="0"/>
              <w:rPr>
                <w:lang w:val="en-US" w:eastAsia="zh-CN"/>
              </w:rPr>
            </w:pPr>
          </w:p>
        </w:tc>
        <w:tc>
          <w:tcPr>
            <w:tcW w:w="463" w:type="pct"/>
            <w:noWrap w:val="0"/>
            <w:vAlign w:val="center"/>
          </w:tcPr>
          <w:p w14:paraId="19288F84">
            <w:pPr>
              <w:pStyle w:val="66"/>
              <w:bidi w:val="0"/>
              <w:rPr>
                <w:lang w:val="en-US" w:eastAsia="zh-CN"/>
              </w:rPr>
            </w:pPr>
          </w:p>
        </w:tc>
      </w:tr>
      <w:tr w14:paraId="3AFE73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2166137">
            <w:pPr>
              <w:pStyle w:val="66"/>
              <w:bidi w:val="0"/>
              <w:rPr>
                <w:lang w:val="en-US" w:eastAsia="zh-CN"/>
              </w:rPr>
            </w:pPr>
          </w:p>
        </w:tc>
        <w:tc>
          <w:tcPr>
            <w:tcW w:w="596" w:type="pct"/>
            <w:noWrap w:val="0"/>
            <w:vAlign w:val="center"/>
          </w:tcPr>
          <w:p w14:paraId="4B8201B9">
            <w:pPr>
              <w:pStyle w:val="66"/>
              <w:bidi w:val="0"/>
              <w:rPr>
                <w:lang w:val="en-US" w:eastAsia="zh-CN"/>
              </w:rPr>
            </w:pPr>
          </w:p>
        </w:tc>
        <w:tc>
          <w:tcPr>
            <w:tcW w:w="662" w:type="pct"/>
            <w:noWrap w:val="0"/>
            <w:vAlign w:val="center"/>
          </w:tcPr>
          <w:p w14:paraId="42FA1061">
            <w:pPr>
              <w:pStyle w:val="66"/>
              <w:bidi w:val="0"/>
              <w:rPr>
                <w:lang w:val="en-US" w:eastAsia="zh-CN"/>
              </w:rPr>
            </w:pPr>
          </w:p>
        </w:tc>
        <w:tc>
          <w:tcPr>
            <w:tcW w:w="439" w:type="pct"/>
            <w:noWrap w:val="0"/>
            <w:vAlign w:val="center"/>
          </w:tcPr>
          <w:p w14:paraId="059522A0">
            <w:pPr>
              <w:pStyle w:val="66"/>
              <w:bidi w:val="0"/>
              <w:rPr>
                <w:lang w:val="en-US" w:eastAsia="zh-CN"/>
              </w:rPr>
            </w:pPr>
          </w:p>
        </w:tc>
        <w:tc>
          <w:tcPr>
            <w:tcW w:w="397" w:type="pct"/>
            <w:noWrap w:val="0"/>
            <w:vAlign w:val="center"/>
          </w:tcPr>
          <w:p w14:paraId="35A5B261">
            <w:pPr>
              <w:pStyle w:val="66"/>
              <w:bidi w:val="0"/>
              <w:rPr>
                <w:lang w:val="en-US" w:eastAsia="zh-CN"/>
              </w:rPr>
            </w:pPr>
          </w:p>
        </w:tc>
        <w:tc>
          <w:tcPr>
            <w:tcW w:w="487" w:type="pct"/>
            <w:noWrap w:val="0"/>
            <w:vAlign w:val="center"/>
          </w:tcPr>
          <w:p w14:paraId="495C1589">
            <w:pPr>
              <w:pStyle w:val="66"/>
              <w:bidi w:val="0"/>
              <w:rPr>
                <w:lang w:val="en-US" w:eastAsia="zh-CN"/>
              </w:rPr>
            </w:pPr>
          </w:p>
        </w:tc>
        <w:tc>
          <w:tcPr>
            <w:tcW w:w="463" w:type="pct"/>
            <w:noWrap w:val="0"/>
            <w:vAlign w:val="center"/>
          </w:tcPr>
          <w:p w14:paraId="76F48159">
            <w:pPr>
              <w:pStyle w:val="66"/>
              <w:bidi w:val="0"/>
              <w:rPr>
                <w:lang w:val="en-US" w:eastAsia="zh-CN"/>
              </w:rPr>
            </w:pPr>
          </w:p>
        </w:tc>
        <w:tc>
          <w:tcPr>
            <w:tcW w:w="397" w:type="pct"/>
            <w:noWrap w:val="0"/>
            <w:vAlign w:val="center"/>
          </w:tcPr>
          <w:p w14:paraId="454741CF">
            <w:pPr>
              <w:pStyle w:val="66"/>
              <w:bidi w:val="0"/>
              <w:rPr>
                <w:lang w:val="en-US" w:eastAsia="zh-CN"/>
              </w:rPr>
            </w:pPr>
          </w:p>
        </w:tc>
        <w:tc>
          <w:tcPr>
            <w:tcW w:w="695" w:type="pct"/>
            <w:noWrap w:val="0"/>
            <w:vAlign w:val="center"/>
          </w:tcPr>
          <w:p w14:paraId="427C9EFE">
            <w:pPr>
              <w:pStyle w:val="66"/>
              <w:bidi w:val="0"/>
              <w:rPr>
                <w:lang w:val="en-US" w:eastAsia="zh-CN"/>
              </w:rPr>
            </w:pPr>
          </w:p>
        </w:tc>
        <w:tc>
          <w:tcPr>
            <w:tcW w:w="463" w:type="pct"/>
            <w:noWrap w:val="0"/>
            <w:vAlign w:val="center"/>
          </w:tcPr>
          <w:p w14:paraId="6C5EAA9C">
            <w:pPr>
              <w:pStyle w:val="66"/>
              <w:bidi w:val="0"/>
              <w:rPr>
                <w:lang w:val="en-US" w:eastAsia="zh-CN"/>
              </w:rPr>
            </w:pPr>
          </w:p>
        </w:tc>
      </w:tr>
      <w:tr w14:paraId="3240C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03A1203C">
            <w:pPr>
              <w:pStyle w:val="66"/>
              <w:bidi w:val="0"/>
              <w:rPr>
                <w:lang w:val="en-US" w:eastAsia="zh-CN"/>
              </w:rPr>
            </w:pPr>
          </w:p>
        </w:tc>
        <w:tc>
          <w:tcPr>
            <w:tcW w:w="596" w:type="pct"/>
            <w:noWrap w:val="0"/>
            <w:vAlign w:val="center"/>
          </w:tcPr>
          <w:p w14:paraId="49A8E31A">
            <w:pPr>
              <w:pStyle w:val="66"/>
              <w:bidi w:val="0"/>
              <w:rPr>
                <w:lang w:val="en-US" w:eastAsia="zh-CN"/>
              </w:rPr>
            </w:pPr>
          </w:p>
        </w:tc>
        <w:tc>
          <w:tcPr>
            <w:tcW w:w="662" w:type="pct"/>
            <w:noWrap w:val="0"/>
            <w:vAlign w:val="center"/>
          </w:tcPr>
          <w:p w14:paraId="1F14A2C8">
            <w:pPr>
              <w:pStyle w:val="66"/>
              <w:bidi w:val="0"/>
              <w:rPr>
                <w:lang w:val="en-US" w:eastAsia="zh-CN"/>
              </w:rPr>
            </w:pPr>
          </w:p>
        </w:tc>
        <w:tc>
          <w:tcPr>
            <w:tcW w:w="439" w:type="pct"/>
            <w:noWrap w:val="0"/>
            <w:vAlign w:val="center"/>
          </w:tcPr>
          <w:p w14:paraId="79E85435">
            <w:pPr>
              <w:pStyle w:val="66"/>
              <w:bidi w:val="0"/>
              <w:rPr>
                <w:lang w:val="en-US" w:eastAsia="zh-CN"/>
              </w:rPr>
            </w:pPr>
          </w:p>
        </w:tc>
        <w:tc>
          <w:tcPr>
            <w:tcW w:w="397" w:type="pct"/>
            <w:noWrap w:val="0"/>
            <w:vAlign w:val="center"/>
          </w:tcPr>
          <w:p w14:paraId="17C0E917">
            <w:pPr>
              <w:pStyle w:val="66"/>
              <w:bidi w:val="0"/>
              <w:rPr>
                <w:lang w:val="en-US" w:eastAsia="zh-CN"/>
              </w:rPr>
            </w:pPr>
          </w:p>
        </w:tc>
        <w:tc>
          <w:tcPr>
            <w:tcW w:w="487" w:type="pct"/>
            <w:noWrap w:val="0"/>
            <w:vAlign w:val="center"/>
          </w:tcPr>
          <w:p w14:paraId="0B91F97B">
            <w:pPr>
              <w:pStyle w:val="66"/>
              <w:bidi w:val="0"/>
              <w:rPr>
                <w:lang w:val="en-US" w:eastAsia="zh-CN"/>
              </w:rPr>
            </w:pPr>
          </w:p>
        </w:tc>
        <w:tc>
          <w:tcPr>
            <w:tcW w:w="463" w:type="pct"/>
            <w:noWrap w:val="0"/>
            <w:vAlign w:val="center"/>
          </w:tcPr>
          <w:p w14:paraId="5416FF6F">
            <w:pPr>
              <w:pStyle w:val="66"/>
              <w:bidi w:val="0"/>
              <w:rPr>
                <w:lang w:val="en-US" w:eastAsia="zh-CN"/>
              </w:rPr>
            </w:pPr>
          </w:p>
        </w:tc>
        <w:tc>
          <w:tcPr>
            <w:tcW w:w="397" w:type="pct"/>
            <w:noWrap w:val="0"/>
            <w:vAlign w:val="center"/>
          </w:tcPr>
          <w:p w14:paraId="57D7312C">
            <w:pPr>
              <w:pStyle w:val="66"/>
              <w:bidi w:val="0"/>
              <w:rPr>
                <w:lang w:val="en-US" w:eastAsia="zh-CN"/>
              </w:rPr>
            </w:pPr>
          </w:p>
        </w:tc>
        <w:tc>
          <w:tcPr>
            <w:tcW w:w="695" w:type="pct"/>
            <w:noWrap w:val="0"/>
            <w:vAlign w:val="center"/>
          </w:tcPr>
          <w:p w14:paraId="6DEFDA6F">
            <w:pPr>
              <w:pStyle w:val="66"/>
              <w:bidi w:val="0"/>
              <w:rPr>
                <w:lang w:val="en-US" w:eastAsia="zh-CN"/>
              </w:rPr>
            </w:pPr>
          </w:p>
        </w:tc>
        <w:tc>
          <w:tcPr>
            <w:tcW w:w="463" w:type="pct"/>
            <w:noWrap w:val="0"/>
            <w:vAlign w:val="center"/>
          </w:tcPr>
          <w:p w14:paraId="60F8457D">
            <w:pPr>
              <w:pStyle w:val="66"/>
              <w:bidi w:val="0"/>
              <w:rPr>
                <w:lang w:val="en-US" w:eastAsia="zh-CN"/>
              </w:rPr>
            </w:pPr>
          </w:p>
        </w:tc>
      </w:tr>
      <w:tr w14:paraId="6709F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D3517B8">
            <w:pPr>
              <w:pStyle w:val="66"/>
              <w:bidi w:val="0"/>
              <w:rPr>
                <w:lang w:val="en-US" w:eastAsia="zh-CN"/>
              </w:rPr>
            </w:pPr>
          </w:p>
        </w:tc>
        <w:tc>
          <w:tcPr>
            <w:tcW w:w="596" w:type="pct"/>
            <w:noWrap w:val="0"/>
            <w:vAlign w:val="center"/>
          </w:tcPr>
          <w:p w14:paraId="72AFB806">
            <w:pPr>
              <w:pStyle w:val="66"/>
              <w:bidi w:val="0"/>
              <w:rPr>
                <w:lang w:val="en-US" w:eastAsia="zh-CN"/>
              </w:rPr>
            </w:pPr>
          </w:p>
        </w:tc>
        <w:tc>
          <w:tcPr>
            <w:tcW w:w="662" w:type="pct"/>
            <w:noWrap w:val="0"/>
            <w:vAlign w:val="center"/>
          </w:tcPr>
          <w:p w14:paraId="621FF96F">
            <w:pPr>
              <w:pStyle w:val="66"/>
              <w:bidi w:val="0"/>
              <w:rPr>
                <w:lang w:val="en-US" w:eastAsia="zh-CN"/>
              </w:rPr>
            </w:pPr>
          </w:p>
        </w:tc>
        <w:tc>
          <w:tcPr>
            <w:tcW w:w="439" w:type="pct"/>
            <w:noWrap w:val="0"/>
            <w:vAlign w:val="center"/>
          </w:tcPr>
          <w:p w14:paraId="701062C2">
            <w:pPr>
              <w:pStyle w:val="66"/>
              <w:bidi w:val="0"/>
              <w:rPr>
                <w:lang w:val="en-US" w:eastAsia="zh-CN"/>
              </w:rPr>
            </w:pPr>
          </w:p>
        </w:tc>
        <w:tc>
          <w:tcPr>
            <w:tcW w:w="397" w:type="pct"/>
            <w:noWrap w:val="0"/>
            <w:vAlign w:val="center"/>
          </w:tcPr>
          <w:p w14:paraId="020B7521">
            <w:pPr>
              <w:pStyle w:val="66"/>
              <w:bidi w:val="0"/>
              <w:rPr>
                <w:lang w:val="en-US" w:eastAsia="zh-CN"/>
              </w:rPr>
            </w:pPr>
          </w:p>
        </w:tc>
        <w:tc>
          <w:tcPr>
            <w:tcW w:w="487" w:type="pct"/>
            <w:noWrap w:val="0"/>
            <w:vAlign w:val="center"/>
          </w:tcPr>
          <w:p w14:paraId="6906E086">
            <w:pPr>
              <w:pStyle w:val="66"/>
              <w:bidi w:val="0"/>
              <w:rPr>
                <w:lang w:val="en-US" w:eastAsia="zh-CN"/>
              </w:rPr>
            </w:pPr>
          </w:p>
        </w:tc>
        <w:tc>
          <w:tcPr>
            <w:tcW w:w="463" w:type="pct"/>
            <w:noWrap w:val="0"/>
            <w:vAlign w:val="center"/>
          </w:tcPr>
          <w:p w14:paraId="28280224">
            <w:pPr>
              <w:pStyle w:val="66"/>
              <w:bidi w:val="0"/>
              <w:rPr>
                <w:lang w:val="en-US" w:eastAsia="zh-CN"/>
              </w:rPr>
            </w:pPr>
          </w:p>
        </w:tc>
        <w:tc>
          <w:tcPr>
            <w:tcW w:w="397" w:type="pct"/>
            <w:noWrap w:val="0"/>
            <w:vAlign w:val="center"/>
          </w:tcPr>
          <w:p w14:paraId="277E40DD">
            <w:pPr>
              <w:pStyle w:val="66"/>
              <w:bidi w:val="0"/>
              <w:rPr>
                <w:lang w:val="en-US" w:eastAsia="zh-CN"/>
              </w:rPr>
            </w:pPr>
          </w:p>
        </w:tc>
        <w:tc>
          <w:tcPr>
            <w:tcW w:w="695" w:type="pct"/>
            <w:noWrap w:val="0"/>
            <w:vAlign w:val="center"/>
          </w:tcPr>
          <w:p w14:paraId="22EEDDF8">
            <w:pPr>
              <w:pStyle w:val="66"/>
              <w:bidi w:val="0"/>
              <w:rPr>
                <w:lang w:val="en-US" w:eastAsia="zh-CN"/>
              </w:rPr>
            </w:pPr>
          </w:p>
        </w:tc>
        <w:tc>
          <w:tcPr>
            <w:tcW w:w="463" w:type="pct"/>
            <w:noWrap w:val="0"/>
            <w:vAlign w:val="center"/>
          </w:tcPr>
          <w:p w14:paraId="7268AFBB">
            <w:pPr>
              <w:pStyle w:val="66"/>
              <w:bidi w:val="0"/>
              <w:rPr>
                <w:lang w:val="en-US" w:eastAsia="zh-CN"/>
              </w:rPr>
            </w:pPr>
          </w:p>
        </w:tc>
      </w:tr>
      <w:tr w14:paraId="7520C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43F946A">
            <w:pPr>
              <w:pStyle w:val="66"/>
              <w:bidi w:val="0"/>
              <w:rPr>
                <w:lang w:val="en-US" w:eastAsia="zh-CN"/>
              </w:rPr>
            </w:pPr>
          </w:p>
        </w:tc>
        <w:tc>
          <w:tcPr>
            <w:tcW w:w="596" w:type="pct"/>
            <w:noWrap w:val="0"/>
            <w:vAlign w:val="center"/>
          </w:tcPr>
          <w:p w14:paraId="69A56D92">
            <w:pPr>
              <w:pStyle w:val="66"/>
              <w:bidi w:val="0"/>
              <w:rPr>
                <w:lang w:val="en-US" w:eastAsia="zh-CN"/>
              </w:rPr>
            </w:pPr>
          </w:p>
        </w:tc>
        <w:tc>
          <w:tcPr>
            <w:tcW w:w="662" w:type="pct"/>
            <w:noWrap w:val="0"/>
            <w:vAlign w:val="center"/>
          </w:tcPr>
          <w:p w14:paraId="194F5DE1">
            <w:pPr>
              <w:pStyle w:val="66"/>
              <w:bidi w:val="0"/>
              <w:rPr>
                <w:lang w:val="en-US" w:eastAsia="zh-CN"/>
              </w:rPr>
            </w:pPr>
          </w:p>
        </w:tc>
        <w:tc>
          <w:tcPr>
            <w:tcW w:w="439" w:type="pct"/>
            <w:noWrap w:val="0"/>
            <w:vAlign w:val="center"/>
          </w:tcPr>
          <w:p w14:paraId="5C15E18B">
            <w:pPr>
              <w:pStyle w:val="66"/>
              <w:bidi w:val="0"/>
              <w:rPr>
                <w:lang w:val="en-US" w:eastAsia="zh-CN"/>
              </w:rPr>
            </w:pPr>
          </w:p>
        </w:tc>
        <w:tc>
          <w:tcPr>
            <w:tcW w:w="397" w:type="pct"/>
            <w:noWrap w:val="0"/>
            <w:vAlign w:val="center"/>
          </w:tcPr>
          <w:p w14:paraId="01508FA3">
            <w:pPr>
              <w:pStyle w:val="66"/>
              <w:bidi w:val="0"/>
              <w:rPr>
                <w:lang w:val="en-US" w:eastAsia="zh-CN"/>
              </w:rPr>
            </w:pPr>
          </w:p>
        </w:tc>
        <w:tc>
          <w:tcPr>
            <w:tcW w:w="487" w:type="pct"/>
            <w:noWrap w:val="0"/>
            <w:vAlign w:val="center"/>
          </w:tcPr>
          <w:p w14:paraId="5711E729">
            <w:pPr>
              <w:pStyle w:val="66"/>
              <w:bidi w:val="0"/>
              <w:rPr>
                <w:lang w:val="en-US" w:eastAsia="zh-CN"/>
              </w:rPr>
            </w:pPr>
          </w:p>
        </w:tc>
        <w:tc>
          <w:tcPr>
            <w:tcW w:w="463" w:type="pct"/>
            <w:noWrap w:val="0"/>
            <w:vAlign w:val="center"/>
          </w:tcPr>
          <w:p w14:paraId="29939D0F">
            <w:pPr>
              <w:pStyle w:val="66"/>
              <w:bidi w:val="0"/>
              <w:rPr>
                <w:lang w:val="en-US" w:eastAsia="zh-CN"/>
              </w:rPr>
            </w:pPr>
          </w:p>
        </w:tc>
        <w:tc>
          <w:tcPr>
            <w:tcW w:w="397" w:type="pct"/>
            <w:noWrap w:val="0"/>
            <w:vAlign w:val="center"/>
          </w:tcPr>
          <w:p w14:paraId="313AE991">
            <w:pPr>
              <w:pStyle w:val="66"/>
              <w:bidi w:val="0"/>
              <w:rPr>
                <w:lang w:val="en-US" w:eastAsia="zh-CN"/>
              </w:rPr>
            </w:pPr>
          </w:p>
        </w:tc>
        <w:tc>
          <w:tcPr>
            <w:tcW w:w="695" w:type="pct"/>
            <w:noWrap w:val="0"/>
            <w:vAlign w:val="center"/>
          </w:tcPr>
          <w:p w14:paraId="0850B887">
            <w:pPr>
              <w:pStyle w:val="66"/>
              <w:bidi w:val="0"/>
              <w:rPr>
                <w:lang w:val="en-US" w:eastAsia="zh-CN"/>
              </w:rPr>
            </w:pPr>
          </w:p>
        </w:tc>
        <w:tc>
          <w:tcPr>
            <w:tcW w:w="463" w:type="pct"/>
            <w:noWrap w:val="0"/>
            <w:vAlign w:val="center"/>
          </w:tcPr>
          <w:p w14:paraId="4D708E37">
            <w:pPr>
              <w:pStyle w:val="66"/>
              <w:bidi w:val="0"/>
              <w:rPr>
                <w:lang w:val="en-US" w:eastAsia="zh-CN"/>
              </w:rPr>
            </w:pPr>
          </w:p>
        </w:tc>
      </w:tr>
      <w:tr w14:paraId="610996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0439827">
            <w:pPr>
              <w:pStyle w:val="66"/>
              <w:bidi w:val="0"/>
              <w:rPr>
                <w:lang w:val="en-US" w:eastAsia="zh-CN"/>
              </w:rPr>
            </w:pPr>
          </w:p>
        </w:tc>
        <w:tc>
          <w:tcPr>
            <w:tcW w:w="596" w:type="pct"/>
            <w:noWrap w:val="0"/>
            <w:vAlign w:val="center"/>
          </w:tcPr>
          <w:p w14:paraId="430AE688">
            <w:pPr>
              <w:pStyle w:val="66"/>
              <w:bidi w:val="0"/>
              <w:rPr>
                <w:lang w:val="en-US" w:eastAsia="zh-CN"/>
              </w:rPr>
            </w:pPr>
          </w:p>
        </w:tc>
        <w:tc>
          <w:tcPr>
            <w:tcW w:w="662" w:type="pct"/>
            <w:noWrap w:val="0"/>
            <w:vAlign w:val="center"/>
          </w:tcPr>
          <w:p w14:paraId="7735A0B3">
            <w:pPr>
              <w:pStyle w:val="66"/>
              <w:bidi w:val="0"/>
              <w:rPr>
                <w:lang w:val="en-US" w:eastAsia="zh-CN"/>
              </w:rPr>
            </w:pPr>
          </w:p>
        </w:tc>
        <w:tc>
          <w:tcPr>
            <w:tcW w:w="439" w:type="pct"/>
            <w:noWrap w:val="0"/>
            <w:vAlign w:val="center"/>
          </w:tcPr>
          <w:p w14:paraId="0EFD4AE5">
            <w:pPr>
              <w:pStyle w:val="66"/>
              <w:bidi w:val="0"/>
              <w:rPr>
                <w:lang w:val="en-US" w:eastAsia="zh-CN"/>
              </w:rPr>
            </w:pPr>
          </w:p>
        </w:tc>
        <w:tc>
          <w:tcPr>
            <w:tcW w:w="397" w:type="pct"/>
            <w:noWrap w:val="0"/>
            <w:vAlign w:val="center"/>
          </w:tcPr>
          <w:p w14:paraId="7AE00F91">
            <w:pPr>
              <w:pStyle w:val="66"/>
              <w:bidi w:val="0"/>
              <w:rPr>
                <w:lang w:val="en-US" w:eastAsia="zh-CN"/>
              </w:rPr>
            </w:pPr>
          </w:p>
        </w:tc>
        <w:tc>
          <w:tcPr>
            <w:tcW w:w="487" w:type="pct"/>
            <w:noWrap w:val="0"/>
            <w:vAlign w:val="center"/>
          </w:tcPr>
          <w:p w14:paraId="576D27E9">
            <w:pPr>
              <w:pStyle w:val="66"/>
              <w:bidi w:val="0"/>
              <w:rPr>
                <w:lang w:val="en-US" w:eastAsia="zh-CN"/>
              </w:rPr>
            </w:pPr>
          </w:p>
        </w:tc>
        <w:tc>
          <w:tcPr>
            <w:tcW w:w="463" w:type="pct"/>
            <w:noWrap w:val="0"/>
            <w:vAlign w:val="center"/>
          </w:tcPr>
          <w:p w14:paraId="66A89452">
            <w:pPr>
              <w:pStyle w:val="66"/>
              <w:bidi w:val="0"/>
              <w:rPr>
                <w:lang w:val="en-US" w:eastAsia="zh-CN"/>
              </w:rPr>
            </w:pPr>
          </w:p>
        </w:tc>
        <w:tc>
          <w:tcPr>
            <w:tcW w:w="397" w:type="pct"/>
            <w:noWrap w:val="0"/>
            <w:vAlign w:val="center"/>
          </w:tcPr>
          <w:p w14:paraId="6FF701B9">
            <w:pPr>
              <w:pStyle w:val="66"/>
              <w:bidi w:val="0"/>
              <w:rPr>
                <w:lang w:val="en-US" w:eastAsia="zh-CN"/>
              </w:rPr>
            </w:pPr>
          </w:p>
        </w:tc>
        <w:tc>
          <w:tcPr>
            <w:tcW w:w="695" w:type="pct"/>
            <w:noWrap w:val="0"/>
            <w:vAlign w:val="center"/>
          </w:tcPr>
          <w:p w14:paraId="0A3227DD">
            <w:pPr>
              <w:pStyle w:val="66"/>
              <w:bidi w:val="0"/>
              <w:rPr>
                <w:lang w:val="en-US" w:eastAsia="zh-CN"/>
              </w:rPr>
            </w:pPr>
          </w:p>
        </w:tc>
        <w:tc>
          <w:tcPr>
            <w:tcW w:w="463" w:type="pct"/>
            <w:noWrap w:val="0"/>
            <w:vAlign w:val="center"/>
          </w:tcPr>
          <w:p w14:paraId="1150DF35">
            <w:pPr>
              <w:pStyle w:val="66"/>
              <w:bidi w:val="0"/>
              <w:rPr>
                <w:lang w:val="en-US" w:eastAsia="zh-CN"/>
              </w:rPr>
            </w:pPr>
          </w:p>
        </w:tc>
      </w:tr>
      <w:tr w14:paraId="0D3FD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2F7D677">
            <w:pPr>
              <w:pStyle w:val="66"/>
              <w:bidi w:val="0"/>
            </w:pPr>
          </w:p>
        </w:tc>
        <w:tc>
          <w:tcPr>
            <w:tcW w:w="596" w:type="pct"/>
            <w:noWrap w:val="0"/>
            <w:vAlign w:val="center"/>
          </w:tcPr>
          <w:p w14:paraId="0DF3AB14">
            <w:pPr>
              <w:pStyle w:val="66"/>
              <w:bidi w:val="0"/>
            </w:pPr>
          </w:p>
        </w:tc>
        <w:tc>
          <w:tcPr>
            <w:tcW w:w="662" w:type="pct"/>
            <w:noWrap w:val="0"/>
            <w:vAlign w:val="center"/>
          </w:tcPr>
          <w:p w14:paraId="244850DC">
            <w:pPr>
              <w:pStyle w:val="66"/>
              <w:bidi w:val="0"/>
            </w:pPr>
          </w:p>
        </w:tc>
        <w:tc>
          <w:tcPr>
            <w:tcW w:w="439" w:type="pct"/>
            <w:noWrap w:val="0"/>
            <w:vAlign w:val="center"/>
          </w:tcPr>
          <w:p w14:paraId="0E7F305B">
            <w:pPr>
              <w:pStyle w:val="66"/>
              <w:bidi w:val="0"/>
            </w:pPr>
          </w:p>
        </w:tc>
        <w:tc>
          <w:tcPr>
            <w:tcW w:w="397" w:type="pct"/>
            <w:noWrap w:val="0"/>
            <w:vAlign w:val="center"/>
          </w:tcPr>
          <w:p w14:paraId="48A2FE23">
            <w:pPr>
              <w:pStyle w:val="66"/>
              <w:bidi w:val="0"/>
            </w:pPr>
          </w:p>
        </w:tc>
        <w:tc>
          <w:tcPr>
            <w:tcW w:w="487" w:type="pct"/>
            <w:noWrap w:val="0"/>
            <w:vAlign w:val="center"/>
          </w:tcPr>
          <w:p w14:paraId="3A68529E">
            <w:pPr>
              <w:pStyle w:val="66"/>
              <w:bidi w:val="0"/>
            </w:pPr>
          </w:p>
        </w:tc>
        <w:tc>
          <w:tcPr>
            <w:tcW w:w="463" w:type="pct"/>
            <w:noWrap w:val="0"/>
            <w:vAlign w:val="center"/>
          </w:tcPr>
          <w:p w14:paraId="1A380D6C">
            <w:pPr>
              <w:pStyle w:val="66"/>
              <w:bidi w:val="0"/>
            </w:pPr>
          </w:p>
        </w:tc>
        <w:tc>
          <w:tcPr>
            <w:tcW w:w="397" w:type="pct"/>
            <w:noWrap w:val="0"/>
            <w:vAlign w:val="center"/>
          </w:tcPr>
          <w:p w14:paraId="14F293AD">
            <w:pPr>
              <w:pStyle w:val="66"/>
              <w:bidi w:val="0"/>
            </w:pPr>
          </w:p>
        </w:tc>
        <w:tc>
          <w:tcPr>
            <w:tcW w:w="695" w:type="pct"/>
            <w:noWrap w:val="0"/>
            <w:vAlign w:val="center"/>
          </w:tcPr>
          <w:p w14:paraId="120D4A5D">
            <w:pPr>
              <w:pStyle w:val="66"/>
              <w:bidi w:val="0"/>
            </w:pPr>
          </w:p>
        </w:tc>
        <w:tc>
          <w:tcPr>
            <w:tcW w:w="463" w:type="pct"/>
            <w:noWrap w:val="0"/>
            <w:vAlign w:val="center"/>
          </w:tcPr>
          <w:p w14:paraId="0590E413">
            <w:pPr>
              <w:pStyle w:val="66"/>
              <w:bidi w:val="0"/>
            </w:pPr>
          </w:p>
        </w:tc>
      </w:tr>
      <w:tr w14:paraId="28875A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0D0175D3">
            <w:pPr>
              <w:pStyle w:val="66"/>
              <w:bidi w:val="0"/>
              <w:rPr>
                <w:lang w:val="en-US" w:eastAsia="zh-CN"/>
              </w:rPr>
            </w:pPr>
          </w:p>
        </w:tc>
        <w:tc>
          <w:tcPr>
            <w:tcW w:w="596" w:type="pct"/>
            <w:noWrap w:val="0"/>
            <w:vAlign w:val="center"/>
          </w:tcPr>
          <w:p w14:paraId="4AC7ED8E">
            <w:pPr>
              <w:pStyle w:val="66"/>
              <w:bidi w:val="0"/>
              <w:rPr>
                <w:lang w:val="en-US" w:eastAsia="zh-CN"/>
              </w:rPr>
            </w:pPr>
          </w:p>
        </w:tc>
        <w:tc>
          <w:tcPr>
            <w:tcW w:w="662" w:type="pct"/>
            <w:noWrap w:val="0"/>
            <w:vAlign w:val="center"/>
          </w:tcPr>
          <w:p w14:paraId="1CE7B6AA">
            <w:pPr>
              <w:pStyle w:val="66"/>
              <w:bidi w:val="0"/>
              <w:rPr>
                <w:lang w:val="en-US" w:eastAsia="zh-CN"/>
              </w:rPr>
            </w:pPr>
          </w:p>
        </w:tc>
        <w:tc>
          <w:tcPr>
            <w:tcW w:w="439" w:type="pct"/>
            <w:noWrap w:val="0"/>
            <w:vAlign w:val="center"/>
          </w:tcPr>
          <w:p w14:paraId="1D1B6ED6">
            <w:pPr>
              <w:pStyle w:val="66"/>
              <w:bidi w:val="0"/>
              <w:rPr>
                <w:lang w:val="en-US" w:eastAsia="zh-CN"/>
              </w:rPr>
            </w:pPr>
          </w:p>
        </w:tc>
        <w:tc>
          <w:tcPr>
            <w:tcW w:w="397" w:type="pct"/>
            <w:noWrap w:val="0"/>
            <w:vAlign w:val="center"/>
          </w:tcPr>
          <w:p w14:paraId="56E42232">
            <w:pPr>
              <w:pStyle w:val="66"/>
              <w:bidi w:val="0"/>
              <w:rPr>
                <w:lang w:val="en-US" w:eastAsia="zh-CN"/>
              </w:rPr>
            </w:pPr>
          </w:p>
        </w:tc>
        <w:tc>
          <w:tcPr>
            <w:tcW w:w="487" w:type="pct"/>
            <w:noWrap w:val="0"/>
            <w:vAlign w:val="center"/>
          </w:tcPr>
          <w:p w14:paraId="362AE822">
            <w:pPr>
              <w:pStyle w:val="66"/>
              <w:bidi w:val="0"/>
              <w:rPr>
                <w:lang w:val="en-US" w:eastAsia="zh-CN"/>
              </w:rPr>
            </w:pPr>
          </w:p>
        </w:tc>
        <w:tc>
          <w:tcPr>
            <w:tcW w:w="463" w:type="pct"/>
            <w:noWrap w:val="0"/>
            <w:vAlign w:val="center"/>
          </w:tcPr>
          <w:p w14:paraId="5B5753E5">
            <w:pPr>
              <w:pStyle w:val="66"/>
              <w:bidi w:val="0"/>
              <w:rPr>
                <w:lang w:val="en-US" w:eastAsia="zh-CN"/>
              </w:rPr>
            </w:pPr>
          </w:p>
        </w:tc>
        <w:tc>
          <w:tcPr>
            <w:tcW w:w="397" w:type="pct"/>
            <w:noWrap w:val="0"/>
            <w:vAlign w:val="center"/>
          </w:tcPr>
          <w:p w14:paraId="7A11AF30">
            <w:pPr>
              <w:pStyle w:val="66"/>
              <w:bidi w:val="0"/>
              <w:rPr>
                <w:lang w:val="en-US" w:eastAsia="zh-CN"/>
              </w:rPr>
            </w:pPr>
          </w:p>
        </w:tc>
        <w:tc>
          <w:tcPr>
            <w:tcW w:w="695" w:type="pct"/>
            <w:noWrap w:val="0"/>
            <w:vAlign w:val="center"/>
          </w:tcPr>
          <w:p w14:paraId="0BD0C290">
            <w:pPr>
              <w:pStyle w:val="66"/>
              <w:bidi w:val="0"/>
              <w:rPr>
                <w:lang w:val="en-US" w:eastAsia="zh-CN"/>
              </w:rPr>
            </w:pPr>
          </w:p>
        </w:tc>
        <w:tc>
          <w:tcPr>
            <w:tcW w:w="463" w:type="pct"/>
            <w:noWrap w:val="0"/>
            <w:vAlign w:val="center"/>
          </w:tcPr>
          <w:p w14:paraId="163522E3">
            <w:pPr>
              <w:pStyle w:val="66"/>
              <w:bidi w:val="0"/>
              <w:rPr>
                <w:lang w:val="en-US" w:eastAsia="zh-CN"/>
              </w:rPr>
            </w:pPr>
          </w:p>
        </w:tc>
      </w:tr>
      <w:tr w14:paraId="03749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7FE41D1A">
            <w:pPr>
              <w:pStyle w:val="66"/>
              <w:bidi w:val="0"/>
            </w:pPr>
          </w:p>
        </w:tc>
        <w:tc>
          <w:tcPr>
            <w:tcW w:w="596" w:type="pct"/>
            <w:noWrap w:val="0"/>
            <w:vAlign w:val="center"/>
          </w:tcPr>
          <w:p w14:paraId="07125FB6">
            <w:pPr>
              <w:pStyle w:val="66"/>
              <w:bidi w:val="0"/>
            </w:pPr>
          </w:p>
        </w:tc>
        <w:tc>
          <w:tcPr>
            <w:tcW w:w="662" w:type="pct"/>
            <w:noWrap w:val="0"/>
            <w:vAlign w:val="center"/>
          </w:tcPr>
          <w:p w14:paraId="2552812F">
            <w:pPr>
              <w:pStyle w:val="66"/>
              <w:bidi w:val="0"/>
            </w:pPr>
          </w:p>
        </w:tc>
        <w:tc>
          <w:tcPr>
            <w:tcW w:w="439" w:type="pct"/>
            <w:noWrap w:val="0"/>
            <w:vAlign w:val="center"/>
          </w:tcPr>
          <w:p w14:paraId="1034EEF9">
            <w:pPr>
              <w:pStyle w:val="66"/>
              <w:bidi w:val="0"/>
            </w:pPr>
          </w:p>
        </w:tc>
        <w:tc>
          <w:tcPr>
            <w:tcW w:w="397" w:type="pct"/>
            <w:noWrap w:val="0"/>
            <w:vAlign w:val="center"/>
          </w:tcPr>
          <w:p w14:paraId="4861A63A">
            <w:pPr>
              <w:pStyle w:val="66"/>
              <w:bidi w:val="0"/>
            </w:pPr>
          </w:p>
        </w:tc>
        <w:tc>
          <w:tcPr>
            <w:tcW w:w="487" w:type="pct"/>
            <w:noWrap w:val="0"/>
            <w:vAlign w:val="center"/>
          </w:tcPr>
          <w:p w14:paraId="190E9865">
            <w:pPr>
              <w:pStyle w:val="66"/>
              <w:bidi w:val="0"/>
            </w:pPr>
          </w:p>
        </w:tc>
        <w:tc>
          <w:tcPr>
            <w:tcW w:w="463" w:type="pct"/>
            <w:noWrap w:val="0"/>
            <w:vAlign w:val="center"/>
          </w:tcPr>
          <w:p w14:paraId="052F6028">
            <w:pPr>
              <w:pStyle w:val="66"/>
              <w:bidi w:val="0"/>
            </w:pPr>
          </w:p>
        </w:tc>
        <w:tc>
          <w:tcPr>
            <w:tcW w:w="397" w:type="pct"/>
            <w:noWrap w:val="0"/>
            <w:vAlign w:val="center"/>
          </w:tcPr>
          <w:p w14:paraId="602DCC15">
            <w:pPr>
              <w:pStyle w:val="66"/>
              <w:bidi w:val="0"/>
            </w:pPr>
          </w:p>
        </w:tc>
        <w:tc>
          <w:tcPr>
            <w:tcW w:w="695" w:type="pct"/>
            <w:noWrap w:val="0"/>
            <w:vAlign w:val="center"/>
          </w:tcPr>
          <w:p w14:paraId="72E16952">
            <w:pPr>
              <w:pStyle w:val="66"/>
              <w:bidi w:val="0"/>
            </w:pPr>
          </w:p>
        </w:tc>
        <w:tc>
          <w:tcPr>
            <w:tcW w:w="463" w:type="pct"/>
            <w:noWrap w:val="0"/>
            <w:vAlign w:val="center"/>
          </w:tcPr>
          <w:p w14:paraId="51D59BA2">
            <w:pPr>
              <w:pStyle w:val="66"/>
              <w:bidi w:val="0"/>
            </w:pPr>
          </w:p>
        </w:tc>
      </w:tr>
      <w:tr w14:paraId="2C87C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7A42C1D">
            <w:pPr>
              <w:pStyle w:val="66"/>
              <w:bidi w:val="0"/>
            </w:pPr>
          </w:p>
        </w:tc>
        <w:tc>
          <w:tcPr>
            <w:tcW w:w="596" w:type="pct"/>
            <w:noWrap w:val="0"/>
            <w:vAlign w:val="center"/>
          </w:tcPr>
          <w:p w14:paraId="60FA8898">
            <w:pPr>
              <w:pStyle w:val="66"/>
              <w:bidi w:val="0"/>
            </w:pPr>
          </w:p>
        </w:tc>
        <w:tc>
          <w:tcPr>
            <w:tcW w:w="662" w:type="pct"/>
            <w:noWrap w:val="0"/>
            <w:vAlign w:val="center"/>
          </w:tcPr>
          <w:p w14:paraId="7884A127">
            <w:pPr>
              <w:pStyle w:val="66"/>
              <w:bidi w:val="0"/>
            </w:pPr>
          </w:p>
        </w:tc>
        <w:tc>
          <w:tcPr>
            <w:tcW w:w="439" w:type="pct"/>
            <w:noWrap w:val="0"/>
            <w:vAlign w:val="center"/>
          </w:tcPr>
          <w:p w14:paraId="74744900">
            <w:pPr>
              <w:pStyle w:val="66"/>
              <w:bidi w:val="0"/>
            </w:pPr>
          </w:p>
        </w:tc>
        <w:tc>
          <w:tcPr>
            <w:tcW w:w="397" w:type="pct"/>
            <w:noWrap w:val="0"/>
            <w:vAlign w:val="center"/>
          </w:tcPr>
          <w:p w14:paraId="07F6B536">
            <w:pPr>
              <w:pStyle w:val="66"/>
              <w:bidi w:val="0"/>
            </w:pPr>
          </w:p>
        </w:tc>
        <w:tc>
          <w:tcPr>
            <w:tcW w:w="487" w:type="pct"/>
            <w:noWrap w:val="0"/>
            <w:vAlign w:val="center"/>
          </w:tcPr>
          <w:p w14:paraId="15EA4FE4">
            <w:pPr>
              <w:pStyle w:val="66"/>
              <w:bidi w:val="0"/>
            </w:pPr>
          </w:p>
        </w:tc>
        <w:tc>
          <w:tcPr>
            <w:tcW w:w="463" w:type="pct"/>
            <w:noWrap w:val="0"/>
            <w:vAlign w:val="center"/>
          </w:tcPr>
          <w:p w14:paraId="1FD58E3B">
            <w:pPr>
              <w:pStyle w:val="66"/>
              <w:bidi w:val="0"/>
            </w:pPr>
          </w:p>
        </w:tc>
        <w:tc>
          <w:tcPr>
            <w:tcW w:w="397" w:type="pct"/>
            <w:noWrap w:val="0"/>
            <w:vAlign w:val="center"/>
          </w:tcPr>
          <w:p w14:paraId="7ECC59EE">
            <w:pPr>
              <w:pStyle w:val="66"/>
              <w:bidi w:val="0"/>
            </w:pPr>
          </w:p>
        </w:tc>
        <w:tc>
          <w:tcPr>
            <w:tcW w:w="695" w:type="pct"/>
            <w:noWrap w:val="0"/>
            <w:vAlign w:val="center"/>
          </w:tcPr>
          <w:p w14:paraId="5E2E6B35">
            <w:pPr>
              <w:pStyle w:val="66"/>
              <w:bidi w:val="0"/>
            </w:pPr>
          </w:p>
        </w:tc>
        <w:tc>
          <w:tcPr>
            <w:tcW w:w="463" w:type="pct"/>
            <w:noWrap w:val="0"/>
            <w:vAlign w:val="center"/>
          </w:tcPr>
          <w:p w14:paraId="47A69EB0">
            <w:pPr>
              <w:pStyle w:val="66"/>
              <w:bidi w:val="0"/>
            </w:pPr>
          </w:p>
        </w:tc>
      </w:tr>
      <w:tr w14:paraId="3849F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3C782BC4">
            <w:pPr>
              <w:pStyle w:val="66"/>
              <w:bidi w:val="0"/>
            </w:pPr>
          </w:p>
        </w:tc>
        <w:tc>
          <w:tcPr>
            <w:tcW w:w="596" w:type="pct"/>
            <w:noWrap w:val="0"/>
            <w:vAlign w:val="center"/>
          </w:tcPr>
          <w:p w14:paraId="2C30CB63">
            <w:pPr>
              <w:pStyle w:val="66"/>
              <w:bidi w:val="0"/>
            </w:pPr>
          </w:p>
        </w:tc>
        <w:tc>
          <w:tcPr>
            <w:tcW w:w="662" w:type="pct"/>
            <w:noWrap w:val="0"/>
            <w:vAlign w:val="center"/>
          </w:tcPr>
          <w:p w14:paraId="4A4CA8E3">
            <w:pPr>
              <w:pStyle w:val="66"/>
              <w:bidi w:val="0"/>
            </w:pPr>
          </w:p>
        </w:tc>
        <w:tc>
          <w:tcPr>
            <w:tcW w:w="439" w:type="pct"/>
            <w:noWrap w:val="0"/>
            <w:vAlign w:val="center"/>
          </w:tcPr>
          <w:p w14:paraId="67E8183A">
            <w:pPr>
              <w:pStyle w:val="66"/>
              <w:bidi w:val="0"/>
            </w:pPr>
          </w:p>
        </w:tc>
        <w:tc>
          <w:tcPr>
            <w:tcW w:w="397" w:type="pct"/>
            <w:noWrap w:val="0"/>
            <w:vAlign w:val="center"/>
          </w:tcPr>
          <w:p w14:paraId="1D93BFC9">
            <w:pPr>
              <w:pStyle w:val="66"/>
              <w:bidi w:val="0"/>
            </w:pPr>
          </w:p>
        </w:tc>
        <w:tc>
          <w:tcPr>
            <w:tcW w:w="487" w:type="pct"/>
            <w:noWrap w:val="0"/>
            <w:vAlign w:val="center"/>
          </w:tcPr>
          <w:p w14:paraId="18036181">
            <w:pPr>
              <w:pStyle w:val="66"/>
              <w:bidi w:val="0"/>
            </w:pPr>
          </w:p>
        </w:tc>
        <w:tc>
          <w:tcPr>
            <w:tcW w:w="463" w:type="pct"/>
            <w:noWrap w:val="0"/>
            <w:vAlign w:val="center"/>
          </w:tcPr>
          <w:p w14:paraId="1A3F73B0">
            <w:pPr>
              <w:pStyle w:val="66"/>
              <w:bidi w:val="0"/>
            </w:pPr>
          </w:p>
        </w:tc>
        <w:tc>
          <w:tcPr>
            <w:tcW w:w="397" w:type="pct"/>
            <w:noWrap w:val="0"/>
            <w:vAlign w:val="center"/>
          </w:tcPr>
          <w:p w14:paraId="7A3334E8">
            <w:pPr>
              <w:pStyle w:val="66"/>
              <w:bidi w:val="0"/>
            </w:pPr>
          </w:p>
        </w:tc>
        <w:tc>
          <w:tcPr>
            <w:tcW w:w="695" w:type="pct"/>
            <w:noWrap w:val="0"/>
            <w:vAlign w:val="center"/>
          </w:tcPr>
          <w:p w14:paraId="3FA28A42">
            <w:pPr>
              <w:pStyle w:val="66"/>
              <w:bidi w:val="0"/>
            </w:pPr>
          </w:p>
        </w:tc>
        <w:tc>
          <w:tcPr>
            <w:tcW w:w="463" w:type="pct"/>
            <w:noWrap w:val="0"/>
            <w:vAlign w:val="center"/>
          </w:tcPr>
          <w:p w14:paraId="798D0DFC">
            <w:pPr>
              <w:pStyle w:val="66"/>
              <w:bidi w:val="0"/>
            </w:pPr>
          </w:p>
        </w:tc>
      </w:tr>
      <w:tr w14:paraId="4C801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D4310BC">
            <w:pPr>
              <w:pStyle w:val="66"/>
              <w:bidi w:val="0"/>
            </w:pPr>
          </w:p>
        </w:tc>
        <w:tc>
          <w:tcPr>
            <w:tcW w:w="596" w:type="pct"/>
            <w:noWrap w:val="0"/>
            <w:vAlign w:val="center"/>
          </w:tcPr>
          <w:p w14:paraId="2ED991B4">
            <w:pPr>
              <w:pStyle w:val="66"/>
              <w:bidi w:val="0"/>
            </w:pPr>
          </w:p>
        </w:tc>
        <w:tc>
          <w:tcPr>
            <w:tcW w:w="662" w:type="pct"/>
            <w:noWrap w:val="0"/>
            <w:vAlign w:val="center"/>
          </w:tcPr>
          <w:p w14:paraId="3C552E82">
            <w:pPr>
              <w:pStyle w:val="66"/>
              <w:bidi w:val="0"/>
            </w:pPr>
          </w:p>
        </w:tc>
        <w:tc>
          <w:tcPr>
            <w:tcW w:w="439" w:type="pct"/>
            <w:noWrap w:val="0"/>
            <w:vAlign w:val="center"/>
          </w:tcPr>
          <w:p w14:paraId="3A40D7F1">
            <w:pPr>
              <w:pStyle w:val="66"/>
              <w:bidi w:val="0"/>
            </w:pPr>
          </w:p>
        </w:tc>
        <w:tc>
          <w:tcPr>
            <w:tcW w:w="397" w:type="pct"/>
            <w:noWrap w:val="0"/>
            <w:vAlign w:val="center"/>
          </w:tcPr>
          <w:p w14:paraId="6806A982">
            <w:pPr>
              <w:pStyle w:val="66"/>
              <w:bidi w:val="0"/>
            </w:pPr>
          </w:p>
        </w:tc>
        <w:tc>
          <w:tcPr>
            <w:tcW w:w="487" w:type="pct"/>
            <w:noWrap w:val="0"/>
            <w:vAlign w:val="center"/>
          </w:tcPr>
          <w:p w14:paraId="7D82D727">
            <w:pPr>
              <w:pStyle w:val="66"/>
              <w:bidi w:val="0"/>
            </w:pPr>
          </w:p>
        </w:tc>
        <w:tc>
          <w:tcPr>
            <w:tcW w:w="463" w:type="pct"/>
            <w:noWrap w:val="0"/>
            <w:vAlign w:val="center"/>
          </w:tcPr>
          <w:p w14:paraId="5C1C70AA">
            <w:pPr>
              <w:pStyle w:val="66"/>
              <w:bidi w:val="0"/>
            </w:pPr>
          </w:p>
        </w:tc>
        <w:tc>
          <w:tcPr>
            <w:tcW w:w="397" w:type="pct"/>
            <w:noWrap w:val="0"/>
            <w:vAlign w:val="center"/>
          </w:tcPr>
          <w:p w14:paraId="5BD93A5B">
            <w:pPr>
              <w:pStyle w:val="66"/>
              <w:bidi w:val="0"/>
            </w:pPr>
          </w:p>
        </w:tc>
        <w:tc>
          <w:tcPr>
            <w:tcW w:w="695" w:type="pct"/>
            <w:noWrap w:val="0"/>
            <w:vAlign w:val="center"/>
          </w:tcPr>
          <w:p w14:paraId="64A6F615">
            <w:pPr>
              <w:pStyle w:val="66"/>
              <w:bidi w:val="0"/>
            </w:pPr>
          </w:p>
        </w:tc>
        <w:tc>
          <w:tcPr>
            <w:tcW w:w="463" w:type="pct"/>
            <w:noWrap w:val="0"/>
            <w:vAlign w:val="center"/>
          </w:tcPr>
          <w:p w14:paraId="612053ED">
            <w:pPr>
              <w:pStyle w:val="66"/>
              <w:bidi w:val="0"/>
            </w:pPr>
          </w:p>
        </w:tc>
      </w:tr>
      <w:tr w14:paraId="184F86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1DF2762">
            <w:pPr>
              <w:pStyle w:val="66"/>
              <w:bidi w:val="0"/>
            </w:pPr>
          </w:p>
        </w:tc>
        <w:tc>
          <w:tcPr>
            <w:tcW w:w="596" w:type="pct"/>
            <w:noWrap w:val="0"/>
            <w:vAlign w:val="center"/>
          </w:tcPr>
          <w:p w14:paraId="1B789A09">
            <w:pPr>
              <w:pStyle w:val="66"/>
              <w:bidi w:val="0"/>
            </w:pPr>
          </w:p>
        </w:tc>
        <w:tc>
          <w:tcPr>
            <w:tcW w:w="662" w:type="pct"/>
            <w:noWrap w:val="0"/>
            <w:vAlign w:val="center"/>
          </w:tcPr>
          <w:p w14:paraId="637C99D3">
            <w:pPr>
              <w:pStyle w:val="66"/>
              <w:bidi w:val="0"/>
            </w:pPr>
          </w:p>
        </w:tc>
        <w:tc>
          <w:tcPr>
            <w:tcW w:w="439" w:type="pct"/>
            <w:noWrap w:val="0"/>
            <w:vAlign w:val="center"/>
          </w:tcPr>
          <w:p w14:paraId="29F99B36">
            <w:pPr>
              <w:pStyle w:val="66"/>
              <w:bidi w:val="0"/>
            </w:pPr>
          </w:p>
        </w:tc>
        <w:tc>
          <w:tcPr>
            <w:tcW w:w="397" w:type="pct"/>
            <w:noWrap w:val="0"/>
            <w:vAlign w:val="center"/>
          </w:tcPr>
          <w:p w14:paraId="7175B51F">
            <w:pPr>
              <w:pStyle w:val="66"/>
              <w:bidi w:val="0"/>
            </w:pPr>
          </w:p>
        </w:tc>
        <w:tc>
          <w:tcPr>
            <w:tcW w:w="487" w:type="pct"/>
            <w:noWrap w:val="0"/>
            <w:vAlign w:val="center"/>
          </w:tcPr>
          <w:p w14:paraId="6D9EEE1E">
            <w:pPr>
              <w:pStyle w:val="66"/>
              <w:bidi w:val="0"/>
            </w:pPr>
          </w:p>
        </w:tc>
        <w:tc>
          <w:tcPr>
            <w:tcW w:w="463" w:type="pct"/>
            <w:noWrap w:val="0"/>
            <w:vAlign w:val="center"/>
          </w:tcPr>
          <w:p w14:paraId="194D0751">
            <w:pPr>
              <w:pStyle w:val="66"/>
              <w:bidi w:val="0"/>
            </w:pPr>
          </w:p>
        </w:tc>
        <w:tc>
          <w:tcPr>
            <w:tcW w:w="397" w:type="pct"/>
            <w:noWrap w:val="0"/>
            <w:vAlign w:val="center"/>
          </w:tcPr>
          <w:p w14:paraId="43A6DC5B">
            <w:pPr>
              <w:pStyle w:val="66"/>
              <w:bidi w:val="0"/>
            </w:pPr>
          </w:p>
        </w:tc>
        <w:tc>
          <w:tcPr>
            <w:tcW w:w="695" w:type="pct"/>
            <w:noWrap w:val="0"/>
            <w:vAlign w:val="center"/>
          </w:tcPr>
          <w:p w14:paraId="28D3EBBA">
            <w:pPr>
              <w:pStyle w:val="66"/>
              <w:bidi w:val="0"/>
            </w:pPr>
          </w:p>
        </w:tc>
        <w:tc>
          <w:tcPr>
            <w:tcW w:w="463" w:type="pct"/>
            <w:noWrap w:val="0"/>
            <w:vAlign w:val="center"/>
          </w:tcPr>
          <w:p w14:paraId="2D05476B">
            <w:pPr>
              <w:pStyle w:val="66"/>
              <w:bidi w:val="0"/>
            </w:pPr>
          </w:p>
        </w:tc>
      </w:tr>
      <w:tr w14:paraId="465840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F251F38">
            <w:pPr>
              <w:pStyle w:val="66"/>
              <w:bidi w:val="0"/>
            </w:pPr>
          </w:p>
        </w:tc>
        <w:tc>
          <w:tcPr>
            <w:tcW w:w="596" w:type="pct"/>
            <w:noWrap w:val="0"/>
            <w:vAlign w:val="center"/>
          </w:tcPr>
          <w:p w14:paraId="7C2DFFED">
            <w:pPr>
              <w:pStyle w:val="66"/>
              <w:bidi w:val="0"/>
            </w:pPr>
          </w:p>
        </w:tc>
        <w:tc>
          <w:tcPr>
            <w:tcW w:w="662" w:type="pct"/>
            <w:noWrap w:val="0"/>
            <w:vAlign w:val="center"/>
          </w:tcPr>
          <w:p w14:paraId="311FE3A4">
            <w:pPr>
              <w:pStyle w:val="66"/>
              <w:bidi w:val="0"/>
            </w:pPr>
          </w:p>
        </w:tc>
        <w:tc>
          <w:tcPr>
            <w:tcW w:w="439" w:type="pct"/>
            <w:noWrap w:val="0"/>
            <w:vAlign w:val="center"/>
          </w:tcPr>
          <w:p w14:paraId="07B0764B">
            <w:pPr>
              <w:pStyle w:val="66"/>
              <w:bidi w:val="0"/>
            </w:pPr>
          </w:p>
        </w:tc>
        <w:tc>
          <w:tcPr>
            <w:tcW w:w="397" w:type="pct"/>
            <w:noWrap w:val="0"/>
            <w:vAlign w:val="center"/>
          </w:tcPr>
          <w:p w14:paraId="28459876">
            <w:pPr>
              <w:pStyle w:val="66"/>
              <w:bidi w:val="0"/>
            </w:pPr>
          </w:p>
        </w:tc>
        <w:tc>
          <w:tcPr>
            <w:tcW w:w="487" w:type="pct"/>
            <w:noWrap w:val="0"/>
            <w:vAlign w:val="center"/>
          </w:tcPr>
          <w:p w14:paraId="2F4BFEE3">
            <w:pPr>
              <w:pStyle w:val="66"/>
              <w:bidi w:val="0"/>
            </w:pPr>
          </w:p>
        </w:tc>
        <w:tc>
          <w:tcPr>
            <w:tcW w:w="463" w:type="pct"/>
            <w:noWrap w:val="0"/>
            <w:vAlign w:val="center"/>
          </w:tcPr>
          <w:p w14:paraId="3F5D782C">
            <w:pPr>
              <w:pStyle w:val="66"/>
              <w:bidi w:val="0"/>
            </w:pPr>
          </w:p>
        </w:tc>
        <w:tc>
          <w:tcPr>
            <w:tcW w:w="397" w:type="pct"/>
            <w:noWrap w:val="0"/>
            <w:vAlign w:val="center"/>
          </w:tcPr>
          <w:p w14:paraId="40A43A2E">
            <w:pPr>
              <w:pStyle w:val="66"/>
              <w:bidi w:val="0"/>
            </w:pPr>
          </w:p>
        </w:tc>
        <w:tc>
          <w:tcPr>
            <w:tcW w:w="695" w:type="pct"/>
            <w:noWrap w:val="0"/>
            <w:vAlign w:val="center"/>
          </w:tcPr>
          <w:p w14:paraId="6D9EE1C9">
            <w:pPr>
              <w:pStyle w:val="66"/>
              <w:bidi w:val="0"/>
            </w:pPr>
          </w:p>
        </w:tc>
        <w:tc>
          <w:tcPr>
            <w:tcW w:w="463" w:type="pct"/>
            <w:noWrap w:val="0"/>
            <w:vAlign w:val="center"/>
          </w:tcPr>
          <w:p w14:paraId="71D23720">
            <w:pPr>
              <w:pStyle w:val="66"/>
              <w:bidi w:val="0"/>
            </w:pPr>
          </w:p>
        </w:tc>
      </w:tr>
      <w:tr w14:paraId="697F30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1C433680">
            <w:pPr>
              <w:pStyle w:val="66"/>
              <w:bidi w:val="0"/>
            </w:pPr>
          </w:p>
        </w:tc>
        <w:tc>
          <w:tcPr>
            <w:tcW w:w="596" w:type="pct"/>
            <w:noWrap w:val="0"/>
            <w:vAlign w:val="center"/>
          </w:tcPr>
          <w:p w14:paraId="266B3430">
            <w:pPr>
              <w:pStyle w:val="66"/>
              <w:bidi w:val="0"/>
            </w:pPr>
          </w:p>
        </w:tc>
        <w:tc>
          <w:tcPr>
            <w:tcW w:w="662" w:type="pct"/>
            <w:noWrap w:val="0"/>
            <w:vAlign w:val="center"/>
          </w:tcPr>
          <w:p w14:paraId="1399F5C8">
            <w:pPr>
              <w:pStyle w:val="66"/>
              <w:bidi w:val="0"/>
            </w:pPr>
          </w:p>
        </w:tc>
        <w:tc>
          <w:tcPr>
            <w:tcW w:w="439" w:type="pct"/>
            <w:noWrap w:val="0"/>
            <w:vAlign w:val="center"/>
          </w:tcPr>
          <w:p w14:paraId="2E883D68">
            <w:pPr>
              <w:pStyle w:val="66"/>
              <w:bidi w:val="0"/>
            </w:pPr>
          </w:p>
        </w:tc>
        <w:tc>
          <w:tcPr>
            <w:tcW w:w="397" w:type="pct"/>
            <w:noWrap w:val="0"/>
            <w:vAlign w:val="center"/>
          </w:tcPr>
          <w:p w14:paraId="0850A8AA">
            <w:pPr>
              <w:pStyle w:val="66"/>
              <w:bidi w:val="0"/>
            </w:pPr>
          </w:p>
        </w:tc>
        <w:tc>
          <w:tcPr>
            <w:tcW w:w="487" w:type="pct"/>
            <w:noWrap w:val="0"/>
            <w:vAlign w:val="center"/>
          </w:tcPr>
          <w:p w14:paraId="15BD1700">
            <w:pPr>
              <w:pStyle w:val="66"/>
              <w:bidi w:val="0"/>
            </w:pPr>
          </w:p>
        </w:tc>
        <w:tc>
          <w:tcPr>
            <w:tcW w:w="463" w:type="pct"/>
            <w:noWrap w:val="0"/>
            <w:vAlign w:val="center"/>
          </w:tcPr>
          <w:p w14:paraId="39F0B4ED">
            <w:pPr>
              <w:pStyle w:val="66"/>
              <w:bidi w:val="0"/>
            </w:pPr>
          </w:p>
        </w:tc>
        <w:tc>
          <w:tcPr>
            <w:tcW w:w="397" w:type="pct"/>
            <w:noWrap w:val="0"/>
            <w:vAlign w:val="center"/>
          </w:tcPr>
          <w:p w14:paraId="7CC04521">
            <w:pPr>
              <w:pStyle w:val="66"/>
              <w:bidi w:val="0"/>
            </w:pPr>
          </w:p>
        </w:tc>
        <w:tc>
          <w:tcPr>
            <w:tcW w:w="695" w:type="pct"/>
            <w:noWrap w:val="0"/>
            <w:vAlign w:val="center"/>
          </w:tcPr>
          <w:p w14:paraId="12146FCA">
            <w:pPr>
              <w:pStyle w:val="66"/>
              <w:bidi w:val="0"/>
            </w:pPr>
          </w:p>
        </w:tc>
        <w:tc>
          <w:tcPr>
            <w:tcW w:w="463" w:type="pct"/>
            <w:noWrap w:val="0"/>
            <w:vAlign w:val="center"/>
          </w:tcPr>
          <w:p w14:paraId="6A446553">
            <w:pPr>
              <w:pStyle w:val="66"/>
              <w:bidi w:val="0"/>
            </w:pPr>
          </w:p>
        </w:tc>
      </w:tr>
      <w:tr w14:paraId="64043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noWrap w:val="0"/>
            <w:vAlign w:val="center"/>
          </w:tcPr>
          <w:p w14:paraId="6AD976A4">
            <w:pPr>
              <w:pStyle w:val="66"/>
              <w:bidi w:val="0"/>
            </w:pPr>
          </w:p>
        </w:tc>
        <w:tc>
          <w:tcPr>
            <w:tcW w:w="596" w:type="pct"/>
            <w:noWrap w:val="0"/>
            <w:vAlign w:val="center"/>
          </w:tcPr>
          <w:p w14:paraId="17D584CB">
            <w:pPr>
              <w:pStyle w:val="66"/>
              <w:bidi w:val="0"/>
            </w:pPr>
          </w:p>
        </w:tc>
        <w:tc>
          <w:tcPr>
            <w:tcW w:w="662" w:type="pct"/>
            <w:noWrap w:val="0"/>
            <w:vAlign w:val="center"/>
          </w:tcPr>
          <w:p w14:paraId="3669B21F">
            <w:pPr>
              <w:pStyle w:val="66"/>
              <w:bidi w:val="0"/>
            </w:pPr>
          </w:p>
        </w:tc>
        <w:tc>
          <w:tcPr>
            <w:tcW w:w="439" w:type="pct"/>
            <w:noWrap w:val="0"/>
            <w:vAlign w:val="center"/>
          </w:tcPr>
          <w:p w14:paraId="21A12F30">
            <w:pPr>
              <w:pStyle w:val="66"/>
              <w:bidi w:val="0"/>
            </w:pPr>
          </w:p>
        </w:tc>
        <w:tc>
          <w:tcPr>
            <w:tcW w:w="397" w:type="pct"/>
            <w:noWrap w:val="0"/>
            <w:vAlign w:val="center"/>
          </w:tcPr>
          <w:p w14:paraId="6205F56D">
            <w:pPr>
              <w:pStyle w:val="66"/>
              <w:bidi w:val="0"/>
            </w:pPr>
          </w:p>
        </w:tc>
        <w:tc>
          <w:tcPr>
            <w:tcW w:w="487" w:type="pct"/>
            <w:noWrap w:val="0"/>
            <w:vAlign w:val="center"/>
          </w:tcPr>
          <w:p w14:paraId="7111C6F2">
            <w:pPr>
              <w:pStyle w:val="66"/>
              <w:bidi w:val="0"/>
            </w:pPr>
          </w:p>
        </w:tc>
        <w:tc>
          <w:tcPr>
            <w:tcW w:w="463" w:type="pct"/>
            <w:noWrap w:val="0"/>
            <w:vAlign w:val="center"/>
          </w:tcPr>
          <w:p w14:paraId="1153BC82">
            <w:pPr>
              <w:pStyle w:val="66"/>
              <w:bidi w:val="0"/>
            </w:pPr>
          </w:p>
        </w:tc>
        <w:tc>
          <w:tcPr>
            <w:tcW w:w="397" w:type="pct"/>
            <w:noWrap w:val="0"/>
            <w:vAlign w:val="center"/>
          </w:tcPr>
          <w:p w14:paraId="187895BA">
            <w:pPr>
              <w:pStyle w:val="66"/>
              <w:bidi w:val="0"/>
            </w:pPr>
          </w:p>
        </w:tc>
        <w:tc>
          <w:tcPr>
            <w:tcW w:w="695" w:type="pct"/>
            <w:noWrap w:val="0"/>
            <w:vAlign w:val="center"/>
          </w:tcPr>
          <w:p w14:paraId="7B5288E6">
            <w:pPr>
              <w:pStyle w:val="66"/>
              <w:bidi w:val="0"/>
            </w:pPr>
          </w:p>
        </w:tc>
        <w:tc>
          <w:tcPr>
            <w:tcW w:w="463" w:type="pct"/>
            <w:noWrap w:val="0"/>
            <w:vAlign w:val="center"/>
          </w:tcPr>
          <w:p w14:paraId="61726535">
            <w:pPr>
              <w:pStyle w:val="66"/>
              <w:bidi w:val="0"/>
            </w:pPr>
          </w:p>
        </w:tc>
      </w:tr>
    </w:tbl>
    <w:p w14:paraId="58917B4D">
      <w:pPr>
        <w:spacing w:line="440" w:lineRule="exact"/>
        <w:rPr>
          <w:rFonts w:ascii="Times New Roman" w:hAnsi="Times New Roman" w:eastAsia="仿宋_GB2312"/>
          <w:color w:val="000000"/>
          <w:sz w:val="30"/>
          <w:szCs w:val="30"/>
        </w:rPr>
      </w:pPr>
    </w:p>
    <w:p w14:paraId="26BEBCC6">
      <w:pPr>
        <w:bidi w:val="0"/>
        <w:rPr>
          <w:rFonts w:ascii="Times New Roman" w:hAnsi="Times New Roman" w:eastAsia="仿宋_GB2312"/>
          <w:color w:val="000000"/>
          <w:sz w:val="30"/>
          <w:szCs w:val="30"/>
        </w:rPr>
      </w:pPr>
    </w:p>
    <w:p w14:paraId="1A45E54E">
      <w:pPr>
        <w:bidi w:val="0"/>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44" w:name="_Toc296891266"/>
      <w:bookmarkStart w:id="845" w:name="_Toc296347225"/>
      <w:bookmarkStart w:id="846" w:name="_Toc296503226"/>
      <w:bookmarkStart w:id="847" w:name="_Toc296891054"/>
      <w:bookmarkStart w:id="848" w:name="_Toc296346727"/>
      <w:bookmarkStart w:id="849" w:name="_Toc296944565"/>
      <w:bookmarkStart w:id="850" w:name="_Toc267261693"/>
      <w:r>
        <w:rPr>
          <w:rFonts w:ascii="Times New Roman" w:hAnsi="Times New Roman" w:eastAsia="仿宋_GB2312"/>
          <w:color w:val="000000"/>
          <w:sz w:val="30"/>
          <w:szCs w:val="30"/>
        </w:rPr>
        <w:t>件3：</w:t>
      </w:r>
      <w:bookmarkEnd w:id="844"/>
      <w:bookmarkEnd w:id="845"/>
      <w:bookmarkEnd w:id="846"/>
      <w:bookmarkEnd w:id="847"/>
      <w:bookmarkEnd w:id="848"/>
      <w:bookmarkEnd w:id="849"/>
      <w:bookmarkEnd w:id="850"/>
      <w:r>
        <w:rPr>
          <w:rFonts w:ascii="Times New Roman" w:hAnsi="Times New Roman" w:eastAsia="黑体"/>
          <w:color w:val="000000"/>
          <w:sz w:val="30"/>
          <w:szCs w:val="30"/>
        </w:rPr>
        <w:t xml:space="preserve">    </w:t>
      </w:r>
    </w:p>
    <w:p w14:paraId="5EC43BEF">
      <w:pPr>
        <w:bidi w:val="0"/>
        <w:ind w:left="0" w:leftChars="0" w:firstLine="0" w:firstLineChars="0"/>
        <w:jc w:val="center"/>
        <w:rPr>
          <w:b/>
          <w:bCs/>
        </w:rPr>
      </w:pPr>
      <w:r>
        <w:rPr>
          <w:b/>
          <w:bCs/>
        </w:rPr>
        <w:t>工程质量保修书</w:t>
      </w:r>
    </w:p>
    <w:p w14:paraId="73226B30">
      <w:pPr>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发包人（全称）：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350C6C08">
      <w:pPr>
        <w:spacing w:line="440" w:lineRule="exact"/>
        <w:rPr>
          <w:rFonts w:hint="eastAsia" w:ascii="宋体" w:hAnsi="宋体" w:eastAsia="宋体" w:cs="宋体"/>
          <w:color w:val="000000"/>
          <w:sz w:val="28"/>
          <w:szCs w:val="28"/>
        </w:rPr>
      </w:pPr>
      <w:r>
        <w:rPr>
          <w:rFonts w:hint="eastAsia" w:ascii="宋体" w:hAnsi="宋体" w:eastAsia="宋体" w:cs="宋体"/>
          <w:color w:val="000000"/>
          <w:sz w:val="28"/>
          <w:szCs w:val="28"/>
        </w:rPr>
        <w:t>承包人（全称）：</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w:t>
      </w:r>
    </w:p>
    <w:p w14:paraId="059221E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发包人和承包人根据《中华人民共和国建筑法》和《建设工程质量管理条例》，经协商一致就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（工程全称）签订工程质量保修书。</w:t>
      </w:r>
    </w:p>
    <w:p w14:paraId="1562EE87">
      <w:pPr>
        <w:bidi w:val="0"/>
        <w:rPr>
          <w:rFonts w:hint="eastAsia"/>
        </w:rPr>
      </w:pPr>
      <w:r>
        <w:rPr>
          <w:rFonts w:hint="eastAsia"/>
        </w:rPr>
        <w:t>一、工程质量保修范围和内容</w:t>
      </w:r>
    </w:p>
    <w:p w14:paraId="33050244">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承包人在质量保修期内，按照有关法律规定和合同约定，承担工程质量保修责任。</w:t>
      </w:r>
    </w:p>
    <w:p w14:paraId="78A93A17">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AC70544">
      <w:pPr>
        <w:spacing w:line="360" w:lineRule="auto"/>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82DB7F9">
      <w:pPr>
        <w:bidi w:val="0"/>
        <w:rPr>
          <w:rFonts w:hint="eastAsia"/>
        </w:rPr>
      </w:pPr>
      <w:r>
        <w:rPr>
          <w:rFonts w:hint="eastAsia"/>
        </w:rPr>
        <w:t>二、质量保修期</w:t>
      </w:r>
    </w:p>
    <w:p w14:paraId="76184ED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根据《建设工程质量管理条例》及有关规定，工程的质量保修期如下：</w:t>
      </w:r>
    </w:p>
    <w:p w14:paraId="198E3731">
      <w:pPr>
        <w:ind w:firstLine="560" w:firstLineChars="2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color w:val="000000"/>
          <w:sz w:val="28"/>
          <w:szCs w:val="28"/>
        </w:rPr>
        <w:t>．</w:t>
      </w:r>
      <w:r>
        <w:rPr>
          <w:rFonts w:hint="eastAsia" w:ascii="宋体" w:hAnsi="宋体" w:eastAsia="宋体" w:cs="宋体"/>
          <w:sz w:val="28"/>
          <w:szCs w:val="28"/>
        </w:rPr>
        <w:t>地基基础工程和主体结构工程为设计文件规定的工程合理使用年限；</w:t>
      </w:r>
    </w:p>
    <w:p w14:paraId="19216B6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w:t>
      </w:r>
      <w:r>
        <w:rPr>
          <w:rFonts w:hint="eastAsia" w:ascii="宋体" w:hAnsi="宋体" w:eastAsia="宋体" w:cs="宋体"/>
          <w:color w:val="000000"/>
          <w:sz w:val="28"/>
          <w:szCs w:val="28"/>
        </w:rPr>
        <w:t>屋面防水工程、有防水要求的卫生间、房间和外墙面的防渗为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62548487">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w:t>
      </w:r>
      <w:r>
        <w:rPr>
          <w:rFonts w:hint="eastAsia" w:ascii="宋体" w:hAnsi="宋体" w:eastAsia="宋体" w:cs="宋体"/>
          <w:color w:val="000000"/>
          <w:sz w:val="28"/>
          <w:szCs w:val="28"/>
        </w:rPr>
        <w:t>装修工程为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769D1747">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sz w:val="28"/>
          <w:szCs w:val="28"/>
        </w:rPr>
        <w:t>．</w:t>
      </w:r>
      <w:r>
        <w:rPr>
          <w:rFonts w:hint="eastAsia" w:ascii="宋体" w:hAnsi="宋体" w:eastAsia="宋体" w:cs="宋体"/>
          <w:color w:val="000000"/>
          <w:sz w:val="28"/>
          <w:szCs w:val="28"/>
        </w:rPr>
        <w:t>电气管线、给排水管道、设备安装工程为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20033F19">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5</w:t>
      </w:r>
      <w:r>
        <w:rPr>
          <w:rFonts w:hint="eastAsia" w:ascii="宋体" w:hAnsi="宋体" w:eastAsia="宋体" w:cs="宋体"/>
          <w:sz w:val="28"/>
          <w:szCs w:val="28"/>
        </w:rPr>
        <w:t>．</w:t>
      </w:r>
      <w:r>
        <w:rPr>
          <w:rFonts w:hint="eastAsia" w:ascii="宋体" w:hAnsi="宋体" w:eastAsia="宋体" w:cs="宋体"/>
          <w:color w:val="000000"/>
          <w:sz w:val="28"/>
          <w:szCs w:val="28"/>
        </w:rPr>
        <w:t>供热与供冷系统为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个采暖期、供冷期；</w:t>
      </w:r>
    </w:p>
    <w:p w14:paraId="53357B7C">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6</w:t>
      </w:r>
      <w:r>
        <w:rPr>
          <w:rFonts w:hint="eastAsia" w:ascii="宋体" w:hAnsi="宋体" w:eastAsia="宋体" w:cs="宋体"/>
          <w:sz w:val="28"/>
          <w:szCs w:val="28"/>
        </w:rPr>
        <w:t>．</w:t>
      </w:r>
      <w:r>
        <w:rPr>
          <w:rFonts w:hint="eastAsia" w:ascii="宋体" w:hAnsi="宋体" w:eastAsia="宋体" w:cs="宋体"/>
          <w:color w:val="000000"/>
          <w:sz w:val="28"/>
          <w:szCs w:val="28"/>
        </w:rPr>
        <w:t>住宅小区内的给排水设施、道路等配套工程为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p>
    <w:p w14:paraId="417D4771">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7</w:t>
      </w:r>
      <w:r>
        <w:rPr>
          <w:rFonts w:hint="eastAsia" w:ascii="宋体" w:hAnsi="宋体" w:eastAsia="宋体" w:cs="宋体"/>
          <w:sz w:val="28"/>
          <w:szCs w:val="28"/>
        </w:rPr>
        <w:t>．</w:t>
      </w:r>
      <w:r>
        <w:rPr>
          <w:rFonts w:hint="eastAsia" w:ascii="宋体" w:hAnsi="宋体" w:eastAsia="宋体" w:cs="宋体"/>
          <w:color w:val="000000"/>
          <w:sz w:val="28"/>
          <w:szCs w:val="28"/>
        </w:rPr>
        <w:t>其他项目保修期限约定如下：</w:t>
      </w:r>
    </w:p>
    <w:p w14:paraId="6DA64CE9">
      <w:pPr>
        <w:spacing w:line="360" w:lineRule="auto"/>
        <w:ind w:left="0" w:leftChars="0" w:firstLine="0" w:firstLineChars="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1110EEE">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质量保修期自工程竣工验收合格之日起计算。</w:t>
      </w:r>
    </w:p>
    <w:p w14:paraId="108D7B6A">
      <w:pPr>
        <w:bidi w:val="0"/>
        <w:rPr>
          <w:rFonts w:hint="eastAsia"/>
        </w:rPr>
      </w:pPr>
      <w:r>
        <w:rPr>
          <w:rFonts w:hint="eastAsia"/>
        </w:rPr>
        <w:t>三、缺陷责任期</w:t>
      </w:r>
    </w:p>
    <w:p w14:paraId="089790B2">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工程缺陷责任期为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个月，缺陷责任期自工程通过竣工验收之日起计算。单位工程先于全部工程进行验收，单位工程缺陷责任期自单位工程验收合格之日起算。</w:t>
      </w:r>
    </w:p>
    <w:p w14:paraId="6E42CF14">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缺陷责任期终止后，发包人应退还剩余的质量保证金。</w:t>
      </w:r>
    </w:p>
    <w:p w14:paraId="5478DF0D">
      <w:pPr>
        <w:bidi w:val="0"/>
        <w:rPr>
          <w:rFonts w:hint="eastAsia"/>
        </w:rPr>
      </w:pPr>
      <w:r>
        <w:rPr>
          <w:rFonts w:hint="eastAsia"/>
        </w:rPr>
        <w:t>四、质量保修责任</w:t>
      </w:r>
    </w:p>
    <w:p w14:paraId="3B6A88B2">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eastAsia="宋体" w:cs="宋体"/>
          <w:sz w:val="28"/>
          <w:szCs w:val="28"/>
        </w:rPr>
        <w:t>．</w:t>
      </w:r>
      <w:r>
        <w:rPr>
          <w:rFonts w:hint="eastAsia" w:ascii="宋体" w:hAnsi="宋体" w:eastAsia="宋体" w:cs="宋体"/>
          <w:color w:val="000000"/>
          <w:sz w:val="28"/>
          <w:szCs w:val="28"/>
        </w:rPr>
        <w:t>属于保修范围、内容的项目，承包人应当在接到保修通知之日起7天内派人保修。承包人不在约定期限内派人保修的，发包人可以委托他人修理。</w:t>
      </w:r>
    </w:p>
    <w:p w14:paraId="347185FA">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eastAsia="宋体" w:cs="宋体"/>
          <w:sz w:val="28"/>
          <w:szCs w:val="28"/>
        </w:rPr>
        <w:t>．</w:t>
      </w:r>
      <w:r>
        <w:rPr>
          <w:rFonts w:hint="eastAsia" w:ascii="宋体" w:hAnsi="宋体" w:eastAsia="宋体" w:cs="宋体"/>
          <w:color w:val="000000"/>
          <w:sz w:val="28"/>
          <w:szCs w:val="28"/>
        </w:rPr>
        <w:t>发生紧急事故需抢修的，承包人在接到事故通知后，应当立即到达事故现场抢修。</w:t>
      </w:r>
    </w:p>
    <w:p w14:paraId="03AFBA58">
      <w:pPr>
        <w:spacing w:line="360" w:lineRule="auto"/>
        <w:ind w:left="120" w:leftChars="50" w:firstLine="574" w:firstLineChars="205"/>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sz w:val="28"/>
          <w:szCs w:val="28"/>
        </w:rPr>
        <w:t>．</w:t>
      </w:r>
      <w:r>
        <w:rPr>
          <w:rFonts w:hint="eastAsia" w:ascii="宋体" w:hAnsi="宋体" w:eastAsia="宋体" w:cs="宋体"/>
          <w:color w:val="000000"/>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FB0238F">
      <w:pPr>
        <w:spacing w:line="360" w:lineRule="auto"/>
        <w:ind w:left="480" w:leftChars="200" w:firstLine="140" w:firstLineChars="50"/>
        <w:rPr>
          <w:rFonts w:hint="eastAsia" w:ascii="宋体" w:hAnsi="宋体" w:eastAsia="宋体" w:cs="宋体"/>
          <w:color w:val="000000"/>
          <w:sz w:val="28"/>
          <w:szCs w:val="28"/>
        </w:rPr>
      </w:pPr>
      <w:r>
        <w:rPr>
          <w:rFonts w:hint="eastAsia" w:ascii="宋体" w:hAnsi="宋体" w:eastAsia="宋体" w:cs="宋体"/>
          <w:color w:val="000000"/>
          <w:sz w:val="28"/>
          <w:szCs w:val="28"/>
        </w:rPr>
        <w:t>4</w:t>
      </w:r>
      <w:r>
        <w:rPr>
          <w:rFonts w:hint="eastAsia" w:ascii="宋体" w:hAnsi="宋体" w:eastAsia="宋体" w:cs="宋体"/>
          <w:sz w:val="28"/>
          <w:szCs w:val="28"/>
        </w:rPr>
        <w:t>．</w:t>
      </w:r>
      <w:r>
        <w:rPr>
          <w:rFonts w:hint="eastAsia" w:ascii="宋体" w:hAnsi="宋体" w:eastAsia="宋体" w:cs="宋体"/>
          <w:color w:val="000000"/>
          <w:sz w:val="28"/>
          <w:szCs w:val="28"/>
        </w:rPr>
        <w:t>质量保修完成后，由发包人组织验收。</w:t>
      </w:r>
    </w:p>
    <w:p w14:paraId="702C5DCA">
      <w:pPr>
        <w:bidi w:val="0"/>
        <w:rPr>
          <w:rFonts w:hint="eastAsia"/>
        </w:rPr>
      </w:pPr>
      <w:r>
        <w:rPr>
          <w:rFonts w:hint="eastAsia"/>
        </w:rPr>
        <w:t>五、保修费用</w:t>
      </w:r>
    </w:p>
    <w:p w14:paraId="539EE5C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保修费用由造成质量缺陷的责任方承担。</w:t>
      </w:r>
    </w:p>
    <w:p w14:paraId="1E160286">
      <w:pPr>
        <w:bidi w:val="0"/>
        <w:rPr>
          <w:rFonts w:hint="eastAsia" w:ascii="宋体" w:hAnsi="宋体" w:eastAsia="宋体" w:cs="宋体"/>
          <w:color w:val="000000"/>
          <w:sz w:val="28"/>
          <w:szCs w:val="28"/>
          <w:u w:val="single"/>
        </w:rPr>
      </w:pPr>
      <w:r>
        <w:rPr>
          <w:rFonts w:hint="eastAsia" w:ascii="宋体" w:hAnsi="宋体" w:eastAsia="宋体" w:cs="宋体"/>
          <w:b/>
          <w:color w:val="000000"/>
          <w:sz w:val="28"/>
          <w:szCs w:val="28"/>
        </w:rPr>
        <w:t>六</w:t>
      </w:r>
      <w:r>
        <w:rPr>
          <w:rFonts w:hint="eastAsia" w:ascii="宋体" w:hAnsi="宋体" w:eastAsia="宋体" w:cs="宋体"/>
          <w:color w:val="000000"/>
          <w:sz w:val="28"/>
          <w:szCs w:val="28"/>
        </w:rPr>
        <w:t>、双方约定的其他工程质量保修事项：</w:t>
      </w:r>
    </w:p>
    <w:p w14:paraId="3023F781">
      <w:pPr>
        <w:spacing w:line="360" w:lineRule="auto"/>
        <w:ind w:left="0" w:leftChars="0" w:firstLine="0" w:firstLineChars="0"/>
        <w:jc w:val="left"/>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6F42985B">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工程质量保修书由发包人、承包人在工程竣工验收前共同签署，作为施工合同附件，其有效期限至保修期满。</w:t>
      </w:r>
    </w:p>
    <w:p w14:paraId="74C61BAB">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发包人(公章)：</w:t>
      </w:r>
      <w:r>
        <w:rPr>
          <w:rFonts w:hint="eastAsia" w:ascii="宋体" w:hAnsi="宋体" w:eastAsia="宋体" w:cs="宋体"/>
          <w:color w:val="000000"/>
          <w:sz w:val="28"/>
          <w:szCs w:val="28"/>
          <w:u w:val="single"/>
        </w:rPr>
        <w:t xml:space="preserve">        </w:t>
      </w:r>
      <w:r>
        <w:rPr>
          <w:rFonts w:hint="eastAsia" w:ascii="宋体" w:hAnsi="宋体" w:eastAsia="宋体" w:cs="宋体"/>
          <w:color w:val="000000"/>
          <w:sz w:val="28"/>
          <w:szCs w:val="28"/>
        </w:rPr>
        <w:t xml:space="preserve"> 承包人(公章)：</w:t>
      </w:r>
      <w:r>
        <w:rPr>
          <w:rFonts w:hint="eastAsia" w:ascii="宋体" w:hAnsi="宋体" w:eastAsia="宋体" w:cs="宋体"/>
          <w:color w:val="000000"/>
          <w:sz w:val="28"/>
          <w:szCs w:val="28"/>
          <w:u w:val="single"/>
        </w:rPr>
        <w:t xml:space="preserve">           </w:t>
      </w:r>
    </w:p>
    <w:p w14:paraId="3559E3A3">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地  址：</w:t>
      </w:r>
      <w:r>
        <w:rPr>
          <w:rFonts w:hint="eastAsia" w:ascii="宋体" w:hAnsi="宋体" w:eastAsia="宋体" w:cs="宋体"/>
          <w:color w:val="000000"/>
          <w:sz w:val="28"/>
          <w:szCs w:val="28"/>
          <w:u w:val="single"/>
        </w:rPr>
        <w:t xml:space="preserve">       </w:t>
      </w:r>
    </w:p>
    <w:p w14:paraId="31B9D0E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法定代表人(签字)：</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法定代表人(签字)：</w:t>
      </w:r>
      <w:r>
        <w:rPr>
          <w:rFonts w:hint="eastAsia" w:ascii="宋体" w:hAnsi="宋体" w:eastAsia="宋体" w:cs="宋体"/>
          <w:color w:val="000000"/>
          <w:sz w:val="28"/>
          <w:szCs w:val="28"/>
          <w:u w:val="single"/>
        </w:rPr>
        <w:t xml:space="preserve">       </w:t>
      </w:r>
    </w:p>
    <w:p w14:paraId="65C1D2C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委托代理人(签字)：</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委托代理人(签字)：</w:t>
      </w:r>
      <w:r>
        <w:rPr>
          <w:rFonts w:hint="eastAsia" w:ascii="宋体" w:hAnsi="宋体" w:eastAsia="宋体" w:cs="宋体"/>
          <w:color w:val="000000"/>
          <w:sz w:val="28"/>
          <w:szCs w:val="28"/>
          <w:u w:val="single"/>
        </w:rPr>
        <w:t xml:space="preserve">       </w:t>
      </w:r>
    </w:p>
    <w:p w14:paraId="76999D9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电  话：</w:t>
      </w:r>
      <w:r>
        <w:rPr>
          <w:rFonts w:hint="eastAsia" w:ascii="宋体" w:hAnsi="宋体" w:eastAsia="宋体" w:cs="宋体"/>
          <w:color w:val="000000"/>
          <w:sz w:val="28"/>
          <w:szCs w:val="28"/>
          <w:u w:val="single"/>
        </w:rPr>
        <w:t xml:space="preserve">     </w:t>
      </w:r>
    </w:p>
    <w:p w14:paraId="6C9709C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传  真：</w:t>
      </w:r>
      <w:r>
        <w:rPr>
          <w:rFonts w:hint="eastAsia" w:ascii="宋体" w:hAnsi="宋体" w:eastAsia="宋体" w:cs="宋体"/>
          <w:color w:val="000000"/>
          <w:sz w:val="28"/>
          <w:szCs w:val="28"/>
          <w:u w:val="single"/>
        </w:rPr>
        <w:t xml:space="preserve">     </w:t>
      </w:r>
    </w:p>
    <w:p w14:paraId="4292F7D1">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开户银行：</w:t>
      </w:r>
      <w:r>
        <w:rPr>
          <w:rFonts w:hint="eastAsia" w:ascii="宋体" w:hAnsi="宋体" w:eastAsia="宋体" w:cs="宋体"/>
          <w:color w:val="000000"/>
          <w:sz w:val="28"/>
          <w:szCs w:val="28"/>
          <w:u w:val="single"/>
        </w:rPr>
        <w:t></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开户银行：</w:t>
      </w:r>
      <w:r>
        <w:rPr>
          <w:rFonts w:hint="eastAsia" w:ascii="宋体" w:hAnsi="宋体" w:eastAsia="宋体" w:cs="宋体"/>
          <w:color w:val="000000"/>
          <w:sz w:val="28"/>
          <w:szCs w:val="28"/>
          <w:u w:val="single"/>
        </w:rPr>
        <w:t xml:space="preserve">   </w:t>
      </w:r>
    </w:p>
    <w:p w14:paraId="38BC73C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账  号：</w:t>
      </w:r>
      <w:r>
        <w:rPr>
          <w:rFonts w:hint="eastAsia" w:ascii="宋体" w:hAnsi="宋体" w:eastAsia="宋体" w:cs="宋体"/>
          <w:color w:val="000000"/>
          <w:sz w:val="28"/>
          <w:szCs w:val="28"/>
          <w:u w:val="single"/>
        </w:rPr>
        <w:t xml:space="preserve"> 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账  号：</w:t>
      </w:r>
      <w:r>
        <w:rPr>
          <w:rFonts w:hint="eastAsia" w:ascii="宋体" w:hAnsi="宋体" w:eastAsia="宋体" w:cs="宋体"/>
          <w:color w:val="000000"/>
          <w:sz w:val="28"/>
          <w:szCs w:val="28"/>
          <w:u w:val="single"/>
        </w:rPr>
        <w:t xml:space="preserve">     </w:t>
      </w:r>
    </w:p>
    <w:p w14:paraId="39DC068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邮政编码：</w:t>
      </w:r>
      <w:r>
        <w:rPr>
          <w:rFonts w:hint="eastAsia" w:ascii="宋体" w:hAnsi="宋体" w:eastAsia="宋体" w:cs="宋体"/>
          <w:color w:val="000000"/>
          <w:sz w:val="28"/>
          <w:szCs w:val="28"/>
          <w:u w:val="single"/>
        </w:rPr>
        <w:t xml:space="preserve">   </w:t>
      </w:r>
    </w:p>
    <w:p w14:paraId="061C5D20">
      <w:pPr>
        <w:spacing w:line="440" w:lineRule="exact"/>
        <w:rPr>
          <w:rFonts w:ascii="Times New Roman" w:hAnsi="Times New Roman" w:eastAsia="黑体"/>
          <w:color w:val="000000"/>
          <w:sz w:val="30"/>
          <w:szCs w:val="30"/>
        </w:rPr>
      </w:pPr>
      <w:r>
        <w:rPr>
          <w:rFonts w:ascii="Times New Roman" w:hAnsi="Times New Roman" w:eastAsia="仿宋_GB2312"/>
          <w:b/>
          <w:color w:val="000000"/>
          <w:sz w:val="30"/>
          <w:szCs w:val="30"/>
        </w:rPr>
        <w:br w:type="page"/>
      </w:r>
      <w:r>
        <w:rPr>
          <w:rFonts w:ascii="Times New Roman" w:hAnsi="Times New Roman" w:eastAsia="仿宋_GB2312"/>
          <w:color w:val="000000"/>
          <w:sz w:val="30"/>
          <w:szCs w:val="30"/>
        </w:rPr>
        <w:t>附件4：</w:t>
      </w:r>
    </w:p>
    <w:p w14:paraId="5FB92413">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主要建设工程文件目录</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9D01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2183FFC9">
            <w:pPr>
              <w:pStyle w:val="66"/>
              <w:bidi w:val="0"/>
              <w:rPr>
                <w:lang w:val="en-US" w:eastAsia="zh-CN"/>
              </w:rPr>
            </w:pPr>
            <w:r>
              <w:rPr>
                <w:lang w:val="en-US" w:eastAsia="zh-CN"/>
              </w:rPr>
              <w:t>文件名称</w:t>
            </w:r>
          </w:p>
        </w:tc>
        <w:tc>
          <w:tcPr>
            <w:tcW w:w="1276" w:type="dxa"/>
            <w:tcBorders>
              <w:top w:val="single" w:color="auto" w:sz="12" w:space="0"/>
              <w:bottom w:val="double" w:color="auto" w:sz="6" w:space="0"/>
            </w:tcBorders>
            <w:noWrap w:val="0"/>
            <w:vAlign w:val="center"/>
          </w:tcPr>
          <w:p w14:paraId="3A64844A">
            <w:pPr>
              <w:pStyle w:val="66"/>
              <w:bidi w:val="0"/>
              <w:rPr>
                <w:lang w:val="en-US" w:eastAsia="zh-CN"/>
              </w:rPr>
            </w:pPr>
            <w:r>
              <w:rPr>
                <w:lang w:val="en-US" w:eastAsia="zh-CN"/>
              </w:rPr>
              <w:t>套数</w:t>
            </w:r>
          </w:p>
        </w:tc>
        <w:tc>
          <w:tcPr>
            <w:tcW w:w="1450" w:type="dxa"/>
            <w:tcBorders>
              <w:top w:val="single" w:color="auto" w:sz="12" w:space="0"/>
              <w:bottom w:val="double" w:color="auto" w:sz="6" w:space="0"/>
            </w:tcBorders>
            <w:noWrap w:val="0"/>
            <w:vAlign w:val="center"/>
          </w:tcPr>
          <w:p w14:paraId="4804D5D6">
            <w:pPr>
              <w:pStyle w:val="66"/>
              <w:bidi w:val="0"/>
              <w:rPr>
                <w:lang w:val="en-US" w:eastAsia="zh-CN"/>
              </w:rPr>
            </w:pPr>
            <w:r>
              <w:rPr>
                <w:lang w:val="en-US" w:eastAsia="zh-CN"/>
              </w:rPr>
              <w:t>费用</w:t>
            </w:r>
            <w:r>
              <w:rPr>
                <w:rFonts w:hint="eastAsia"/>
                <w:lang w:val="en-US" w:eastAsia="zh-CN"/>
              </w:rPr>
              <w:t>（元）</w:t>
            </w:r>
          </w:p>
        </w:tc>
        <w:tc>
          <w:tcPr>
            <w:tcW w:w="1243" w:type="dxa"/>
            <w:tcBorders>
              <w:top w:val="single" w:color="auto" w:sz="12" w:space="0"/>
              <w:bottom w:val="double" w:color="auto" w:sz="6" w:space="0"/>
            </w:tcBorders>
            <w:noWrap w:val="0"/>
            <w:vAlign w:val="center"/>
          </w:tcPr>
          <w:p w14:paraId="14D50EB1">
            <w:pPr>
              <w:pStyle w:val="66"/>
              <w:bidi w:val="0"/>
              <w:rPr>
                <w:lang w:val="en-US" w:eastAsia="zh-CN"/>
              </w:rPr>
            </w:pPr>
            <w:r>
              <w:rPr>
                <w:lang w:val="en-US" w:eastAsia="zh-CN"/>
              </w:rPr>
              <w:t>质量</w:t>
            </w:r>
          </w:p>
        </w:tc>
        <w:tc>
          <w:tcPr>
            <w:tcW w:w="1450" w:type="dxa"/>
            <w:tcBorders>
              <w:top w:val="single" w:color="auto" w:sz="12" w:space="0"/>
              <w:bottom w:val="double" w:color="auto" w:sz="6" w:space="0"/>
            </w:tcBorders>
            <w:noWrap w:val="0"/>
            <w:vAlign w:val="top"/>
          </w:tcPr>
          <w:p w14:paraId="1B396135">
            <w:pPr>
              <w:pStyle w:val="66"/>
              <w:bidi w:val="0"/>
            </w:pPr>
            <w:r>
              <w:t>移交时间</w:t>
            </w:r>
          </w:p>
        </w:tc>
        <w:tc>
          <w:tcPr>
            <w:tcW w:w="1667" w:type="dxa"/>
            <w:tcBorders>
              <w:top w:val="single" w:color="auto" w:sz="12" w:space="0"/>
              <w:bottom w:val="double" w:color="auto" w:sz="6" w:space="0"/>
            </w:tcBorders>
            <w:noWrap w:val="0"/>
            <w:vAlign w:val="top"/>
          </w:tcPr>
          <w:p w14:paraId="69CF5A8E">
            <w:pPr>
              <w:pStyle w:val="66"/>
              <w:bidi w:val="0"/>
            </w:pPr>
            <w:r>
              <w:t>责任人</w:t>
            </w:r>
          </w:p>
        </w:tc>
      </w:tr>
      <w:tr w14:paraId="04F39B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47EE7602">
            <w:pPr>
              <w:pStyle w:val="66"/>
              <w:bidi w:val="0"/>
              <w:rPr>
                <w:lang w:val="en-US" w:eastAsia="zh-CN"/>
              </w:rPr>
            </w:pPr>
          </w:p>
        </w:tc>
        <w:tc>
          <w:tcPr>
            <w:tcW w:w="1276" w:type="dxa"/>
            <w:tcBorders>
              <w:top w:val="double" w:color="auto" w:sz="6" w:space="0"/>
              <w:bottom w:val="single" w:color="auto" w:sz="6" w:space="0"/>
            </w:tcBorders>
            <w:noWrap w:val="0"/>
            <w:vAlign w:val="center"/>
          </w:tcPr>
          <w:p w14:paraId="7F3EBA6F">
            <w:pPr>
              <w:pStyle w:val="66"/>
              <w:bidi w:val="0"/>
              <w:rPr>
                <w:lang w:val="en-US" w:eastAsia="zh-CN"/>
              </w:rPr>
            </w:pPr>
          </w:p>
        </w:tc>
        <w:tc>
          <w:tcPr>
            <w:tcW w:w="1450" w:type="dxa"/>
            <w:tcBorders>
              <w:top w:val="double" w:color="auto" w:sz="6" w:space="0"/>
              <w:bottom w:val="single" w:color="auto" w:sz="6" w:space="0"/>
            </w:tcBorders>
            <w:noWrap w:val="0"/>
            <w:vAlign w:val="center"/>
          </w:tcPr>
          <w:p w14:paraId="58E9635C">
            <w:pPr>
              <w:pStyle w:val="66"/>
              <w:bidi w:val="0"/>
              <w:rPr>
                <w:lang w:val="en-US" w:eastAsia="zh-CN"/>
              </w:rPr>
            </w:pPr>
          </w:p>
        </w:tc>
        <w:tc>
          <w:tcPr>
            <w:tcW w:w="1243" w:type="dxa"/>
            <w:tcBorders>
              <w:top w:val="double" w:color="auto" w:sz="6" w:space="0"/>
              <w:bottom w:val="single" w:color="auto" w:sz="6" w:space="0"/>
            </w:tcBorders>
            <w:noWrap w:val="0"/>
            <w:vAlign w:val="center"/>
          </w:tcPr>
          <w:p w14:paraId="2A5FCDE9">
            <w:pPr>
              <w:pStyle w:val="66"/>
              <w:bidi w:val="0"/>
              <w:rPr>
                <w:lang w:val="en-US" w:eastAsia="zh-CN"/>
              </w:rPr>
            </w:pPr>
          </w:p>
        </w:tc>
        <w:tc>
          <w:tcPr>
            <w:tcW w:w="1450" w:type="dxa"/>
            <w:tcBorders>
              <w:top w:val="double" w:color="auto" w:sz="6" w:space="0"/>
              <w:bottom w:val="single" w:color="auto" w:sz="6" w:space="0"/>
            </w:tcBorders>
            <w:noWrap w:val="0"/>
            <w:vAlign w:val="center"/>
          </w:tcPr>
          <w:p w14:paraId="37CD11CA">
            <w:pPr>
              <w:pStyle w:val="66"/>
              <w:bidi w:val="0"/>
              <w:rPr>
                <w:lang w:val="en-US" w:eastAsia="zh-CN"/>
              </w:rPr>
            </w:pPr>
          </w:p>
        </w:tc>
        <w:tc>
          <w:tcPr>
            <w:tcW w:w="1667" w:type="dxa"/>
            <w:tcBorders>
              <w:top w:val="double" w:color="auto" w:sz="6" w:space="0"/>
              <w:bottom w:val="single" w:color="auto" w:sz="6" w:space="0"/>
            </w:tcBorders>
            <w:noWrap w:val="0"/>
            <w:vAlign w:val="center"/>
          </w:tcPr>
          <w:p w14:paraId="748497BB">
            <w:pPr>
              <w:pStyle w:val="66"/>
              <w:bidi w:val="0"/>
              <w:rPr>
                <w:lang w:val="en-US" w:eastAsia="zh-CN"/>
              </w:rPr>
            </w:pPr>
          </w:p>
        </w:tc>
      </w:tr>
      <w:tr w14:paraId="1FD93A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953" w:type="dxa"/>
            <w:tcBorders>
              <w:top w:val="nil"/>
            </w:tcBorders>
            <w:noWrap w:val="0"/>
            <w:vAlign w:val="center"/>
          </w:tcPr>
          <w:p w14:paraId="3691B605">
            <w:pPr>
              <w:pStyle w:val="66"/>
              <w:bidi w:val="0"/>
              <w:rPr>
                <w:lang w:val="en-US" w:eastAsia="zh-CN"/>
              </w:rPr>
            </w:pPr>
          </w:p>
        </w:tc>
        <w:tc>
          <w:tcPr>
            <w:tcW w:w="1276" w:type="dxa"/>
            <w:tcBorders>
              <w:top w:val="nil"/>
            </w:tcBorders>
            <w:noWrap w:val="0"/>
            <w:vAlign w:val="center"/>
          </w:tcPr>
          <w:p w14:paraId="36E1FE2C">
            <w:pPr>
              <w:pStyle w:val="66"/>
              <w:bidi w:val="0"/>
              <w:rPr>
                <w:lang w:val="en-US" w:eastAsia="zh-CN"/>
              </w:rPr>
            </w:pPr>
          </w:p>
        </w:tc>
        <w:tc>
          <w:tcPr>
            <w:tcW w:w="1450" w:type="dxa"/>
            <w:tcBorders>
              <w:top w:val="nil"/>
            </w:tcBorders>
            <w:noWrap w:val="0"/>
            <w:vAlign w:val="center"/>
          </w:tcPr>
          <w:p w14:paraId="67724FEE">
            <w:pPr>
              <w:pStyle w:val="66"/>
              <w:bidi w:val="0"/>
              <w:rPr>
                <w:lang w:val="en-US" w:eastAsia="zh-CN"/>
              </w:rPr>
            </w:pPr>
          </w:p>
        </w:tc>
        <w:tc>
          <w:tcPr>
            <w:tcW w:w="1243" w:type="dxa"/>
            <w:tcBorders>
              <w:top w:val="nil"/>
            </w:tcBorders>
            <w:noWrap w:val="0"/>
            <w:vAlign w:val="center"/>
          </w:tcPr>
          <w:p w14:paraId="1560E775">
            <w:pPr>
              <w:pStyle w:val="66"/>
              <w:bidi w:val="0"/>
              <w:rPr>
                <w:lang w:val="en-US" w:eastAsia="zh-CN"/>
              </w:rPr>
            </w:pPr>
          </w:p>
        </w:tc>
        <w:tc>
          <w:tcPr>
            <w:tcW w:w="1450" w:type="dxa"/>
            <w:tcBorders>
              <w:top w:val="nil"/>
            </w:tcBorders>
            <w:noWrap w:val="0"/>
            <w:vAlign w:val="center"/>
          </w:tcPr>
          <w:p w14:paraId="4FF84045">
            <w:pPr>
              <w:pStyle w:val="66"/>
              <w:bidi w:val="0"/>
              <w:rPr>
                <w:lang w:val="en-US" w:eastAsia="zh-CN"/>
              </w:rPr>
            </w:pPr>
          </w:p>
        </w:tc>
        <w:tc>
          <w:tcPr>
            <w:tcW w:w="1667" w:type="dxa"/>
            <w:tcBorders>
              <w:top w:val="nil"/>
            </w:tcBorders>
            <w:noWrap w:val="0"/>
            <w:vAlign w:val="center"/>
          </w:tcPr>
          <w:p w14:paraId="3F3F9EF8">
            <w:pPr>
              <w:pStyle w:val="66"/>
              <w:bidi w:val="0"/>
              <w:rPr>
                <w:lang w:val="en-US" w:eastAsia="zh-CN"/>
              </w:rPr>
            </w:pPr>
          </w:p>
        </w:tc>
      </w:tr>
      <w:tr w14:paraId="7074F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6D8B664">
            <w:pPr>
              <w:pStyle w:val="66"/>
              <w:bidi w:val="0"/>
              <w:rPr>
                <w:lang w:val="en-US" w:eastAsia="zh-CN"/>
              </w:rPr>
            </w:pPr>
          </w:p>
        </w:tc>
        <w:tc>
          <w:tcPr>
            <w:tcW w:w="1276" w:type="dxa"/>
            <w:noWrap w:val="0"/>
            <w:vAlign w:val="center"/>
          </w:tcPr>
          <w:p w14:paraId="6C94ECAA">
            <w:pPr>
              <w:pStyle w:val="66"/>
              <w:bidi w:val="0"/>
              <w:rPr>
                <w:lang w:val="en-US" w:eastAsia="zh-CN"/>
              </w:rPr>
            </w:pPr>
          </w:p>
        </w:tc>
        <w:tc>
          <w:tcPr>
            <w:tcW w:w="1450" w:type="dxa"/>
            <w:noWrap w:val="0"/>
            <w:vAlign w:val="center"/>
          </w:tcPr>
          <w:p w14:paraId="11E5185A">
            <w:pPr>
              <w:pStyle w:val="66"/>
              <w:bidi w:val="0"/>
              <w:rPr>
                <w:lang w:val="en-US" w:eastAsia="zh-CN"/>
              </w:rPr>
            </w:pPr>
          </w:p>
        </w:tc>
        <w:tc>
          <w:tcPr>
            <w:tcW w:w="1243" w:type="dxa"/>
            <w:noWrap w:val="0"/>
            <w:vAlign w:val="center"/>
          </w:tcPr>
          <w:p w14:paraId="06FC99B9">
            <w:pPr>
              <w:pStyle w:val="66"/>
              <w:bidi w:val="0"/>
              <w:rPr>
                <w:lang w:val="en-US" w:eastAsia="zh-CN"/>
              </w:rPr>
            </w:pPr>
          </w:p>
        </w:tc>
        <w:tc>
          <w:tcPr>
            <w:tcW w:w="1450" w:type="dxa"/>
            <w:noWrap w:val="0"/>
            <w:vAlign w:val="center"/>
          </w:tcPr>
          <w:p w14:paraId="64DE1316">
            <w:pPr>
              <w:pStyle w:val="66"/>
              <w:bidi w:val="0"/>
              <w:rPr>
                <w:lang w:val="en-US" w:eastAsia="zh-CN"/>
              </w:rPr>
            </w:pPr>
          </w:p>
        </w:tc>
        <w:tc>
          <w:tcPr>
            <w:tcW w:w="1667" w:type="dxa"/>
            <w:noWrap w:val="0"/>
            <w:vAlign w:val="center"/>
          </w:tcPr>
          <w:p w14:paraId="2404F21D">
            <w:pPr>
              <w:pStyle w:val="66"/>
              <w:bidi w:val="0"/>
              <w:rPr>
                <w:lang w:val="en-US" w:eastAsia="zh-CN"/>
              </w:rPr>
            </w:pPr>
          </w:p>
        </w:tc>
      </w:tr>
      <w:tr w14:paraId="16BBF6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06769D">
            <w:pPr>
              <w:pStyle w:val="66"/>
              <w:bidi w:val="0"/>
              <w:rPr>
                <w:lang w:val="en-US" w:eastAsia="zh-CN"/>
              </w:rPr>
            </w:pPr>
          </w:p>
        </w:tc>
        <w:tc>
          <w:tcPr>
            <w:tcW w:w="1276" w:type="dxa"/>
            <w:noWrap w:val="0"/>
            <w:vAlign w:val="center"/>
          </w:tcPr>
          <w:p w14:paraId="0AECABA4">
            <w:pPr>
              <w:pStyle w:val="66"/>
              <w:bidi w:val="0"/>
              <w:rPr>
                <w:lang w:val="en-US" w:eastAsia="zh-CN"/>
              </w:rPr>
            </w:pPr>
          </w:p>
        </w:tc>
        <w:tc>
          <w:tcPr>
            <w:tcW w:w="1450" w:type="dxa"/>
            <w:noWrap w:val="0"/>
            <w:vAlign w:val="center"/>
          </w:tcPr>
          <w:p w14:paraId="1F63B835">
            <w:pPr>
              <w:pStyle w:val="66"/>
              <w:bidi w:val="0"/>
              <w:rPr>
                <w:lang w:val="en-US" w:eastAsia="zh-CN"/>
              </w:rPr>
            </w:pPr>
          </w:p>
        </w:tc>
        <w:tc>
          <w:tcPr>
            <w:tcW w:w="1243" w:type="dxa"/>
            <w:noWrap w:val="0"/>
            <w:vAlign w:val="center"/>
          </w:tcPr>
          <w:p w14:paraId="4D296F77">
            <w:pPr>
              <w:pStyle w:val="66"/>
              <w:bidi w:val="0"/>
              <w:rPr>
                <w:lang w:val="en-US" w:eastAsia="zh-CN"/>
              </w:rPr>
            </w:pPr>
          </w:p>
        </w:tc>
        <w:tc>
          <w:tcPr>
            <w:tcW w:w="1450" w:type="dxa"/>
            <w:noWrap w:val="0"/>
            <w:vAlign w:val="center"/>
          </w:tcPr>
          <w:p w14:paraId="45EB58E1">
            <w:pPr>
              <w:pStyle w:val="66"/>
              <w:bidi w:val="0"/>
              <w:rPr>
                <w:lang w:val="en-US" w:eastAsia="zh-CN"/>
              </w:rPr>
            </w:pPr>
          </w:p>
        </w:tc>
        <w:tc>
          <w:tcPr>
            <w:tcW w:w="1667" w:type="dxa"/>
            <w:noWrap w:val="0"/>
            <w:vAlign w:val="center"/>
          </w:tcPr>
          <w:p w14:paraId="76C274D7">
            <w:pPr>
              <w:pStyle w:val="66"/>
              <w:bidi w:val="0"/>
              <w:rPr>
                <w:lang w:val="en-US" w:eastAsia="zh-CN"/>
              </w:rPr>
            </w:pPr>
          </w:p>
        </w:tc>
      </w:tr>
      <w:tr w14:paraId="2A162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737B3D96">
            <w:pPr>
              <w:pStyle w:val="66"/>
              <w:bidi w:val="0"/>
              <w:rPr>
                <w:lang w:val="en-US" w:eastAsia="zh-CN"/>
              </w:rPr>
            </w:pPr>
          </w:p>
        </w:tc>
        <w:tc>
          <w:tcPr>
            <w:tcW w:w="1276" w:type="dxa"/>
            <w:noWrap w:val="0"/>
            <w:vAlign w:val="center"/>
          </w:tcPr>
          <w:p w14:paraId="0E71BBA7">
            <w:pPr>
              <w:pStyle w:val="66"/>
              <w:bidi w:val="0"/>
              <w:rPr>
                <w:lang w:val="en-US" w:eastAsia="zh-CN"/>
              </w:rPr>
            </w:pPr>
          </w:p>
        </w:tc>
        <w:tc>
          <w:tcPr>
            <w:tcW w:w="1450" w:type="dxa"/>
            <w:noWrap w:val="0"/>
            <w:vAlign w:val="center"/>
          </w:tcPr>
          <w:p w14:paraId="3F466688">
            <w:pPr>
              <w:pStyle w:val="66"/>
              <w:bidi w:val="0"/>
              <w:rPr>
                <w:lang w:val="en-US" w:eastAsia="zh-CN"/>
              </w:rPr>
            </w:pPr>
          </w:p>
        </w:tc>
        <w:tc>
          <w:tcPr>
            <w:tcW w:w="1243" w:type="dxa"/>
            <w:noWrap w:val="0"/>
            <w:vAlign w:val="center"/>
          </w:tcPr>
          <w:p w14:paraId="4B19795E">
            <w:pPr>
              <w:pStyle w:val="66"/>
              <w:bidi w:val="0"/>
              <w:rPr>
                <w:lang w:val="en-US" w:eastAsia="zh-CN"/>
              </w:rPr>
            </w:pPr>
          </w:p>
        </w:tc>
        <w:tc>
          <w:tcPr>
            <w:tcW w:w="1450" w:type="dxa"/>
            <w:noWrap w:val="0"/>
            <w:vAlign w:val="center"/>
          </w:tcPr>
          <w:p w14:paraId="16F642C8">
            <w:pPr>
              <w:pStyle w:val="66"/>
              <w:bidi w:val="0"/>
              <w:rPr>
                <w:lang w:val="en-US" w:eastAsia="zh-CN"/>
              </w:rPr>
            </w:pPr>
          </w:p>
        </w:tc>
        <w:tc>
          <w:tcPr>
            <w:tcW w:w="1667" w:type="dxa"/>
            <w:noWrap w:val="0"/>
            <w:vAlign w:val="center"/>
          </w:tcPr>
          <w:p w14:paraId="19A883B0">
            <w:pPr>
              <w:pStyle w:val="66"/>
              <w:bidi w:val="0"/>
              <w:rPr>
                <w:lang w:val="en-US" w:eastAsia="zh-CN"/>
              </w:rPr>
            </w:pPr>
          </w:p>
        </w:tc>
      </w:tr>
      <w:tr w14:paraId="50057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75AFC07">
            <w:pPr>
              <w:pStyle w:val="66"/>
              <w:bidi w:val="0"/>
              <w:rPr>
                <w:lang w:val="en-US" w:eastAsia="zh-CN"/>
              </w:rPr>
            </w:pPr>
          </w:p>
        </w:tc>
        <w:tc>
          <w:tcPr>
            <w:tcW w:w="1276" w:type="dxa"/>
            <w:noWrap w:val="0"/>
            <w:vAlign w:val="center"/>
          </w:tcPr>
          <w:p w14:paraId="6B291C17">
            <w:pPr>
              <w:pStyle w:val="66"/>
              <w:bidi w:val="0"/>
              <w:rPr>
                <w:lang w:val="en-US" w:eastAsia="zh-CN"/>
              </w:rPr>
            </w:pPr>
          </w:p>
        </w:tc>
        <w:tc>
          <w:tcPr>
            <w:tcW w:w="1450" w:type="dxa"/>
            <w:noWrap w:val="0"/>
            <w:vAlign w:val="center"/>
          </w:tcPr>
          <w:p w14:paraId="396135CD">
            <w:pPr>
              <w:pStyle w:val="66"/>
              <w:bidi w:val="0"/>
              <w:rPr>
                <w:lang w:val="en-US" w:eastAsia="zh-CN"/>
              </w:rPr>
            </w:pPr>
          </w:p>
        </w:tc>
        <w:tc>
          <w:tcPr>
            <w:tcW w:w="1243" w:type="dxa"/>
            <w:noWrap w:val="0"/>
            <w:vAlign w:val="center"/>
          </w:tcPr>
          <w:p w14:paraId="384F8B7A">
            <w:pPr>
              <w:pStyle w:val="66"/>
              <w:bidi w:val="0"/>
              <w:rPr>
                <w:lang w:val="en-US" w:eastAsia="zh-CN"/>
              </w:rPr>
            </w:pPr>
          </w:p>
        </w:tc>
        <w:tc>
          <w:tcPr>
            <w:tcW w:w="1450" w:type="dxa"/>
            <w:noWrap w:val="0"/>
            <w:vAlign w:val="center"/>
          </w:tcPr>
          <w:p w14:paraId="2AA419B6">
            <w:pPr>
              <w:pStyle w:val="66"/>
              <w:bidi w:val="0"/>
              <w:rPr>
                <w:lang w:val="en-US" w:eastAsia="zh-CN"/>
              </w:rPr>
            </w:pPr>
          </w:p>
        </w:tc>
        <w:tc>
          <w:tcPr>
            <w:tcW w:w="1667" w:type="dxa"/>
            <w:noWrap w:val="0"/>
            <w:vAlign w:val="center"/>
          </w:tcPr>
          <w:p w14:paraId="2D1AA4EE">
            <w:pPr>
              <w:pStyle w:val="66"/>
              <w:bidi w:val="0"/>
              <w:rPr>
                <w:lang w:val="en-US" w:eastAsia="zh-CN"/>
              </w:rPr>
            </w:pPr>
          </w:p>
        </w:tc>
      </w:tr>
      <w:tr w14:paraId="712C1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2FCE426">
            <w:pPr>
              <w:pStyle w:val="66"/>
              <w:bidi w:val="0"/>
              <w:rPr>
                <w:lang w:val="en-US" w:eastAsia="zh-CN"/>
              </w:rPr>
            </w:pPr>
          </w:p>
        </w:tc>
        <w:tc>
          <w:tcPr>
            <w:tcW w:w="1276" w:type="dxa"/>
            <w:noWrap w:val="0"/>
            <w:vAlign w:val="center"/>
          </w:tcPr>
          <w:p w14:paraId="2A9B406B">
            <w:pPr>
              <w:pStyle w:val="66"/>
              <w:bidi w:val="0"/>
              <w:rPr>
                <w:lang w:val="en-US" w:eastAsia="zh-CN"/>
              </w:rPr>
            </w:pPr>
          </w:p>
        </w:tc>
        <w:tc>
          <w:tcPr>
            <w:tcW w:w="1450" w:type="dxa"/>
            <w:noWrap w:val="0"/>
            <w:vAlign w:val="center"/>
          </w:tcPr>
          <w:p w14:paraId="28C15E16">
            <w:pPr>
              <w:pStyle w:val="66"/>
              <w:bidi w:val="0"/>
              <w:rPr>
                <w:lang w:val="en-US" w:eastAsia="zh-CN"/>
              </w:rPr>
            </w:pPr>
          </w:p>
        </w:tc>
        <w:tc>
          <w:tcPr>
            <w:tcW w:w="1243" w:type="dxa"/>
            <w:noWrap w:val="0"/>
            <w:vAlign w:val="center"/>
          </w:tcPr>
          <w:p w14:paraId="0A338D67">
            <w:pPr>
              <w:pStyle w:val="66"/>
              <w:bidi w:val="0"/>
              <w:rPr>
                <w:lang w:val="en-US" w:eastAsia="zh-CN"/>
              </w:rPr>
            </w:pPr>
          </w:p>
        </w:tc>
        <w:tc>
          <w:tcPr>
            <w:tcW w:w="1450" w:type="dxa"/>
            <w:noWrap w:val="0"/>
            <w:vAlign w:val="center"/>
          </w:tcPr>
          <w:p w14:paraId="64275E95">
            <w:pPr>
              <w:pStyle w:val="66"/>
              <w:bidi w:val="0"/>
              <w:rPr>
                <w:lang w:val="en-US" w:eastAsia="zh-CN"/>
              </w:rPr>
            </w:pPr>
          </w:p>
        </w:tc>
        <w:tc>
          <w:tcPr>
            <w:tcW w:w="1667" w:type="dxa"/>
            <w:noWrap w:val="0"/>
            <w:vAlign w:val="center"/>
          </w:tcPr>
          <w:p w14:paraId="6D0448C3">
            <w:pPr>
              <w:pStyle w:val="66"/>
              <w:bidi w:val="0"/>
              <w:rPr>
                <w:lang w:val="en-US" w:eastAsia="zh-CN"/>
              </w:rPr>
            </w:pPr>
          </w:p>
        </w:tc>
      </w:tr>
      <w:tr w14:paraId="2F9AC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812F688">
            <w:pPr>
              <w:pStyle w:val="66"/>
              <w:bidi w:val="0"/>
              <w:rPr>
                <w:lang w:val="en-US" w:eastAsia="zh-CN"/>
              </w:rPr>
            </w:pPr>
          </w:p>
        </w:tc>
        <w:tc>
          <w:tcPr>
            <w:tcW w:w="1276" w:type="dxa"/>
            <w:noWrap w:val="0"/>
            <w:vAlign w:val="center"/>
          </w:tcPr>
          <w:p w14:paraId="7ABD49A9">
            <w:pPr>
              <w:pStyle w:val="66"/>
              <w:bidi w:val="0"/>
              <w:rPr>
                <w:lang w:val="en-US" w:eastAsia="zh-CN"/>
              </w:rPr>
            </w:pPr>
          </w:p>
        </w:tc>
        <w:tc>
          <w:tcPr>
            <w:tcW w:w="1450" w:type="dxa"/>
            <w:noWrap w:val="0"/>
            <w:vAlign w:val="center"/>
          </w:tcPr>
          <w:p w14:paraId="18D04DD1">
            <w:pPr>
              <w:pStyle w:val="66"/>
              <w:bidi w:val="0"/>
              <w:rPr>
                <w:lang w:val="en-US" w:eastAsia="zh-CN"/>
              </w:rPr>
            </w:pPr>
          </w:p>
        </w:tc>
        <w:tc>
          <w:tcPr>
            <w:tcW w:w="1243" w:type="dxa"/>
            <w:noWrap w:val="0"/>
            <w:vAlign w:val="center"/>
          </w:tcPr>
          <w:p w14:paraId="1A3CBD87">
            <w:pPr>
              <w:pStyle w:val="66"/>
              <w:bidi w:val="0"/>
              <w:rPr>
                <w:lang w:val="en-US" w:eastAsia="zh-CN"/>
              </w:rPr>
            </w:pPr>
          </w:p>
        </w:tc>
        <w:tc>
          <w:tcPr>
            <w:tcW w:w="1450" w:type="dxa"/>
            <w:noWrap w:val="0"/>
            <w:vAlign w:val="center"/>
          </w:tcPr>
          <w:p w14:paraId="40D50331">
            <w:pPr>
              <w:pStyle w:val="66"/>
              <w:bidi w:val="0"/>
              <w:rPr>
                <w:lang w:val="en-US" w:eastAsia="zh-CN"/>
              </w:rPr>
            </w:pPr>
          </w:p>
        </w:tc>
        <w:tc>
          <w:tcPr>
            <w:tcW w:w="1667" w:type="dxa"/>
            <w:noWrap w:val="0"/>
            <w:vAlign w:val="center"/>
          </w:tcPr>
          <w:p w14:paraId="6F46C8B6">
            <w:pPr>
              <w:pStyle w:val="66"/>
              <w:bidi w:val="0"/>
              <w:rPr>
                <w:lang w:val="en-US" w:eastAsia="zh-CN"/>
              </w:rPr>
            </w:pPr>
          </w:p>
        </w:tc>
      </w:tr>
      <w:tr w14:paraId="6EAFFD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C0BBA1">
            <w:pPr>
              <w:pStyle w:val="66"/>
              <w:bidi w:val="0"/>
            </w:pPr>
          </w:p>
        </w:tc>
        <w:tc>
          <w:tcPr>
            <w:tcW w:w="1276" w:type="dxa"/>
            <w:noWrap w:val="0"/>
            <w:vAlign w:val="top"/>
          </w:tcPr>
          <w:p w14:paraId="496A1F18">
            <w:pPr>
              <w:pStyle w:val="66"/>
              <w:bidi w:val="0"/>
            </w:pPr>
          </w:p>
        </w:tc>
        <w:tc>
          <w:tcPr>
            <w:tcW w:w="1450" w:type="dxa"/>
            <w:noWrap w:val="0"/>
            <w:vAlign w:val="top"/>
          </w:tcPr>
          <w:p w14:paraId="5DF46E17">
            <w:pPr>
              <w:pStyle w:val="66"/>
              <w:bidi w:val="0"/>
            </w:pPr>
          </w:p>
        </w:tc>
        <w:tc>
          <w:tcPr>
            <w:tcW w:w="1243" w:type="dxa"/>
            <w:noWrap w:val="0"/>
            <w:vAlign w:val="top"/>
          </w:tcPr>
          <w:p w14:paraId="22539F00">
            <w:pPr>
              <w:pStyle w:val="66"/>
              <w:bidi w:val="0"/>
            </w:pPr>
          </w:p>
        </w:tc>
        <w:tc>
          <w:tcPr>
            <w:tcW w:w="1450" w:type="dxa"/>
            <w:noWrap w:val="0"/>
            <w:vAlign w:val="top"/>
          </w:tcPr>
          <w:p w14:paraId="76BEC75E">
            <w:pPr>
              <w:pStyle w:val="66"/>
              <w:bidi w:val="0"/>
            </w:pPr>
          </w:p>
        </w:tc>
        <w:tc>
          <w:tcPr>
            <w:tcW w:w="1667" w:type="dxa"/>
            <w:noWrap w:val="0"/>
            <w:vAlign w:val="top"/>
          </w:tcPr>
          <w:p w14:paraId="50D06EDC">
            <w:pPr>
              <w:pStyle w:val="66"/>
              <w:bidi w:val="0"/>
            </w:pPr>
          </w:p>
        </w:tc>
      </w:tr>
      <w:tr w14:paraId="33C44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5B9A3826">
            <w:pPr>
              <w:pStyle w:val="66"/>
              <w:bidi w:val="0"/>
              <w:rPr>
                <w:lang w:val="en-US" w:eastAsia="zh-CN"/>
              </w:rPr>
            </w:pPr>
          </w:p>
        </w:tc>
        <w:tc>
          <w:tcPr>
            <w:tcW w:w="1276" w:type="dxa"/>
            <w:noWrap w:val="0"/>
            <w:vAlign w:val="center"/>
          </w:tcPr>
          <w:p w14:paraId="40038F57">
            <w:pPr>
              <w:pStyle w:val="66"/>
              <w:bidi w:val="0"/>
              <w:rPr>
                <w:lang w:val="en-US" w:eastAsia="zh-CN"/>
              </w:rPr>
            </w:pPr>
          </w:p>
        </w:tc>
        <w:tc>
          <w:tcPr>
            <w:tcW w:w="1450" w:type="dxa"/>
            <w:noWrap w:val="0"/>
            <w:vAlign w:val="center"/>
          </w:tcPr>
          <w:p w14:paraId="18AEDCC5">
            <w:pPr>
              <w:pStyle w:val="66"/>
              <w:bidi w:val="0"/>
              <w:rPr>
                <w:lang w:val="en-US" w:eastAsia="zh-CN"/>
              </w:rPr>
            </w:pPr>
          </w:p>
        </w:tc>
        <w:tc>
          <w:tcPr>
            <w:tcW w:w="1243" w:type="dxa"/>
            <w:noWrap w:val="0"/>
            <w:vAlign w:val="center"/>
          </w:tcPr>
          <w:p w14:paraId="096ED45E">
            <w:pPr>
              <w:pStyle w:val="66"/>
              <w:bidi w:val="0"/>
              <w:rPr>
                <w:lang w:val="en-US" w:eastAsia="zh-CN"/>
              </w:rPr>
            </w:pPr>
          </w:p>
        </w:tc>
        <w:tc>
          <w:tcPr>
            <w:tcW w:w="1450" w:type="dxa"/>
            <w:noWrap w:val="0"/>
            <w:vAlign w:val="center"/>
          </w:tcPr>
          <w:p w14:paraId="6A583543">
            <w:pPr>
              <w:pStyle w:val="66"/>
              <w:bidi w:val="0"/>
              <w:rPr>
                <w:lang w:val="en-US" w:eastAsia="zh-CN"/>
              </w:rPr>
            </w:pPr>
          </w:p>
        </w:tc>
        <w:tc>
          <w:tcPr>
            <w:tcW w:w="1667" w:type="dxa"/>
            <w:noWrap w:val="0"/>
            <w:vAlign w:val="center"/>
          </w:tcPr>
          <w:p w14:paraId="784AD96F">
            <w:pPr>
              <w:pStyle w:val="66"/>
              <w:bidi w:val="0"/>
              <w:rPr>
                <w:lang w:val="en-US" w:eastAsia="zh-CN"/>
              </w:rPr>
            </w:pPr>
          </w:p>
        </w:tc>
      </w:tr>
      <w:tr w14:paraId="48A39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A21806B">
            <w:pPr>
              <w:pStyle w:val="66"/>
              <w:bidi w:val="0"/>
            </w:pPr>
          </w:p>
        </w:tc>
        <w:tc>
          <w:tcPr>
            <w:tcW w:w="1276" w:type="dxa"/>
            <w:noWrap w:val="0"/>
            <w:vAlign w:val="top"/>
          </w:tcPr>
          <w:p w14:paraId="20397F29">
            <w:pPr>
              <w:pStyle w:val="66"/>
              <w:bidi w:val="0"/>
            </w:pPr>
          </w:p>
        </w:tc>
        <w:tc>
          <w:tcPr>
            <w:tcW w:w="1450" w:type="dxa"/>
            <w:noWrap w:val="0"/>
            <w:vAlign w:val="top"/>
          </w:tcPr>
          <w:p w14:paraId="6CAE1357">
            <w:pPr>
              <w:pStyle w:val="66"/>
              <w:bidi w:val="0"/>
            </w:pPr>
          </w:p>
        </w:tc>
        <w:tc>
          <w:tcPr>
            <w:tcW w:w="1243" w:type="dxa"/>
            <w:noWrap w:val="0"/>
            <w:vAlign w:val="top"/>
          </w:tcPr>
          <w:p w14:paraId="1748B743">
            <w:pPr>
              <w:pStyle w:val="66"/>
              <w:bidi w:val="0"/>
            </w:pPr>
          </w:p>
        </w:tc>
        <w:tc>
          <w:tcPr>
            <w:tcW w:w="1450" w:type="dxa"/>
            <w:noWrap w:val="0"/>
            <w:vAlign w:val="top"/>
          </w:tcPr>
          <w:p w14:paraId="48D27FDB">
            <w:pPr>
              <w:pStyle w:val="66"/>
              <w:bidi w:val="0"/>
            </w:pPr>
          </w:p>
        </w:tc>
        <w:tc>
          <w:tcPr>
            <w:tcW w:w="1667" w:type="dxa"/>
            <w:noWrap w:val="0"/>
            <w:vAlign w:val="top"/>
          </w:tcPr>
          <w:p w14:paraId="59C75DC4">
            <w:pPr>
              <w:pStyle w:val="66"/>
              <w:bidi w:val="0"/>
            </w:pPr>
          </w:p>
        </w:tc>
      </w:tr>
      <w:tr w14:paraId="5A52B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33A857">
            <w:pPr>
              <w:pStyle w:val="66"/>
              <w:bidi w:val="0"/>
            </w:pPr>
          </w:p>
        </w:tc>
        <w:tc>
          <w:tcPr>
            <w:tcW w:w="1276" w:type="dxa"/>
            <w:noWrap w:val="0"/>
            <w:vAlign w:val="top"/>
          </w:tcPr>
          <w:p w14:paraId="123E2A6F">
            <w:pPr>
              <w:pStyle w:val="66"/>
              <w:bidi w:val="0"/>
            </w:pPr>
          </w:p>
        </w:tc>
        <w:tc>
          <w:tcPr>
            <w:tcW w:w="1450" w:type="dxa"/>
            <w:noWrap w:val="0"/>
            <w:vAlign w:val="top"/>
          </w:tcPr>
          <w:p w14:paraId="0A32A8EA">
            <w:pPr>
              <w:pStyle w:val="66"/>
              <w:bidi w:val="0"/>
            </w:pPr>
          </w:p>
        </w:tc>
        <w:tc>
          <w:tcPr>
            <w:tcW w:w="1243" w:type="dxa"/>
            <w:noWrap w:val="0"/>
            <w:vAlign w:val="top"/>
          </w:tcPr>
          <w:p w14:paraId="60778CD2">
            <w:pPr>
              <w:pStyle w:val="66"/>
              <w:bidi w:val="0"/>
            </w:pPr>
          </w:p>
        </w:tc>
        <w:tc>
          <w:tcPr>
            <w:tcW w:w="1450" w:type="dxa"/>
            <w:noWrap w:val="0"/>
            <w:vAlign w:val="top"/>
          </w:tcPr>
          <w:p w14:paraId="5E0E1734">
            <w:pPr>
              <w:pStyle w:val="66"/>
              <w:bidi w:val="0"/>
            </w:pPr>
          </w:p>
        </w:tc>
        <w:tc>
          <w:tcPr>
            <w:tcW w:w="1667" w:type="dxa"/>
            <w:noWrap w:val="0"/>
            <w:vAlign w:val="top"/>
          </w:tcPr>
          <w:p w14:paraId="785364BF">
            <w:pPr>
              <w:pStyle w:val="66"/>
              <w:bidi w:val="0"/>
            </w:pPr>
          </w:p>
        </w:tc>
      </w:tr>
      <w:tr w14:paraId="4AB2CC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A19804F">
            <w:pPr>
              <w:pStyle w:val="66"/>
              <w:bidi w:val="0"/>
            </w:pPr>
          </w:p>
        </w:tc>
        <w:tc>
          <w:tcPr>
            <w:tcW w:w="1276" w:type="dxa"/>
            <w:noWrap w:val="0"/>
            <w:vAlign w:val="top"/>
          </w:tcPr>
          <w:p w14:paraId="5C81C307">
            <w:pPr>
              <w:pStyle w:val="66"/>
              <w:bidi w:val="0"/>
            </w:pPr>
          </w:p>
        </w:tc>
        <w:tc>
          <w:tcPr>
            <w:tcW w:w="1450" w:type="dxa"/>
            <w:noWrap w:val="0"/>
            <w:vAlign w:val="top"/>
          </w:tcPr>
          <w:p w14:paraId="603BE437">
            <w:pPr>
              <w:pStyle w:val="66"/>
              <w:bidi w:val="0"/>
            </w:pPr>
          </w:p>
        </w:tc>
        <w:tc>
          <w:tcPr>
            <w:tcW w:w="1243" w:type="dxa"/>
            <w:noWrap w:val="0"/>
            <w:vAlign w:val="top"/>
          </w:tcPr>
          <w:p w14:paraId="517E6C4A">
            <w:pPr>
              <w:pStyle w:val="66"/>
              <w:bidi w:val="0"/>
            </w:pPr>
          </w:p>
        </w:tc>
        <w:tc>
          <w:tcPr>
            <w:tcW w:w="1450" w:type="dxa"/>
            <w:noWrap w:val="0"/>
            <w:vAlign w:val="top"/>
          </w:tcPr>
          <w:p w14:paraId="32544EFC">
            <w:pPr>
              <w:pStyle w:val="66"/>
              <w:bidi w:val="0"/>
            </w:pPr>
          </w:p>
        </w:tc>
        <w:tc>
          <w:tcPr>
            <w:tcW w:w="1667" w:type="dxa"/>
            <w:noWrap w:val="0"/>
            <w:vAlign w:val="top"/>
          </w:tcPr>
          <w:p w14:paraId="04881884">
            <w:pPr>
              <w:pStyle w:val="66"/>
              <w:bidi w:val="0"/>
            </w:pPr>
          </w:p>
        </w:tc>
      </w:tr>
      <w:tr w14:paraId="357DCA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5C14107">
            <w:pPr>
              <w:pStyle w:val="66"/>
              <w:bidi w:val="0"/>
            </w:pPr>
          </w:p>
        </w:tc>
        <w:tc>
          <w:tcPr>
            <w:tcW w:w="1276" w:type="dxa"/>
            <w:noWrap w:val="0"/>
            <w:vAlign w:val="top"/>
          </w:tcPr>
          <w:p w14:paraId="2D7AA108">
            <w:pPr>
              <w:pStyle w:val="66"/>
              <w:bidi w:val="0"/>
            </w:pPr>
          </w:p>
        </w:tc>
        <w:tc>
          <w:tcPr>
            <w:tcW w:w="1450" w:type="dxa"/>
            <w:noWrap w:val="0"/>
            <w:vAlign w:val="top"/>
          </w:tcPr>
          <w:p w14:paraId="0B9DB55F">
            <w:pPr>
              <w:pStyle w:val="66"/>
              <w:bidi w:val="0"/>
            </w:pPr>
          </w:p>
        </w:tc>
        <w:tc>
          <w:tcPr>
            <w:tcW w:w="1243" w:type="dxa"/>
            <w:noWrap w:val="0"/>
            <w:vAlign w:val="top"/>
          </w:tcPr>
          <w:p w14:paraId="697F3885">
            <w:pPr>
              <w:pStyle w:val="66"/>
              <w:bidi w:val="0"/>
            </w:pPr>
          </w:p>
        </w:tc>
        <w:tc>
          <w:tcPr>
            <w:tcW w:w="1450" w:type="dxa"/>
            <w:noWrap w:val="0"/>
            <w:vAlign w:val="top"/>
          </w:tcPr>
          <w:p w14:paraId="2A7B5BD4">
            <w:pPr>
              <w:pStyle w:val="66"/>
              <w:bidi w:val="0"/>
            </w:pPr>
          </w:p>
        </w:tc>
        <w:tc>
          <w:tcPr>
            <w:tcW w:w="1667" w:type="dxa"/>
            <w:noWrap w:val="0"/>
            <w:vAlign w:val="top"/>
          </w:tcPr>
          <w:p w14:paraId="16AB9297">
            <w:pPr>
              <w:pStyle w:val="66"/>
              <w:bidi w:val="0"/>
            </w:pPr>
          </w:p>
        </w:tc>
      </w:tr>
      <w:tr w14:paraId="29CE0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855CE94">
            <w:pPr>
              <w:pStyle w:val="66"/>
              <w:bidi w:val="0"/>
            </w:pPr>
          </w:p>
        </w:tc>
        <w:tc>
          <w:tcPr>
            <w:tcW w:w="1276" w:type="dxa"/>
            <w:noWrap w:val="0"/>
            <w:vAlign w:val="top"/>
          </w:tcPr>
          <w:p w14:paraId="5BDACC26">
            <w:pPr>
              <w:pStyle w:val="66"/>
              <w:bidi w:val="0"/>
            </w:pPr>
          </w:p>
        </w:tc>
        <w:tc>
          <w:tcPr>
            <w:tcW w:w="1450" w:type="dxa"/>
            <w:noWrap w:val="0"/>
            <w:vAlign w:val="top"/>
          </w:tcPr>
          <w:p w14:paraId="2DCD529F">
            <w:pPr>
              <w:pStyle w:val="66"/>
              <w:bidi w:val="0"/>
            </w:pPr>
          </w:p>
        </w:tc>
        <w:tc>
          <w:tcPr>
            <w:tcW w:w="1243" w:type="dxa"/>
            <w:noWrap w:val="0"/>
            <w:vAlign w:val="top"/>
          </w:tcPr>
          <w:p w14:paraId="7A80B6D9">
            <w:pPr>
              <w:pStyle w:val="66"/>
              <w:bidi w:val="0"/>
            </w:pPr>
          </w:p>
        </w:tc>
        <w:tc>
          <w:tcPr>
            <w:tcW w:w="1450" w:type="dxa"/>
            <w:noWrap w:val="0"/>
            <w:vAlign w:val="top"/>
          </w:tcPr>
          <w:p w14:paraId="7A82EF47">
            <w:pPr>
              <w:pStyle w:val="66"/>
              <w:bidi w:val="0"/>
            </w:pPr>
          </w:p>
        </w:tc>
        <w:tc>
          <w:tcPr>
            <w:tcW w:w="1667" w:type="dxa"/>
            <w:noWrap w:val="0"/>
            <w:vAlign w:val="top"/>
          </w:tcPr>
          <w:p w14:paraId="3F645B30">
            <w:pPr>
              <w:pStyle w:val="66"/>
              <w:bidi w:val="0"/>
            </w:pPr>
          </w:p>
        </w:tc>
      </w:tr>
      <w:tr w14:paraId="28E54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6CFB120">
            <w:pPr>
              <w:pStyle w:val="66"/>
              <w:bidi w:val="0"/>
            </w:pPr>
          </w:p>
        </w:tc>
        <w:tc>
          <w:tcPr>
            <w:tcW w:w="1276" w:type="dxa"/>
            <w:noWrap w:val="0"/>
            <w:vAlign w:val="top"/>
          </w:tcPr>
          <w:p w14:paraId="6C76D331">
            <w:pPr>
              <w:pStyle w:val="66"/>
              <w:bidi w:val="0"/>
            </w:pPr>
          </w:p>
        </w:tc>
        <w:tc>
          <w:tcPr>
            <w:tcW w:w="1450" w:type="dxa"/>
            <w:noWrap w:val="0"/>
            <w:vAlign w:val="top"/>
          </w:tcPr>
          <w:p w14:paraId="2E9CAE09">
            <w:pPr>
              <w:pStyle w:val="66"/>
              <w:bidi w:val="0"/>
            </w:pPr>
          </w:p>
        </w:tc>
        <w:tc>
          <w:tcPr>
            <w:tcW w:w="1243" w:type="dxa"/>
            <w:noWrap w:val="0"/>
            <w:vAlign w:val="top"/>
          </w:tcPr>
          <w:p w14:paraId="13A0BE94">
            <w:pPr>
              <w:pStyle w:val="66"/>
              <w:bidi w:val="0"/>
            </w:pPr>
          </w:p>
        </w:tc>
        <w:tc>
          <w:tcPr>
            <w:tcW w:w="1450" w:type="dxa"/>
            <w:noWrap w:val="0"/>
            <w:vAlign w:val="top"/>
          </w:tcPr>
          <w:p w14:paraId="5D6CC6BF">
            <w:pPr>
              <w:pStyle w:val="66"/>
              <w:bidi w:val="0"/>
            </w:pPr>
          </w:p>
        </w:tc>
        <w:tc>
          <w:tcPr>
            <w:tcW w:w="1667" w:type="dxa"/>
            <w:noWrap w:val="0"/>
            <w:vAlign w:val="top"/>
          </w:tcPr>
          <w:p w14:paraId="68A94419">
            <w:pPr>
              <w:pStyle w:val="66"/>
              <w:bidi w:val="0"/>
            </w:pPr>
          </w:p>
        </w:tc>
      </w:tr>
      <w:tr w14:paraId="2849BC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644762C">
            <w:pPr>
              <w:pStyle w:val="66"/>
              <w:bidi w:val="0"/>
            </w:pPr>
          </w:p>
        </w:tc>
        <w:tc>
          <w:tcPr>
            <w:tcW w:w="1276" w:type="dxa"/>
            <w:noWrap w:val="0"/>
            <w:vAlign w:val="top"/>
          </w:tcPr>
          <w:p w14:paraId="2DA1DCC1">
            <w:pPr>
              <w:pStyle w:val="66"/>
              <w:bidi w:val="0"/>
            </w:pPr>
          </w:p>
        </w:tc>
        <w:tc>
          <w:tcPr>
            <w:tcW w:w="1450" w:type="dxa"/>
            <w:noWrap w:val="0"/>
            <w:vAlign w:val="top"/>
          </w:tcPr>
          <w:p w14:paraId="0675DC47">
            <w:pPr>
              <w:pStyle w:val="66"/>
              <w:bidi w:val="0"/>
            </w:pPr>
          </w:p>
        </w:tc>
        <w:tc>
          <w:tcPr>
            <w:tcW w:w="1243" w:type="dxa"/>
            <w:noWrap w:val="0"/>
            <w:vAlign w:val="top"/>
          </w:tcPr>
          <w:p w14:paraId="3A23F178">
            <w:pPr>
              <w:pStyle w:val="66"/>
              <w:bidi w:val="0"/>
            </w:pPr>
          </w:p>
        </w:tc>
        <w:tc>
          <w:tcPr>
            <w:tcW w:w="1450" w:type="dxa"/>
            <w:noWrap w:val="0"/>
            <w:vAlign w:val="top"/>
          </w:tcPr>
          <w:p w14:paraId="44A3A464">
            <w:pPr>
              <w:pStyle w:val="66"/>
              <w:bidi w:val="0"/>
            </w:pPr>
          </w:p>
        </w:tc>
        <w:tc>
          <w:tcPr>
            <w:tcW w:w="1667" w:type="dxa"/>
            <w:noWrap w:val="0"/>
            <w:vAlign w:val="top"/>
          </w:tcPr>
          <w:p w14:paraId="600CA774">
            <w:pPr>
              <w:pStyle w:val="66"/>
              <w:bidi w:val="0"/>
            </w:pPr>
          </w:p>
        </w:tc>
      </w:tr>
      <w:tr w14:paraId="4A87B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259A777">
            <w:pPr>
              <w:pStyle w:val="66"/>
              <w:bidi w:val="0"/>
            </w:pPr>
          </w:p>
        </w:tc>
        <w:tc>
          <w:tcPr>
            <w:tcW w:w="1276" w:type="dxa"/>
            <w:noWrap w:val="0"/>
            <w:vAlign w:val="top"/>
          </w:tcPr>
          <w:p w14:paraId="0D588B06">
            <w:pPr>
              <w:pStyle w:val="66"/>
              <w:bidi w:val="0"/>
            </w:pPr>
          </w:p>
        </w:tc>
        <w:tc>
          <w:tcPr>
            <w:tcW w:w="1450" w:type="dxa"/>
            <w:noWrap w:val="0"/>
            <w:vAlign w:val="top"/>
          </w:tcPr>
          <w:p w14:paraId="2E61C8CB">
            <w:pPr>
              <w:pStyle w:val="66"/>
              <w:bidi w:val="0"/>
            </w:pPr>
          </w:p>
        </w:tc>
        <w:tc>
          <w:tcPr>
            <w:tcW w:w="1243" w:type="dxa"/>
            <w:noWrap w:val="0"/>
            <w:vAlign w:val="top"/>
          </w:tcPr>
          <w:p w14:paraId="235A0227">
            <w:pPr>
              <w:pStyle w:val="66"/>
              <w:bidi w:val="0"/>
            </w:pPr>
          </w:p>
        </w:tc>
        <w:tc>
          <w:tcPr>
            <w:tcW w:w="1450" w:type="dxa"/>
            <w:noWrap w:val="0"/>
            <w:vAlign w:val="top"/>
          </w:tcPr>
          <w:p w14:paraId="7E610299">
            <w:pPr>
              <w:pStyle w:val="66"/>
              <w:bidi w:val="0"/>
            </w:pPr>
          </w:p>
        </w:tc>
        <w:tc>
          <w:tcPr>
            <w:tcW w:w="1667" w:type="dxa"/>
            <w:noWrap w:val="0"/>
            <w:vAlign w:val="top"/>
          </w:tcPr>
          <w:p w14:paraId="231C61D3">
            <w:pPr>
              <w:pStyle w:val="66"/>
              <w:bidi w:val="0"/>
            </w:pPr>
          </w:p>
        </w:tc>
      </w:tr>
      <w:tr w14:paraId="08909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3BA4D6">
            <w:pPr>
              <w:pStyle w:val="66"/>
              <w:bidi w:val="0"/>
            </w:pPr>
          </w:p>
        </w:tc>
        <w:tc>
          <w:tcPr>
            <w:tcW w:w="1276" w:type="dxa"/>
            <w:noWrap w:val="0"/>
            <w:vAlign w:val="top"/>
          </w:tcPr>
          <w:p w14:paraId="7DAA4C86">
            <w:pPr>
              <w:pStyle w:val="66"/>
              <w:bidi w:val="0"/>
            </w:pPr>
          </w:p>
        </w:tc>
        <w:tc>
          <w:tcPr>
            <w:tcW w:w="1450" w:type="dxa"/>
            <w:noWrap w:val="0"/>
            <w:vAlign w:val="top"/>
          </w:tcPr>
          <w:p w14:paraId="66D5FC2D">
            <w:pPr>
              <w:pStyle w:val="66"/>
              <w:bidi w:val="0"/>
            </w:pPr>
          </w:p>
        </w:tc>
        <w:tc>
          <w:tcPr>
            <w:tcW w:w="1243" w:type="dxa"/>
            <w:noWrap w:val="0"/>
            <w:vAlign w:val="top"/>
          </w:tcPr>
          <w:p w14:paraId="473076E7">
            <w:pPr>
              <w:pStyle w:val="66"/>
              <w:bidi w:val="0"/>
            </w:pPr>
          </w:p>
        </w:tc>
        <w:tc>
          <w:tcPr>
            <w:tcW w:w="1450" w:type="dxa"/>
            <w:noWrap w:val="0"/>
            <w:vAlign w:val="top"/>
          </w:tcPr>
          <w:p w14:paraId="58683469">
            <w:pPr>
              <w:pStyle w:val="66"/>
              <w:bidi w:val="0"/>
            </w:pPr>
          </w:p>
        </w:tc>
        <w:tc>
          <w:tcPr>
            <w:tcW w:w="1667" w:type="dxa"/>
            <w:noWrap w:val="0"/>
            <w:vAlign w:val="top"/>
          </w:tcPr>
          <w:p w14:paraId="125FC504">
            <w:pPr>
              <w:pStyle w:val="66"/>
              <w:bidi w:val="0"/>
            </w:pPr>
          </w:p>
        </w:tc>
      </w:tr>
    </w:tbl>
    <w:p w14:paraId="2B7A3185">
      <w:pPr>
        <w:spacing w:line="440" w:lineRule="exact"/>
        <w:rPr>
          <w:rFonts w:hint="eastAsia" w:ascii="Times New Roman" w:hAnsi="Times New Roman" w:eastAsia="仿宋_GB2312"/>
          <w:color w:val="000000"/>
          <w:sz w:val="30"/>
          <w:szCs w:val="30"/>
        </w:rPr>
      </w:pPr>
    </w:p>
    <w:p w14:paraId="7DC272E4">
      <w:pPr>
        <w:rPr>
          <w:rFonts w:ascii="Times New Roman" w:hAnsi="Times New Roman" w:eastAsia="仿宋_GB2312"/>
          <w:color w:val="000000"/>
          <w:sz w:val="30"/>
          <w:szCs w:val="30"/>
        </w:rPr>
      </w:pPr>
      <w:r>
        <w:rPr>
          <w:rFonts w:ascii="Times New Roman" w:hAnsi="Times New Roman" w:eastAsia="仿宋_GB2312"/>
          <w:color w:val="000000"/>
          <w:sz w:val="30"/>
          <w:szCs w:val="30"/>
        </w:rPr>
        <w:br w:type="page"/>
      </w:r>
    </w:p>
    <w:p w14:paraId="6F2A0605">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51" w:name="_Toc267261698"/>
      <w:bookmarkStart w:id="852" w:name="_Toc296347226"/>
      <w:bookmarkStart w:id="853" w:name="_Toc296346728"/>
      <w:bookmarkStart w:id="854" w:name="_Toc296503227"/>
      <w:bookmarkStart w:id="855" w:name="_Toc296891055"/>
      <w:bookmarkStart w:id="856" w:name="_Toc296944566"/>
      <w:bookmarkStart w:id="857" w:name="_Toc296891267"/>
      <w:r>
        <w:rPr>
          <w:rFonts w:ascii="Times New Roman" w:hAnsi="Times New Roman" w:eastAsia="仿宋_GB2312"/>
          <w:color w:val="000000"/>
          <w:sz w:val="30"/>
          <w:szCs w:val="30"/>
        </w:rPr>
        <w:t>件5：</w:t>
      </w:r>
    </w:p>
    <w:bookmarkEnd w:id="851"/>
    <w:bookmarkEnd w:id="852"/>
    <w:bookmarkEnd w:id="853"/>
    <w:bookmarkEnd w:id="854"/>
    <w:bookmarkEnd w:id="855"/>
    <w:bookmarkEnd w:id="856"/>
    <w:bookmarkEnd w:id="857"/>
    <w:p w14:paraId="579EA876">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承包人用于本工程施工的机械设备表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A32EE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14:paraId="5D980D43">
            <w:pPr>
              <w:pStyle w:val="66"/>
              <w:bidi w:val="0"/>
              <w:rPr>
                <w:lang w:val="en-US" w:eastAsia="zh-CN"/>
              </w:rPr>
            </w:pPr>
            <w:r>
              <w:rPr>
                <w:lang w:val="en-US" w:eastAsia="zh-CN"/>
              </w:rPr>
              <w:t>序号</w:t>
            </w:r>
          </w:p>
        </w:tc>
        <w:tc>
          <w:tcPr>
            <w:tcW w:w="1418" w:type="dxa"/>
            <w:tcBorders>
              <w:top w:val="single" w:color="auto" w:sz="12" w:space="0"/>
              <w:bottom w:val="double" w:color="auto" w:sz="6" w:space="0"/>
            </w:tcBorders>
            <w:noWrap w:val="0"/>
            <w:vAlign w:val="center"/>
          </w:tcPr>
          <w:p w14:paraId="28FB6CA4">
            <w:pPr>
              <w:pStyle w:val="66"/>
              <w:bidi w:val="0"/>
              <w:rPr>
                <w:lang w:val="en-US" w:eastAsia="zh-CN"/>
              </w:rPr>
            </w:pPr>
            <w:r>
              <w:rPr>
                <w:lang w:val="en-US" w:eastAsia="zh-CN"/>
              </w:rPr>
              <w:t>机械或设备名称</w:t>
            </w:r>
          </w:p>
        </w:tc>
        <w:tc>
          <w:tcPr>
            <w:tcW w:w="850" w:type="dxa"/>
            <w:tcBorders>
              <w:top w:val="single" w:color="auto" w:sz="12" w:space="0"/>
              <w:bottom w:val="double" w:color="auto" w:sz="6" w:space="0"/>
            </w:tcBorders>
            <w:noWrap w:val="0"/>
            <w:vAlign w:val="center"/>
          </w:tcPr>
          <w:p w14:paraId="2B7F5C5A">
            <w:pPr>
              <w:pStyle w:val="66"/>
              <w:bidi w:val="0"/>
              <w:rPr>
                <w:lang w:val="en-US" w:eastAsia="zh-CN"/>
              </w:rPr>
            </w:pPr>
            <w:r>
              <w:rPr>
                <w:lang w:val="en-US" w:eastAsia="zh-CN"/>
              </w:rPr>
              <w:t>规格型号</w:t>
            </w:r>
          </w:p>
        </w:tc>
        <w:tc>
          <w:tcPr>
            <w:tcW w:w="1058" w:type="dxa"/>
            <w:tcBorders>
              <w:top w:val="single" w:color="auto" w:sz="12" w:space="0"/>
              <w:bottom w:val="double" w:color="auto" w:sz="6" w:space="0"/>
            </w:tcBorders>
            <w:noWrap w:val="0"/>
            <w:vAlign w:val="center"/>
          </w:tcPr>
          <w:p w14:paraId="70435274">
            <w:pPr>
              <w:pStyle w:val="66"/>
              <w:bidi w:val="0"/>
              <w:rPr>
                <w:lang w:val="en-US" w:eastAsia="zh-CN"/>
              </w:rPr>
            </w:pPr>
            <w:r>
              <w:rPr>
                <w:lang w:val="en-US" w:eastAsia="zh-CN"/>
              </w:rPr>
              <w:t>数量</w:t>
            </w:r>
          </w:p>
        </w:tc>
        <w:tc>
          <w:tcPr>
            <w:tcW w:w="880" w:type="dxa"/>
            <w:tcBorders>
              <w:top w:val="single" w:color="auto" w:sz="12" w:space="0"/>
              <w:bottom w:val="double" w:color="auto" w:sz="6" w:space="0"/>
            </w:tcBorders>
            <w:noWrap w:val="0"/>
            <w:vAlign w:val="center"/>
          </w:tcPr>
          <w:p w14:paraId="7F1DEFEA">
            <w:pPr>
              <w:pStyle w:val="66"/>
              <w:bidi w:val="0"/>
              <w:rPr>
                <w:lang w:val="en-US" w:eastAsia="zh-CN"/>
              </w:rPr>
            </w:pPr>
            <w:r>
              <w:rPr>
                <w:lang w:val="en-US" w:eastAsia="zh-CN"/>
              </w:rPr>
              <w:t>产地</w:t>
            </w:r>
          </w:p>
        </w:tc>
        <w:tc>
          <w:tcPr>
            <w:tcW w:w="1020" w:type="dxa"/>
            <w:tcBorders>
              <w:top w:val="single" w:color="auto" w:sz="12" w:space="0"/>
              <w:bottom w:val="double" w:color="auto" w:sz="6" w:space="0"/>
            </w:tcBorders>
            <w:noWrap w:val="0"/>
            <w:vAlign w:val="center"/>
          </w:tcPr>
          <w:p w14:paraId="38D635D1">
            <w:pPr>
              <w:pStyle w:val="66"/>
              <w:bidi w:val="0"/>
              <w:rPr>
                <w:lang w:val="en-US" w:eastAsia="zh-CN"/>
              </w:rPr>
            </w:pPr>
            <w:r>
              <w:rPr>
                <w:lang w:val="en-US" w:eastAsia="zh-CN"/>
              </w:rPr>
              <w:t>制造年份</w:t>
            </w:r>
          </w:p>
        </w:tc>
        <w:tc>
          <w:tcPr>
            <w:tcW w:w="1480" w:type="dxa"/>
            <w:tcBorders>
              <w:top w:val="single" w:color="auto" w:sz="12" w:space="0"/>
              <w:bottom w:val="double" w:color="auto" w:sz="6" w:space="0"/>
            </w:tcBorders>
            <w:noWrap w:val="0"/>
            <w:vAlign w:val="center"/>
          </w:tcPr>
          <w:p w14:paraId="466C89B8">
            <w:pPr>
              <w:pStyle w:val="66"/>
              <w:bidi w:val="0"/>
              <w:rPr>
                <w:lang w:val="en-US" w:eastAsia="zh-CN"/>
              </w:rPr>
            </w:pPr>
            <w:r>
              <w:rPr>
                <w:lang w:val="en-US" w:eastAsia="zh-CN"/>
              </w:rPr>
              <w:t>额定功率(kW)</w:t>
            </w:r>
          </w:p>
        </w:tc>
        <w:tc>
          <w:tcPr>
            <w:tcW w:w="1020" w:type="dxa"/>
            <w:tcBorders>
              <w:top w:val="single" w:color="auto" w:sz="12" w:space="0"/>
              <w:bottom w:val="double" w:color="auto" w:sz="6" w:space="0"/>
            </w:tcBorders>
            <w:noWrap w:val="0"/>
            <w:vAlign w:val="center"/>
          </w:tcPr>
          <w:p w14:paraId="159EEB2F">
            <w:pPr>
              <w:pStyle w:val="66"/>
              <w:bidi w:val="0"/>
              <w:rPr>
                <w:lang w:val="en-US" w:eastAsia="zh-CN"/>
              </w:rPr>
            </w:pPr>
            <w:r>
              <w:rPr>
                <w:lang w:val="en-US" w:eastAsia="zh-CN"/>
              </w:rPr>
              <w:t>生产能力</w:t>
            </w:r>
          </w:p>
        </w:tc>
        <w:tc>
          <w:tcPr>
            <w:tcW w:w="921" w:type="dxa"/>
            <w:tcBorders>
              <w:top w:val="single" w:color="auto" w:sz="12" w:space="0"/>
              <w:bottom w:val="double" w:color="auto" w:sz="6" w:space="0"/>
            </w:tcBorders>
            <w:noWrap w:val="0"/>
            <w:vAlign w:val="center"/>
          </w:tcPr>
          <w:p w14:paraId="1258E6D9">
            <w:pPr>
              <w:pStyle w:val="66"/>
              <w:bidi w:val="0"/>
              <w:rPr>
                <w:lang w:val="en-US" w:eastAsia="zh-CN"/>
              </w:rPr>
            </w:pPr>
            <w:r>
              <w:rPr>
                <w:lang w:val="en-US" w:eastAsia="zh-CN"/>
              </w:rPr>
              <w:t>备注</w:t>
            </w:r>
          </w:p>
        </w:tc>
      </w:tr>
      <w:tr w14:paraId="6C4D1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14:paraId="67B0695D">
            <w:pPr>
              <w:pStyle w:val="66"/>
              <w:bidi w:val="0"/>
              <w:rPr>
                <w:lang w:val="en-US" w:eastAsia="zh-CN"/>
              </w:rPr>
            </w:pPr>
          </w:p>
        </w:tc>
        <w:tc>
          <w:tcPr>
            <w:tcW w:w="1418" w:type="dxa"/>
            <w:tcBorders>
              <w:top w:val="double" w:color="auto" w:sz="6" w:space="0"/>
              <w:bottom w:val="single" w:color="auto" w:sz="6" w:space="0"/>
            </w:tcBorders>
            <w:noWrap w:val="0"/>
            <w:vAlign w:val="center"/>
          </w:tcPr>
          <w:p w14:paraId="701AC11F">
            <w:pPr>
              <w:pStyle w:val="66"/>
              <w:bidi w:val="0"/>
              <w:rPr>
                <w:lang w:val="en-US" w:eastAsia="zh-CN"/>
              </w:rPr>
            </w:pPr>
          </w:p>
        </w:tc>
        <w:tc>
          <w:tcPr>
            <w:tcW w:w="850" w:type="dxa"/>
            <w:tcBorders>
              <w:top w:val="double" w:color="auto" w:sz="6" w:space="0"/>
              <w:bottom w:val="single" w:color="auto" w:sz="6" w:space="0"/>
            </w:tcBorders>
            <w:noWrap w:val="0"/>
            <w:vAlign w:val="center"/>
          </w:tcPr>
          <w:p w14:paraId="0890F930">
            <w:pPr>
              <w:pStyle w:val="66"/>
              <w:bidi w:val="0"/>
              <w:rPr>
                <w:lang w:val="en-US" w:eastAsia="zh-CN"/>
              </w:rPr>
            </w:pPr>
          </w:p>
        </w:tc>
        <w:tc>
          <w:tcPr>
            <w:tcW w:w="1058" w:type="dxa"/>
            <w:tcBorders>
              <w:top w:val="double" w:color="auto" w:sz="6" w:space="0"/>
              <w:bottom w:val="single" w:color="auto" w:sz="6" w:space="0"/>
            </w:tcBorders>
            <w:noWrap w:val="0"/>
            <w:vAlign w:val="center"/>
          </w:tcPr>
          <w:p w14:paraId="6924D293">
            <w:pPr>
              <w:pStyle w:val="66"/>
              <w:bidi w:val="0"/>
              <w:rPr>
                <w:lang w:val="en-US" w:eastAsia="zh-CN"/>
              </w:rPr>
            </w:pPr>
          </w:p>
        </w:tc>
        <w:tc>
          <w:tcPr>
            <w:tcW w:w="880" w:type="dxa"/>
            <w:tcBorders>
              <w:top w:val="double" w:color="auto" w:sz="6" w:space="0"/>
              <w:bottom w:val="single" w:color="auto" w:sz="6" w:space="0"/>
            </w:tcBorders>
            <w:noWrap w:val="0"/>
            <w:vAlign w:val="center"/>
          </w:tcPr>
          <w:p w14:paraId="595C9516">
            <w:pPr>
              <w:pStyle w:val="66"/>
              <w:bidi w:val="0"/>
              <w:rPr>
                <w:lang w:val="en-US" w:eastAsia="zh-CN"/>
              </w:rPr>
            </w:pPr>
          </w:p>
        </w:tc>
        <w:tc>
          <w:tcPr>
            <w:tcW w:w="1020" w:type="dxa"/>
            <w:tcBorders>
              <w:top w:val="double" w:color="auto" w:sz="6" w:space="0"/>
              <w:bottom w:val="single" w:color="auto" w:sz="6" w:space="0"/>
            </w:tcBorders>
            <w:noWrap w:val="0"/>
            <w:vAlign w:val="center"/>
          </w:tcPr>
          <w:p w14:paraId="57D031F0">
            <w:pPr>
              <w:pStyle w:val="66"/>
              <w:bidi w:val="0"/>
              <w:rPr>
                <w:lang w:val="en-US" w:eastAsia="zh-CN"/>
              </w:rPr>
            </w:pPr>
          </w:p>
        </w:tc>
        <w:tc>
          <w:tcPr>
            <w:tcW w:w="1480" w:type="dxa"/>
            <w:tcBorders>
              <w:top w:val="double" w:color="auto" w:sz="6" w:space="0"/>
              <w:bottom w:val="single" w:color="auto" w:sz="6" w:space="0"/>
            </w:tcBorders>
            <w:noWrap w:val="0"/>
            <w:vAlign w:val="center"/>
          </w:tcPr>
          <w:p w14:paraId="6CE0D740">
            <w:pPr>
              <w:pStyle w:val="66"/>
              <w:bidi w:val="0"/>
              <w:rPr>
                <w:lang w:val="en-US" w:eastAsia="zh-CN"/>
              </w:rPr>
            </w:pPr>
          </w:p>
        </w:tc>
        <w:tc>
          <w:tcPr>
            <w:tcW w:w="1020" w:type="dxa"/>
            <w:tcBorders>
              <w:top w:val="double" w:color="auto" w:sz="6" w:space="0"/>
              <w:bottom w:val="single" w:color="auto" w:sz="6" w:space="0"/>
            </w:tcBorders>
            <w:noWrap w:val="0"/>
            <w:vAlign w:val="center"/>
          </w:tcPr>
          <w:p w14:paraId="2BC79D3F">
            <w:pPr>
              <w:pStyle w:val="66"/>
              <w:bidi w:val="0"/>
              <w:rPr>
                <w:lang w:val="en-US" w:eastAsia="zh-CN"/>
              </w:rPr>
            </w:pPr>
          </w:p>
        </w:tc>
        <w:tc>
          <w:tcPr>
            <w:tcW w:w="921" w:type="dxa"/>
            <w:tcBorders>
              <w:top w:val="double" w:color="auto" w:sz="6" w:space="0"/>
              <w:bottom w:val="single" w:color="auto" w:sz="6" w:space="0"/>
            </w:tcBorders>
            <w:noWrap w:val="0"/>
            <w:vAlign w:val="center"/>
          </w:tcPr>
          <w:p w14:paraId="338A2D6E">
            <w:pPr>
              <w:pStyle w:val="66"/>
              <w:bidi w:val="0"/>
              <w:rPr>
                <w:lang w:val="en-US" w:eastAsia="zh-CN"/>
              </w:rPr>
            </w:pPr>
          </w:p>
        </w:tc>
      </w:tr>
      <w:tr w14:paraId="61359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14:paraId="12970348">
            <w:pPr>
              <w:pStyle w:val="66"/>
              <w:bidi w:val="0"/>
              <w:rPr>
                <w:lang w:val="en-US" w:eastAsia="zh-CN"/>
              </w:rPr>
            </w:pPr>
          </w:p>
        </w:tc>
        <w:tc>
          <w:tcPr>
            <w:tcW w:w="1418" w:type="dxa"/>
            <w:tcBorders>
              <w:top w:val="nil"/>
            </w:tcBorders>
            <w:noWrap w:val="0"/>
            <w:vAlign w:val="center"/>
          </w:tcPr>
          <w:p w14:paraId="537C438B">
            <w:pPr>
              <w:pStyle w:val="66"/>
              <w:bidi w:val="0"/>
              <w:rPr>
                <w:lang w:val="en-US" w:eastAsia="zh-CN"/>
              </w:rPr>
            </w:pPr>
          </w:p>
        </w:tc>
        <w:tc>
          <w:tcPr>
            <w:tcW w:w="850" w:type="dxa"/>
            <w:tcBorders>
              <w:top w:val="nil"/>
            </w:tcBorders>
            <w:noWrap w:val="0"/>
            <w:vAlign w:val="center"/>
          </w:tcPr>
          <w:p w14:paraId="20283FFF">
            <w:pPr>
              <w:pStyle w:val="66"/>
              <w:bidi w:val="0"/>
              <w:rPr>
                <w:lang w:val="en-US" w:eastAsia="zh-CN"/>
              </w:rPr>
            </w:pPr>
          </w:p>
        </w:tc>
        <w:tc>
          <w:tcPr>
            <w:tcW w:w="1058" w:type="dxa"/>
            <w:tcBorders>
              <w:top w:val="nil"/>
            </w:tcBorders>
            <w:noWrap w:val="0"/>
            <w:vAlign w:val="center"/>
          </w:tcPr>
          <w:p w14:paraId="1A72E60B">
            <w:pPr>
              <w:pStyle w:val="66"/>
              <w:bidi w:val="0"/>
              <w:rPr>
                <w:lang w:val="en-US" w:eastAsia="zh-CN"/>
              </w:rPr>
            </w:pPr>
          </w:p>
        </w:tc>
        <w:tc>
          <w:tcPr>
            <w:tcW w:w="880" w:type="dxa"/>
            <w:tcBorders>
              <w:top w:val="nil"/>
            </w:tcBorders>
            <w:noWrap w:val="0"/>
            <w:vAlign w:val="center"/>
          </w:tcPr>
          <w:p w14:paraId="17351D47">
            <w:pPr>
              <w:pStyle w:val="66"/>
              <w:bidi w:val="0"/>
              <w:rPr>
                <w:lang w:val="en-US" w:eastAsia="zh-CN"/>
              </w:rPr>
            </w:pPr>
          </w:p>
        </w:tc>
        <w:tc>
          <w:tcPr>
            <w:tcW w:w="1020" w:type="dxa"/>
            <w:tcBorders>
              <w:top w:val="nil"/>
            </w:tcBorders>
            <w:noWrap w:val="0"/>
            <w:vAlign w:val="center"/>
          </w:tcPr>
          <w:p w14:paraId="33DF5F2C">
            <w:pPr>
              <w:pStyle w:val="66"/>
              <w:bidi w:val="0"/>
              <w:rPr>
                <w:lang w:val="en-US" w:eastAsia="zh-CN"/>
              </w:rPr>
            </w:pPr>
          </w:p>
        </w:tc>
        <w:tc>
          <w:tcPr>
            <w:tcW w:w="1480" w:type="dxa"/>
            <w:tcBorders>
              <w:top w:val="nil"/>
            </w:tcBorders>
            <w:noWrap w:val="0"/>
            <w:vAlign w:val="center"/>
          </w:tcPr>
          <w:p w14:paraId="0D552509">
            <w:pPr>
              <w:pStyle w:val="66"/>
              <w:bidi w:val="0"/>
              <w:rPr>
                <w:lang w:val="en-US" w:eastAsia="zh-CN"/>
              </w:rPr>
            </w:pPr>
          </w:p>
        </w:tc>
        <w:tc>
          <w:tcPr>
            <w:tcW w:w="1020" w:type="dxa"/>
            <w:tcBorders>
              <w:top w:val="nil"/>
            </w:tcBorders>
            <w:noWrap w:val="0"/>
            <w:vAlign w:val="center"/>
          </w:tcPr>
          <w:p w14:paraId="4B4E8863">
            <w:pPr>
              <w:pStyle w:val="66"/>
              <w:bidi w:val="0"/>
              <w:rPr>
                <w:lang w:val="en-US" w:eastAsia="zh-CN"/>
              </w:rPr>
            </w:pPr>
          </w:p>
        </w:tc>
        <w:tc>
          <w:tcPr>
            <w:tcW w:w="921" w:type="dxa"/>
            <w:tcBorders>
              <w:top w:val="nil"/>
            </w:tcBorders>
            <w:noWrap w:val="0"/>
            <w:vAlign w:val="center"/>
          </w:tcPr>
          <w:p w14:paraId="7EF15255">
            <w:pPr>
              <w:pStyle w:val="66"/>
              <w:bidi w:val="0"/>
              <w:rPr>
                <w:lang w:val="en-US" w:eastAsia="zh-CN"/>
              </w:rPr>
            </w:pPr>
          </w:p>
        </w:tc>
      </w:tr>
      <w:tr w14:paraId="790EC7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90EFFD3">
            <w:pPr>
              <w:pStyle w:val="66"/>
              <w:bidi w:val="0"/>
              <w:rPr>
                <w:lang w:val="en-US" w:eastAsia="zh-CN"/>
              </w:rPr>
            </w:pPr>
          </w:p>
        </w:tc>
        <w:tc>
          <w:tcPr>
            <w:tcW w:w="1418" w:type="dxa"/>
            <w:noWrap w:val="0"/>
            <w:vAlign w:val="center"/>
          </w:tcPr>
          <w:p w14:paraId="24B35426">
            <w:pPr>
              <w:pStyle w:val="66"/>
              <w:bidi w:val="0"/>
              <w:rPr>
                <w:lang w:val="en-US" w:eastAsia="zh-CN"/>
              </w:rPr>
            </w:pPr>
          </w:p>
        </w:tc>
        <w:tc>
          <w:tcPr>
            <w:tcW w:w="850" w:type="dxa"/>
            <w:noWrap w:val="0"/>
            <w:vAlign w:val="center"/>
          </w:tcPr>
          <w:p w14:paraId="0C2D98AF">
            <w:pPr>
              <w:pStyle w:val="66"/>
              <w:bidi w:val="0"/>
              <w:rPr>
                <w:lang w:val="en-US" w:eastAsia="zh-CN"/>
              </w:rPr>
            </w:pPr>
          </w:p>
        </w:tc>
        <w:tc>
          <w:tcPr>
            <w:tcW w:w="1058" w:type="dxa"/>
            <w:noWrap w:val="0"/>
            <w:vAlign w:val="center"/>
          </w:tcPr>
          <w:p w14:paraId="4475A293">
            <w:pPr>
              <w:pStyle w:val="66"/>
              <w:bidi w:val="0"/>
              <w:rPr>
                <w:lang w:val="en-US" w:eastAsia="zh-CN"/>
              </w:rPr>
            </w:pPr>
          </w:p>
        </w:tc>
        <w:tc>
          <w:tcPr>
            <w:tcW w:w="880" w:type="dxa"/>
            <w:noWrap w:val="0"/>
            <w:vAlign w:val="center"/>
          </w:tcPr>
          <w:p w14:paraId="3B0C81BD">
            <w:pPr>
              <w:pStyle w:val="66"/>
              <w:bidi w:val="0"/>
              <w:rPr>
                <w:lang w:val="en-US" w:eastAsia="zh-CN"/>
              </w:rPr>
            </w:pPr>
          </w:p>
        </w:tc>
        <w:tc>
          <w:tcPr>
            <w:tcW w:w="1020" w:type="dxa"/>
            <w:noWrap w:val="0"/>
            <w:vAlign w:val="center"/>
          </w:tcPr>
          <w:p w14:paraId="1292EE63">
            <w:pPr>
              <w:pStyle w:val="66"/>
              <w:bidi w:val="0"/>
              <w:rPr>
                <w:lang w:val="en-US" w:eastAsia="zh-CN"/>
              </w:rPr>
            </w:pPr>
          </w:p>
        </w:tc>
        <w:tc>
          <w:tcPr>
            <w:tcW w:w="1480" w:type="dxa"/>
            <w:noWrap w:val="0"/>
            <w:vAlign w:val="center"/>
          </w:tcPr>
          <w:p w14:paraId="60826F9F">
            <w:pPr>
              <w:pStyle w:val="66"/>
              <w:bidi w:val="0"/>
              <w:rPr>
                <w:lang w:val="en-US" w:eastAsia="zh-CN"/>
              </w:rPr>
            </w:pPr>
          </w:p>
        </w:tc>
        <w:tc>
          <w:tcPr>
            <w:tcW w:w="1020" w:type="dxa"/>
            <w:noWrap w:val="0"/>
            <w:vAlign w:val="center"/>
          </w:tcPr>
          <w:p w14:paraId="4572B1C4">
            <w:pPr>
              <w:pStyle w:val="66"/>
              <w:bidi w:val="0"/>
              <w:rPr>
                <w:lang w:val="en-US" w:eastAsia="zh-CN"/>
              </w:rPr>
            </w:pPr>
          </w:p>
        </w:tc>
        <w:tc>
          <w:tcPr>
            <w:tcW w:w="921" w:type="dxa"/>
            <w:noWrap w:val="0"/>
            <w:vAlign w:val="center"/>
          </w:tcPr>
          <w:p w14:paraId="02435299">
            <w:pPr>
              <w:pStyle w:val="66"/>
              <w:bidi w:val="0"/>
              <w:rPr>
                <w:lang w:val="en-US" w:eastAsia="zh-CN"/>
              </w:rPr>
            </w:pPr>
          </w:p>
        </w:tc>
      </w:tr>
      <w:tr w14:paraId="3A63A4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3D833FCD">
            <w:pPr>
              <w:pStyle w:val="66"/>
              <w:bidi w:val="0"/>
              <w:rPr>
                <w:lang w:val="en-US" w:eastAsia="zh-CN"/>
              </w:rPr>
            </w:pPr>
          </w:p>
        </w:tc>
        <w:tc>
          <w:tcPr>
            <w:tcW w:w="1418" w:type="dxa"/>
            <w:noWrap w:val="0"/>
            <w:vAlign w:val="center"/>
          </w:tcPr>
          <w:p w14:paraId="68E56DAD">
            <w:pPr>
              <w:pStyle w:val="66"/>
              <w:bidi w:val="0"/>
              <w:rPr>
                <w:lang w:val="en-US" w:eastAsia="zh-CN"/>
              </w:rPr>
            </w:pPr>
          </w:p>
        </w:tc>
        <w:tc>
          <w:tcPr>
            <w:tcW w:w="850" w:type="dxa"/>
            <w:noWrap w:val="0"/>
            <w:vAlign w:val="center"/>
          </w:tcPr>
          <w:p w14:paraId="21829C0D">
            <w:pPr>
              <w:pStyle w:val="66"/>
              <w:bidi w:val="0"/>
              <w:rPr>
                <w:lang w:val="en-US" w:eastAsia="zh-CN"/>
              </w:rPr>
            </w:pPr>
          </w:p>
        </w:tc>
        <w:tc>
          <w:tcPr>
            <w:tcW w:w="1058" w:type="dxa"/>
            <w:noWrap w:val="0"/>
            <w:vAlign w:val="center"/>
          </w:tcPr>
          <w:p w14:paraId="0E4C3E18">
            <w:pPr>
              <w:pStyle w:val="66"/>
              <w:bidi w:val="0"/>
              <w:rPr>
                <w:lang w:val="en-US" w:eastAsia="zh-CN"/>
              </w:rPr>
            </w:pPr>
          </w:p>
        </w:tc>
        <w:tc>
          <w:tcPr>
            <w:tcW w:w="880" w:type="dxa"/>
            <w:noWrap w:val="0"/>
            <w:vAlign w:val="center"/>
          </w:tcPr>
          <w:p w14:paraId="7A047068">
            <w:pPr>
              <w:pStyle w:val="66"/>
              <w:bidi w:val="0"/>
              <w:rPr>
                <w:lang w:val="en-US" w:eastAsia="zh-CN"/>
              </w:rPr>
            </w:pPr>
          </w:p>
        </w:tc>
        <w:tc>
          <w:tcPr>
            <w:tcW w:w="1020" w:type="dxa"/>
            <w:noWrap w:val="0"/>
            <w:vAlign w:val="center"/>
          </w:tcPr>
          <w:p w14:paraId="18190C3C">
            <w:pPr>
              <w:pStyle w:val="66"/>
              <w:bidi w:val="0"/>
              <w:rPr>
                <w:lang w:val="en-US" w:eastAsia="zh-CN"/>
              </w:rPr>
            </w:pPr>
          </w:p>
        </w:tc>
        <w:tc>
          <w:tcPr>
            <w:tcW w:w="1480" w:type="dxa"/>
            <w:noWrap w:val="0"/>
            <w:vAlign w:val="center"/>
          </w:tcPr>
          <w:p w14:paraId="7F68932A">
            <w:pPr>
              <w:pStyle w:val="66"/>
              <w:bidi w:val="0"/>
              <w:rPr>
                <w:lang w:val="en-US" w:eastAsia="zh-CN"/>
              </w:rPr>
            </w:pPr>
          </w:p>
        </w:tc>
        <w:tc>
          <w:tcPr>
            <w:tcW w:w="1020" w:type="dxa"/>
            <w:noWrap w:val="0"/>
            <w:vAlign w:val="center"/>
          </w:tcPr>
          <w:p w14:paraId="76A42EE2">
            <w:pPr>
              <w:pStyle w:val="66"/>
              <w:bidi w:val="0"/>
              <w:rPr>
                <w:lang w:val="en-US" w:eastAsia="zh-CN"/>
              </w:rPr>
            </w:pPr>
          </w:p>
        </w:tc>
        <w:tc>
          <w:tcPr>
            <w:tcW w:w="921" w:type="dxa"/>
            <w:noWrap w:val="0"/>
            <w:vAlign w:val="center"/>
          </w:tcPr>
          <w:p w14:paraId="6ACFE2AE">
            <w:pPr>
              <w:pStyle w:val="66"/>
              <w:bidi w:val="0"/>
              <w:rPr>
                <w:lang w:val="en-US" w:eastAsia="zh-CN"/>
              </w:rPr>
            </w:pPr>
          </w:p>
        </w:tc>
      </w:tr>
      <w:tr w14:paraId="2A3E5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563495F2">
            <w:pPr>
              <w:pStyle w:val="66"/>
              <w:bidi w:val="0"/>
              <w:rPr>
                <w:lang w:val="en-US" w:eastAsia="zh-CN"/>
              </w:rPr>
            </w:pPr>
          </w:p>
        </w:tc>
        <w:tc>
          <w:tcPr>
            <w:tcW w:w="1418" w:type="dxa"/>
            <w:noWrap w:val="0"/>
            <w:vAlign w:val="center"/>
          </w:tcPr>
          <w:p w14:paraId="4F42F78D">
            <w:pPr>
              <w:pStyle w:val="66"/>
              <w:bidi w:val="0"/>
              <w:rPr>
                <w:lang w:val="en-US" w:eastAsia="zh-CN"/>
              </w:rPr>
            </w:pPr>
          </w:p>
        </w:tc>
        <w:tc>
          <w:tcPr>
            <w:tcW w:w="850" w:type="dxa"/>
            <w:noWrap w:val="0"/>
            <w:vAlign w:val="center"/>
          </w:tcPr>
          <w:p w14:paraId="46CB82D3">
            <w:pPr>
              <w:pStyle w:val="66"/>
              <w:bidi w:val="0"/>
              <w:rPr>
                <w:lang w:val="en-US" w:eastAsia="zh-CN"/>
              </w:rPr>
            </w:pPr>
          </w:p>
        </w:tc>
        <w:tc>
          <w:tcPr>
            <w:tcW w:w="1058" w:type="dxa"/>
            <w:noWrap w:val="0"/>
            <w:vAlign w:val="center"/>
          </w:tcPr>
          <w:p w14:paraId="08BDA264">
            <w:pPr>
              <w:pStyle w:val="66"/>
              <w:bidi w:val="0"/>
              <w:rPr>
                <w:lang w:val="en-US" w:eastAsia="zh-CN"/>
              </w:rPr>
            </w:pPr>
          </w:p>
        </w:tc>
        <w:tc>
          <w:tcPr>
            <w:tcW w:w="880" w:type="dxa"/>
            <w:noWrap w:val="0"/>
            <w:vAlign w:val="center"/>
          </w:tcPr>
          <w:p w14:paraId="54BF0C7F">
            <w:pPr>
              <w:pStyle w:val="66"/>
              <w:bidi w:val="0"/>
              <w:rPr>
                <w:lang w:val="en-US" w:eastAsia="zh-CN"/>
              </w:rPr>
            </w:pPr>
          </w:p>
        </w:tc>
        <w:tc>
          <w:tcPr>
            <w:tcW w:w="1020" w:type="dxa"/>
            <w:noWrap w:val="0"/>
            <w:vAlign w:val="center"/>
          </w:tcPr>
          <w:p w14:paraId="2FB59DB8">
            <w:pPr>
              <w:pStyle w:val="66"/>
              <w:bidi w:val="0"/>
              <w:rPr>
                <w:lang w:val="en-US" w:eastAsia="zh-CN"/>
              </w:rPr>
            </w:pPr>
          </w:p>
        </w:tc>
        <w:tc>
          <w:tcPr>
            <w:tcW w:w="1480" w:type="dxa"/>
            <w:noWrap w:val="0"/>
            <w:vAlign w:val="center"/>
          </w:tcPr>
          <w:p w14:paraId="0689F77E">
            <w:pPr>
              <w:pStyle w:val="66"/>
              <w:bidi w:val="0"/>
              <w:rPr>
                <w:lang w:val="en-US" w:eastAsia="zh-CN"/>
              </w:rPr>
            </w:pPr>
          </w:p>
        </w:tc>
        <w:tc>
          <w:tcPr>
            <w:tcW w:w="1020" w:type="dxa"/>
            <w:noWrap w:val="0"/>
            <w:vAlign w:val="center"/>
          </w:tcPr>
          <w:p w14:paraId="4B237295">
            <w:pPr>
              <w:pStyle w:val="66"/>
              <w:bidi w:val="0"/>
              <w:rPr>
                <w:lang w:val="en-US" w:eastAsia="zh-CN"/>
              </w:rPr>
            </w:pPr>
          </w:p>
        </w:tc>
        <w:tc>
          <w:tcPr>
            <w:tcW w:w="921" w:type="dxa"/>
            <w:noWrap w:val="0"/>
            <w:vAlign w:val="center"/>
          </w:tcPr>
          <w:p w14:paraId="2062F944">
            <w:pPr>
              <w:pStyle w:val="66"/>
              <w:bidi w:val="0"/>
              <w:rPr>
                <w:lang w:val="en-US" w:eastAsia="zh-CN"/>
              </w:rPr>
            </w:pPr>
          </w:p>
        </w:tc>
      </w:tr>
      <w:tr w14:paraId="2E800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17B2FC7">
            <w:pPr>
              <w:pStyle w:val="66"/>
              <w:bidi w:val="0"/>
              <w:rPr>
                <w:lang w:val="en-US" w:eastAsia="zh-CN"/>
              </w:rPr>
            </w:pPr>
          </w:p>
        </w:tc>
        <w:tc>
          <w:tcPr>
            <w:tcW w:w="1418" w:type="dxa"/>
            <w:noWrap w:val="0"/>
            <w:vAlign w:val="center"/>
          </w:tcPr>
          <w:p w14:paraId="3A4991B2">
            <w:pPr>
              <w:pStyle w:val="66"/>
              <w:bidi w:val="0"/>
              <w:rPr>
                <w:lang w:val="en-US" w:eastAsia="zh-CN"/>
              </w:rPr>
            </w:pPr>
          </w:p>
        </w:tc>
        <w:tc>
          <w:tcPr>
            <w:tcW w:w="850" w:type="dxa"/>
            <w:noWrap w:val="0"/>
            <w:vAlign w:val="center"/>
          </w:tcPr>
          <w:p w14:paraId="7B260A9C">
            <w:pPr>
              <w:pStyle w:val="66"/>
              <w:bidi w:val="0"/>
              <w:rPr>
                <w:lang w:val="en-US" w:eastAsia="zh-CN"/>
              </w:rPr>
            </w:pPr>
          </w:p>
        </w:tc>
        <w:tc>
          <w:tcPr>
            <w:tcW w:w="1058" w:type="dxa"/>
            <w:noWrap w:val="0"/>
            <w:vAlign w:val="center"/>
          </w:tcPr>
          <w:p w14:paraId="544C6475">
            <w:pPr>
              <w:pStyle w:val="66"/>
              <w:bidi w:val="0"/>
              <w:rPr>
                <w:lang w:val="en-US" w:eastAsia="zh-CN"/>
              </w:rPr>
            </w:pPr>
          </w:p>
        </w:tc>
        <w:tc>
          <w:tcPr>
            <w:tcW w:w="880" w:type="dxa"/>
            <w:noWrap w:val="0"/>
            <w:vAlign w:val="center"/>
          </w:tcPr>
          <w:p w14:paraId="0D3CDD27">
            <w:pPr>
              <w:pStyle w:val="66"/>
              <w:bidi w:val="0"/>
              <w:rPr>
                <w:lang w:val="en-US" w:eastAsia="zh-CN"/>
              </w:rPr>
            </w:pPr>
          </w:p>
        </w:tc>
        <w:tc>
          <w:tcPr>
            <w:tcW w:w="1020" w:type="dxa"/>
            <w:noWrap w:val="0"/>
            <w:vAlign w:val="center"/>
          </w:tcPr>
          <w:p w14:paraId="0A3D3EDE">
            <w:pPr>
              <w:pStyle w:val="66"/>
              <w:bidi w:val="0"/>
              <w:rPr>
                <w:lang w:val="en-US" w:eastAsia="zh-CN"/>
              </w:rPr>
            </w:pPr>
          </w:p>
        </w:tc>
        <w:tc>
          <w:tcPr>
            <w:tcW w:w="1480" w:type="dxa"/>
            <w:noWrap w:val="0"/>
            <w:vAlign w:val="center"/>
          </w:tcPr>
          <w:p w14:paraId="509E4E99">
            <w:pPr>
              <w:pStyle w:val="66"/>
              <w:bidi w:val="0"/>
              <w:rPr>
                <w:lang w:val="en-US" w:eastAsia="zh-CN"/>
              </w:rPr>
            </w:pPr>
          </w:p>
        </w:tc>
        <w:tc>
          <w:tcPr>
            <w:tcW w:w="1020" w:type="dxa"/>
            <w:noWrap w:val="0"/>
            <w:vAlign w:val="center"/>
          </w:tcPr>
          <w:p w14:paraId="32BE1991">
            <w:pPr>
              <w:pStyle w:val="66"/>
              <w:bidi w:val="0"/>
              <w:rPr>
                <w:lang w:val="en-US" w:eastAsia="zh-CN"/>
              </w:rPr>
            </w:pPr>
          </w:p>
        </w:tc>
        <w:tc>
          <w:tcPr>
            <w:tcW w:w="921" w:type="dxa"/>
            <w:noWrap w:val="0"/>
            <w:vAlign w:val="center"/>
          </w:tcPr>
          <w:p w14:paraId="260F57D9">
            <w:pPr>
              <w:pStyle w:val="66"/>
              <w:bidi w:val="0"/>
              <w:rPr>
                <w:lang w:val="en-US" w:eastAsia="zh-CN"/>
              </w:rPr>
            </w:pPr>
          </w:p>
        </w:tc>
      </w:tr>
      <w:tr w14:paraId="5DB375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65F3C64D">
            <w:pPr>
              <w:pStyle w:val="66"/>
              <w:bidi w:val="0"/>
              <w:rPr>
                <w:lang w:val="en-US" w:eastAsia="zh-CN"/>
              </w:rPr>
            </w:pPr>
          </w:p>
        </w:tc>
        <w:tc>
          <w:tcPr>
            <w:tcW w:w="1418" w:type="dxa"/>
            <w:noWrap w:val="0"/>
            <w:vAlign w:val="center"/>
          </w:tcPr>
          <w:p w14:paraId="7166FF09">
            <w:pPr>
              <w:pStyle w:val="66"/>
              <w:bidi w:val="0"/>
              <w:rPr>
                <w:lang w:val="en-US" w:eastAsia="zh-CN"/>
              </w:rPr>
            </w:pPr>
          </w:p>
        </w:tc>
        <w:tc>
          <w:tcPr>
            <w:tcW w:w="850" w:type="dxa"/>
            <w:noWrap w:val="0"/>
            <w:vAlign w:val="center"/>
          </w:tcPr>
          <w:p w14:paraId="35A3673E">
            <w:pPr>
              <w:pStyle w:val="66"/>
              <w:bidi w:val="0"/>
              <w:rPr>
                <w:lang w:val="en-US" w:eastAsia="zh-CN"/>
              </w:rPr>
            </w:pPr>
          </w:p>
        </w:tc>
        <w:tc>
          <w:tcPr>
            <w:tcW w:w="1058" w:type="dxa"/>
            <w:noWrap w:val="0"/>
            <w:vAlign w:val="center"/>
          </w:tcPr>
          <w:p w14:paraId="68175386">
            <w:pPr>
              <w:pStyle w:val="66"/>
              <w:bidi w:val="0"/>
              <w:rPr>
                <w:lang w:val="en-US" w:eastAsia="zh-CN"/>
              </w:rPr>
            </w:pPr>
          </w:p>
        </w:tc>
        <w:tc>
          <w:tcPr>
            <w:tcW w:w="880" w:type="dxa"/>
            <w:noWrap w:val="0"/>
            <w:vAlign w:val="center"/>
          </w:tcPr>
          <w:p w14:paraId="153226D0">
            <w:pPr>
              <w:pStyle w:val="66"/>
              <w:bidi w:val="0"/>
              <w:rPr>
                <w:lang w:val="en-US" w:eastAsia="zh-CN"/>
              </w:rPr>
            </w:pPr>
          </w:p>
        </w:tc>
        <w:tc>
          <w:tcPr>
            <w:tcW w:w="1020" w:type="dxa"/>
            <w:noWrap w:val="0"/>
            <w:vAlign w:val="center"/>
          </w:tcPr>
          <w:p w14:paraId="18D2A208">
            <w:pPr>
              <w:pStyle w:val="66"/>
              <w:bidi w:val="0"/>
              <w:rPr>
                <w:lang w:val="en-US" w:eastAsia="zh-CN"/>
              </w:rPr>
            </w:pPr>
          </w:p>
        </w:tc>
        <w:tc>
          <w:tcPr>
            <w:tcW w:w="1480" w:type="dxa"/>
            <w:noWrap w:val="0"/>
            <w:vAlign w:val="center"/>
          </w:tcPr>
          <w:p w14:paraId="099916EC">
            <w:pPr>
              <w:pStyle w:val="66"/>
              <w:bidi w:val="0"/>
              <w:rPr>
                <w:lang w:val="en-US" w:eastAsia="zh-CN"/>
              </w:rPr>
            </w:pPr>
          </w:p>
        </w:tc>
        <w:tc>
          <w:tcPr>
            <w:tcW w:w="1020" w:type="dxa"/>
            <w:noWrap w:val="0"/>
            <w:vAlign w:val="center"/>
          </w:tcPr>
          <w:p w14:paraId="364968E8">
            <w:pPr>
              <w:pStyle w:val="66"/>
              <w:bidi w:val="0"/>
              <w:rPr>
                <w:lang w:val="en-US" w:eastAsia="zh-CN"/>
              </w:rPr>
            </w:pPr>
          </w:p>
        </w:tc>
        <w:tc>
          <w:tcPr>
            <w:tcW w:w="921" w:type="dxa"/>
            <w:noWrap w:val="0"/>
            <w:vAlign w:val="center"/>
          </w:tcPr>
          <w:p w14:paraId="698CDB95">
            <w:pPr>
              <w:pStyle w:val="66"/>
              <w:bidi w:val="0"/>
              <w:rPr>
                <w:lang w:val="en-US" w:eastAsia="zh-CN"/>
              </w:rPr>
            </w:pPr>
          </w:p>
        </w:tc>
      </w:tr>
      <w:tr w14:paraId="53C681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14CF523D">
            <w:pPr>
              <w:pStyle w:val="66"/>
              <w:bidi w:val="0"/>
              <w:rPr>
                <w:lang w:val="en-US" w:eastAsia="zh-CN"/>
              </w:rPr>
            </w:pPr>
          </w:p>
        </w:tc>
        <w:tc>
          <w:tcPr>
            <w:tcW w:w="1418" w:type="dxa"/>
            <w:noWrap w:val="0"/>
            <w:vAlign w:val="center"/>
          </w:tcPr>
          <w:p w14:paraId="319956F0">
            <w:pPr>
              <w:pStyle w:val="66"/>
              <w:bidi w:val="0"/>
              <w:rPr>
                <w:lang w:val="en-US" w:eastAsia="zh-CN"/>
              </w:rPr>
            </w:pPr>
          </w:p>
        </w:tc>
        <w:tc>
          <w:tcPr>
            <w:tcW w:w="850" w:type="dxa"/>
            <w:noWrap w:val="0"/>
            <w:vAlign w:val="center"/>
          </w:tcPr>
          <w:p w14:paraId="4916B7DF">
            <w:pPr>
              <w:pStyle w:val="66"/>
              <w:bidi w:val="0"/>
              <w:rPr>
                <w:lang w:val="en-US" w:eastAsia="zh-CN"/>
              </w:rPr>
            </w:pPr>
          </w:p>
        </w:tc>
        <w:tc>
          <w:tcPr>
            <w:tcW w:w="1058" w:type="dxa"/>
            <w:noWrap w:val="0"/>
            <w:vAlign w:val="center"/>
          </w:tcPr>
          <w:p w14:paraId="3CE45100">
            <w:pPr>
              <w:pStyle w:val="66"/>
              <w:bidi w:val="0"/>
              <w:rPr>
                <w:lang w:val="en-US" w:eastAsia="zh-CN"/>
              </w:rPr>
            </w:pPr>
          </w:p>
        </w:tc>
        <w:tc>
          <w:tcPr>
            <w:tcW w:w="880" w:type="dxa"/>
            <w:noWrap w:val="0"/>
            <w:vAlign w:val="center"/>
          </w:tcPr>
          <w:p w14:paraId="3FAD0DF3">
            <w:pPr>
              <w:pStyle w:val="66"/>
              <w:bidi w:val="0"/>
              <w:rPr>
                <w:lang w:val="en-US" w:eastAsia="zh-CN"/>
              </w:rPr>
            </w:pPr>
          </w:p>
        </w:tc>
        <w:tc>
          <w:tcPr>
            <w:tcW w:w="1020" w:type="dxa"/>
            <w:noWrap w:val="0"/>
            <w:vAlign w:val="center"/>
          </w:tcPr>
          <w:p w14:paraId="33E1E3B5">
            <w:pPr>
              <w:pStyle w:val="66"/>
              <w:bidi w:val="0"/>
              <w:rPr>
                <w:lang w:val="en-US" w:eastAsia="zh-CN"/>
              </w:rPr>
            </w:pPr>
          </w:p>
        </w:tc>
        <w:tc>
          <w:tcPr>
            <w:tcW w:w="1480" w:type="dxa"/>
            <w:noWrap w:val="0"/>
            <w:vAlign w:val="center"/>
          </w:tcPr>
          <w:p w14:paraId="0A7A044C">
            <w:pPr>
              <w:pStyle w:val="66"/>
              <w:bidi w:val="0"/>
              <w:rPr>
                <w:lang w:val="en-US" w:eastAsia="zh-CN"/>
              </w:rPr>
            </w:pPr>
          </w:p>
        </w:tc>
        <w:tc>
          <w:tcPr>
            <w:tcW w:w="1020" w:type="dxa"/>
            <w:noWrap w:val="0"/>
            <w:vAlign w:val="center"/>
          </w:tcPr>
          <w:p w14:paraId="66DF444A">
            <w:pPr>
              <w:pStyle w:val="66"/>
              <w:bidi w:val="0"/>
              <w:rPr>
                <w:lang w:val="en-US" w:eastAsia="zh-CN"/>
              </w:rPr>
            </w:pPr>
          </w:p>
        </w:tc>
        <w:tc>
          <w:tcPr>
            <w:tcW w:w="921" w:type="dxa"/>
            <w:noWrap w:val="0"/>
            <w:vAlign w:val="center"/>
          </w:tcPr>
          <w:p w14:paraId="6C295C54">
            <w:pPr>
              <w:pStyle w:val="66"/>
              <w:bidi w:val="0"/>
              <w:rPr>
                <w:lang w:val="en-US" w:eastAsia="zh-CN"/>
              </w:rPr>
            </w:pPr>
          </w:p>
        </w:tc>
      </w:tr>
      <w:tr w14:paraId="34E2C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8F27C82">
            <w:pPr>
              <w:pStyle w:val="66"/>
              <w:bidi w:val="0"/>
            </w:pPr>
          </w:p>
        </w:tc>
        <w:tc>
          <w:tcPr>
            <w:tcW w:w="1418" w:type="dxa"/>
            <w:noWrap w:val="0"/>
            <w:vAlign w:val="top"/>
          </w:tcPr>
          <w:p w14:paraId="76CC91BF">
            <w:pPr>
              <w:pStyle w:val="66"/>
              <w:bidi w:val="0"/>
            </w:pPr>
          </w:p>
        </w:tc>
        <w:tc>
          <w:tcPr>
            <w:tcW w:w="850" w:type="dxa"/>
            <w:noWrap w:val="0"/>
            <w:vAlign w:val="top"/>
          </w:tcPr>
          <w:p w14:paraId="3FDD0EDE">
            <w:pPr>
              <w:pStyle w:val="66"/>
              <w:bidi w:val="0"/>
            </w:pPr>
          </w:p>
        </w:tc>
        <w:tc>
          <w:tcPr>
            <w:tcW w:w="1058" w:type="dxa"/>
            <w:noWrap w:val="0"/>
            <w:vAlign w:val="top"/>
          </w:tcPr>
          <w:p w14:paraId="62BDD3E8">
            <w:pPr>
              <w:pStyle w:val="66"/>
              <w:bidi w:val="0"/>
            </w:pPr>
          </w:p>
        </w:tc>
        <w:tc>
          <w:tcPr>
            <w:tcW w:w="880" w:type="dxa"/>
            <w:noWrap w:val="0"/>
            <w:vAlign w:val="top"/>
          </w:tcPr>
          <w:p w14:paraId="4EE3811A">
            <w:pPr>
              <w:pStyle w:val="66"/>
              <w:bidi w:val="0"/>
            </w:pPr>
          </w:p>
        </w:tc>
        <w:tc>
          <w:tcPr>
            <w:tcW w:w="1020" w:type="dxa"/>
            <w:noWrap w:val="0"/>
            <w:vAlign w:val="top"/>
          </w:tcPr>
          <w:p w14:paraId="5910F835">
            <w:pPr>
              <w:pStyle w:val="66"/>
              <w:bidi w:val="0"/>
            </w:pPr>
          </w:p>
        </w:tc>
        <w:tc>
          <w:tcPr>
            <w:tcW w:w="1480" w:type="dxa"/>
            <w:noWrap w:val="0"/>
            <w:vAlign w:val="top"/>
          </w:tcPr>
          <w:p w14:paraId="4BE62006">
            <w:pPr>
              <w:pStyle w:val="66"/>
              <w:bidi w:val="0"/>
            </w:pPr>
          </w:p>
        </w:tc>
        <w:tc>
          <w:tcPr>
            <w:tcW w:w="1020" w:type="dxa"/>
            <w:noWrap w:val="0"/>
            <w:vAlign w:val="top"/>
          </w:tcPr>
          <w:p w14:paraId="06C671DD">
            <w:pPr>
              <w:pStyle w:val="66"/>
              <w:bidi w:val="0"/>
            </w:pPr>
          </w:p>
        </w:tc>
        <w:tc>
          <w:tcPr>
            <w:tcW w:w="921" w:type="dxa"/>
            <w:noWrap w:val="0"/>
            <w:vAlign w:val="top"/>
          </w:tcPr>
          <w:p w14:paraId="7E456EB9">
            <w:pPr>
              <w:pStyle w:val="66"/>
              <w:bidi w:val="0"/>
            </w:pPr>
          </w:p>
        </w:tc>
      </w:tr>
      <w:tr w14:paraId="5013B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14:paraId="2E78AEAC">
            <w:pPr>
              <w:pStyle w:val="66"/>
              <w:bidi w:val="0"/>
              <w:rPr>
                <w:lang w:val="en-US" w:eastAsia="zh-CN"/>
              </w:rPr>
            </w:pPr>
          </w:p>
        </w:tc>
        <w:tc>
          <w:tcPr>
            <w:tcW w:w="1418" w:type="dxa"/>
            <w:noWrap w:val="0"/>
            <w:vAlign w:val="center"/>
          </w:tcPr>
          <w:p w14:paraId="527AEFCA">
            <w:pPr>
              <w:pStyle w:val="66"/>
              <w:bidi w:val="0"/>
              <w:rPr>
                <w:lang w:val="en-US" w:eastAsia="zh-CN"/>
              </w:rPr>
            </w:pPr>
          </w:p>
        </w:tc>
        <w:tc>
          <w:tcPr>
            <w:tcW w:w="850" w:type="dxa"/>
            <w:noWrap w:val="0"/>
            <w:vAlign w:val="center"/>
          </w:tcPr>
          <w:p w14:paraId="51D5BA84">
            <w:pPr>
              <w:pStyle w:val="66"/>
              <w:bidi w:val="0"/>
              <w:rPr>
                <w:lang w:val="en-US" w:eastAsia="zh-CN"/>
              </w:rPr>
            </w:pPr>
          </w:p>
        </w:tc>
        <w:tc>
          <w:tcPr>
            <w:tcW w:w="1058" w:type="dxa"/>
            <w:noWrap w:val="0"/>
            <w:vAlign w:val="center"/>
          </w:tcPr>
          <w:p w14:paraId="35B0DC8E">
            <w:pPr>
              <w:pStyle w:val="66"/>
              <w:bidi w:val="0"/>
              <w:rPr>
                <w:lang w:val="en-US" w:eastAsia="zh-CN"/>
              </w:rPr>
            </w:pPr>
          </w:p>
        </w:tc>
        <w:tc>
          <w:tcPr>
            <w:tcW w:w="880" w:type="dxa"/>
            <w:noWrap w:val="0"/>
            <w:vAlign w:val="center"/>
          </w:tcPr>
          <w:p w14:paraId="5E41A384">
            <w:pPr>
              <w:pStyle w:val="66"/>
              <w:bidi w:val="0"/>
              <w:rPr>
                <w:lang w:val="en-US" w:eastAsia="zh-CN"/>
              </w:rPr>
            </w:pPr>
          </w:p>
        </w:tc>
        <w:tc>
          <w:tcPr>
            <w:tcW w:w="1020" w:type="dxa"/>
            <w:noWrap w:val="0"/>
            <w:vAlign w:val="center"/>
          </w:tcPr>
          <w:p w14:paraId="1E7A7CD0">
            <w:pPr>
              <w:pStyle w:val="66"/>
              <w:bidi w:val="0"/>
              <w:rPr>
                <w:lang w:val="en-US" w:eastAsia="zh-CN"/>
              </w:rPr>
            </w:pPr>
          </w:p>
        </w:tc>
        <w:tc>
          <w:tcPr>
            <w:tcW w:w="1480" w:type="dxa"/>
            <w:noWrap w:val="0"/>
            <w:vAlign w:val="center"/>
          </w:tcPr>
          <w:p w14:paraId="1989D8EC">
            <w:pPr>
              <w:pStyle w:val="66"/>
              <w:bidi w:val="0"/>
              <w:rPr>
                <w:lang w:val="en-US" w:eastAsia="zh-CN"/>
              </w:rPr>
            </w:pPr>
          </w:p>
        </w:tc>
        <w:tc>
          <w:tcPr>
            <w:tcW w:w="1020" w:type="dxa"/>
            <w:noWrap w:val="0"/>
            <w:vAlign w:val="center"/>
          </w:tcPr>
          <w:p w14:paraId="7B2D35B0">
            <w:pPr>
              <w:pStyle w:val="66"/>
              <w:bidi w:val="0"/>
              <w:rPr>
                <w:lang w:val="en-US" w:eastAsia="zh-CN"/>
              </w:rPr>
            </w:pPr>
          </w:p>
        </w:tc>
        <w:tc>
          <w:tcPr>
            <w:tcW w:w="921" w:type="dxa"/>
            <w:noWrap w:val="0"/>
            <w:vAlign w:val="center"/>
          </w:tcPr>
          <w:p w14:paraId="350CB816">
            <w:pPr>
              <w:pStyle w:val="66"/>
              <w:bidi w:val="0"/>
              <w:rPr>
                <w:lang w:val="en-US" w:eastAsia="zh-CN"/>
              </w:rPr>
            </w:pPr>
          </w:p>
        </w:tc>
      </w:tr>
      <w:tr w14:paraId="638C8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046750E6">
            <w:pPr>
              <w:pStyle w:val="66"/>
              <w:bidi w:val="0"/>
            </w:pPr>
          </w:p>
        </w:tc>
        <w:tc>
          <w:tcPr>
            <w:tcW w:w="1418" w:type="dxa"/>
            <w:noWrap w:val="0"/>
            <w:vAlign w:val="top"/>
          </w:tcPr>
          <w:p w14:paraId="7C396742">
            <w:pPr>
              <w:pStyle w:val="66"/>
              <w:bidi w:val="0"/>
            </w:pPr>
          </w:p>
        </w:tc>
        <w:tc>
          <w:tcPr>
            <w:tcW w:w="850" w:type="dxa"/>
            <w:noWrap w:val="0"/>
            <w:vAlign w:val="top"/>
          </w:tcPr>
          <w:p w14:paraId="4A2499F4">
            <w:pPr>
              <w:pStyle w:val="66"/>
              <w:bidi w:val="0"/>
            </w:pPr>
          </w:p>
        </w:tc>
        <w:tc>
          <w:tcPr>
            <w:tcW w:w="1058" w:type="dxa"/>
            <w:noWrap w:val="0"/>
            <w:vAlign w:val="top"/>
          </w:tcPr>
          <w:p w14:paraId="02C8BAE9">
            <w:pPr>
              <w:pStyle w:val="66"/>
              <w:bidi w:val="0"/>
            </w:pPr>
          </w:p>
        </w:tc>
        <w:tc>
          <w:tcPr>
            <w:tcW w:w="880" w:type="dxa"/>
            <w:noWrap w:val="0"/>
            <w:vAlign w:val="top"/>
          </w:tcPr>
          <w:p w14:paraId="2374004B">
            <w:pPr>
              <w:pStyle w:val="66"/>
              <w:bidi w:val="0"/>
            </w:pPr>
          </w:p>
        </w:tc>
        <w:tc>
          <w:tcPr>
            <w:tcW w:w="1020" w:type="dxa"/>
            <w:noWrap w:val="0"/>
            <w:vAlign w:val="top"/>
          </w:tcPr>
          <w:p w14:paraId="1FCFC73B">
            <w:pPr>
              <w:pStyle w:val="66"/>
              <w:bidi w:val="0"/>
            </w:pPr>
          </w:p>
        </w:tc>
        <w:tc>
          <w:tcPr>
            <w:tcW w:w="1480" w:type="dxa"/>
            <w:noWrap w:val="0"/>
            <w:vAlign w:val="top"/>
          </w:tcPr>
          <w:p w14:paraId="39603DE7">
            <w:pPr>
              <w:pStyle w:val="66"/>
              <w:bidi w:val="0"/>
            </w:pPr>
          </w:p>
        </w:tc>
        <w:tc>
          <w:tcPr>
            <w:tcW w:w="1020" w:type="dxa"/>
            <w:noWrap w:val="0"/>
            <w:vAlign w:val="top"/>
          </w:tcPr>
          <w:p w14:paraId="59D63F9C">
            <w:pPr>
              <w:pStyle w:val="66"/>
              <w:bidi w:val="0"/>
            </w:pPr>
          </w:p>
        </w:tc>
        <w:tc>
          <w:tcPr>
            <w:tcW w:w="921" w:type="dxa"/>
            <w:noWrap w:val="0"/>
            <w:vAlign w:val="top"/>
          </w:tcPr>
          <w:p w14:paraId="6E09ED13">
            <w:pPr>
              <w:pStyle w:val="66"/>
              <w:bidi w:val="0"/>
            </w:pPr>
          </w:p>
        </w:tc>
      </w:tr>
      <w:tr w14:paraId="3F189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D6478C0">
            <w:pPr>
              <w:pStyle w:val="66"/>
              <w:bidi w:val="0"/>
            </w:pPr>
          </w:p>
        </w:tc>
        <w:tc>
          <w:tcPr>
            <w:tcW w:w="1418" w:type="dxa"/>
            <w:noWrap w:val="0"/>
            <w:vAlign w:val="top"/>
          </w:tcPr>
          <w:p w14:paraId="2194C848">
            <w:pPr>
              <w:pStyle w:val="66"/>
              <w:bidi w:val="0"/>
            </w:pPr>
          </w:p>
        </w:tc>
        <w:tc>
          <w:tcPr>
            <w:tcW w:w="850" w:type="dxa"/>
            <w:noWrap w:val="0"/>
            <w:vAlign w:val="top"/>
          </w:tcPr>
          <w:p w14:paraId="2419A0C9">
            <w:pPr>
              <w:pStyle w:val="66"/>
              <w:bidi w:val="0"/>
            </w:pPr>
          </w:p>
        </w:tc>
        <w:tc>
          <w:tcPr>
            <w:tcW w:w="1058" w:type="dxa"/>
            <w:noWrap w:val="0"/>
            <w:vAlign w:val="top"/>
          </w:tcPr>
          <w:p w14:paraId="38E441B1">
            <w:pPr>
              <w:pStyle w:val="66"/>
              <w:bidi w:val="0"/>
            </w:pPr>
          </w:p>
        </w:tc>
        <w:tc>
          <w:tcPr>
            <w:tcW w:w="880" w:type="dxa"/>
            <w:noWrap w:val="0"/>
            <w:vAlign w:val="top"/>
          </w:tcPr>
          <w:p w14:paraId="779D1CF9">
            <w:pPr>
              <w:pStyle w:val="66"/>
              <w:bidi w:val="0"/>
            </w:pPr>
          </w:p>
        </w:tc>
        <w:tc>
          <w:tcPr>
            <w:tcW w:w="1020" w:type="dxa"/>
            <w:noWrap w:val="0"/>
            <w:vAlign w:val="top"/>
          </w:tcPr>
          <w:p w14:paraId="33F18796">
            <w:pPr>
              <w:pStyle w:val="66"/>
              <w:bidi w:val="0"/>
            </w:pPr>
          </w:p>
        </w:tc>
        <w:tc>
          <w:tcPr>
            <w:tcW w:w="1480" w:type="dxa"/>
            <w:noWrap w:val="0"/>
            <w:vAlign w:val="top"/>
          </w:tcPr>
          <w:p w14:paraId="57140DD6">
            <w:pPr>
              <w:pStyle w:val="66"/>
              <w:bidi w:val="0"/>
            </w:pPr>
          </w:p>
        </w:tc>
        <w:tc>
          <w:tcPr>
            <w:tcW w:w="1020" w:type="dxa"/>
            <w:noWrap w:val="0"/>
            <w:vAlign w:val="top"/>
          </w:tcPr>
          <w:p w14:paraId="24F9A3AC">
            <w:pPr>
              <w:pStyle w:val="66"/>
              <w:bidi w:val="0"/>
            </w:pPr>
          </w:p>
        </w:tc>
        <w:tc>
          <w:tcPr>
            <w:tcW w:w="921" w:type="dxa"/>
            <w:noWrap w:val="0"/>
            <w:vAlign w:val="top"/>
          </w:tcPr>
          <w:p w14:paraId="5FDE8E30">
            <w:pPr>
              <w:pStyle w:val="66"/>
              <w:bidi w:val="0"/>
            </w:pPr>
          </w:p>
        </w:tc>
      </w:tr>
      <w:tr w14:paraId="197935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0A8B2CB">
            <w:pPr>
              <w:pStyle w:val="66"/>
              <w:bidi w:val="0"/>
            </w:pPr>
          </w:p>
        </w:tc>
        <w:tc>
          <w:tcPr>
            <w:tcW w:w="1418" w:type="dxa"/>
            <w:noWrap w:val="0"/>
            <w:vAlign w:val="top"/>
          </w:tcPr>
          <w:p w14:paraId="4EB9263C">
            <w:pPr>
              <w:pStyle w:val="66"/>
              <w:bidi w:val="0"/>
            </w:pPr>
          </w:p>
        </w:tc>
        <w:tc>
          <w:tcPr>
            <w:tcW w:w="850" w:type="dxa"/>
            <w:noWrap w:val="0"/>
            <w:vAlign w:val="top"/>
          </w:tcPr>
          <w:p w14:paraId="62DEFBFD">
            <w:pPr>
              <w:pStyle w:val="66"/>
              <w:bidi w:val="0"/>
            </w:pPr>
          </w:p>
        </w:tc>
        <w:tc>
          <w:tcPr>
            <w:tcW w:w="1058" w:type="dxa"/>
            <w:noWrap w:val="0"/>
            <w:vAlign w:val="top"/>
          </w:tcPr>
          <w:p w14:paraId="70702F46">
            <w:pPr>
              <w:pStyle w:val="66"/>
              <w:bidi w:val="0"/>
            </w:pPr>
          </w:p>
        </w:tc>
        <w:tc>
          <w:tcPr>
            <w:tcW w:w="880" w:type="dxa"/>
            <w:noWrap w:val="0"/>
            <w:vAlign w:val="top"/>
          </w:tcPr>
          <w:p w14:paraId="496A5539">
            <w:pPr>
              <w:pStyle w:val="66"/>
              <w:bidi w:val="0"/>
            </w:pPr>
          </w:p>
        </w:tc>
        <w:tc>
          <w:tcPr>
            <w:tcW w:w="1020" w:type="dxa"/>
            <w:noWrap w:val="0"/>
            <w:vAlign w:val="top"/>
          </w:tcPr>
          <w:p w14:paraId="319CFE15">
            <w:pPr>
              <w:pStyle w:val="66"/>
              <w:bidi w:val="0"/>
            </w:pPr>
          </w:p>
        </w:tc>
        <w:tc>
          <w:tcPr>
            <w:tcW w:w="1480" w:type="dxa"/>
            <w:noWrap w:val="0"/>
            <w:vAlign w:val="top"/>
          </w:tcPr>
          <w:p w14:paraId="1D40D174">
            <w:pPr>
              <w:pStyle w:val="66"/>
              <w:bidi w:val="0"/>
            </w:pPr>
          </w:p>
        </w:tc>
        <w:tc>
          <w:tcPr>
            <w:tcW w:w="1020" w:type="dxa"/>
            <w:noWrap w:val="0"/>
            <w:vAlign w:val="top"/>
          </w:tcPr>
          <w:p w14:paraId="2A1DF81D">
            <w:pPr>
              <w:pStyle w:val="66"/>
              <w:bidi w:val="0"/>
            </w:pPr>
          </w:p>
        </w:tc>
        <w:tc>
          <w:tcPr>
            <w:tcW w:w="921" w:type="dxa"/>
            <w:noWrap w:val="0"/>
            <w:vAlign w:val="top"/>
          </w:tcPr>
          <w:p w14:paraId="5F50A671">
            <w:pPr>
              <w:pStyle w:val="66"/>
              <w:bidi w:val="0"/>
            </w:pPr>
          </w:p>
        </w:tc>
      </w:tr>
      <w:tr w14:paraId="6220A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A575292">
            <w:pPr>
              <w:pStyle w:val="66"/>
              <w:bidi w:val="0"/>
            </w:pPr>
          </w:p>
        </w:tc>
        <w:tc>
          <w:tcPr>
            <w:tcW w:w="1418" w:type="dxa"/>
            <w:noWrap w:val="0"/>
            <w:vAlign w:val="top"/>
          </w:tcPr>
          <w:p w14:paraId="634DF296">
            <w:pPr>
              <w:pStyle w:val="66"/>
              <w:bidi w:val="0"/>
            </w:pPr>
          </w:p>
        </w:tc>
        <w:tc>
          <w:tcPr>
            <w:tcW w:w="850" w:type="dxa"/>
            <w:noWrap w:val="0"/>
            <w:vAlign w:val="top"/>
          </w:tcPr>
          <w:p w14:paraId="00764F5B">
            <w:pPr>
              <w:pStyle w:val="66"/>
              <w:bidi w:val="0"/>
            </w:pPr>
          </w:p>
        </w:tc>
        <w:tc>
          <w:tcPr>
            <w:tcW w:w="1058" w:type="dxa"/>
            <w:noWrap w:val="0"/>
            <w:vAlign w:val="top"/>
          </w:tcPr>
          <w:p w14:paraId="340C2481">
            <w:pPr>
              <w:pStyle w:val="66"/>
              <w:bidi w:val="0"/>
            </w:pPr>
          </w:p>
        </w:tc>
        <w:tc>
          <w:tcPr>
            <w:tcW w:w="880" w:type="dxa"/>
            <w:noWrap w:val="0"/>
            <w:vAlign w:val="top"/>
          </w:tcPr>
          <w:p w14:paraId="4414E351">
            <w:pPr>
              <w:pStyle w:val="66"/>
              <w:bidi w:val="0"/>
            </w:pPr>
          </w:p>
        </w:tc>
        <w:tc>
          <w:tcPr>
            <w:tcW w:w="1020" w:type="dxa"/>
            <w:noWrap w:val="0"/>
            <w:vAlign w:val="top"/>
          </w:tcPr>
          <w:p w14:paraId="27C2F055">
            <w:pPr>
              <w:pStyle w:val="66"/>
              <w:bidi w:val="0"/>
            </w:pPr>
          </w:p>
        </w:tc>
        <w:tc>
          <w:tcPr>
            <w:tcW w:w="1480" w:type="dxa"/>
            <w:noWrap w:val="0"/>
            <w:vAlign w:val="top"/>
          </w:tcPr>
          <w:p w14:paraId="0E77B531">
            <w:pPr>
              <w:pStyle w:val="66"/>
              <w:bidi w:val="0"/>
            </w:pPr>
          </w:p>
        </w:tc>
        <w:tc>
          <w:tcPr>
            <w:tcW w:w="1020" w:type="dxa"/>
            <w:noWrap w:val="0"/>
            <w:vAlign w:val="top"/>
          </w:tcPr>
          <w:p w14:paraId="483A838B">
            <w:pPr>
              <w:pStyle w:val="66"/>
              <w:bidi w:val="0"/>
            </w:pPr>
          </w:p>
        </w:tc>
        <w:tc>
          <w:tcPr>
            <w:tcW w:w="921" w:type="dxa"/>
            <w:noWrap w:val="0"/>
            <w:vAlign w:val="top"/>
          </w:tcPr>
          <w:p w14:paraId="03D983FC">
            <w:pPr>
              <w:pStyle w:val="66"/>
              <w:bidi w:val="0"/>
            </w:pPr>
          </w:p>
        </w:tc>
      </w:tr>
      <w:tr w14:paraId="34EE7F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455260E7">
            <w:pPr>
              <w:pStyle w:val="66"/>
              <w:bidi w:val="0"/>
            </w:pPr>
          </w:p>
        </w:tc>
        <w:tc>
          <w:tcPr>
            <w:tcW w:w="1418" w:type="dxa"/>
            <w:noWrap w:val="0"/>
            <w:vAlign w:val="top"/>
          </w:tcPr>
          <w:p w14:paraId="25BA1C28">
            <w:pPr>
              <w:pStyle w:val="66"/>
              <w:bidi w:val="0"/>
            </w:pPr>
          </w:p>
        </w:tc>
        <w:tc>
          <w:tcPr>
            <w:tcW w:w="850" w:type="dxa"/>
            <w:noWrap w:val="0"/>
            <w:vAlign w:val="top"/>
          </w:tcPr>
          <w:p w14:paraId="377CA0FA">
            <w:pPr>
              <w:pStyle w:val="66"/>
              <w:bidi w:val="0"/>
            </w:pPr>
          </w:p>
        </w:tc>
        <w:tc>
          <w:tcPr>
            <w:tcW w:w="1058" w:type="dxa"/>
            <w:noWrap w:val="0"/>
            <w:vAlign w:val="top"/>
          </w:tcPr>
          <w:p w14:paraId="52FB3414">
            <w:pPr>
              <w:pStyle w:val="66"/>
              <w:bidi w:val="0"/>
            </w:pPr>
          </w:p>
        </w:tc>
        <w:tc>
          <w:tcPr>
            <w:tcW w:w="880" w:type="dxa"/>
            <w:noWrap w:val="0"/>
            <w:vAlign w:val="top"/>
          </w:tcPr>
          <w:p w14:paraId="7D6061A3">
            <w:pPr>
              <w:pStyle w:val="66"/>
              <w:bidi w:val="0"/>
            </w:pPr>
          </w:p>
        </w:tc>
        <w:tc>
          <w:tcPr>
            <w:tcW w:w="1020" w:type="dxa"/>
            <w:noWrap w:val="0"/>
            <w:vAlign w:val="top"/>
          </w:tcPr>
          <w:p w14:paraId="4DA3BD21">
            <w:pPr>
              <w:pStyle w:val="66"/>
              <w:bidi w:val="0"/>
            </w:pPr>
          </w:p>
        </w:tc>
        <w:tc>
          <w:tcPr>
            <w:tcW w:w="1480" w:type="dxa"/>
            <w:noWrap w:val="0"/>
            <w:vAlign w:val="top"/>
          </w:tcPr>
          <w:p w14:paraId="5E39A419">
            <w:pPr>
              <w:pStyle w:val="66"/>
              <w:bidi w:val="0"/>
            </w:pPr>
          </w:p>
        </w:tc>
        <w:tc>
          <w:tcPr>
            <w:tcW w:w="1020" w:type="dxa"/>
            <w:noWrap w:val="0"/>
            <w:vAlign w:val="top"/>
          </w:tcPr>
          <w:p w14:paraId="79F46C2F">
            <w:pPr>
              <w:pStyle w:val="66"/>
              <w:bidi w:val="0"/>
            </w:pPr>
          </w:p>
        </w:tc>
        <w:tc>
          <w:tcPr>
            <w:tcW w:w="921" w:type="dxa"/>
            <w:noWrap w:val="0"/>
            <w:vAlign w:val="top"/>
          </w:tcPr>
          <w:p w14:paraId="4AB5EBD3">
            <w:pPr>
              <w:pStyle w:val="66"/>
              <w:bidi w:val="0"/>
            </w:pPr>
          </w:p>
        </w:tc>
      </w:tr>
      <w:tr w14:paraId="57A4B7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5B1544C2">
            <w:pPr>
              <w:pStyle w:val="66"/>
              <w:bidi w:val="0"/>
            </w:pPr>
          </w:p>
        </w:tc>
        <w:tc>
          <w:tcPr>
            <w:tcW w:w="1418" w:type="dxa"/>
            <w:noWrap w:val="0"/>
            <w:vAlign w:val="top"/>
          </w:tcPr>
          <w:p w14:paraId="43AFD414">
            <w:pPr>
              <w:pStyle w:val="66"/>
              <w:bidi w:val="0"/>
            </w:pPr>
          </w:p>
        </w:tc>
        <w:tc>
          <w:tcPr>
            <w:tcW w:w="850" w:type="dxa"/>
            <w:noWrap w:val="0"/>
            <w:vAlign w:val="top"/>
          </w:tcPr>
          <w:p w14:paraId="236F9C5C">
            <w:pPr>
              <w:pStyle w:val="66"/>
              <w:bidi w:val="0"/>
            </w:pPr>
          </w:p>
        </w:tc>
        <w:tc>
          <w:tcPr>
            <w:tcW w:w="1058" w:type="dxa"/>
            <w:noWrap w:val="0"/>
            <w:vAlign w:val="top"/>
          </w:tcPr>
          <w:p w14:paraId="6842FA21">
            <w:pPr>
              <w:pStyle w:val="66"/>
              <w:bidi w:val="0"/>
            </w:pPr>
          </w:p>
        </w:tc>
        <w:tc>
          <w:tcPr>
            <w:tcW w:w="880" w:type="dxa"/>
            <w:noWrap w:val="0"/>
            <w:vAlign w:val="top"/>
          </w:tcPr>
          <w:p w14:paraId="3A8E9C67">
            <w:pPr>
              <w:pStyle w:val="66"/>
              <w:bidi w:val="0"/>
            </w:pPr>
          </w:p>
        </w:tc>
        <w:tc>
          <w:tcPr>
            <w:tcW w:w="1020" w:type="dxa"/>
            <w:noWrap w:val="0"/>
            <w:vAlign w:val="top"/>
          </w:tcPr>
          <w:p w14:paraId="433230C4">
            <w:pPr>
              <w:pStyle w:val="66"/>
              <w:bidi w:val="0"/>
            </w:pPr>
          </w:p>
        </w:tc>
        <w:tc>
          <w:tcPr>
            <w:tcW w:w="1480" w:type="dxa"/>
            <w:noWrap w:val="0"/>
            <w:vAlign w:val="top"/>
          </w:tcPr>
          <w:p w14:paraId="113274DF">
            <w:pPr>
              <w:pStyle w:val="66"/>
              <w:bidi w:val="0"/>
            </w:pPr>
          </w:p>
        </w:tc>
        <w:tc>
          <w:tcPr>
            <w:tcW w:w="1020" w:type="dxa"/>
            <w:noWrap w:val="0"/>
            <w:vAlign w:val="top"/>
          </w:tcPr>
          <w:p w14:paraId="2FF0F820">
            <w:pPr>
              <w:pStyle w:val="66"/>
              <w:bidi w:val="0"/>
            </w:pPr>
          </w:p>
        </w:tc>
        <w:tc>
          <w:tcPr>
            <w:tcW w:w="921" w:type="dxa"/>
            <w:noWrap w:val="0"/>
            <w:vAlign w:val="top"/>
          </w:tcPr>
          <w:p w14:paraId="438B501D">
            <w:pPr>
              <w:pStyle w:val="66"/>
              <w:bidi w:val="0"/>
            </w:pPr>
          </w:p>
        </w:tc>
      </w:tr>
      <w:tr w14:paraId="2D3CF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7198D46A">
            <w:pPr>
              <w:pStyle w:val="66"/>
              <w:bidi w:val="0"/>
            </w:pPr>
          </w:p>
        </w:tc>
        <w:tc>
          <w:tcPr>
            <w:tcW w:w="1418" w:type="dxa"/>
            <w:noWrap w:val="0"/>
            <w:vAlign w:val="top"/>
          </w:tcPr>
          <w:p w14:paraId="1A090723">
            <w:pPr>
              <w:pStyle w:val="66"/>
              <w:bidi w:val="0"/>
            </w:pPr>
          </w:p>
        </w:tc>
        <w:tc>
          <w:tcPr>
            <w:tcW w:w="850" w:type="dxa"/>
            <w:noWrap w:val="0"/>
            <w:vAlign w:val="top"/>
          </w:tcPr>
          <w:p w14:paraId="12061AA6">
            <w:pPr>
              <w:pStyle w:val="66"/>
              <w:bidi w:val="0"/>
            </w:pPr>
          </w:p>
        </w:tc>
        <w:tc>
          <w:tcPr>
            <w:tcW w:w="1058" w:type="dxa"/>
            <w:noWrap w:val="0"/>
            <w:vAlign w:val="top"/>
          </w:tcPr>
          <w:p w14:paraId="4B8025DB">
            <w:pPr>
              <w:pStyle w:val="66"/>
              <w:bidi w:val="0"/>
            </w:pPr>
          </w:p>
        </w:tc>
        <w:tc>
          <w:tcPr>
            <w:tcW w:w="880" w:type="dxa"/>
            <w:noWrap w:val="0"/>
            <w:vAlign w:val="top"/>
          </w:tcPr>
          <w:p w14:paraId="1958992D">
            <w:pPr>
              <w:pStyle w:val="66"/>
              <w:bidi w:val="0"/>
            </w:pPr>
          </w:p>
        </w:tc>
        <w:tc>
          <w:tcPr>
            <w:tcW w:w="1020" w:type="dxa"/>
            <w:noWrap w:val="0"/>
            <w:vAlign w:val="top"/>
          </w:tcPr>
          <w:p w14:paraId="69328444">
            <w:pPr>
              <w:pStyle w:val="66"/>
              <w:bidi w:val="0"/>
            </w:pPr>
          </w:p>
        </w:tc>
        <w:tc>
          <w:tcPr>
            <w:tcW w:w="1480" w:type="dxa"/>
            <w:noWrap w:val="0"/>
            <w:vAlign w:val="top"/>
          </w:tcPr>
          <w:p w14:paraId="3C451E54">
            <w:pPr>
              <w:pStyle w:val="66"/>
              <w:bidi w:val="0"/>
            </w:pPr>
          </w:p>
        </w:tc>
        <w:tc>
          <w:tcPr>
            <w:tcW w:w="1020" w:type="dxa"/>
            <w:noWrap w:val="0"/>
            <w:vAlign w:val="top"/>
          </w:tcPr>
          <w:p w14:paraId="73CE85C0">
            <w:pPr>
              <w:pStyle w:val="66"/>
              <w:bidi w:val="0"/>
            </w:pPr>
          </w:p>
        </w:tc>
        <w:tc>
          <w:tcPr>
            <w:tcW w:w="921" w:type="dxa"/>
            <w:noWrap w:val="0"/>
            <w:vAlign w:val="top"/>
          </w:tcPr>
          <w:p w14:paraId="45FDC503">
            <w:pPr>
              <w:pStyle w:val="66"/>
              <w:bidi w:val="0"/>
            </w:pPr>
          </w:p>
        </w:tc>
      </w:tr>
      <w:tr w14:paraId="39891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2F5D0614">
            <w:pPr>
              <w:pStyle w:val="66"/>
              <w:bidi w:val="0"/>
            </w:pPr>
          </w:p>
        </w:tc>
        <w:tc>
          <w:tcPr>
            <w:tcW w:w="1418" w:type="dxa"/>
            <w:noWrap w:val="0"/>
            <w:vAlign w:val="top"/>
          </w:tcPr>
          <w:p w14:paraId="583D6718">
            <w:pPr>
              <w:pStyle w:val="66"/>
              <w:bidi w:val="0"/>
            </w:pPr>
          </w:p>
        </w:tc>
        <w:tc>
          <w:tcPr>
            <w:tcW w:w="850" w:type="dxa"/>
            <w:noWrap w:val="0"/>
            <w:vAlign w:val="top"/>
          </w:tcPr>
          <w:p w14:paraId="69B5E2B6">
            <w:pPr>
              <w:pStyle w:val="66"/>
              <w:bidi w:val="0"/>
            </w:pPr>
          </w:p>
        </w:tc>
        <w:tc>
          <w:tcPr>
            <w:tcW w:w="1058" w:type="dxa"/>
            <w:noWrap w:val="0"/>
            <w:vAlign w:val="top"/>
          </w:tcPr>
          <w:p w14:paraId="7EAFF85C">
            <w:pPr>
              <w:pStyle w:val="66"/>
              <w:bidi w:val="0"/>
            </w:pPr>
          </w:p>
        </w:tc>
        <w:tc>
          <w:tcPr>
            <w:tcW w:w="880" w:type="dxa"/>
            <w:noWrap w:val="0"/>
            <w:vAlign w:val="top"/>
          </w:tcPr>
          <w:p w14:paraId="1B55AF11">
            <w:pPr>
              <w:pStyle w:val="66"/>
              <w:bidi w:val="0"/>
            </w:pPr>
          </w:p>
        </w:tc>
        <w:tc>
          <w:tcPr>
            <w:tcW w:w="1020" w:type="dxa"/>
            <w:noWrap w:val="0"/>
            <w:vAlign w:val="top"/>
          </w:tcPr>
          <w:p w14:paraId="4A01A764">
            <w:pPr>
              <w:pStyle w:val="66"/>
              <w:bidi w:val="0"/>
            </w:pPr>
          </w:p>
        </w:tc>
        <w:tc>
          <w:tcPr>
            <w:tcW w:w="1480" w:type="dxa"/>
            <w:noWrap w:val="0"/>
            <w:vAlign w:val="top"/>
          </w:tcPr>
          <w:p w14:paraId="212DA6C5">
            <w:pPr>
              <w:pStyle w:val="66"/>
              <w:bidi w:val="0"/>
            </w:pPr>
          </w:p>
        </w:tc>
        <w:tc>
          <w:tcPr>
            <w:tcW w:w="1020" w:type="dxa"/>
            <w:noWrap w:val="0"/>
            <w:vAlign w:val="top"/>
          </w:tcPr>
          <w:p w14:paraId="5A9EB973">
            <w:pPr>
              <w:pStyle w:val="66"/>
              <w:bidi w:val="0"/>
            </w:pPr>
          </w:p>
        </w:tc>
        <w:tc>
          <w:tcPr>
            <w:tcW w:w="921" w:type="dxa"/>
            <w:noWrap w:val="0"/>
            <w:vAlign w:val="top"/>
          </w:tcPr>
          <w:p w14:paraId="51B75735">
            <w:pPr>
              <w:pStyle w:val="66"/>
              <w:bidi w:val="0"/>
            </w:pPr>
          </w:p>
        </w:tc>
      </w:tr>
      <w:tr w14:paraId="16510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14:paraId="12234A5A">
            <w:pPr>
              <w:pStyle w:val="66"/>
              <w:bidi w:val="0"/>
            </w:pPr>
          </w:p>
        </w:tc>
        <w:tc>
          <w:tcPr>
            <w:tcW w:w="1418" w:type="dxa"/>
            <w:noWrap w:val="0"/>
            <w:vAlign w:val="top"/>
          </w:tcPr>
          <w:p w14:paraId="430D790C">
            <w:pPr>
              <w:pStyle w:val="66"/>
              <w:bidi w:val="0"/>
            </w:pPr>
          </w:p>
        </w:tc>
        <w:tc>
          <w:tcPr>
            <w:tcW w:w="850" w:type="dxa"/>
            <w:noWrap w:val="0"/>
            <w:vAlign w:val="top"/>
          </w:tcPr>
          <w:p w14:paraId="31D5BB06">
            <w:pPr>
              <w:pStyle w:val="66"/>
              <w:bidi w:val="0"/>
            </w:pPr>
          </w:p>
        </w:tc>
        <w:tc>
          <w:tcPr>
            <w:tcW w:w="1058" w:type="dxa"/>
            <w:noWrap w:val="0"/>
            <w:vAlign w:val="top"/>
          </w:tcPr>
          <w:p w14:paraId="625C618D">
            <w:pPr>
              <w:pStyle w:val="66"/>
              <w:bidi w:val="0"/>
            </w:pPr>
          </w:p>
        </w:tc>
        <w:tc>
          <w:tcPr>
            <w:tcW w:w="880" w:type="dxa"/>
            <w:noWrap w:val="0"/>
            <w:vAlign w:val="top"/>
          </w:tcPr>
          <w:p w14:paraId="0C847785">
            <w:pPr>
              <w:pStyle w:val="66"/>
              <w:bidi w:val="0"/>
            </w:pPr>
          </w:p>
        </w:tc>
        <w:tc>
          <w:tcPr>
            <w:tcW w:w="1020" w:type="dxa"/>
            <w:noWrap w:val="0"/>
            <w:vAlign w:val="top"/>
          </w:tcPr>
          <w:p w14:paraId="3FC4AC29">
            <w:pPr>
              <w:pStyle w:val="66"/>
              <w:bidi w:val="0"/>
            </w:pPr>
          </w:p>
        </w:tc>
        <w:tc>
          <w:tcPr>
            <w:tcW w:w="1480" w:type="dxa"/>
            <w:noWrap w:val="0"/>
            <w:vAlign w:val="top"/>
          </w:tcPr>
          <w:p w14:paraId="405459EA">
            <w:pPr>
              <w:pStyle w:val="66"/>
              <w:bidi w:val="0"/>
            </w:pPr>
          </w:p>
        </w:tc>
        <w:tc>
          <w:tcPr>
            <w:tcW w:w="1020" w:type="dxa"/>
            <w:noWrap w:val="0"/>
            <w:vAlign w:val="top"/>
          </w:tcPr>
          <w:p w14:paraId="0B0A34EA">
            <w:pPr>
              <w:pStyle w:val="66"/>
              <w:bidi w:val="0"/>
            </w:pPr>
          </w:p>
        </w:tc>
        <w:tc>
          <w:tcPr>
            <w:tcW w:w="921" w:type="dxa"/>
            <w:noWrap w:val="0"/>
            <w:vAlign w:val="top"/>
          </w:tcPr>
          <w:p w14:paraId="19FA2BEC">
            <w:pPr>
              <w:pStyle w:val="66"/>
              <w:bidi w:val="0"/>
            </w:pPr>
          </w:p>
        </w:tc>
      </w:tr>
    </w:tbl>
    <w:p w14:paraId="1530E019">
      <w:pPr>
        <w:spacing w:line="440" w:lineRule="exact"/>
        <w:rPr>
          <w:rFonts w:ascii="Times New Roman" w:hAnsi="Times New Roman" w:eastAsia="仿宋_GB2312"/>
          <w:color w:val="000000"/>
          <w:sz w:val="30"/>
          <w:szCs w:val="30"/>
        </w:rPr>
      </w:pPr>
    </w:p>
    <w:p w14:paraId="31857F52">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58" w:name="_Toc267261699"/>
      <w:bookmarkStart w:id="859" w:name="_Toc296891056"/>
      <w:bookmarkStart w:id="860" w:name="_Toc296503228"/>
      <w:bookmarkStart w:id="861" w:name="_Toc296891268"/>
      <w:bookmarkStart w:id="862" w:name="_Toc296347227"/>
      <w:bookmarkStart w:id="863" w:name="_Toc296346729"/>
      <w:bookmarkStart w:id="864" w:name="_Toc296944567"/>
      <w:r>
        <w:rPr>
          <w:rFonts w:ascii="Times New Roman" w:hAnsi="Times New Roman" w:eastAsia="仿宋_GB2312"/>
          <w:color w:val="000000"/>
          <w:sz w:val="30"/>
          <w:szCs w:val="30"/>
        </w:rPr>
        <w:t>件6：</w:t>
      </w:r>
    </w:p>
    <w:bookmarkEnd w:id="858"/>
    <w:bookmarkEnd w:id="859"/>
    <w:bookmarkEnd w:id="860"/>
    <w:bookmarkEnd w:id="861"/>
    <w:bookmarkEnd w:id="862"/>
    <w:bookmarkEnd w:id="863"/>
    <w:bookmarkEnd w:id="864"/>
    <w:p w14:paraId="45DF8357">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承包人主要施工管理人员表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61C9F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14:paraId="6EF26FD5">
            <w:pPr>
              <w:pStyle w:val="66"/>
              <w:bidi w:val="0"/>
              <w:rPr>
                <w:lang w:val="en-US" w:eastAsia="zh-CN"/>
              </w:rPr>
            </w:pPr>
            <w:r>
              <w:rPr>
                <w:lang w:val="en-US" w:eastAsia="zh-CN"/>
              </w:rPr>
              <w:t>名    称</w:t>
            </w:r>
          </w:p>
        </w:tc>
        <w:tc>
          <w:tcPr>
            <w:tcW w:w="1418" w:type="dxa"/>
            <w:tcBorders>
              <w:top w:val="single" w:color="auto" w:sz="12" w:space="0"/>
              <w:bottom w:val="double" w:color="auto" w:sz="6" w:space="0"/>
            </w:tcBorders>
            <w:noWrap w:val="0"/>
            <w:vAlign w:val="center"/>
          </w:tcPr>
          <w:p w14:paraId="5E27E445">
            <w:pPr>
              <w:pStyle w:val="66"/>
              <w:bidi w:val="0"/>
              <w:rPr>
                <w:lang w:val="en-US" w:eastAsia="zh-CN"/>
              </w:rPr>
            </w:pPr>
            <w:r>
              <w:rPr>
                <w:lang w:val="en-US" w:eastAsia="zh-CN"/>
              </w:rPr>
              <w:t>姓名</w:t>
            </w:r>
          </w:p>
        </w:tc>
        <w:tc>
          <w:tcPr>
            <w:tcW w:w="1134" w:type="dxa"/>
            <w:tcBorders>
              <w:top w:val="single" w:color="auto" w:sz="12" w:space="0"/>
              <w:bottom w:val="double" w:color="auto" w:sz="6" w:space="0"/>
            </w:tcBorders>
            <w:noWrap w:val="0"/>
            <w:vAlign w:val="center"/>
          </w:tcPr>
          <w:p w14:paraId="19E2B08A">
            <w:pPr>
              <w:pStyle w:val="66"/>
              <w:bidi w:val="0"/>
              <w:rPr>
                <w:lang w:val="en-US" w:eastAsia="zh-CN"/>
              </w:rPr>
            </w:pPr>
            <w:r>
              <w:rPr>
                <w:lang w:val="en-US" w:eastAsia="zh-CN"/>
              </w:rPr>
              <w:t>职务</w:t>
            </w:r>
          </w:p>
        </w:tc>
        <w:tc>
          <w:tcPr>
            <w:tcW w:w="1134" w:type="dxa"/>
            <w:tcBorders>
              <w:top w:val="single" w:color="auto" w:sz="12" w:space="0"/>
              <w:bottom w:val="double" w:color="auto" w:sz="6" w:space="0"/>
            </w:tcBorders>
            <w:noWrap w:val="0"/>
            <w:vAlign w:val="center"/>
          </w:tcPr>
          <w:p w14:paraId="09050C9E">
            <w:pPr>
              <w:pStyle w:val="66"/>
              <w:bidi w:val="0"/>
              <w:rPr>
                <w:lang w:val="en-US" w:eastAsia="zh-CN"/>
              </w:rPr>
            </w:pPr>
            <w:r>
              <w:rPr>
                <w:lang w:val="en-US" w:eastAsia="zh-CN"/>
              </w:rPr>
              <w:t>职称</w:t>
            </w:r>
          </w:p>
        </w:tc>
        <w:tc>
          <w:tcPr>
            <w:tcW w:w="4252" w:type="dxa"/>
            <w:tcBorders>
              <w:top w:val="single" w:color="auto" w:sz="12" w:space="0"/>
              <w:bottom w:val="double" w:color="auto" w:sz="6" w:space="0"/>
            </w:tcBorders>
            <w:noWrap w:val="0"/>
            <w:vAlign w:val="center"/>
          </w:tcPr>
          <w:p w14:paraId="5EEA884D">
            <w:pPr>
              <w:pStyle w:val="66"/>
              <w:bidi w:val="0"/>
              <w:rPr>
                <w:lang w:val="en-US" w:eastAsia="zh-CN"/>
              </w:rPr>
            </w:pPr>
            <w:r>
              <w:rPr>
                <w:lang w:val="en-US" w:eastAsia="zh-CN"/>
              </w:rPr>
              <w:t>主要资历、经验及承担过的项目</w:t>
            </w:r>
          </w:p>
        </w:tc>
      </w:tr>
      <w:tr w14:paraId="6B291D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10042381">
            <w:pPr>
              <w:pStyle w:val="66"/>
              <w:bidi w:val="0"/>
              <w:rPr>
                <w:lang w:val="en-US" w:eastAsia="zh-CN"/>
              </w:rPr>
            </w:pPr>
            <w:r>
              <w:rPr>
                <w:lang w:val="en-US" w:eastAsia="zh-CN"/>
              </w:rPr>
              <w:t>一、总部人员</w:t>
            </w:r>
          </w:p>
        </w:tc>
      </w:tr>
      <w:tr w14:paraId="2ABB3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2BFEB12">
            <w:pPr>
              <w:pStyle w:val="66"/>
              <w:bidi w:val="0"/>
              <w:rPr>
                <w:lang w:val="en-US" w:eastAsia="zh-CN"/>
              </w:rPr>
            </w:pPr>
            <w:r>
              <w:rPr>
                <w:lang w:val="en-US" w:eastAsia="zh-CN"/>
              </w:rPr>
              <w:t>项目主管</w:t>
            </w:r>
          </w:p>
        </w:tc>
        <w:tc>
          <w:tcPr>
            <w:tcW w:w="1418" w:type="dxa"/>
            <w:tcBorders>
              <w:top w:val="nil"/>
            </w:tcBorders>
            <w:noWrap w:val="0"/>
            <w:vAlign w:val="center"/>
          </w:tcPr>
          <w:p w14:paraId="17B591E4">
            <w:pPr>
              <w:pStyle w:val="66"/>
              <w:bidi w:val="0"/>
              <w:rPr>
                <w:lang w:val="en-US" w:eastAsia="zh-CN"/>
              </w:rPr>
            </w:pPr>
          </w:p>
        </w:tc>
        <w:tc>
          <w:tcPr>
            <w:tcW w:w="1134" w:type="dxa"/>
            <w:tcBorders>
              <w:top w:val="nil"/>
            </w:tcBorders>
            <w:noWrap w:val="0"/>
            <w:vAlign w:val="center"/>
          </w:tcPr>
          <w:p w14:paraId="1F987AE0">
            <w:pPr>
              <w:pStyle w:val="66"/>
              <w:bidi w:val="0"/>
              <w:rPr>
                <w:lang w:val="en-US" w:eastAsia="zh-CN"/>
              </w:rPr>
            </w:pPr>
          </w:p>
        </w:tc>
        <w:tc>
          <w:tcPr>
            <w:tcW w:w="1134" w:type="dxa"/>
            <w:tcBorders>
              <w:top w:val="nil"/>
            </w:tcBorders>
            <w:noWrap w:val="0"/>
            <w:vAlign w:val="center"/>
          </w:tcPr>
          <w:p w14:paraId="346832BE">
            <w:pPr>
              <w:pStyle w:val="66"/>
              <w:bidi w:val="0"/>
              <w:rPr>
                <w:lang w:val="en-US" w:eastAsia="zh-CN"/>
              </w:rPr>
            </w:pPr>
          </w:p>
        </w:tc>
        <w:tc>
          <w:tcPr>
            <w:tcW w:w="4252" w:type="dxa"/>
            <w:tcBorders>
              <w:top w:val="nil"/>
            </w:tcBorders>
            <w:noWrap w:val="0"/>
            <w:vAlign w:val="center"/>
          </w:tcPr>
          <w:p w14:paraId="047F1EA8">
            <w:pPr>
              <w:pStyle w:val="66"/>
              <w:bidi w:val="0"/>
              <w:rPr>
                <w:lang w:val="en-US" w:eastAsia="zh-CN"/>
              </w:rPr>
            </w:pPr>
          </w:p>
        </w:tc>
      </w:tr>
      <w:tr w14:paraId="5CF1F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7A29C905">
            <w:pPr>
              <w:pStyle w:val="66"/>
              <w:bidi w:val="0"/>
              <w:rPr>
                <w:lang w:val="en-US" w:eastAsia="zh-CN"/>
              </w:rPr>
            </w:pPr>
          </w:p>
        </w:tc>
        <w:tc>
          <w:tcPr>
            <w:tcW w:w="1418" w:type="dxa"/>
            <w:noWrap w:val="0"/>
            <w:vAlign w:val="center"/>
          </w:tcPr>
          <w:p w14:paraId="6D7DA2F4">
            <w:pPr>
              <w:pStyle w:val="66"/>
              <w:bidi w:val="0"/>
              <w:rPr>
                <w:lang w:val="en-US" w:eastAsia="zh-CN"/>
              </w:rPr>
            </w:pPr>
          </w:p>
        </w:tc>
        <w:tc>
          <w:tcPr>
            <w:tcW w:w="1134" w:type="dxa"/>
            <w:noWrap w:val="0"/>
            <w:vAlign w:val="center"/>
          </w:tcPr>
          <w:p w14:paraId="79894497">
            <w:pPr>
              <w:pStyle w:val="66"/>
              <w:bidi w:val="0"/>
              <w:rPr>
                <w:lang w:val="en-US" w:eastAsia="zh-CN"/>
              </w:rPr>
            </w:pPr>
          </w:p>
        </w:tc>
        <w:tc>
          <w:tcPr>
            <w:tcW w:w="1134" w:type="dxa"/>
            <w:noWrap w:val="0"/>
            <w:vAlign w:val="center"/>
          </w:tcPr>
          <w:p w14:paraId="56EBA14D">
            <w:pPr>
              <w:pStyle w:val="66"/>
              <w:bidi w:val="0"/>
              <w:rPr>
                <w:lang w:val="en-US" w:eastAsia="zh-CN"/>
              </w:rPr>
            </w:pPr>
          </w:p>
        </w:tc>
        <w:tc>
          <w:tcPr>
            <w:tcW w:w="4252" w:type="dxa"/>
            <w:noWrap w:val="0"/>
            <w:vAlign w:val="center"/>
          </w:tcPr>
          <w:p w14:paraId="3F86220F">
            <w:pPr>
              <w:pStyle w:val="66"/>
              <w:bidi w:val="0"/>
              <w:rPr>
                <w:lang w:val="en-US" w:eastAsia="zh-CN"/>
              </w:rPr>
            </w:pPr>
          </w:p>
        </w:tc>
      </w:tr>
      <w:tr w14:paraId="37ACC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3F00B51">
            <w:pPr>
              <w:pStyle w:val="66"/>
              <w:bidi w:val="0"/>
              <w:rPr>
                <w:lang w:val="en-US" w:eastAsia="zh-CN"/>
              </w:rPr>
            </w:pPr>
            <w:r>
              <w:rPr>
                <w:lang w:val="en-US" w:eastAsia="zh-CN"/>
              </w:rPr>
              <w:t>其他人员</w:t>
            </w:r>
          </w:p>
        </w:tc>
        <w:tc>
          <w:tcPr>
            <w:tcW w:w="1418" w:type="dxa"/>
            <w:noWrap w:val="0"/>
            <w:vAlign w:val="center"/>
          </w:tcPr>
          <w:p w14:paraId="123D8CF0">
            <w:pPr>
              <w:pStyle w:val="66"/>
              <w:bidi w:val="0"/>
              <w:rPr>
                <w:lang w:val="en-US" w:eastAsia="zh-CN"/>
              </w:rPr>
            </w:pPr>
          </w:p>
        </w:tc>
        <w:tc>
          <w:tcPr>
            <w:tcW w:w="1134" w:type="dxa"/>
            <w:noWrap w:val="0"/>
            <w:vAlign w:val="center"/>
          </w:tcPr>
          <w:p w14:paraId="25D3E491">
            <w:pPr>
              <w:pStyle w:val="66"/>
              <w:bidi w:val="0"/>
              <w:rPr>
                <w:lang w:val="en-US" w:eastAsia="zh-CN"/>
              </w:rPr>
            </w:pPr>
          </w:p>
        </w:tc>
        <w:tc>
          <w:tcPr>
            <w:tcW w:w="1134" w:type="dxa"/>
            <w:noWrap w:val="0"/>
            <w:vAlign w:val="center"/>
          </w:tcPr>
          <w:p w14:paraId="278FBB55">
            <w:pPr>
              <w:pStyle w:val="66"/>
              <w:bidi w:val="0"/>
              <w:rPr>
                <w:lang w:val="en-US" w:eastAsia="zh-CN"/>
              </w:rPr>
            </w:pPr>
          </w:p>
        </w:tc>
        <w:tc>
          <w:tcPr>
            <w:tcW w:w="4252" w:type="dxa"/>
            <w:noWrap w:val="0"/>
            <w:vAlign w:val="center"/>
          </w:tcPr>
          <w:p w14:paraId="15BCD70E">
            <w:pPr>
              <w:pStyle w:val="66"/>
              <w:bidi w:val="0"/>
              <w:rPr>
                <w:lang w:val="en-US" w:eastAsia="zh-CN"/>
              </w:rPr>
            </w:pPr>
          </w:p>
        </w:tc>
      </w:tr>
      <w:tr w14:paraId="0C61B0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982DC25">
            <w:pPr>
              <w:pStyle w:val="66"/>
              <w:bidi w:val="0"/>
              <w:rPr>
                <w:lang w:val="en-US" w:eastAsia="zh-CN"/>
              </w:rPr>
            </w:pPr>
          </w:p>
        </w:tc>
        <w:tc>
          <w:tcPr>
            <w:tcW w:w="1418" w:type="dxa"/>
            <w:noWrap w:val="0"/>
            <w:vAlign w:val="center"/>
          </w:tcPr>
          <w:p w14:paraId="24702D5F">
            <w:pPr>
              <w:pStyle w:val="66"/>
              <w:bidi w:val="0"/>
              <w:rPr>
                <w:lang w:val="en-US" w:eastAsia="zh-CN"/>
              </w:rPr>
            </w:pPr>
          </w:p>
        </w:tc>
        <w:tc>
          <w:tcPr>
            <w:tcW w:w="1134" w:type="dxa"/>
            <w:noWrap w:val="0"/>
            <w:vAlign w:val="center"/>
          </w:tcPr>
          <w:p w14:paraId="330F2A37">
            <w:pPr>
              <w:pStyle w:val="66"/>
              <w:bidi w:val="0"/>
              <w:rPr>
                <w:lang w:val="en-US" w:eastAsia="zh-CN"/>
              </w:rPr>
            </w:pPr>
          </w:p>
        </w:tc>
        <w:tc>
          <w:tcPr>
            <w:tcW w:w="1134" w:type="dxa"/>
            <w:noWrap w:val="0"/>
            <w:vAlign w:val="center"/>
          </w:tcPr>
          <w:p w14:paraId="7B091842">
            <w:pPr>
              <w:pStyle w:val="66"/>
              <w:bidi w:val="0"/>
              <w:rPr>
                <w:lang w:val="en-US" w:eastAsia="zh-CN"/>
              </w:rPr>
            </w:pPr>
          </w:p>
        </w:tc>
        <w:tc>
          <w:tcPr>
            <w:tcW w:w="4252" w:type="dxa"/>
            <w:noWrap w:val="0"/>
            <w:vAlign w:val="center"/>
          </w:tcPr>
          <w:p w14:paraId="053E9488">
            <w:pPr>
              <w:pStyle w:val="66"/>
              <w:bidi w:val="0"/>
              <w:rPr>
                <w:lang w:val="en-US" w:eastAsia="zh-CN"/>
              </w:rPr>
            </w:pPr>
          </w:p>
        </w:tc>
      </w:tr>
      <w:tr w14:paraId="64BEF0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9809" w:type="dxa"/>
            <w:gridSpan w:val="5"/>
            <w:tcBorders>
              <w:top w:val="single" w:color="auto" w:sz="6" w:space="0"/>
              <w:bottom w:val="single" w:color="auto" w:sz="6" w:space="0"/>
            </w:tcBorders>
            <w:noWrap w:val="0"/>
            <w:vAlign w:val="center"/>
          </w:tcPr>
          <w:p w14:paraId="3EB4A3F5">
            <w:pPr>
              <w:pStyle w:val="66"/>
              <w:bidi w:val="0"/>
              <w:rPr>
                <w:lang w:val="en-US" w:eastAsia="zh-CN"/>
              </w:rPr>
            </w:pPr>
            <w:r>
              <w:rPr>
                <w:lang w:val="en-US" w:eastAsia="zh-CN"/>
              </w:rPr>
              <w:t>二、现场人员</w:t>
            </w:r>
          </w:p>
        </w:tc>
      </w:tr>
      <w:tr w14:paraId="47F4EA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B5E5464">
            <w:pPr>
              <w:pStyle w:val="66"/>
              <w:bidi w:val="0"/>
              <w:rPr>
                <w:lang w:val="en-US" w:eastAsia="zh-CN"/>
              </w:rPr>
            </w:pPr>
            <w:r>
              <w:rPr>
                <w:lang w:val="en-US" w:eastAsia="zh-CN"/>
              </w:rPr>
              <w:t>项目经理</w:t>
            </w:r>
          </w:p>
        </w:tc>
        <w:tc>
          <w:tcPr>
            <w:tcW w:w="1418" w:type="dxa"/>
            <w:noWrap w:val="0"/>
            <w:vAlign w:val="center"/>
          </w:tcPr>
          <w:p w14:paraId="588200D4">
            <w:pPr>
              <w:pStyle w:val="66"/>
              <w:bidi w:val="0"/>
              <w:rPr>
                <w:lang w:val="en-US" w:eastAsia="zh-CN"/>
              </w:rPr>
            </w:pPr>
          </w:p>
        </w:tc>
        <w:tc>
          <w:tcPr>
            <w:tcW w:w="1134" w:type="dxa"/>
            <w:noWrap w:val="0"/>
            <w:vAlign w:val="center"/>
          </w:tcPr>
          <w:p w14:paraId="348D1CA0">
            <w:pPr>
              <w:pStyle w:val="66"/>
              <w:bidi w:val="0"/>
              <w:rPr>
                <w:lang w:val="en-US" w:eastAsia="zh-CN"/>
              </w:rPr>
            </w:pPr>
          </w:p>
        </w:tc>
        <w:tc>
          <w:tcPr>
            <w:tcW w:w="1134" w:type="dxa"/>
            <w:noWrap w:val="0"/>
            <w:vAlign w:val="center"/>
          </w:tcPr>
          <w:p w14:paraId="2BE56EF5">
            <w:pPr>
              <w:pStyle w:val="66"/>
              <w:bidi w:val="0"/>
              <w:rPr>
                <w:lang w:val="en-US" w:eastAsia="zh-CN"/>
              </w:rPr>
            </w:pPr>
          </w:p>
        </w:tc>
        <w:tc>
          <w:tcPr>
            <w:tcW w:w="4252" w:type="dxa"/>
            <w:noWrap w:val="0"/>
            <w:vAlign w:val="center"/>
          </w:tcPr>
          <w:p w14:paraId="74C5CD44">
            <w:pPr>
              <w:pStyle w:val="66"/>
              <w:bidi w:val="0"/>
              <w:rPr>
                <w:lang w:val="en-US" w:eastAsia="zh-CN"/>
              </w:rPr>
            </w:pPr>
          </w:p>
        </w:tc>
      </w:tr>
      <w:tr w14:paraId="25DA03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3F01E171">
            <w:pPr>
              <w:pStyle w:val="66"/>
              <w:bidi w:val="0"/>
              <w:rPr>
                <w:lang w:val="en-US" w:eastAsia="zh-CN"/>
              </w:rPr>
            </w:pPr>
            <w:r>
              <w:rPr>
                <w:lang w:val="en-US" w:eastAsia="zh-CN"/>
              </w:rPr>
              <w:t>项目副经理</w:t>
            </w:r>
          </w:p>
        </w:tc>
        <w:tc>
          <w:tcPr>
            <w:tcW w:w="1418" w:type="dxa"/>
            <w:noWrap w:val="0"/>
            <w:vAlign w:val="center"/>
          </w:tcPr>
          <w:p w14:paraId="3282AFD6">
            <w:pPr>
              <w:pStyle w:val="66"/>
              <w:bidi w:val="0"/>
              <w:rPr>
                <w:lang w:val="en-US" w:eastAsia="zh-CN"/>
              </w:rPr>
            </w:pPr>
          </w:p>
        </w:tc>
        <w:tc>
          <w:tcPr>
            <w:tcW w:w="1134" w:type="dxa"/>
            <w:noWrap w:val="0"/>
            <w:vAlign w:val="center"/>
          </w:tcPr>
          <w:p w14:paraId="451B656F">
            <w:pPr>
              <w:pStyle w:val="66"/>
              <w:bidi w:val="0"/>
              <w:rPr>
                <w:lang w:val="en-US" w:eastAsia="zh-CN"/>
              </w:rPr>
            </w:pPr>
          </w:p>
        </w:tc>
        <w:tc>
          <w:tcPr>
            <w:tcW w:w="1134" w:type="dxa"/>
            <w:noWrap w:val="0"/>
            <w:vAlign w:val="center"/>
          </w:tcPr>
          <w:p w14:paraId="252996F5">
            <w:pPr>
              <w:pStyle w:val="66"/>
              <w:bidi w:val="0"/>
              <w:rPr>
                <w:lang w:val="en-US" w:eastAsia="zh-CN"/>
              </w:rPr>
            </w:pPr>
          </w:p>
        </w:tc>
        <w:tc>
          <w:tcPr>
            <w:tcW w:w="4252" w:type="dxa"/>
            <w:noWrap w:val="0"/>
            <w:vAlign w:val="center"/>
          </w:tcPr>
          <w:p w14:paraId="49EBCE79">
            <w:pPr>
              <w:pStyle w:val="66"/>
              <w:bidi w:val="0"/>
              <w:rPr>
                <w:lang w:val="en-US" w:eastAsia="zh-CN"/>
              </w:rPr>
            </w:pPr>
          </w:p>
        </w:tc>
      </w:tr>
      <w:tr w14:paraId="78D03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C2CE8BE">
            <w:pPr>
              <w:pStyle w:val="66"/>
              <w:bidi w:val="0"/>
              <w:rPr>
                <w:lang w:val="en-US" w:eastAsia="zh-CN"/>
              </w:rPr>
            </w:pPr>
            <w:r>
              <w:rPr>
                <w:lang w:val="en-US" w:eastAsia="zh-CN"/>
              </w:rPr>
              <w:t>技术负责人</w:t>
            </w:r>
          </w:p>
        </w:tc>
        <w:tc>
          <w:tcPr>
            <w:tcW w:w="1418" w:type="dxa"/>
            <w:noWrap w:val="0"/>
            <w:vAlign w:val="center"/>
          </w:tcPr>
          <w:p w14:paraId="709497EB">
            <w:pPr>
              <w:pStyle w:val="66"/>
              <w:bidi w:val="0"/>
              <w:rPr>
                <w:lang w:val="en-US" w:eastAsia="zh-CN"/>
              </w:rPr>
            </w:pPr>
          </w:p>
        </w:tc>
        <w:tc>
          <w:tcPr>
            <w:tcW w:w="1134" w:type="dxa"/>
            <w:noWrap w:val="0"/>
            <w:vAlign w:val="center"/>
          </w:tcPr>
          <w:p w14:paraId="6FA5FF09">
            <w:pPr>
              <w:pStyle w:val="66"/>
              <w:bidi w:val="0"/>
              <w:rPr>
                <w:lang w:val="en-US" w:eastAsia="zh-CN"/>
              </w:rPr>
            </w:pPr>
          </w:p>
        </w:tc>
        <w:tc>
          <w:tcPr>
            <w:tcW w:w="1134" w:type="dxa"/>
            <w:noWrap w:val="0"/>
            <w:vAlign w:val="center"/>
          </w:tcPr>
          <w:p w14:paraId="2FE39C29">
            <w:pPr>
              <w:pStyle w:val="66"/>
              <w:bidi w:val="0"/>
              <w:rPr>
                <w:lang w:val="en-US" w:eastAsia="zh-CN"/>
              </w:rPr>
            </w:pPr>
          </w:p>
        </w:tc>
        <w:tc>
          <w:tcPr>
            <w:tcW w:w="4252" w:type="dxa"/>
            <w:noWrap w:val="0"/>
            <w:vAlign w:val="center"/>
          </w:tcPr>
          <w:p w14:paraId="3D060743">
            <w:pPr>
              <w:pStyle w:val="66"/>
              <w:bidi w:val="0"/>
              <w:rPr>
                <w:lang w:val="en-US" w:eastAsia="zh-CN"/>
              </w:rPr>
            </w:pPr>
          </w:p>
        </w:tc>
      </w:tr>
      <w:tr w14:paraId="2EFB60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90277EF">
            <w:pPr>
              <w:pStyle w:val="66"/>
              <w:bidi w:val="0"/>
              <w:rPr>
                <w:lang w:val="en-US" w:eastAsia="zh-CN"/>
              </w:rPr>
            </w:pPr>
            <w:r>
              <w:rPr>
                <w:lang w:val="en-US" w:eastAsia="zh-CN"/>
              </w:rPr>
              <w:t>造价管理</w:t>
            </w:r>
          </w:p>
        </w:tc>
        <w:tc>
          <w:tcPr>
            <w:tcW w:w="1418" w:type="dxa"/>
            <w:noWrap w:val="0"/>
            <w:vAlign w:val="center"/>
          </w:tcPr>
          <w:p w14:paraId="5037E27B">
            <w:pPr>
              <w:pStyle w:val="66"/>
              <w:bidi w:val="0"/>
              <w:rPr>
                <w:lang w:val="en-US" w:eastAsia="zh-CN"/>
              </w:rPr>
            </w:pPr>
          </w:p>
        </w:tc>
        <w:tc>
          <w:tcPr>
            <w:tcW w:w="1134" w:type="dxa"/>
            <w:noWrap w:val="0"/>
            <w:vAlign w:val="center"/>
          </w:tcPr>
          <w:p w14:paraId="2CD73C01">
            <w:pPr>
              <w:pStyle w:val="66"/>
              <w:bidi w:val="0"/>
              <w:rPr>
                <w:lang w:val="en-US" w:eastAsia="zh-CN"/>
              </w:rPr>
            </w:pPr>
          </w:p>
        </w:tc>
        <w:tc>
          <w:tcPr>
            <w:tcW w:w="1134" w:type="dxa"/>
            <w:noWrap w:val="0"/>
            <w:vAlign w:val="center"/>
          </w:tcPr>
          <w:p w14:paraId="0C0CD8E1">
            <w:pPr>
              <w:pStyle w:val="66"/>
              <w:bidi w:val="0"/>
              <w:rPr>
                <w:lang w:val="en-US" w:eastAsia="zh-CN"/>
              </w:rPr>
            </w:pPr>
          </w:p>
        </w:tc>
        <w:tc>
          <w:tcPr>
            <w:tcW w:w="4252" w:type="dxa"/>
            <w:noWrap w:val="0"/>
            <w:vAlign w:val="center"/>
          </w:tcPr>
          <w:p w14:paraId="4A82B85B">
            <w:pPr>
              <w:pStyle w:val="66"/>
              <w:bidi w:val="0"/>
              <w:rPr>
                <w:lang w:val="en-US" w:eastAsia="zh-CN"/>
              </w:rPr>
            </w:pPr>
          </w:p>
        </w:tc>
      </w:tr>
      <w:tr w14:paraId="3150DE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1E76C11F">
            <w:pPr>
              <w:pStyle w:val="66"/>
              <w:bidi w:val="0"/>
              <w:rPr>
                <w:lang w:val="en-US" w:eastAsia="zh-CN"/>
              </w:rPr>
            </w:pPr>
            <w:r>
              <w:rPr>
                <w:lang w:val="en-US" w:eastAsia="zh-CN"/>
              </w:rPr>
              <w:t>质量管理</w:t>
            </w:r>
          </w:p>
        </w:tc>
        <w:tc>
          <w:tcPr>
            <w:tcW w:w="1418" w:type="dxa"/>
            <w:noWrap w:val="0"/>
            <w:vAlign w:val="center"/>
          </w:tcPr>
          <w:p w14:paraId="149589CF">
            <w:pPr>
              <w:pStyle w:val="66"/>
              <w:bidi w:val="0"/>
              <w:rPr>
                <w:lang w:val="en-US" w:eastAsia="zh-CN"/>
              </w:rPr>
            </w:pPr>
          </w:p>
        </w:tc>
        <w:tc>
          <w:tcPr>
            <w:tcW w:w="1134" w:type="dxa"/>
            <w:noWrap w:val="0"/>
            <w:vAlign w:val="center"/>
          </w:tcPr>
          <w:p w14:paraId="3A40AFD0">
            <w:pPr>
              <w:pStyle w:val="66"/>
              <w:bidi w:val="0"/>
              <w:rPr>
                <w:lang w:val="en-US" w:eastAsia="zh-CN"/>
              </w:rPr>
            </w:pPr>
          </w:p>
        </w:tc>
        <w:tc>
          <w:tcPr>
            <w:tcW w:w="1134" w:type="dxa"/>
            <w:noWrap w:val="0"/>
            <w:vAlign w:val="center"/>
          </w:tcPr>
          <w:p w14:paraId="0920A22F">
            <w:pPr>
              <w:pStyle w:val="66"/>
              <w:bidi w:val="0"/>
              <w:rPr>
                <w:lang w:val="en-US" w:eastAsia="zh-CN"/>
              </w:rPr>
            </w:pPr>
          </w:p>
        </w:tc>
        <w:tc>
          <w:tcPr>
            <w:tcW w:w="4252" w:type="dxa"/>
            <w:noWrap w:val="0"/>
            <w:vAlign w:val="center"/>
          </w:tcPr>
          <w:p w14:paraId="26381693">
            <w:pPr>
              <w:pStyle w:val="66"/>
              <w:bidi w:val="0"/>
              <w:rPr>
                <w:lang w:val="en-US" w:eastAsia="zh-CN"/>
              </w:rPr>
            </w:pPr>
          </w:p>
        </w:tc>
      </w:tr>
      <w:tr w14:paraId="169B2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8E1619C">
            <w:pPr>
              <w:pStyle w:val="66"/>
              <w:bidi w:val="0"/>
              <w:rPr>
                <w:lang w:val="en-US" w:eastAsia="zh-CN"/>
              </w:rPr>
            </w:pPr>
            <w:r>
              <w:rPr>
                <w:lang w:val="en-US" w:eastAsia="zh-CN"/>
              </w:rPr>
              <w:t>材料管理</w:t>
            </w:r>
          </w:p>
        </w:tc>
        <w:tc>
          <w:tcPr>
            <w:tcW w:w="1418" w:type="dxa"/>
            <w:noWrap w:val="0"/>
            <w:vAlign w:val="center"/>
          </w:tcPr>
          <w:p w14:paraId="2DA8EC11">
            <w:pPr>
              <w:pStyle w:val="66"/>
              <w:bidi w:val="0"/>
              <w:rPr>
                <w:lang w:val="en-US" w:eastAsia="zh-CN"/>
              </w:rPr>
            </w:pPr>
          </w:p>
        </w:tc>
        <w:tc>
          <w:tcPr>
            <w:tcW w:w="1134" w:type="dxa"/>
            <w:noWrap w:val="0"/>
            <w:vAlign w:val="center"/>
          </w:tcPr>
          <w:p w14:paraId="19299B0C">
            <w:pPr>
              <w:pStyle w:val="66"/>
              <w:bidi w:val="0"/>
              <w:rPr>
                <w:lang w:val="en-US" w:eastAsia="zh-CN"/>
              </w:rPr>
            </w:pPr>
          </w:p>
        </w:tc>
        <w:tc>
          <w:tcPr>
            <w:tcW w:w="1134" w:type="dxa"/>
            <w:noWrap w:val="0"/>
            <w:vAlign w:val="center"/>
          </w:tcPr>
          <w:p w14:paraId="508FCDB7">
            <w:pPr>
              <w:pStyle w:val="66"/>
              <w:bidi w:val="0"/>
              <w:rPr>
                <w:lang w:val="en-US" w:eastAsia="zh-CN"/>
              </w:rPr>
            </w:pPr>
          </w:p>
        </w:tc>
        <w:tc>
          <w:tcPr>
            <w:tcW w:w="4252" w:type="dxa"/>
            <w:noWrap w:val="0"/>
            <w:vAlign w:val="center"/>
          </w:tcPr>
          <w:p w14:paraId="59701EF9">
            <w:pPr>
              <w:pStyle w:val="66"/>
              <w:bidi w:val="0"/>
              <w:rPr>
                <w:lang w:val="en-US" w:eastAsia="zh-CN"/>
              </w:rPr>
            </w:pPr>
          </w:p>
        </w:tc>
      </w:tr>
      <w:tr w14:paraId="14EDA5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6" w:space="0"/>
              <w:bottom w:val="single" w:color="auto" w:sz="6" w:space="0"/>
            </w:tcBorders>
            <w:noWrap w:val="0"/>
            <w:vAlign w:val="center"/>
          </w:tcPr>
          <w:p w14:paraId="470A526C">
            <w:pPr>
              <w:pStyle w:val="66"/>
              <w:bidi w:val="0"/>
              <w:rPr>
                <w:lang w:val="en-US" w:eastAsia="zh-CN"/>
              </w:rPr>
            </w:pPr>
            <w:r>
              <w:rPr>
                <w:lang w:val="en-US" w:eastAsia="zh-CN"/>
              </w:rPr>
              <w:t>计划管理</w:t>
            </w:r>
          </w:p>
        </w:tc>
        <w:tc>
          <w:tcPr>
            <w:tcW w:w="1418" w:type="dxa"/>
            <w:noWrap w:val="0"/>
            <w:vAlign w:val="center"/>
          </w:tcPr>
          <w:p w14:paraId="7BD69292">
            <w:pPr>
              <w:pStyle w:val="66"/>
              <w:bidi w:val="0"/>
              <w:rPr>
                <w:lang w:val="en-US" w:eastAsia="zh-CN"/>
              </w:rPr>
            </w:pPr>
          </w:p>
        </w:tc>
        <w:tc>
          <w:tcPr>
            <w:tcW w:w="1134" w:type="dxa"/>
            <w:noWrap w:val="0"/>
            <w:vAlign w:val="center"/>
          </w:tcPr>
          <w:p w14:paraId="339D259C">
            <w:pPr>
              <w:pStyle w:val="66"/>
              <w:bidi w:val="0"/>
              <w:rPr>
                <w:lang w:val="en-US" w:eastAsia="zh-CN"/>
              </w:rPr>
            </w:pPr>
          </w:p>
        </w:tc>
        <w:tc>
          <w:tcPr>
            <w:tcW w:w="1134" w:type="dxa"/>
            <w:noWrap w:val="0"/>
            <w:vAlign w:val="center"/>
          </w:tcPr>
          <w:p w14:paraId="079D654A">
            <w:pPr>
              <w:pStyle w:val="66"/>
              <w:bidi w:val="0"/>
              <w:rPr>
                <w:lang w:val="en-US" w:eastAsia="zh-CN"/>
              </w:rPr>
            </w:pPr>
          </w:p>
        </w:tc>
        <w:tc>
          <w:tcPr>
            <w:tcW w:w="4252" w:type="dxa"/>
            <w:noWrap w:val="0"/>
            <w:vAlign w:val="center"/>
          </w:tcPr>
          <w:p w14:paraId="7CD96AE7">
            <w:pPr>
              <w:pStyle w:val="66"/>
              <w:bidi w:val="0"/>
              <w:rPr>
                <w:lang w:val="en-US" w:eastAsia="zh-CN"/>
              </w:rPr>
            </w:pPr>
          </w:p>
        </w:tc>
      </w:tr>
      <w:tr w14:paraId="1B5C55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FA864B6">
            <w:pPr>
              <w:pStyle w:val="66"/>
              <w:bidi w:val="0"/>
              <w:rPr>
                <w:lang w:val="en-US" w:eastAsia="zh-CN"/>
              </w:rPr>
            </w:pPr>
            <w:r>
              <w:rPr>
                <w:lang w:val="en-US" w:eastAsia="zh-CN"/>
              </w:rPr>
              <w:t>安全管理</w:t>
            </w:r>
          </w:p>
        </w:tc>
        <w:tc>
          <w:tcPr>
            <w:tcW w:w="1418" w:type="dxa"/>
            <w:noWrap w:val="0"/>
            <w:vAlign w:val="center"/>
          </w:tcPr>
          <w:p w14:paraId="60AD9EEA">
            <w:pPr>
              <w:pStyle w:val="66"/>
              <w:bidi w:val="0"/>
              <w:rPr>
                <w:lang w:val="en-US" w:eastAsia="zh-CN"/>
              </w:rPr>
            </w:pPr>
          </w:p>
        </w:tc>
        <w:tc>
          <w:tcPr>
            <w:tcW w:w="1134" w:type="dxa"/>
            <w:noWrap w:val="0"/>
            <w:vAlign w:val="center"/>
          </w:tcPr>
          <w:p w14:paraId="391D63B5">
            <w:pPr>
              <w:pStyle w:val="66"/>
              <w:bidi w:val="0"/>
              <w:rPr>
                <w:lang w:val="en-US" w:eastAsia="zh-CN"/>
              </w:rPr>
            </w:pPr>
          </w:p>
        </w:tc>
        <w:tc>
          <w:tcPr>
            <w:tcW w:w="1134" w:type="dxa"/>
            <w:noWrap w:val="0"/>
            <w:vAlign w:val="center"/>
          </w:tcPr>
          <w:p w14:paraId="48F0DCCA">
            <w:pPr>
              <w:pStyle w:val="66"/>
              <w:bidi w:val="0"/>
              <w:rPr>
                <w:lang w:val="en-US" w:eastAsia="zh-CN"/>
              </w:rPr>
            </w:pPr>
          </w:p>
        </w:tc>
        <w:tc>
          <w:tcPr>
            <w:tcW w:w="4252" w:type="dxa"/>
            <w:noWrap w:val="0"/>
            <w:vAlign w:val="center"/>
          </w:tcPr>
          <w:p w14:paraId="71F49B0F">
            <w:pPr>
              <w:pStyle w:val="66"/>
              <w:bidi w:val="0"/>
              <w:rPr>
                <w:lang w:val="en-US" w:eastAsia="zh-CN"/>
              </w:rPr>
            </w:pPr>
          </w:p>
        </w:tc>
      </w:tr>
      <w:tr w14:paraId="540EC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1AFD2BC2">
            <w:pPr>
              <w:pStyle w:val="66"/>
              <w:bidi w:val="0"/>
              <w:rPr>
                <w:lang w:val="en-US" w:eastAsia="zh-CN"/>
              </w:rPr>
            </w:pPr>
            <w:r>
              <w:rPr>
                <w:lang w:val="en-US" w:eastAsia="zh-CN"/>
              </w:rPr>
              <w:t>其他人员</w:t>
            </w:r>
          </w:p>
        </w:tc>
        <w:tc>
          <w:tcPr>
            <w:tcW w:w="1418" w:type="dxa"/>
            <w:noWrap w:val="0"/>
            <w:vAlign w:val="center"/>
          </w:tcPr>
          <w:p w14:paraId="635E173A">
            <w:pPr>
              <w:pStyle w:val="66"/>
              <w:bidi w:val="0"/>
              <w:rPr>
                <w:lang w:val="en-US" w:eastAsia="zh-CN"/>
              </w:rPr>
            </w:pPr>
          </w:p>
        </w:tc>
        <w:tc>
          <w:tcPr>
            <w:tcW w:w="1134" w:type="dxa"/>
            <w:noWrap w:val="0"/>
            <w:vAlign w:val="center"/>
          </w:tcPr>
          <w:p w14:paraId="4E381D75">
            <w:pPr>
              <w:pStyle w:val="66"/>
              <w:bidi w:val="0"/>
              <w:rPr>
                <w:lang w:val="en-US" w:eastAsia="zh-CN"/>
              </w:rPr>
            </w:pPr>
          </w:p>
        </w:tc>
        <w:tc>
          <w:tcPr>
            <w:tcW w:w="1134" w:type="dxa"/>
            <w:noWrap w:val="0"/>
            <w:vAlign w:val="center"/>
          </w:tcPr>
          <w:p w14:paraId="6C822BF2">
            <w:pPr>
              <w:pStyle w:val="66"/>
              <w:bidi w:val="0"/>
              <w:rPr>
                <w:lang w:val="en-US" w:eastAsia="zh-CN"/>
              </w:rPr>
            </w:pPr>
          </w:p>
        </w:tc>
        <w:tc>
          <w:tcPr>
            <w:tcW w:w="4252" w:type="dxa"/>
            <w:noWrap w:val="0"/>
            <w:vAlign w:val="center"/>
          </w:tcPr>
          <w:p w14:paraId="05136654">
            <w:pPr>
              <w:pStyle w:val="66"/>
              <w:bidi w:val="0"/>
              <w:rPr>
                <w:lang w:val="en-US" w:eastAsia="zh-CN"/>
              </w:rPr>
            </w:pPr>
          </w:p>
        </w:tc>
      </w:tr>
      <w:tr w14:paraId="37601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A530910">
            <w:pPr>
              <w:pStyle w:val="66"/>
              <w:bidi w:val="0"/>
              <w:rPr>
                <w:lang w:val="en-US" w:eastAsia="zh-CN"/>
              </w:rPr>
            </w:pPr>
          </w:p>
        </w:tc>
        <w:tc>
          <w:tcPr>
            <w:tcW w:w="1418" w:type="dxa"/>
            <w:tcBorders>
              <w:bottom w:val="nil"/>
            </w:tcBorders>
            <w:noWrap w:val="0"/>
            <w:vAlign w:val="center"/>
          </w:tcPr>
          <w:p w14:paraId="67474613">
            <w:pPr>
              <w:pStyle w:val="66"/>
              <w:bidi w:val="0"/>
              <w:rPr>
                <w:lang w:val="en-US" w:eastAsia="zh-CN"/>
              </w:rPr>
            </w:pPr>
          </w:p>
        </w:tc>
        <w:tc>
          <w:tcPr>
            <w:tcW w:w="1134" w:type="dxa"/>
            <w:tcBorders>
              <w:bottom w:val="nil"/>
            </w:tcBorders>
            <w:noWrap w:val="0"/>
            <w:vAlign w:val="center"/>
          </w:tcPr>
          <w:p w14:paraId="4F996F90">
            <w:pPr>
              <w:pStyle w:val="66"/>
              <w:bidi w:val="0"/>
              <w:rPr>
                <w:lang w:val="en-US" w:eastAsia="zh-CN"/>
              </w:rPr>
            </w:pPr>
          </w:p>
        </w:tc>
        <w:tc>
          <w:tcPr>
            <w:tcW w:w="1134" w:type="dxa"/>
            <w:tcBorders>
              <w:bottom w:val="nil"/>
            </w:tcBorders>
            <w:noWrap w:val="0"/>
            <w:vAlign w:val="center"/>
          </w:tcPr>
          <w:p w14:paraId="38CD780A">
            <w:pPr>
              <w:pStyle w:val="66"/>
              <w:bidi w:val="0"/>
              <w:rPr>
                <w:lang w:val="en-US" w:eastAsia="zh-CN"/>
              </w:rPr>
            </w:pPr>
          </w:p>
        </w:tc>
        <w:tc>
          <w:tcPr>
            <w:tcW w:w="4252" w:type="dxa"/>
            <w:tcBorders>
              <w:bottom w:val="nil"/>
            </w:tcBorders>
            <w:noWrap w:val="0"/>
            <w:vAlign w:val="center"/>
          </w:tcPr>
          <w:p w14:paraId="03E07EE0">
            <w:pPr>
              <w:pStyle w:val="66"/>
              <w:bidi w:val="0"/>
              <w:rPr>
                <w:lang w:val="en-US" w:eastAsia="zh-CN"/>
              </w:rPr>
            </w:pPr>
          </w:p>
        </w:tc>
      </w:tr>
      <w:tr w14:paraId="6EC3F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EE3A6D8">
            <w:pPr>
              <w:pStyle w:val="66"/>
              <w:bidi w:val="0"/>
              <w:rPr>
                <w:lang w:val="en-US" w:eastAsia="zh-CN"/>
              </w:rPr>
            </w:pPr>
          </w:p>
        </w:tc>
        <w:tc>
          <w:tcPr>
            <w:tcW w:w="1418" w:type="dxa"/>
            <w:noWrap w:val="0"/>
            <w:vAlign w:val="center"/>
          </w:tcPr>
          <w:p w14:paraId="3C70E89A">
            <w:pPr>
              <w:pStyle w:val="66"/>
              <w:bidi w:val="0"/>
              <w:rPr>
                <w:lang w:val="en-US" w:eastAsia="zh-CN"/>
              </w:rPr>
            </w:pPr>
          </w:p>
        </w:tc>
        <w:tc>
          <w:tcPr>
            <w:tcW w:w="1134" w:type="dxa"/>
            <w:noWrap w:val="0"/>
            <w:vAlign w:val="center"/>
          </w:tcPr>
          <w:p w14:paraId="67BDCD92">
            <w:pPr>
              <w:pStyle w:val="66"/>
              <w:bidi w:val="0"/>
              <w:rPr>
                <w:lang w:val="en-US" w:eastAsia="zh-CN"/>
              </w:rPr>
            </w:pPr>
          </w:p>
        </w:tc>
        <w:tc>
          <w:tcPr>
            <w:tcW w:w="1134" w:type="dxa"/>
            <w:noWrap w:val="0"/>
            <w:vAlign w:val="center"/>
          </w:tcPr>
          <w:p w14:paraId="2159C8D5">
            <w:pPr>
              <w:pStyle w:val="66"/>
              <w:bidi w:val="0"/>
              <w:rPr>
                <w:lang w:val="en-US" w:eastAsia="zh-CN"/>
              </w:rPr>
            </w:pPr>
          </w:p>
        </w:tc>
        <w:tc>
          <w:tcPr>
            <w:tcW w:w="4252" w:type="dxa"/>
            <w:noWrap w:val="0"/>
            <w:vAlign w:val="center"/>
          </w:tcPr>
          <w:p w14:paraId="791A5C22">
            <w:pPr>
              <w:pStyle w:val="66"/>
              <w:bidi w:val="0"/>
              <w:rPr>
                <w:lang w:val="en-US" w:eastAsia="zh-CN"/>
              </w:rPr>
            </w:pPr>
          </w:p>
        </w:tc>
      </w:tr>
      <w:tr w14:paraId="51838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2F19DD47">
            <w:pPr>
              <w:pStyle w:val="66"/>
              <w:bidi w:val="0"/>
              <w:rPr>
                <w:lang w:val="en-US" w:eastAsia="zh-CN"/>
              </w:rPr>
            </w:pPr>
          </w:p>
        </w:tc>
        <w:tc>
          <w:tcPr>
            <w:tcW w:w="1418" w:type="dxa"/>
            <w:noWrap w:val="0"/>
            <w:vAlign w:val="center"/>
          </w:tcPr>
          <w:p w14:paraId="541C1BAD">
            <w:pPr>
              <w:pStyle w:val="66"/>
              <w:bidi w:val="0"/>
              <w:rPr>
                <w:lang w:val="en-US" w:eastAsia="zh-CN"/>
              </w:rPr>
            </w:pPr>
          </w:p>
        </w:tc>
        <w:tc>
          <w:tcPr>
            <w:tcW w:w="1134" w:type="dxa"/>
            <w:noWrap w:val="0"/>
            <w:vAlign w:val="center"/>
          </w:tcPr>
          <w:p w14:paraId="0C7D9A74">
            <w:pPr>
              <w:pStyle w:val="66"/>
              <w:bidi w:val="0"/>
              <w:rPr>
                <w:lang w:val="en-US" w:eastAsia="zh-CN"/>
              </w:rPr>
            </w:pPr>
          </w:p>
        </w:tc>
        <w:tc>
          <w:tcPr>
            <w:tcW w:w="1134" w:type="dxa"/>
            <w:noWrap w:val="0"/>
            <w:vAlign w:val="center"/>
          </w:tcPr>
          <w:p w14:paraId="46E05E33">
            <w:pPr>
              <w:pStyle w:val="66"/>
              <w:bidi w:val="0"/>
              <w:rPr>
                <w:lang w:val="en-US" w:eastAsia="zh-CN"/>
              </w:rPr>
            </w:pPr>
          </w:p>
        </w:tc>
        <w:tc>
          <w:tcPr>
            <w:tcW w:w="4252" w:type="dxa"/>
            <w:noWrap w:val="0"/>
            <w:vAlign w:val="center"/>
          </w:tcPr>
          <w:p w14:paraId="3C26C89E">
            <w:pPr>
              <w:pStyle w:val="66"/>
              <w:bidi w:val="0"/>
              <w:rPr>
                <w:lang w:val="en-US" w:eastAsia="zh-CN"/>
              </w:rPr>
            </w:pPr>
          </w:p>
        </w:tc>
      </w:tr>
      <w:tr w14:paraId="78415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continue"/>
            <w:noWrap w:val="0"/>
            <w:vAlign w:val="center"/>
          </w:tcPr>
          <w:p w14:paraId="596A21EC">
            <w:pPr>
              <w:pStyle w:val="66"/>
              <w:bidi w:val="0"/>
              <w:rPr>
                <w:lang w:val="en-US" w:eastAsia="zh-CN"/>
              </w:rPr>
            </w:pPr>
          </w:p>
        </w:tc>
        <w:tc>
          <w:tcPr>
            <w:tcW w:w="1418" w:type="dxa"/>
            <w:noWrap w:val="0"/>
            <w:vAlign w:val="center"/>
          </w:tcPr>
          <w:p w14:paraId="16963C21">
            <w:pPr>
              <w:pStyle w:val="66"/>
              <w:bidi w:val="0"/>
              <w:rPr>
                <w:lang w:val="en-US" w:eastAsia="zh-CN"/>
              </w:rPr>
            </w:pPr>
          </w:p>
        </w:tc>
        <w:tc>
          <w:tcPr>
            <w:tcW w:w="1134" w:type="dxa"/>
            <w:noWrap w:val="0"/>
            <w:vAlign w:val="center"/>
          </w:tcPr>
          <w:p w14:paraId="3004B681">
            <w:pPr>
              <w:pStyle w:val="66"/>
              <w:bidi w:val="0"/>
              <w:rPr>
                <w:lang w:val="en-US" w:eastAsia="zh-CN"/>
              </w:rPr>
            </w:pPr>
          </w:p>
        </w:tc>
        <w:tc>
          <w:tcPr>
            <w:tcW w:w="1134" w:type="dxa"/>
            <w:noWrap w:val="0"/>
            <w:vAlign w:val="center"/>
          </w:tcPr>
          <w:p w14:paraId="7C9AD7FC">
            <w:pPr>
              <w:pStyle w:val="66"/>
              <w:bidi w:val="0"/>
              <w:rPr>
                <w:lang w:val="en-US" w:eastAsia="zh-CN"/>
              </w:rPr>
            </w:pPr>
          </w:p>
        </w:tc>
        <w:tc>
          <w:tcPr>
            <w:tcW w:w="4252" w:type="dxa"/>
            <w:noWrap w:val="0"/>
            <w:vAlign w:val="center"/>
          </w:tcPr>
          <w:p w14:paraId="515B1636">
            <w:pPr>
              <w:pStyle w:val="66"/>
              <w:bidi w:val="0"/>
              <w:rPr>
                <w:lang w:val="en-US" w:eastAsia="zh-CN"/>
              </w:rPr>
            </w:pPr>
          </w:p>
        </w:tc>
      </w:tr>
      <w:tr w14:paraId="46EB47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C932FF5">
            <w:pPr>
              <w:pStyle w:val="66"/>
              <w:bidi w:val="0"/>
              <w:rPr>
                <w:lang w:val="en-US" w:eastAsia="zh-CN"/>
              </w:rPr>
            </w:pPr>
          </w:p>
        </w:tc>
        <w:tc>
          <w:tcPr>
            <w:tcW w:w="1418" w:type="dxa"/>
            <w:tcBorders>
              <w:bottom w:val="single" w:color="auto" w:sz="12" w:space="0"/>
            </w:tcBorders>
            <w:noWrap w:val="0"/>
            <w:vAlign w:val="center"/>
          </w:tcPr>
          <w:p w14:paraId="78253D54">
            <w:pPr>
              <w:pStyle w:val="66"/>
              <w:bidi w:val="0"/>
              <w:rPr>
                <w:lang w:val="en-US" w:eastAsia="zh-CN"/>
              </w:rPr>
            </w:pPr>
          </w:p>
        </w:tc>
        <w:tc>
          <w:tcPr>
            <w:tcW w:w="1134" w:type="dxa"/>
            <w:tcBorders>
              <w:bottom w:val="single" w:color="auto" w:sz="12" w:space="0"/>
            </w:tcBorders>
            <w:noWrap w:val="0"/>
            <w:vAlign w:val="center"/>
          </w:tcPr>
          <w:p w14:paraId="2D462B5C">
            <w:pPr>
              <w:pStyle w:val="66"/>
              <w:bidi w:val="0"/>
              <w:rPr>
                <w:lang w:val="en-US" w:eastAsia="zh-CN"/>
              </w:rPr>
            </w:pPr>
          </w:p>
        </w:tc>
        <w:tc>
          <w:tcPr>
            <w:tcW w:w="1134" w:type="dxa"/>
            <w:tcBorders>
              <w:bottom w:val="single" w:color="auto" w:sz="12" w:space="0"/>
            </w:tcBorders>
            <w:noWrap w:val="0"/>
            <w:vAlign w:val="center"/>
          </w:tcPr>
          <w:p w14:paraId="62327DFD">
            <w:pPr>
              <w:pStyle w:val="66"/>
              <w:bidi w:val="0"/>
              <w:rPr>
                <w:lang w:val="en-US" w:eastAsia="zh-CN"/>
              </w:rPr>
            </w:pPr>
          </w:p>
        </w:tc>
        <w:tc>
          <w:tcPr>
            <w:tcW w:w="4252" w:type="dxa"/>
            <w:tcBorders>
              <w:bottom w:val="single" w:color="auto" w:sz="12" w:space="0"/>
            </w:tcBorders>
            <w:noWrap w:val="0"/>
            <w:vAlign w:val="center"/>
          </w:tcPr>
          <w:p w14:paraId="26AEDBDE">
            <w:pPr>
              <w:pStyle w:val="66"/>
              <w:bidi w:val="0"/>
              <w:rPr>
                <w:lang w:val="en-US" w:eastAsia="zh-CN"/>
              </w:rPr>
            </w:pPr>
          </w:p>
        </w:tc>
      </w:tr>
    </w:tbl>
    <w:p w14:paraId="233295B6">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br w:type="page"/>
      </w:r>
      <w:r>
        <w:rPr>
          <w:rFonts w:ascii="Times New Roman" w:hAnsi="Times New Roman" w:eastAsia="仿宋_GB2312"/>
          <w:color w:val="000000"/>
          <w:sz w:val="30"/>
          <w:szCs w:val="30"/>
        </w:rPr>
        <w:t>附</w:t>
      </w:r>
      <w:bookmarkStart w:id="865" w:name="_Toc296503229"/>
      <w:bookmarkStart w:id="866" w:name="_Toc296891057"/>
      <w:bookmarkStart w:id="867" w:name="_Toc296944568"/>
      <w:bookmarkStart w:id="868" w:name="_Toc296891269"/>
      <w:bookmarkStart w:id="869" w:name="_Toc296347228"/>
      <w:bookmarkStart w:id="870" w:name="_Toc296346730"/>
      <w:r>
        <w:rPr>
          <w:rFonts w:ascii="Times New Roman" w:hAnsi="Times New Roman" w:eastAsia="仿宋_GB2312"/>
          <w:color w:val="000000"/>
          <w:sz w:val="30"/>
          <w:szCs w:val="30"/>
        </w:rPr>
        <w:t>件7：</w:t>
      </w:r>
    </w:p>
    <w:bookmarkEnd w:id="865"/>
    <w:bookmarkEnd w:id="866"/>
    <w:bookmarkEnd w:id="867"/>
    <w:bookmarkEnd w:id="868"/>
    <w:bookmarkEnd w:id="869"/>
    <w:bookmarkEnd w:id="870"/>
    <w:p w14:paraId="67A12036">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分包人主要施工管理人员表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AF42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50E0BACA">
            <w:pPr>
              <w:pStyle w:val="66"/>
              <w:bidi w:val="0"/>
              <w:rPr>
                <w:lang w:val="en-US" w:eastAsia="zh-CN"/>
              </w:rPr>
            </w:pPr>
            <w:r>
              <w:rPr>
                <w:lang w:val="en-US" w:eastAsia="zh-CN"/>
              </w:rPr>
              <w:t>名    称</w:t>
            </w:r>
          </w:p>
        </w:tc>
        <w:tc>
          <w:tcPr>
            <w:tcW w:w="1418" w:type="dxa"/>
            <w:tcBorders>
              <w:top w:val="single" w:color="auto" w:sz="12" w:space="0"/>
              <w:bottom w:val="double" w:color="auto" w:sz="6" w:space="0"/>
            </w:tcBorders>
            <w:noWrap w:val="0"/>
            <w:vAlign w:val="center"/>
          </w:tcPr>
          <w:p w14:paraId="2E26F02C">
            <w:pPr>
              <w:pStyle w:val="66"/>
              <w:bidi w:val="0"/>
              <w:rPr>
                <w:lang w:val="en-US" w:eastAsia="zh-CN"/>
              </w:rPr>
            </w:pPr>
            <w:r>
              <w:rPr>
                <w:lang w:val="en-US" w:eastAsia="zh-CN"/>
              </w:rPr>
              <w:t>姓名</w:t>
            </w:r>
          </w:p>
        </w:tc>
        <w:tc>
          <w:tcPr>
            <w:tcW w:w="1134" w:type="dxa"/>
            <w:tcBorders>
              <w:top w:val="single" w:color="auto" w:sz="12" w:space="0"/>
              <w:bottom w:val="double" w:color="auto" w:sz="6" w:space="0"/>
            </w:tcBorders>
            <w:noWrap w:val="0"/>
            <w:vAlign w:val="center"/>
          </w:tcPr>
          <w:p w14:paraId="1683C53A">
            <w:pPr>
              <w:pStyle w:val="66"/>
              <w:bidi w:val="0"/>
              <w:rPr>
                <w:lang w:val="en-US" w:eastAsia="zh-CN"/>
              </w:rPr>
            </w:pPr>
            <w:r>
              <w:rPr>
                <w:lang w:val="en-US" w:eastAsia="zh-CN"/>
              </w:rPr>
              <w:t>职务</w:t>
            </w:r>
          </w:p>
        </w:tc>
        <w:tc>
          <w:tcPr>
            <w:tcW w:w="1134" w:type="dxa"/>
            <w:tcBorders>
              <w:top w:val="single" w:color="auto" w:sz="12" w:space="0"/>
              <w:bottom w:val="double" w:color="auto" w:sz="6" w:space="0"/>
            </w:tcBorders>
            <w:noWrap w:val="0"/>
            <w:vAlign w:val="center"/>
          </w:tcPr>
          <w:p w14:paraId="79C9EEA9">
            <w:pPr>
              <w:pStyle w:val="66"/>
              <w:bidi w:val="0"/>
              <w:rPr>
                <w:lang w:val="en-US" w:eastAsia="zh-CN"/>
              </w:rPr>
            </w:pPr>
            <w:r>
              <w:rPr>
                <w:lang w:val="en-US" w:eastAsia="zh-CN"/>
              </w:rPr>
              <w:t>职称</w:t>
            </w:r>
          </w:p>
        </w:tc>
        <w:tc>
          <w:tcPr>
            <w:tcW w:w="4252" w:type="dxa"/>
            <w:tcBorders>
              <w:top w:val="single" w:color="auto" w:sz="12" w:space="0"/>
              <w:bottom w:val="double" w:color="auto" w:sz="6" w:space="0"/>
            </w:tcBorders>
            <w:noWrap w:val="0"/>
            <w:vAlign w:val="center"/>
          </w:tcPr>
          <w:p w14:paraId="65460B59">
            <w:pPr>
              <w:pStyle w:val="66"/>
              <w:bidi w:val="0"/>
              <w:rPr>
                <w:lang w:val="en-US" w:eastAsia="zh-CN"/>
              </w:rPr>
            </w:pPr>
            <w:r>
              <w:rPr>
                <w:lang w:val="en-US" w:eastAsia="zh-CN"/>
              </w:rPr>
              <w:t>主要资历、经验及承担过的项目</w:t>
            </w:r>
          </w:p>
        </w:tc>
      </w:tr>
      <w:tr w14:paraId="4E16D6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14:paraId="7B59CA2D">
            <w:pPr>
              <w:pStyle w:val="66"/>
              <w:bidi w:val="0"/>
              <w:rPr>
                <w:lang w:val="en-US" w:eastAsia="zh-CN"/>
              </w:rPr>
            </w:pPr>
            <w:r>
              <w:rPr>
                <w:lang w:val="en-US" w:eastAsia="zh-CN"/>
              </w:rPr>
              <w:t>一、总部人员</w:t>
            </w:r>
          </w:p>
        </w:tc>
      </w:tr>
      <w:tr w14:paraId="6BBF20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4CD79AE1">
            <w:pPr>
              <w:pStyle w:val="66"/>
              <w:bidi w:val="0"/>
              <w:rPr>
                <w:lang w:val="en-US" w:eastAsia="zh-CN"/>
              </w:rPr>
            </w:pPr>
            <w:r>
              <w:rPr>
                <w:lang w:val="en-US" w:eastAsia="zh-CN"/>
              </w:rPr>
              <w:t>项目主管</w:t>
            </w:r>
          </w:p>
        </w:tc>
        <w:tc>
          <w:tcPr>
            <w:tcW w:w="1418" w:type="dxa"/>
            <w:tcBorders>
              <w:top w:val="nil"/>
            </w:tcBorders>
            <w:noWrap w:val="0"/>
            <w:vAlign w:val="center"/>
          </w:tcPr>
          <w:p w14:paraId="56DB14E1">
            <w:pPr>
              <w:pStyle w:val="66"/>
              <w:bidi w:val="0"/>
              <w:rPr>
                <w:lang w:val="en-US" w:eastAsia="zh-CN"/>
              </w:rPr>
            </w:pPr>
          </w:p>
        </w:tc>
        <w:tc>
          <w:tcPr>
            <w:tcW w:w="1134" w:type="dxa"/>
            <w:tcBorders>
              <w:top w:val="nil"/>
            </w:tcBorders>
            <w:noWrap w:val="0"/>
            <w:vAlign w:val="center"/>
          </w:tcPr>
          <w:p w14:paraId="2AEC3F93">
            <w:pPr>
              <w:pStyle w:val="66"/>
              <w:bidi w:val="0"/>
              <w:rPr>
                <w:lang w:val="en-US" w:eastAsia="zh-CN"/>
              </w:rPr>
            </w:pPr>
          </w:p>
        </w:tc>
        <w:tc>
          <w:tcPr>
            <w:tcW w:w="1134" w:type="dxa"/>
            <w:tcBorders>
              <w:top w:val="nil"/>
            </w:tcBorders>
            <w:noWrap w:val="0"/>
            <w:vAlign w:val="center"/>
          </w:tcPr>
          <w:p w14:paraId="448F9416">
            <w:pPr>
              <w:pStyle w:val="66"/>
              <w:bidi w:val="0"/>
              <w:rPr>
                <w:lang w:val="en-US" w:eastAsia="zh-CN"/>
              </w:rPr>
            </w:pPr>
          </w:p>
        </w:tc>
        <w:tc>
          <w:tcPr>
            <w:tcW w:w="4252" w:type="dxa"/>
            <w:tcBorders>
              <w:top w:val="nil"/>
            </w:tcBorders>
            <w:noWrap w:val="0"/>
            <w:vAlign w:val="center"/>
          </w:tcPr>
          <w:p w14:paraId="00123ADC">
            <w:pPr>
              <w:pStyle w:val="66"/>
              <w:bidi w:val="0"/>
              <w:rPr>
                <w:lang w:val="en-US" w:eastAsia="zh-CN"/>
              </w:rPr>
            </w:pPr>
          </w:p>
        </w:tc>
      </w:tr>
      <w:tr w14:paraId="61B04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3649F101">
            <w:pPr>
              <w:pStyle w:val="66"/>
              <w:bidi w:val="0"/>
              <w:rPr>
                <w:lang w:val="en-US" w:eastAsia="zh-CN"/>
              </w:rPr>
            </w:pPr>
          </w:p>
        </w:tc>
        <w:tc>
          <w:tcPr>
            <w:tcW w:w="1418" w:type="dxa"/>
            <w:noWrap w:val="0"/>
            <w:vAlign w:val="center"/>
          </w:tcPr>
          <w:p w14:paraId="0C193F1E">
            <w:pPr>
              <w:pStyle w:val="66"/>
              <w:bidi w:val="0"/>
              <w:rPr>
                <w:lang w:val="en-US" w:eastAsia="zh-CN"/>
              </w:rPr>
            </w:pPr>
          </w:p>
        </w:tc>
        <w:tc>
          <w:tcPr>
            <w:tcW w:w="1134" w:type="dxa"/>
            <w:noWrap w:val="0"/>
            <w:vAlign w:val="center"/>
          </w:tcPr>
          <w:p w14:paraId="43A6C333">
            <w:pPr>
              <w:pStyle w:val="66"/>
              <w:bidi w:val="0"/>
              <w:rPr>
                <w:lang w:val="en-US" w:eastAsia="zh-CN"/>
              </w:rPr>
            </w:pPr>
          </w:p>
        </w:tc>
        <w:tc>
          <w:tcPr>
            <w:tcW w:w="1134" w:type="dxa"/>
            <w:noWrap w:val="0"/>
            <w:vAlign w:val="center"/>
          </w:tcPr>
          <w:p w14:paraId="62590117">
            <w:pPr>
              <w:pStyle w:val="66"/>
              <w:bidi w:val="0"/>
              <w:rPr>
                <w:lang w:val="en-US" w:eastAsia="zh-CN"/>
              </w:rPr>
            </w:pPr>
          </w:p>
        </w:tc>
        <w:tc>
          <w:tcPr>
            <w:tcW w:w="4252" w:type="dxa"/>
            <w:noWrap w:val="0"/>
            <w:vAlign w:val="center"/>
          </w:tcPr>
          <w:p w14:paraId="47BA68B1">
            <w:pPr>
              <w:pStyle w:val="66"/>
              <w:bidi w:val="0"/>
              <w:rPr>
                <w:lang w:val="en-US" w:eastAsia="zh-CN"/>
              </w:rPr>
            </w:pPr>
          </w:p>
        </w:tc>
      </w:tr>
      <w:tr w14:paraId="4510E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nil"/>
              <w:bottom w:val="nil"/>
            </w:tcBorders>
            <w:noWrap w:val="0"/>
            <w:vAlign w:val="center"/>
          </w:tcPr>
          <w:p w14:paraId="580CC185">
            <w:pPr>
              <w:pStyle w:val="66"/>
              <w:bidi w:val="0"/>
              <w:rPr>
                <w:lang w:val="en-US" w:eastAsia="zh-CN"/>
              </w:rPr>
            </w:pPr>
            <w:r>
              <w:rPr>
                <w:lang w:val="en-US" w:eastAsia="zh-CN"/>
              </w:rPr>
              <w:t>其他人员</w:t>
            </w:r>
          </w:p>
        </w:tc>
        <w:tc>
          <w:tcPr>
            <w:tcW w:w="1418" w:type="dxa"/>
            <w:noWrap w:val="0"/>
            <w:vAlign w:val="center"/>
          </w:tcPr>
          <w:p w14:paraId="159871AE">
            <w:pPr>
              <w:pStyle w:val="66"/>
              <w:bidi w:val="0"/>
              <w:rPr>
                <w:lang w:val="en-US" w:eastAsia="zh-CN"/>
              </w:rPr>
            </w:pPr>
          </w:p>
        </w:tc>
        <w:tc>
          <w:tcPr>
            <w:tcW w:w="1134" w:type="dxa"/>
            <w:noWrap w:val="0"/>
            <w:vAlign w:val="center"/>
          </w:tcPr>
          <w:p w14:paraId="0C68C912">
            <w:pPr>
              <w:pStyle w:val="66"/>
              <w:bidi w:val="0"/>
              <w:rPr>
                <w:lang w:val="en-US" w:eastAsia="zh-CN"/>
              </w:rPr>
            </w:pPr>
          </w:p>
        </w:tc>
        <w:tc>
          <w:tcPr>
            <w:tcW w:w="1134" w:type="dxa"/>
            <w:noWrap w:val="0"/>
            <w:vAlign w:val="center"/>
          </w:tcPr>
          <w:p w14:paraId="302BF01C">
            <w:pPr>
              <w:pStyle w:val="66"/>
              <w:bidi w:val="0"/>
              <w:rPr>
                <w:lang w:val="en-US" w:eastAsia="zh-CN"/>
              </w:rPr>
            </w:pPr>
          </w:p>
        </w:tc>
        <w:tc>
          <w:tcPr>
            <w:tcW w:w="4252" w:type="dxa"/>
            <w:noWrap w:val="0"/>
            <w:vAlign w:val="center"/>
          </w:tcPr>
          <w:p w14:paraId="56D73CEA">
            <w:pPr>
              <w:pStyle w:val="66"/>
              <w:bidi w:val="0"/>
              <w:rPr>
                <w:lang w:val="en-US" w:eastAsia="zh-CN"/>
              </w:rPr>
            </w:pPr>
          </w:p>
        </w:tc>
      </w:tr>
      <w:tr w14:paraId="3BB64D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00A7516B">
            <w:pPr>
              <w:pStyle w:val="66"/>
              <w:bidi w:val="0"/>
              <w:rPr>
                <w:lang w:val="en-US" w:eastAsia="zh-CN"/>
              </w:rPr>
            </w:pPr>
          </w:p>
        </w:tc>
        <w:tc>
          <w:tcPr>
            <w:tcW w:w="1418" w:type="dxa"/>
            <w:noWrap w:val="0"/>
            <w:vAlign w:val="center"/>
          </w:tcPr>
          <w:p w14:paraId="3FC6C88E">
            <w:pPr>
              <w:pStyle w:val="66"/>
              <w:bidi w:val="0"/>
              <w:rPr>
                <w:lang w:val="en-US" w:eastAsia="zh-CN"/>
              </w:rPr>
            </w:pPr>
          </w:p>
        </w:tc>
        <w:tc>
          <w:tcPr>
            <w:tcW w:w="1134" w:type="dxa"/>
            <w:noWrap w:val="0"/>
            <w:vAlign w:val="center"/>
          </w:tcPr>
          <w:p w14:paraId="035CF4E2">
            <w:pPr>
              <w:pStyle w:val="66"/>
              <w:bidi w:val="0"/>
              <w:rPr>
                <w:lang w:val="en-US" w:eastAsia="zh-CN"/>
              </w:rPr>
            </w:pPr>
          </w:p>
        </w:tc>
        <w:tc>
          <w:tcPr>
            <w:tcW w:w="1134" w:type="dxa"/>
            <w:noWrap w:val="0"/>
            <w:vAlign w:val="center"/>
          </w:tcPr>
          <w:p w14:paraId="4D5D6C50">
            <w:pPr>
              <w:pStyle w:val="66"/>
              <w:bidi w:val="0"/>
              <w:rPr>
                <w:lang w:val="en-US" w:eastAsia="zh-CN"/>
              </w:rPr>
            </w:pPr>
          </w:p>
        </w:tc>
        <w:tc>
          <w:tcPr>
            <w:tcW w:w="4252" w:type="dxa"/>
            <w:noWrap w:val="0"/>
            <w:vAlign w:val="center"/>
          </w:tcPr>
          <w:p w14:paraId="60C7BB70">
            <w:pPr>
              <w:pStyle w:val="66"/>
              <w:bidi w:val="0"/>
              <w:rPr>
                <w:lang w:val="en-US" w:eastAsia="zh-CN"/>
              </w:rPr>
            </w:pPr>
          </w:p>
        </w:tc>
      </w:tr>
      <w:tr w14:paraId="6590A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14:paraId="154A9A04">
            <w:pPr>
              <w:pStyle w:val="66"/>
              <w:bidi w:val="0"/>
              <w:rPr>
                <w:lang w:val="en-US" w:eastAsia="zh-CN"/>
              </w:rPr>
            </w:pPr>
            <w:r>
              <w:rPr>
                <w:lang w:val="en-US" w:eastAsia="zh-CN"/>
              </w:rPr>
              <w:t>二、现场人员</w:t>
            </w:r>
          </w:p>
        </w:tc>
      </w:tr>
      <w:tr w14:paraId="7033BD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CB5F4E5">
            <w:pPr>
              <w:pStyle w:val="66"/>
              <w:bidi w:val="0"/>
              <w:rPr>
                <w:lang w:val="en-US" w:eastAsia="zh-CN"/>
              </w:rPr>
            </w:pPr>
            <w:r>
              <w:rPr>
                <w:lang w:val="en-US" w:eastAsia="zh-CN"/>
              </w:rPr>
              <w:t>项目经理</w:t>
            </w:r>
          </w:p>
        </w:tc>
        <w:tc>
          <w:tcPr>
            <w:tcW w:w="1418" w:type="dxa"/>
            <w:noWrap w:val="0"/>
            <w:vAlign w:val="center"/>
          </w:tcPr>
          <w:p w14:paraId="4376567B">
            <w:pPr>
              <w:pStyle w:val="66"/>
              <w:bidi w:val="0"/>
              <w:rPr>
                <w:lang w:val="en-US" w:eastAsia="zh-CN"/>
              </w:rPr>
            </w:pPr>
          </w:p>
        </w:tc>
        <w:tc>
          <w:tcPr>
            <w:tcW w:w="1134" w:type="dxa"/>
            <w:noWrap w:val="0"/>
            <w:vAlign w:val="center"/>
          </w:tcPr>
          <w:p w14:paraId="6F8774FE">
            <w:pPr>
              <w:pStyle w:val="66"/>
              <w:bidi w:val="0"/>
              <w:rPr>
                <w:lang w:val="en-US" w:eastAsia="zh-CN"/>
              </w:rPr>
            </w:pPr>
          </w:p>
        </w:tc>
        <w:tc>
          <w:tcPr>
            <w:tcW w:w="1134" w:type="dxa"/>
            <w:noWrap w:val="0"/>
            <w:vAlign w:val="center"/>
          </w:tcPr>
          <w:p w14:paraId="7997C846">
            <w:pPr>
              <w:pStyle w:val="66"/>
              <w:bidi w:val="0"/>
              <w:rPr>
                <w:lang w:val="en-US" w:eastAsia="zh-CN"/>
              </w:rPr>
            </w:pPr>
          </w:p>
        </w:tc>
        <w:tc>
          <w:tcPr>
            <w:tcW w:w="4252" w:type="dxa"/>
            <w:noWrap w:val="0"/>
            <w:vAlign w:val="center"/>
          </w:tcPr>
          <w:p w14:paraId="33CD8646">
            <w:pPr>
              <w:pStyle w:val="66"/>
              <w:bidi w:val="0"/>
              <w:rPr>
                <w:lang w:val="en-US" w:eastAsia="zh-CN"/>
              </w:rPr>
            </w:pPr>
          </w:p>
        </w:tc>
      </w:tr>
      <w:tr w14:paraId="16B57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A445AD">
            <w:pPr>
              <w:pStyle w:val="66"/>
              <w:bidi w:val="0"/>
              <w:rPr>
                <w:lang w:val="en-US" w:eastAsia="zh-CN"/>
              </w:rPr>
            </w:pPr>
            <w:r>
              <w:rPr>
                <w:lang w:val="en-US" w:eastAsia="zh-CN"/>
              </w:rPr>
              <w:t>项目副经理</w:t>
            </w:r>
          </w:p>
        </w:tc>
        <w:tc>
          <w:tcPr>
            <w:tcW w:w="1418" w:type="dxa"/>
            <w:noWrap w:val="0"/>
            <w:vAlign w:val="center"/>
          </w:tcPr>
          <w:p w14:paraId="1B04A902">
            <w:pPr>
              <w:pStyle w:val="66"/>
              <w:bidi w:val="0"/>
              <w:rPr>
                <w:lang w:val="en-US" w:eastAsia="zh-CN"/>
              </w:rPr>
            </w:pPr>
          </w:p>
        </w:tc>
        <w:tc>
          <w:tcPr>
            <w:tcW w:w="1134" w:type="dxa"/>
            <w:noWrap w:val="0"/>
            <w:vAlign w:val="center"/>
          </w:tcPr>
          <w:p w14:paraId="3628173A">
            <w:pPr>
              <w:pStyle w:val="66"/>
              <w:bidi w:val="0"/>
              <w:rPr>
                <w:lang w:val="en-US" w:eastAsia="zh-CN"/>
              </w:rPr>
            </w:pPr>
          </w:p>
        </w:tc>
        <w:tc>
          <w:tcPr>
            <w:tcW w:w="1134" w:type="dxa"/>
            <w:noWrap w:val="0"/>
            <w:vAlign w:val="center"/>
          </w:tcPr>
          <w:p w14:paraId="0C761283">
            <w:pPr>
              <w:pStyle w:val="66"/>
              <w:bidi w:val="0"/>
              <w:rPr>
                <w:lang w:val="en-US" w:eastAsia="zh-CN"/>
              </w:rPr>
            </w:pPr>
          </w:p>
        </w:tc>
        <w:tc>
          <w:tcPr>
            <w:tcW w:w="4252" w:type="dxa"/>
            <w:noWrap w:val="0"/>
            <w:vAlign w:val="center"/>
          </w:tcPr>
          <w:p w14:paraId="2D6F35A4">
            <w:pPr>
              <w:pStyle w:val="66"/>
              <w:bidi w:val="0"/>
              <w:rPr>
                <w:lang w:val="en-US" w:eastAsia="zh-CN"/>
              </w:rPr>
            </w:pPr>
          </w:p>
        </w:tc>
      </w:tr>
      <w:tr w14:paraId="74D40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E98C797">
            <w:pPr>
              <w:pStyle w:val="66"/>
              <w:bidi w:val="0"/>
              <w:rPr>
                <w:lang w:val="en-US" w:eastAsia="zh-CN"/>
              </w:rPr>
            </w:pPr>
            <w:r>
              <w:rPr>
                <w:lang w:val="en-US" w:eastAsia="zh-CN"/>
              </w:rPr>
              <w:t>技术负责人</w:t>
            </w:r>
          </w:p>
        </w:tc>
        <w:tc>
          <w:tcPr>
            <w:tcW w:w="1418" w:type="dxa"/>
            <w:noWrap w:val="0"/>
            <w:vAlign w:val="center"/>
          </w:tcPr>
          <w:p w14:paraId="5AA6E183">
            <w:pPr>
              <w:pStyle w:val="66"/>
              <w:bidi w:val="0"/>
              <w:rPr>
                <w:lang w:val="en-US" w:eastAsia="zh-CN"/>
              </w:rPr>
            </w:pPr>
          </w:p>
        </w:tc>
        <w:tc>
          <w:tcPr>
            <w:tcW w:w="1134" w:type="dxa"/>
            <w:noWrap w:val="0"/>
            <w:vAlign w:val="center"/>
          </w:tcPr>
          <w:p w14:paraId="6E7045D0">
            <w:pPr>
              <w:pStyle w:val="66"/>
              <w:bidi w:val="0"/>
              <w:rPr>
                <w:lang w:val="en-US" w:eastAsia="zh-CN"/>
              </w:rPr>
            </w:pPr>
          </w:p>
        </w:tc>
        <w:tc>
          <w:tcPr>
            <w:tcW w:w="1134" w:type="dxa"/>
            <w:noWrap w:val="0"/>
            <w:vAlign w:val="center"/>
          </w:tcPr>
          <w:p w14:paraId="7FDF2D7D">
            <w:pPr>
              <w:pStyle w:val="66"/>
              <w:bidi w:val="0"/>
              <w:rPr>
                <w:lang w:val="en-US" w:eastAsia="zh-CN"/>
              </w:rPr>
            </w:pPr>
          </w:p>
        </w:tc>
        <w:tc>
          <w:tcPr>
            <w:tcW w:w="4252" w:type="dxa"/>
            <w:noWrap w:val="0"/>
            <w:vAlign w:val="center"/>
          </w:tcPr>
          <w:p w14:paraId="1262F803">
            <w:pPr>
              <w:pStyle w:val="66"/>
              <w:bidi w:val="0"/>
              <w:rPr>
                <w:lang w:val="en-US" w:eastAsia="zh-CN"/>
              </w:rPr>
            </w:pPr>
          </w:p>
        </w:tc>
      </w:tr>
      <w:tr w14:paraId="61DCE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B93D8A8">
            <w:pPr>
              <w:pStyle w:val="66"/>
              <w:bidi w:val="0"/>
              <w:rPr>
                <w:lang w:val="en-US" w:eastAsia="zh-CN"/>
              </w:rPr>
            </w:pPr>
            <w:r>
              <w:rPr>
                <w:lang w:val="en-US" w:eastAsia="zh-CN"/>
              </w:rPr>
              <w:t>造价管理</w:t>
            </w:r>
          </w:p>
        </w:tc>
        <w:tc>
          <w:tcPr>
            <w:tcW w:w="1418" w:type="dxa"/>
            <w:noWrap w:val="0"/>
            <w:vAlign w:val="center"/>
          </w:tcPr>
          <w:p w14:paraId="7221AC38">
            <w:pPr>
              <w:pStyle w:val="66"/>
              <w:bidi w:val="0"/>
              <w:rPr>
                <w:lang w:val="en-US" w:eastAsia="zh-CN"/>
              </w:rPr>
            </w:pPr>
          </w:p>
        </w:tc>
        <w:tc>
          <w:tcPr>
            <w:tcW w:w="1134" w:type="dxa"/>
            <w:noWrap w:val="0"/>
            <w:vAlign w:val="center"/>
          </w:tcPr>
          <w:p w14:paraId="03901320">
            <w:pPr>
              <w:pStyle w:val="66"/>
              <w:bidi w:val="0"/>
              <w:rPr>
                <w:lang w:val="en-US" w:eastAsia="zh-CN"/>
              </w:rPr>
            </w:pPr>
          </w:p>
        </w:tc>
        <w:tc>
          <w:tcPr>
            <w:tcW w:w="1134" w:type="dxa"/>
            <w:noWrap w:val="0"/>
            <w:vAlign w:val="center"/>
          </w:tcPr>
          <w:p w14:paraId="056AE06F">
            <w:pPr>
              <w:pStyle w:val="66"/>
              <w:bidi w:val="0"/>
              <w:rPr>
                <w:lang w:val="en-US" w:eastAsia="zh-CN"/>
              </w:rPr>
            </w:pPr>
          </w:p>
        </w:tc>
        <w:tc>
          <w:tcPr>
            <w:tcW w:w="4252" w:type="dxa"/>
            <w:noWrap w:val="0"/>
            <w:vAlign w:val="center"/>
          </w:tcPr>
          <w:p w14:paraId="3521DE5D">
            <w:pPr>
              <w:pStyle w:val="66"/>
              <w:bidi w:val="0"/>
              <w:rPr>
                <w:lang w:val="en-US" w:eastAsia="zh-CN"/>
              </w:rPr>
            </w:pPr>
          </w:p>
        </w:tc>
      </w:tr>
      <w:tr w14:paraId="124943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3867788">
            <w:pPr>
              <w:pStyle w:val="66"/>
              <w:bidi w:val="0"/>
              <w:rPr>
                <w:lang w:val="en-US" w:eastAsia="zh-CN"/>
              </w:rPr>
            </w:pPr>
            <w:r>
              <w:rPr>
                <w:lang w:val="en-US" w:eastAsia="zh-CN"/>
              </w:rPr>
              <w:t>质量管理</w:t>
            </w:r>
          </w:p>
        </w:tc>
        <w:tc>
          <w:tcPr>
            <w:tcW w:w="1418" w:type="dxa"/>
            <w:noWrap w:val="0"/>
            <w:vAlign w:val="center"/>
          </w:tcPr>
          <w:p w14:paraId="7BEA10AD">
            <w:pPr>
              <w:pStyle w:val="66"/>
              <w:bidi w:val="0"/>
              <w:rPr>
                <w:lang w:val="en-US" w:eastAsia="zh-CN"/>
              </w:rPr>
            </w:pPr>
          </w:p>
        </w:tc>
        <w:tc>
          <w:tcPr>
            <w:tcW w:w="1134" w:type="dxa"/>
            <w:noWrap w:val="0"/>
            <w:vAlign w:val="center"/>
          </w:tcPr>
          <w:p w14:paraId="65C5B984">
            <w:pPr>
              <w:pStyle w:val="66"/>
              <w:bidi w:val="0"/>
              <w:rPr>
                <w:lang w:val="en-US" w:eastAsia="zh-CN"/>
              </w:rPr>
            </w:pPr>
          </w:p>
        </w:tc>
        <w:tc>
          <w:tcPr>
            <w:tcW w:w="1134" w:type="dxa"/>
            <w:noWrap w:val="0"/>
            <w:vAlign w:val="center"/>
          </w:tcPr>
          <w:p w14:paraId="048A8D1B">
            <w:pPr>
              <w:pStyle w:val="66"/>
              <w:bidi w:val="0"/>
              <w:rPr>
                <w:lang w:val="en-US" w:eastAsia="zh-CN"/>
              </w:rPr>
            </w:pPr>
          </w:p>
        </w:tc>
        <w:tc>
          <w:tcPr>
            <w:tcW w:w="4252" w:type="dxa"/>
            <w:noWrap w:val="0"/>
            <w:vAlign w:val="center"/>
          </w:tcPr>
          <w:p w14:paraId="307638C8">
            <w:pPr>
              <w:pStyle w:val="66"/>
              <w:bidi w:val="0"/>
              <w:rPr>
                <w:lang w:val="en-US" w:eastAsia="zh-CN"/>
              </w:rPr>
            </w:pPr>
          </w:p>
        </w:tc>
      </w:tr>
      <w:tr w14:paraId="3A50A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2B5635">
            <w:pPr>
              <w:pStyle w:val="66"/>
              <w:bidi w:val="0"/>
              <w:rPr>
                <w:lang w:val="en-US" w:eastAsia="zh-CN"/>
              </w:rPr>
            </w:pPr>
            <w:r>
              <w:rPr>
                <w:lang w:val="en-US" w:eastAsia="zh-CN"/>
              </w:rPr>
              <w:t>材料管理</w:t>
            </w:r>
          </w:p>
        </w:tc>
        <w:tc>
          <w:tcPr>
            <w:tcW w:w="1418" w:type="dxa"/>
            <w:noWrap w:val="0"/>
            <w:vAlign w:val="center"/>
          </w:tcPr>
          <w:p w14:paraId="0476C7EB">
            <w:pPr>
              <w:pStyle w:val="66"/>
              <w:bidi w:val="0"/>
              <w:rPr>
                <w:lang w:val="en-US" w:eastAsia="zh-CN"/>
              </w:rPr>
            </w:pPr>
          </w:p>
        </w:tc>
        <w:tc>
          <w:tcPr>
            <w:tcW w:w="1134" w:type="dxa"/>
            <w:noWrap w:val="0"/>
            <w:vAlign w:val="center"/>
          </w:tcPr>
          <w:p w14:paraId="0BB38519">
            <w:pPr>
              <w:pStyle w:val="66"/>
              <w:bidi w:val="0"/>
              <w:rPr>
                <w:lang w:val="en-US" w:eastAsia="zh-CN"/>
              </w:rPr>
            </w:pPr>
          </w:p>
        </w:tc>
        <w:tc>
          <w:tcPr>
            <w:tcW w:w="1134" w:type="dxa"/>
            <w:noWrap w:val="0"/>
            <w:vAlign w:val="center"/>
          </w:tcPr>
          <w:p w14:paraId="1161F3A9">
            <w:pPr>
              <w:pStyle w:val="66"/>
              <w:bidi w:val="0"/>
              <w:rPr>
                <w:lang w:val="en-US" w:eastAsia="zh-CN"/>
              </w:rPr>
            </w:pPr>
          </w:p>
        </w:tc>
        <w:tc>
          <w:tcPr>
            <w:tcW w:w="4252" w:type="dxa"/>
            <w:noWrap w:val="0"/>
            <w:vAlign w:val="center"/>
          </w:tcPr>
          <w:p w14:paraId="1389C643">
            <w:pPr>
              <w:pStyle w:val="66"/>
              <w:bidi w:val="0"/>
              <w:rPr>
                <w:lang w:val="en-US" w:eastAsia="zh-CN"/>
              </w:rPr>
            </w:pPr>
          </w:p>
        </w:tc>
      </w:tr>
      <w:tr w14:paraId="62212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87FE8EB">
            <w:pPr>
              <w:pStyle w:val="66"/>
              <w:bidi w:val="0"/>
              <w:rPr>
                <w:lang w:val="en-US" w:eastAsia="zh-CN"/>
              </w:rPr>
            </w:pPr>
            <w:r>
              <w:rPr>
                <w:lang w:val="en-US" w:eastAsia="zh-CN"/>
              </w:rPr>
              <w:t>计划管理</w:t>
            </w:r>
          </w:p>
        </w:tc>
        <w:tc>
          <w:tcPr>
            <w:tcW w:w="1418" w:type="dxa"/>
            <w:noWrap w:val="0"/>
            <w:vAlign w:val="center"/>
          </w:tcPr>
          <w:p w14:paraId="6CECBD1C">
            <w:pPr>
              <w:pStyle w:val="66"/>
              <w:bidi w:val="0"/>
              <w:rPr>
                <w:lang w:val="en-US" w:eastAsia="zh-CN"/>
              </w:rPr>
            </w:pPr>
          </w:p>
        </w:tc>
        <w:tc>
          <w:tcPr>
            <w:tcW w:w="1134" w:type="dxa"/>
            <w:noWrap w:val="0"/>
            <w:vAlign w:val="center"/>
          </w:tcPr>
          <w:p w14:paraId="20D562B3">
            <w:pPr>
              <w:pStyle w:val="66"/>
              <w:bidi w:val="0"/>
              <w:rPr>
                <w:lang w:val="en-US" w:eastAsia="zh-CN"/>
              </w:rPr>
            </w:pPr>
          </w:p>
        </w:tc>
        <w:tc>
          <w:tcPr>
            <w:tcW w:w="1134" w:type="dxa"/>
            <w:noWrap w:val="0"/>
            <w:vAlign w:val="center"/>
          </w:tcPr>
          <w:p w14:paraId="0F806407">
            <w:pPr>
              <w:pStyle w:val="66"/>
              <w:bidi w:val="0"/>
              <w:rPr>
                <w:lang w:val="en-US" w:eastAsia="zh-CN"/>
              </w:rPr>
            </w:pPr>
          </w:p>
        </w:tc>
        <w:tc>
          <w:tcPr>
            <w:tcW w:w="4252" w:type="dxa"/>
            <w:noWrap w:val="0"/>
            <w:vAlign w:val="center"/>
          </w:tcPr>
          <w:p w14:paraId="04859E8A">
            <w:pPr>
              <w:pStyle w:val="66"/>
              <w:bidi w:val="0"/>
              <w:rPr>
                <w:lang w:val="en-US" w:eastAsia="zh-CN"/>
              </w:rPr>
            </w:pPr>
          </w:p>
        </w:tc>
      </w:tr>
      <w:tr w14:paraId="5FE5D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257C654">
            <w:pPr>
              <w:pStyle w:val="66"/>
              <w:bidi w:val="0"/>
              <w:rPr>
                <w:lang w:val="en-US" w:eastAsia="zh-CN"/>
              </w:rPr>
            </w:pPr>
            <w:r>
              <w:rPr>
                <w:lang w:val="en-US" w:eastAsia="zh-CN"/>
              </w:rPr>
              <w:t>安全管理</w:t>
            </w:r>
          </w:p>
        </w:tc>
        <w:tc>
          <w:tcPr>
            <w:tcW w:w="1418" w:type="dxa"/>
            <w:noWrap w:val="0"/>
            <w:vAlign w:val="center"/>
          </w:tcPr>
          <w:p w14:paraId="67C2696D">
            <w:pPr>
              <w:pStyle w:val="66"/>
              <w:bidi w:val="0"/>
              <w:rPr>
                <w:lang w:val="en-US" w:eastAsia="zh-CN"/>
              </w:rPr>
            </w:pPr>
          </w:p>
        </w:tc>
        <w:tc>
          <w:tcPr>
            <w:tcW w:w="1134" w:type="dxa"/>
            <w:noWrap w:val="0"/>
            <w:vAlign w:val="center"/>
          </w:tcPr>
          <w:p w14:paraId="1FCCCB36">
            <w:pPr>
              <w:pStyle w:val="66"/>
              <w:bidi w:val="0"/>
              <w:rPr>
                <w:lang w:val="en-US" w:eastAsia="zh-CN"/>
              </w:rPr>
            </w:pPr>
          </w:p>
        </w:tc>
        <w:tc>
          <w:tcPr>
            <w:tcW w:w="1134" w:type="dxa"/>
            <w:noWrap w:val="0"/>
            <w:vAlign w:val="center"/>
          </w:tcPr>
          <w:p w14:paraId="7035B811">
            <w:pPr>
              <w:pStyle w:val="66"/>
              <w:bidi w:val="0"/>
              <w:rPr>
                <w:lang w:val="en-US" w:eastAsia="zh-CN"/>
              </w:rPr>
            </w:pPr>
          </w:p>
        </w:tc>
        <w:tc>
          <w:tcPr>
            <w:tcW w:w="4252" w:type="dxa"/>
            <w:noWrap w:val="0"/>
            <w:vAlign w:val="center"/>
          </w:tcPr>
          <w:p w14:paraId="197C1921">
            <w:pPr>
              <w:pStyle w:val="66"/>
              <w:bidi w:val="0"/>
              <w:rPr>
                <w:lang w:val="en-US" w:eastAsia="zh-CN"/>
              </w:rPr>
            </w:pPr>
          </w:p>
        </w:tc>
      </w:tr>
      <w:tr w14:paraId="1A69B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vMerge w:val="restart"/>
            <w:tcBorders>
              <w:top w:val="single" w:color="auto" w:sz="6" w:space="0"/>
            </w:tcBorders>
            <w:noWrap w:val="0"/>
            <w:vAlign w:val="center"/>
          </w:tcPr>
          <w:p w14:paraId="738A4129">
            <w:pPr>
              <w:pStyle w:val="66"/>
              <w:bidi w:val="0"/>
              <w:rPr>
                <w:lang w:val="en-US" w:eastAsia="zh-CN"/>
              </w:rPr>
            </w:pPr>
            <w:r>
              <w:rPr>
                <w:lang w:val="en-US" w:eastAsia="zh-CN"/>
              </w:rPr>
              <w:t>其他人员</w:t>
            </w:r>
          </w:p>
        </w:tc>
        <w:tc>
          <w:tcPr>
            <w:tcW w:w="1418" w:type="dxa"/>
            <w:noWrap w:val="0"/>
            <w:vAlign w:val="center"/>
          </w:tcPr>
          <w:p w14:paraId="66F18ADB">
            <w:pPr>
              <w:pStyle w:val="66"/>
              <w:bidi w:val="0"/>
              <w:rPr>
                <w:lang w:val="en-US" w:eastAsia="zh-CN"/>
              </w:rPr>
            </w:pPr>
          </w:p>
        </w:tc>
        <w:tc>
          <w:tcPr>
            <w:tcW w:w="1134" w:type="dxa"/>
            <w:noWrap w:val="0"/>
            <w:vAlign w:val="center"/>
          </w:tcPr>
          <w:p w14:paraId="6AA165BE">
            <w:pPr>
              <w:pStyle w:val="66"/>
              <w:bidi w:val="0"/>
              <w:rPr>
                <w:lang w:val="en-US" w:eastAsia="zh-CN"/>
              </w:rPr>
            </w:pPr>
          </w:p>
        </w:tc>
        <w:tc>
          <w:tcPr>
            <w:tcW w:w="1134" w:type="dxa"/>
            <w:noWrap w:val="0"/>
            <w:vAlign w:val="center"/>
          </w:tcPr>
          <w:p w14:paraId="149D5FE5">
            <w:pPr>
              <w:pStyle w:val="66"/>
              <w:bidi w:val="0"/>
              <w:rPr>
                <w:lang w:val="en-US" w:eastAsia="zh-CN"/>
              </w:rPr>
            </w:pPr>
          </w:p>
        </w:tc>
        <w:tc>
          <w:tcPr>
            <w:tcW w:w="4252" w:type="dxa"/>
            <w:noWrap w:val="0"/>
            <w:vAlign w:val="center"/>
          </w:tcPr>
          <w:p w14:paraId="0A7486BD">
            <w:pPr>
              <w:pStyle w:val="66"/>
              <w:bidi w:val="0"/>
              <w:rPr>
                <w:lang w:val="en-US" w:eastAsia="zh-CN"/>
              </w:rPr>
            </w:pPr>
          </w:p>
        </w:tc>
      </w:tr>
      <w:tr w14:paraId="132F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582F225">
            <w:pPr>
              <w:pStyle w:val="66"/>
              <w:bidi w:val="0"/>
              <w:rPr>
                <w:lang w:val="en-US" w:eastAsia="zh-CN"/>
              </w:rPr>
            </w:pPr>
          </w:p>
        </w:tc>
        <w:tc>
          <w:tcPr>
            <w:tcW w:w="1418" w:type="dxa"/>
            <w:tcBorders>
              <w:bottom w:val="nil"/>
            </w:tcBorders>
            <w:noWrap w:val="0"/>
            <w:vAlign w:val="center"/>
          </w:tcPr>
          <w:p w14:paraId="26D365A2">
            <w:pPr>
              <w:pStyle w:val="66"/>
              <w:bidi w:val="0"/>
              <w:rPr>
                <w:lang w:val="en-US" w:eastAsia="zh-CN"/>
              </w:rPr>
            </w:pPr>
          </w:p>
        </w:tc>
        <w:tc>
          <w:tcPr>
            <w:tcW w:w="1134" w:type="dxa"/>
            <w:tcBorders>
              <w:bottom w:val="nil"/>
            </w:tcBorders>
            <w:noWrap w:val="0"/>
            <w:vAlign w:val="center"/>
          </w:tcPr>
          <w:p w14:paraId="6B285F06">
            <w:pPr>
              <w:pStyle w:val="66"/>
              <w:bidi w:val="0"/>
              <w:rPr>
                <w:lang w:val="en-US" w:eastAsia="zh-CN"/>
              </w:rPr>
            </w:pPr>
          </w:p>
        </w:tc>
        <w:tc>
          <w:tcPr>
            <w:tcW w:w="1134" w:type="dxa"/>
            <w:tcBorders>
              <w:bottom w:val="nil"/>
            </w:tcBorders>
            <w:noWrap w:val="0"/>
            <w:vAlign w:val="center"/>
          </w:tcPr>
          <w:p w14:paraId="4C56BAF6">
            <w:pPr>
              <w:pStyle w:val="66"/>
              <w:bidi w:val="0"/>
              <w:rPr>
                <w:lang w:val="en-US" w:eastAsia="zh-CN"/>
              </w:rPr>
            </w:pPr>
          </w:p>
        </w:tc>
        <w:tc>
          <w:tcPr>
            <w:tcW w:w="4252" w:type="dxa"/>
            <w:tcBorders>
              <w:bottom w:val="nil"/>
            </w:tcBorders>
            <w:noWrap w:val="0"/>
            <w:vAlign w:val="center"/>
          </w:tcPr>
          <w:p w14:paraId="6BECD306">
            <w:pPr>
              <w:pStyle w:val="66"/>
              <w:bidi w:val="0"/>
              <w:rPr>
                <w:lang w:val="en-US" w:eastAsia="zh-CN"/>
              </w:rPr>
            </w:pPr>
          </w:p>
        </w:tc>
      </w:tr>
      <w:tr w14:paraId="35600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25D4CCF">
            <w:pPr>
              <w:pStyle w:val="66"/>
              <w:bidi w:val="0"/>
              <w:rPr>
                <w:lang w:val="en-US" w:eastAsia="zh-CN"/>
              </w:rPr>
            </w:pPr>
          </w:p>
        </w:tc>
        <w:tc>
          <w:tcPr>
            <w:tcW w:w="1418" w:type="dxa"/>
            <w:noWrap w:val="0"/>
            <w:vAlign w:val="center"/>
          </w:tcPr>
          <w:p w14:paraId="753E8A23">
            <w:pPr>
              <w:pStyle w:val="66"/>
              <w:bidi w:val="0"/>
              <w:rPr>
                <w:lang w:val="en-US" w:eastAsia="zh-CN"/>
              </w:rPr>
            </w:pPr>
          </w:p>
        </w:tc>
        <w:tc>
          <w:tcPr>
            <w:tcW w:w="1134" w:type="dxa"/>
            <w:noWrap w:val="0"/>
            <w:vAlign w:val="center"/>
          </w:tcPr>
          <w:p w14:paraId="4F7FD8B7">
            <w:pPr>
              <w:pStyle w:val="66"/>
              <w:bidi w:val="0"/>
              <w:rPr>
                <w:lang w:val="en-US" w:eastAsia="zh-CN"/>
              </w:rPr>
            </w:pPr>
          </w:p>
        </w:tc>
        <w:tc>
          <w:tcPr>
            <w:tcW w:w="1134" w:type="dxa"/>
            <w:noWrap w:val="0"/>
            <w:vAlign w:val="center"/>
          </w:tcPr>
          <w:p w14:paraId="47102417">
            <w:pPr>
              <w:pStyle w:val="66"/>
              <w:bidi w:val="0"/>
              <w:rPr>
                <w:lang w:val="en-US" w:eastAsia="zh-CN"/>
              </w:rPr>
            </w:pPr>
          </w:p>
        </w:tc>
        <w:tc>
          <w:tcPr>
            <w:tcW w:w="4252" w:type="dxa"/>
            <w:noWrap w:val="0"/>
            <w:vAlign w:val="center"/>
          </w:tcPr>
          <w:p w14:paraId="33F8FFDE">
            <w:pPr>
              <w:pStyle w:val="66"/>
              <w:bidi w:val="0"/>
              <w:rPr>
                <w:lang w:val="en-US" w:eastAsia="zh-CN"/>
              </w:rPr>
            </w:pPr>
          </w:p>
        </w:tc>
      </w:tr>
      <w:tr w14:paraId="5AC590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586A572">
            <w:pPr>
              <w:pStyle w:val="66"/>
              <w:bidi w:val="0"/>
              <w:rPr>
                <w:lang w:val="en-US" w:eastAsia="zh-CN"/>
              </w:rPr>
            </w:pPr>
          </w:p>
        </w:tc>
        <w:tc>
          <w:tcPr>
            <w:tcW w:w="1418" w:type="dxa"/>
            <w:noWrap w:val="0"/>
            <w:vAlign w:val="center"/>
          </w:tcPr>
          <w:p w14:paraId="55385865">
            <w:pPr>
              <w:pStyle w:val="66"/>
              <w:bidi w:val="0"/>
              <w:rPr>
                <w:lang w:val="en-US" w:eastAsia="zh-CN"/>
              </w:rPr>
            </w:pPr>
          </w:p>
        </w:tc>
        <w:tc>
          <w:tcPr>
            <w:tcW w:w="1134" w:type="dxa"/>
            <w:noWrap w:val="0"/>
            <w:vAlign w:val="center"/>
          </w:tcPr>
          <w:p w14:paraId="234CE0BD">
            <w:pPr>
              <w:pStyle w:val="66"/>
              <w:bidi w:val="0"/>
              <w:rPr>
                <w:lang w:val="en-US" w:eastAsia="zh-CN"/>
              </w:rPr>
            </w:pPr>
          </w:p>
        </w:tc>
        <w:tc>
          <w:tcPr>
            <w:tcW w:w="1134" w:type="dxa"/>
            <w:noWrap w:val="0"/>
            <w:vAlign w:val="center"/>
          </w:tcPr>
          <w:p w14:paraId="2F52F615">
            <w:pPr>
              <w:pStyle w:val="66"/>
              <w:bidi w:val="0"/>
              <w:rPr>
                <w:lang w:val="en-US" w:eastAsia="zh-CN"/>
              </w:rPr>
            </w:pPr>
          </w:p>
        </w:tc>
        <w:tc>
          <w:tcPr>
            <w:tcW w:w="4252" w:type="dxa"/>
            <w:noWrap w:val="0"/>
            <w:vAlign w:val="center"/>
          </w:tcPr>
          <w:p w14:paraId="7897FBCE">
            <w:pPr>
              <w:pStyle w:val="66"/>
              <w:bidi w:val="0"/>
              <w:rPr>
                <w:lang w:val="en-US" w:eastAsia="zh-CN"/>
              </w:rPr>
            </w:pPr>
          </w:p>
        </w:tc>
      </w:tr>
      <w:tr w14:paraId="5C43EA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1217E2D">
            <w:pPr>
              <w:pStyle w:val="66"/>
              <w:bidi w:val="0"/>
              <w:rPr>
                <w:lang w:val="en-US" w:eastAsia="zh-CN"/>
              </w:rPr>
            </w:pPr>
          </w:p>
        </w:tc>
        <w:tc>
          <w:tcPr>
            <w:tcW w:w="1418" w:type="dxa"/>
            <w:noWrap w:val="0"/>
            <w:vAlign w:val="center"/>
          </w:tcPr>
          <w:p w14:paraId="1E661719">
            <w:pPr>
              <w:pStyle w:val="66"/>
              <w:bidi w:val="0"/>
              <w:rPr>
                <w:lang w:val="en-US" w:eastAsia="zh-CN"/>
              </w:rPr>
            </w:pPr>
          </w:p>
        </w:tc>
        <w:tc>
          <w:tcPr>
            <w:tcW w:w="1134" w:type="dxa"/>
            <w:noWrap w:val="0"/>
            <w:vAlign w:val="center"/>
          </w:tcPr>
          <w:p w14:paraId="047E8CAF">
            <w:pPr>
              <w:pStyle w:val="66"/>
              <w:bidi w:val="0"/>
              <w:rPr>
                <w:lang w:val="en-US" w:eastAsia="zh-CN"/>
              </w:rPr>
            </w:pPr>
          </w:p>
        </w:tc>
        <w:tc>
          <w:tcPr>
            <w:tcW w:w="1134" w:type="dxa"/>
            <w:noWrap w:val="0"/>
            <w:vAlign w:val="center"/>
          </w:tcPr>
          <w:p w14:paraId="00389941">
            <w:pPr>
              <w:pStyle w:val="66"/>
              <w:bidi w:val="0"/>
              <w:rPr>
                <w:lang w:val="en-US" w:eastAsia="zh-CN"/>
              </w:rPr>
            </w:pPr>
          </w:p>
        </w:tc>
        <w:tc>
          <w:tcPr>
            <w:tcW w:w="4252" w:type="dxa"/>
            <w:noWrap w:val="0"/>
            <w:vAlign w:val="center"/>
          </w:tcPr>
          <w:p w14:paraId="3410F037">
            <w:pPr>
              <w:pStyle w:val="66"/>
              <w:bidi w:val="0"/>
              <w:rPr>
                <w:lang w:val="en-US" w:eastAsia="zh-CN"/>
              </w:rPr>
            </w:pPr>
          </w:p>
        </w:tc>
      </w:tr>
      <w:tr w14:paraId="2FABB0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35FFF504">
            <w:pPr>
              <w:pStyle w:val="66"/>
              <w:bidi w:val="0"/>
              <w:rPr>
                <w:lang w:val="en-US" w:eastAsia="zh-CN"/>
              </w:rPr>
            </w:pPr>
          </w:p>
        </w:tc>
        <w:tc>
          <w:tcPr>
            <w:tcW w:w="1418" w:type="dxa"/>
            <w:tcBorders>
              <w:bottom w:val="single" w:color="auto" w:sz="12" w:space="0"/>
            </w:tcBorders>
            <w:noWrap w:val="0"/>
            <w:vAlign w:val="center"/>
          </w:tcPr>
          <w:p w14:paraId="41062E0D">
            <w:pPr>
              <w:pStyle w:val="66"/>
              <w:bidi w:val="0"/>
              <w:rPr>
                <w:lang w:val="en-US" w:eastAsia="zh-CN"/>
              </w:rPr>
            </w:pPr>
          </w:p>
        </w:tc>
        <w:tc>
          <w:tcPr>
            <w:tcW w:w="1134" w:type="dxa"/>
            <w:tcBorders>
              <w:bottom w:val="single" w:color="auto" w:sz="12" w:space="0"/>
            </w:tcBorders>
            <w:noWrap w:val="0"/>
            <w:vAlign w:val="center"/>
          </w:tcPr>
          <w:p w14:paraId="3215133F">
            <w:pPr>
              <w:pStyle w:val="66"/>
              <w:bidi w:val="0"/>
              <w:rPr>
                <w:lang w:val="en-US" w:eastAsia="zh-CN"/>
              </w:rPr>
            </w:pPr>
          </w:p>
        </w:tc>
        <w:tc>
          <w:tcPr>
            <w:tcW w:w="1134" w:type="dxa"/>
            <w:tcBorders>
              <w:bottom w:val="single" w:color="auto" w:sz="12" w:space="0"/>
            </w:tcBorders>
            <w:noWrap w:val="0"/>
            <w:vAlign w:val="center"/>
          </w:tcPr>
          <w:p w14:paraId="4BEDACC6">
            <w:pPr>
              <w:pStyle w:val="66"/>
              <w:bidi w:val="0"/>
              <w:rPr>
                <w:lang w:val="en-US" w:eastAsia="zh-CN"/>
              </w:rPr>
            </w:pPr>
          </w:p>
        </w:tc>
        <w:tc>
          <w:tcPr>
            <w:tcW w:w="4252" w:type="dxa"/>
            <w:tcBorders>
              <w:bottom w:val="single" w:color="auto" w:sz="12" w:space="0"/>
            </w:tcBorders>
            <w:noWrap w:val="0"/>
            <w:vAlign w:val="center"/>
          </w:tcPr>
          <w:p w14:paraId="38E34FE5">
            <w:pPr>
              <w:pStyle w:val="66"/>
              <w:bidi w:val="0"/>
              <w:rPr>
                <w:lang w:val="en-US" w:eastAsia="zh-CN"/>
              </w:rPr>
            </w:pPr>
          </w:p>
        </w:tc>
      </w:tr>
    </w:tbl>
    <w:p w14:paraId="294DC663">
      <w:pPr>
        <w:rPr>
          <w:rFonts w:ascii="Times New Roman" w:hAnsi="Times New Roman" w:eastAsia="仿宋_GB2312"/>
          <w:color w:val="000000"/>
          <w:sz w:val="30"/>
          <w:szCs w:val="30"/>
        </w:rPr>
      </w:pPr>
      <w:bookmarkStart w:id="871" w:name="_Toc267261701"/>
      <w:r>
        <w:rPr>
          <w:rFonts w:ascii="Times New Roman" w:hAnsi="Times New Roman" w:eastAsia="仿宋_GB2312"/>
          <w:color w:val="000000"/>
          <w:sz w:val="30"/>
          <w:szCs w:val="30"/>
        </w:rPr>
        <w:br w:type="page"/>
      </w:r>
    </w:p>
    <w:p w14:paraId="0770D203">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72" w:name="_Toc296346732"/>
      <w:bookmarkStart w:id="873" w:name="_Toc296503231"/>
      <w:bookmarkStart w:id="874" w:name="_Toc296891059"/>
      <w:bookmarkStart w:id="875" w:name="_Toc296944570"/>
      <w:bookmarkStart w:id="876" w:name="_Toc296347230"/>
      <w:bookmarkStart w:id="877" w:name="_Toc296891271"/>
      <w:r>
        <w:rPr>
          <w:rFonts w:ascii="Times New Roman" w:hAnsi="Times New Roman" w:eastAsia="仿宋_GB2312"/>
          <w:color w:val="000000"/>
          <w:sz w:val="30"/>
          <w:szCs w:val="30"/>
        </w:rPr>
        <w:t>件8：</w:t>
      </w:r>
    </w:p>
    <w:bookmarkEnd w:id="871"/>
    <w:bookmarkEnd w:id="872"/>
    <w:bookmarkEnd w:id="873"/>
    <w:bookmarkEnd w:id="874"/>
    <w:bookmarkEnd w:id="875"/>
    <w:bookmarkEnd w:id="876"/>
    <w:bookmarkEnd w:id="877"/>
    <w:p w14:paraId="50DB90AE">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履约担保</w:t>
      </w:r>
    </w:p>
    <w:p w14:paraId="1066E223">
      <w:pPr>
        <w:bidi w:val="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cs="宋体"/>
          <w:color w:val="000000"/>
          <w:sz w:val="28"/>
          <w:szCs w:val="28"/>
          <w:u w:val="single"/>
          <w:lang w:val="en-US" w:eastAsia="zh-CN"/>
        </w:rPr>
        <w:t xml:space="preserve">  </w:t>
      </w:r>
      <w:r>
        <w:rPr>
          <w:rFonts w:hint="eastAsia" w:ascii="宋体" w:hAnsi="宋体" w:eastAsia="宋体" w:cs="宋体"/>
          <w:color w:val="000000"/>
          <w:sz w:val="28"/>
          <w:szCs w:val="28"/>
        </w:rPr>
        <w:t>（发包人名称）：</w:t>
      </w:r>
    </w:p>
    <w:p w14:paraId="5655A5A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鉴于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（发包人名称，以下简称“发包人”）与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（承包人名称）（以下称“承包人”）于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日就</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（工程名称）施工及有关事项协商一致共同签订《建设工程施工合同》。我方愿意无条件地、不可撤销地就承包人履行与你方签订的合同，向你方提供连带责任担保。 </w:t>
      </w:r>
    </w:p>
    <w:p w14:paraId="4E11B3A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担保金额人民币（大写）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4E95EA9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担保有效期自你方与承包人签订的合同生效之日起至你方签发或应签发工程接收证书之日止。</w:t>
      </w:r>
    </w:p>
    <w:p w14:paraId="3F0032C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在本担保有效期内，因承包人违反合同约定的义务给你方造成经济损失时，我方在收到你方以书面形式提出的在担保金额内的赔偿要求后，在7天内无条件支付。</w:t>
      </w:r>
    </w:p>
    <w:p w14:paraId="26DE2117">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你方和承包人按合同约定变更合同时，我方承担本担保规定的义务不变。</w:t>
      </w:r>
    </w:p>
    <w:p w14:paraId="3DAB170B">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5. 因本保函发生的纠纷，可由双方协商解决，协商不成的，任何一方均可提请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仲裁委员会仲裁。</w:t>
      </w:r>
    </w:p>
    <w:p w14:paraId="66E1B0D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6. 本保函自我方法定代表人（或其授权代理人）签字并加盖公章之日起生效。</w:t>
      </w:r>
    </w:p>
    <w:p w14:paraId="3B11FA93">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担 保 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14:paraId="12FA788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w:t>
      </w:r>
    </w:p>
    <w:p w14:paraId="6B54BFAF">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p>
    <w:p w14:paraId="1AF645D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p>
    <w:p w14:paraId="702815A4">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 xml:space="preserve">                                      </w:t>
      </w:r>
    </w:p>
    <w:p w14:paraId="451E509D">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 xml:space="preserve">                                      </w:t>
      </w:r>
    </w:p>
    <w:p w14:paraId="40E5BA59">
      <w:pPr>
        <w:spacing w:line="360" w:lineRule="auto"/>
        <w:ind w:left="1899" w:hanging="1772" w:hangingChars="633"/>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3F98FDCB">
      <w:pPr>
        <w:spacing w:line="360" w:lineRule="auto"/>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br w:type="page"/>
      </w:r>
    </w:p>
    <w:p w14:paraId="11F6103A">
      <w:pPr>
        <w:spacing w:line="360" w:lineRule="auto"/>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78" w:name="_Toc296503232"/>
      <w:bookmarkStart w:id="879" w:name="_Toc296347231"/>
      <w:bookmarkStart w:id="880" w:name="_Toc267261702"/>
      <w:bookmarkStart w:id="881" w:name="_Toc296346733"/>
      <w:bookmarkStart w:id="882" w:name="_Toc296891060"/>
      <w:bookmarkStart w:id="883" w:name="_Toc296944571"/>
      <w:bookmarkStart w:id="884" w:name="_Toc296891272"/>
      <w:r>
        <w:rPr>
          <w:rFonts w:ascii="Times New Roman" w:hAnsi="Times New Roman" w:eastAsia="仿宋_GB2312"/>
          <w:color w:val="000000"/>
          <w:sz w:val="30"/>
          <w:szCs w:val="30"/>
        </w:rPr>
        <w:t>件9 ：</w:t>
      </w:r>
    </w:p>
    <w:bookmarkEnd w:id="878"/>
    <w:bookmarkEnd w:id="879"/>
    <w:bookmarkEnd w:id="880"/>
    <w:bookmarkEnd w:id="881"/>
    <w:bookmarkEnd w:id="882"/>
    <w:bookmarkEnd w:id="883"/>
    <w:bookmarkEnd w:id="884"/>
    <w:p w14:paraId="3FBC3668">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预付款担保</w:t>
      </w:r>
    </w:p>
    <w:p w14:paraId="6D06DD6C">
      <w:p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 xml:space="preserve"> （发包人名称）：</w:t>
      </w:r>
    </w:p>
    <w:p w14:paraId="229B6E4C">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根据</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（承包人名称）（以下称“承包人”）与</w:t>
      </w:r>
    </w:p>
    <w:p w14:paraId="109B8294">
      <w:pPr>
        <w:bidi w:val="0"/>
        <w:rPr>
          <w:rFonts w:hint="eastAsia"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（发包人名称）（以下简称“发包人”）</w:t>
      </w:r>
    </w:p>
    <w:p w14:paraId="35E9459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日签订的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（工程名称）《建设工程施工合同》，承包人按约定的金额向你方提交一份预付款担保，即有权得到你方支付相等金额的预付款。我方愿意就你方提供给承包人的预付款为承包人提供连带责任担保。</w:t>
      </w:r>
    </w:p>
    <w:p w14:paraId="444D93D9">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 担保金额人民币（大写）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元（¥</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19A155FD">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 担保有效期自预付款支付给承包人起生效，至你方签发的进度款支付证书说明已完全扣清止。</w:t>
      </w:r>
    </w:p>
    <w:p w14:paraId="11148C71">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70A0B3A">
      <w:p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4. 你方和承包人按合同约定变更合同时，我方承担本保函规定的义务不变。</w:t>
      </w:r>
    </w:p>
    <w:p w14:paraId="5B83A2AF">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 因本保函发生的纠纷，可由双方协商解决，协商不成的，任何一方均可提请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仲裁委员会仲裁。</w:t>
      </w:r>
    </w:p>
    <w:p w14:paraId="2A69348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6. 本保函自我方法定代表人（或其授权代理人）签字并加盖公章之日起生效。</w:t>
      </w:r>
    </w:p>
    <w:p w14:paraId="43B0FB06">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担保人：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（盖单位章）</w:t>
      </w:r>
    </w:p>
    <w:p w14:paraId="7CC46D4A">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（签字）</w:t>
      </w:r>
    </w:p>
    <w:p w14:paraId="0EE88858">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5A23D6DF">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103D2C06">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电    话：</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62A684F3">
      <w:pPr>
        <w:spacing w:line="360" w:lineRule="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r>
        <w:rPr>
          <w:rFonts w:hint="eastAsia" w:ascii="宋体" w:hAnsi="宋体" w:eastAsia="宋体" w:cs="宋体"/>
          <w:color w:val="000000"/>
          <w:sz w:val="28"/>
          <w:szCs w:val="28"/>
          <w:u w:val="single"/>
        </w:rPr>
        <w:tab/>
      </w:r>
    </w:p>
    <w:p w14:paraId="54D4CC25">
      <w:pPr>
        <w:spacing w:line="360" w:lineRule="auto"/>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3BBBBA94">
      <w:pPr>
        <w:rPr>
          <w:rFonts w:ascii="Times New Roman" w:hAnsi="Times New Roman" w:eastAsia="仿宋_GB2312"/>
          <w:color w:val="000000"/>
          <w:sz w:val="30"/>
          <w:szCs w:val="30"/>
        </w:rPr>
      </w:pPr>
      <w:r>
        <w:rPr>
          <w:rFonts w:ascii="Times New Roman" w:hAnsi="Times New Roman" w:eastAsia="仿宋_GB2312"/>
          <w:color w:val="000000"/>
          <w:sz w:val="30"/>
          <w:szCs w:val="30"/>
        </w:rPr>
        <w:br w:type="page"/>
      </w:r>
    </w:p>
    <w:p w14:paraId="27A12E31">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w:t>
      </w:r>
      <w:bookmarkStart w:id="885" w:name="_Toc296347232"/>
      <w:bookmarkStart w:id="886" w:name="_Toc296503233"/>
      <w:bookmarkStart w:id="887" w:name="_Toc296944572"/>
      <w:bookmarkStart w:id="888" w:name="_Toc296346734"/>
      <w:bookmarkStart w:id="889" w:name="_Toc296891061"/>
      <w:bookmarkStart w:id="890" w:name="_Toc296891273"/>
      <w:r>
        <w:rPr>
          <w:rFonts w:ascii="Times New Roman" w:hAnsi="Times New Roman" w:eastAsia="仿宋_GB2312"/>
          <w:color w:val="000000"/>
          <w:sz w:val="30"/>
          <w:szCs w:val="30"/>
        </w:rPr>
        <w:t>件10</w:t>
      </w:r>
      <w:r>
        <w:rPr>
          <w:rFonts w:hint="eastAsia" w:ascii="Times New Roman" w:hAnsi="Times New Roman" w:eastAsia="仿宋_GB2312"/>
          <w:color w:val="000000"/>
          <w:sz w:val="30"/>
          <w:szCs w:val="30"/>
          <w:lang w:eastAsia="zh-CN"/>
        </w:rPr>
        <w:t>：</w:t>
      </w:r>
      <w:r>
        <w:rPr>
          <w:rFonts w:ascii="Times New Roman" w:hAnsi="Times New Roman" w:eastAsia="仿宋_GB2312"/>
          <w:color w:val="000000"/>
          <w:sz w:val="30"/>
          <w:szCs w:val="30"/>
        </w:rPr>
        <w:t xml:space="preserve"> </w:t>
      </w:r>
      <w:r>
        <w:rPr>
          <w:rFonts w:ascii="Times New Roman" w:hAnsi="Times New Roman" w:eastAsia="黑体"/>
          <w:color w:val="000000"/>
          <w:sz w:val="30"/>
          <w:szCs w:val="30"/>
        </w:rPr>
        <w:t xml:space="preserve"> </w:t>
      </w:r>
    </w:p>
    <w:bookmarkEnd w:id="885"/>
    <w:bookmarkEnd w:id="886"/>
    <w:bookmarkEnd w:id="887"/>
    <w:bookmarkEnd w:id="888"/>
    <w:bookmarkEnd w:id="889"/>
    <w:bookmarkEnd w:id="890"/>
    <w:p w14:paraId="21D702FC">
      <w:pPr>
        <w:spacing w:before="156" w:beforeLines="50" w:after="156" w:afterLines="50" w:line="440" w:lineRule="exact"/>
        <w:ind w:left="0" w:leftChars="0" w:firstLine="0" w:firstLineChars="0"/>
        <w:jc w:val="center"/>
        <w:rPr>
          <w:rFonts w:ascii="Times New Roman" w:hAnsi="Times New Roman" w:eastAsia="黑体"/>
          <w:color w:val="000000"/>
          <w:sz w:val="30"/>
          <w:szCs w:val="30"/>
        </w:rPr>
      </w:pPr>
      <w:r>
        <w:rPr>
          <w:rFonts w:ascii="Times New Roman" w:hAnsi="Times New Roman" w:eastAsia="黑体"/>
          <w:color w:val="000000"/>
          <w:sz w:val="30"/>
          <w:szCs w:val="30"/>
        </w:rPr>
        <w:t>支付担保</w:t>
      </w:r>
    </w:p>
    <w:p w14:paraId="03F69E51">
      <w:pPr>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（承包人）：</w:t>
      </w:r>
    </w:p>
    <w:p w14:paraId="443EAF9C">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鉴于你方作为承包人已经与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（发包人名称）（以下称“发包人”）于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日签订了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（工程名称）《建设工程施工合同》（以下称“主合同”），应发包人的申请，我方愿就发包人履行主合同约定的工程款支付义务以保证的方式向你方提供如下担保：</w:t>
      </w:r>
    </w:p>
    <w:p w14:paraId="170042D2">
      <w:pPr>
        <w:bidi w:val="0"/>
        <w:rPr>
          <w:rFonts w:hint="eastAsia"/>
        </w:rPr>
      </w:pPr>
      <w:r>
        <w:rPr>
          <w:rFonts w:hint="eastAsia"/>
        </w:rPr>
        <w:t>一、保证的范围及保证金额</w:t>
      </w:r>
    </w:p>
    <w:p w14:paraId="27834E0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我方的保证范围是主合同约定的工程款。</w:t>
      </w:r>
    </w:p>
    <w:p w14:paraId="7CB36D4D">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本保函所称主合同约定的工程款是指主合同约定的除工程质量保证金以外的合同价款。</w:t>
      </w:r>
    </w:p>
    <w:p w14:paraId="4D85E901">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我方保证的金额是主合同约定的工程款的</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%，数额最高不超过人民币元（大写：</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w:t>
      </w:r>
    </w:p>
    <w:p w14:paraId="539F85CF">
      <w:pPr>
        <w:bidi w:val="0"/>
        <w:rPr>
          <w:rFonts w:hint="eastAsia"/>
        </w:rPr>
      </w:pPr>
      <w:r>
        <w:rPr>
          <w:rFonts w:hint="eastAsia"/>
        </w:rPr>
        <w:t>二、保证的方式及保证期间</w:t>
      </w:r>
    </w:p>
    <w:p w14:paraId="0502BAA4">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我方保证的方式为：连带责任保证。</w:t>
      </w:r>
    </w:p>
    <w:p w14:paraId="500A0EA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我方保证的期间为：自本合同生效之日起至主合同约定的工程款支付完毕之日后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日内。</w:t>
      </w:r>
    </w:p>
    <w:p w14:paraId="3E2F3DF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你方与发包人协议变更工程款支付日期的，经我方书面同意后，保证期间按照变更后的支付日期做相应调整。</w:t>
      </w:r>
    </w:p>
    <w:p w14:paraId="3D0BAC6B">
      <w:pPr>
        <w:bidi w:val="0"/>
        <w:rPr>
          <w:rFonts w:hint="eastAsia"/>
        </w:rPr>
      </w:pPr>
      <w:r>
        <w:rPr>
          <w:rFonts w:hint="eastAsia"/>
        </w:rPr>
        <w:t>三、承担保证责任的形式</w:t>
      </w:r>
    </w:p>
    <w:p w14:paraId="5AED0158">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我方承担保证责任的形式是代为支付。发包人未按主合同约定向你方支付工程款的，由我方在保证金额内代为支付。</w:t>
      </w:r>
    </w:p>
    <w:p w14:paraId="165A5DAE">
      <w:pPr>
        <w:bidi w:val="0"/>
        <w:rPr>
          <w:rFonts w:hint="eastAsia"/>
        </w:rPr>
      </w:pPr>
      <w:r>
        <w:rPr>
          <w:rFonts w:hint="eastAsia"/>
        </w:rPr>
        <w:t>四、代偿的安排</w:t>
      </w:r>
    </w:p>
    <w:p w14:paraId="568A5E9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你方要求我方承担保证责任的，应向我方发出书面索赔通知及发包人未支付主合同约定工程款的证明材料。索赔通知应写明要求索赔的金额，支付款项应到达的账号。</w:t>
      </w:r>
    </w:p>
    <w:p w14:paraId="76F829E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在出现你方与发包人因工程质量发生争议，发包人拒绝向你方支付工程款的情形时，你方要求我方履行保证责任代为支付的，需提供符合相应条件要求的工程质量检测机构出具的质量说明材料。</w:t>
      </w:r>
    </w:p>
    <w:p w14:paraId="56492F4E">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我方收到你方的书面索赔通知及相应的证明材料后７天内无条件支付。</w:t>
      </w:r>
    </w:p>
    <w:p w14:paraId="2917483C">
      <w:pPr>
        <w:bidi w:val="0"/>
        <w:rPr>
          <w:rFonts w:hint="eastAsia"/>
        </w:rPr>
      </w:pPr>
      <w:r>
        <w:rPr>
          <w:rFonts w:hint="eastAsia"/>
        </w:rPr>
        <w:t>五、保证责任的解除</w:t>
      </w:r>
    </w:p>
    <w:p w14:paraId="4B16E56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在本保函承诺的保证期间内，你方未书面向我方主张保证责任的，自保证期间届满次日起，我方保证责任解除。</w:t>
      </w:r>
    </w:p>
    <w:p w14:paraId="766ECF6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发包人按主合同约定履行了工程款的全部支付义务的，自本保函承诺的保证期间届满次日起，我方保证责任解除。</w:t>
      </w:r>
    </w:p>
    <w:p w14:paraId="43D9CD19">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我方按照本保函向你方履行保证责任所支付金额达到本保函保证金额时，自我方向你方支付（支付款项从我方账户划出）之日起，保证责任即解除。</w:t>
      </w:r>
    </w:p>
    <w:p w14:paraId="57F6F9B0">
      <w:pPr>
        <w:spacing w:line="360" w:lineRule="auto"/>
        <w:ind w:firstLine="560" w:firstLineChars="200"/>
        <w:jc w:val="left"/>
        <w:rPr>
          <w:rFonts w:hint="eastAsia" w:ascii="宋体" w:hAnsi="宋体" w:eastAsia="宋体" w:cs="宋体"/>
          <w:color w:val="000000"/>
          <w:sz w:val="28"/>
          <w:szCs w:val="28"/>
          <w:lang w:eastAsia="zh-CN"/>
        </w:rPr>
      </w:pPr>
      <w:r>
        <w:rPr>
          <w:rFonts w:hint="eastAsia" w:ascii="宋体" w:hAnsi="宋体" w:eastAsia="宋体" w:cs="宋体"/>
          <w:color w:val="000000"/>
          <w:sz w:val="28"/>
          <w:szCs w:val="28"/>
        </w:rPr>
        <w:t>4. 按照法律法规的规定或出现应解除我方保证责任的其他情形的，我方在本保函项下的保证责任亦解除。</w:t>
      </w:r>
    </w:p>
    <w:p w14:paraId="00A8EC63">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5. 我方解除保证责任后，你方应自我方保证责任解除之日起</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个工作日内，将本保函原件返还我方。</w:t>
      </w:r>
    </w:p>
    <w:p w14:paraId="77CCDBDB">
      <w:pPr>
        <w:bidi w:val="0"/>
        <w:rPr>
          <w:rFonts w:hint="eastAsia"/>
        </w:rPr>
      </w:pPr>
      <w:r>
        <w:rPr>
          <w:rFonts w:hint="eastAsia"/>
        </w:rPr>
        <w:t>六、免责条款</w:t>
      </w:r>
    </w:p>
    <w:p w14:paraId="06CD19D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 因你方违约致使发包人不能履行义务的，我方不承担保证责任。</w:t>
      </w:r>
    </w:p>
    <w:p w14:paraId="6C4731B5">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 依照法律法规的规定或你方与发包人的另行约定，免除发包人部分或全部义务的，我方亦免除其相应的保证责任。</w:t>
      </w:r>
    </w:p>
    <w:p w14:paraId="2B77CF26">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3. 你方与发包人协议变更主合同的，如加重发包人责任致使我方保证责任加重的，需征得我方书面同意，否则我方不再承担因此而加重部分的保证责任，但主合同第10条〔变更〕约定的变更不受本款限制。</w:t>
      </w:r>
    </w:p>
    <w:p w14:paraId="209DFA32">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4. 因不可抗力造成发包人不能履行义务的，我方不承担保证责任。</w:t>
      </w:r>
    </w:p>
    <w:p w14:paraId="2946CE98">
      <w:pPr>
        <w:bidi w:val="0"/>
        <w:rPr>
          <w:rFonts w:hint="eastAsia"/>
        </w:rPr>
      </w:pPr>
      <w:r>
        <w:rPr>
          <w:rFonts w:hint="eastAsia"/>
        </w:rPr>
        <w:t>七、争议解决</w:t>
      </w:r>
    </w:p>
    <w:p w14:paraId="53EC492C">
      <w:pPr>
        <w:spacing w:after="120"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因本保函或本保函相关事项发生的纠纷，可由双方协商解决，协商不成的，按下列第</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种方式解决：</w:t>
      </w:r>
    </w:p>
    <w:p w14:paraId="732BE4BA">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（1）向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仲裁委员会申请仲裁；</w:t>
      </w:r>
    </w:p>
    <w:p w14:paraId="5F8EA14B">
      <w:pPr>
        <w:spacing w:line="360" w:lineRule="auto"/>
        <w:ind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（2）向</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人民法院起诉。</w:t>
      </w:r>
    </w:p>
    <w:p w14:paraId="7FF2BB7C">
      <w:pPr>
        <w:bidi w:val="0"/>
        <w:rPr>
          <w:rFonts w:hint="eastAsia"/>
        </w:rPr>
      </w:pPr>
      <w:r>
        <w:rPr>
          <w:rFonts w:hint="eastAsia"/>
        </w:rPr>
        <w:t>八、保函的生效</w:t>
      </w:r>
    </w:p>
    <w:p w14:paraId="7585F46B">
      <w:pPr>
        <w:spacing w:line="360" w:lineRule="auto"/>
        <w:ind w:right="600"/>
        <w:jc w:val="left"/>
        <w:rPr>
          <w:rFonts w:hint="eastAsia" w:ascii="宋体" w:hAnsi="宋体" w:eastAsia="宋体" w:cs="宋体"/>
          <w:color w:val="000000"/>
          <w:sz w:val="28"/>
          <w:szCs w:val="28"/>
        </w:rPr>
      </w:pPr>
      <w:r>
        <w:rPr>
          <w:rFonts w:hint="eastAsia" w:ascii="宋体" w:hAnsi="宋体" w:eastAsia="宋体" w:cs="宋体"/>
          <w:color w:val="000000"/>
          <w:sz w:val="28"/>
          <w:szCs w:val="28"/>
        </w:rPr>
        <w:t>本保函自我方法定代表人（或其授权代理人）签字并加盖公章之日起生效。</w:t>
      </w:r>
    </w:p>
    <w:p w14:paraId="3F7062A8">
      <w:pPr>
        <w:spacing w:line="360" w:lineRule="auto"/>
        <w:ind w:right="600"/>
        <w:jc w:val="left"/>
        <w:rPr>
          <w:rFonts w:hint="eastAsia" w:ascii="宋体" w:hAnsi="宋体" w:eastAsia="宋体" w:cs="宋体"/>
          <w:color w:val="000000"/>
          <w:sz w:val="28"/>
          <w:szCs w:val="28"/>
        </w:rPr>
      </w:pPr>
      <w:r>
        <w:rPr>
          <w:rFonts w:hint="eastAsia" w:ascii="宋体" w:hAnsi="宋体" w:eastAsia="宋体" w:cs="宋体"/>
          <w:color w:val="000000"/>
          <w:sz w:val="28"/>
          <w:szCs w:val="28"/>
        </w:rPr>
        <w:t>担保人：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（盖章）</w:t>
      </w:r>
    </w:p>
    <w:p w14:paraId="7BD2049B">
      <w:pPr>
        <w:bidi w:val="0"/>
        <w:rPr>
          <w:rFonts w:hint="eastAsia"/>
        </w:rPr>
      </w:pPr>
      <w:r>
        <w:rPr>
          <w:rFonts w:hint="eastAsia"/>
        </w:rPr>
        <w:t>法定代表人或委托代理人：</w:t>
      </w:r>
      <w:r>
        <w:rPr>
          <w:rFonts w:hint="eastAsia"/>
          <w:u w:val="single"/>
        </w:rPr>
        <w:t xml:space="preserve">                   </w:t>
      </w:r>
      <w:r>
        <w:rPr>
          <w:rFonts w:hint="eastAsia"/>
        </w:rPr>
        <w:t>（签字）</w:t>
      </w:r>
    </w:p>
    <w:p w14:paraId="5AD4CF7A">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地    址：</w:t>
      </w:r>
      <w:r>
        <w:rPr>
          <w:rFonts w:hint="eastAsia" w:ascii="宋体" w:hAnsi="宋体" w:eastAsia="宋体" w:cs="宋体"/>
          <w:color w:val="000000"/>
          <w:sz w:val="28"/>
          <w:szCs w:val="28"/>
          <w:u w:val="single"/>
        </w:rPr>
        <w:t xml:space="preserve">                                        </w:t>
      </w:r>
    </w:p>
    <w:p w14:paraId="47065987">
      <w:pPr>
        <w:spacing w:line="360" w:lineRule="auto"/>
        <w:jc w:val="left"/>
        <w:rPr>
          <w:rFonts w:hint="eastAsia" w:ascii="宋体" w:hAnsi="宋体" w:eastAsia="宋体" w:cs="宋体"/>
          <w:color w:val="000000"/>
          <w:sz w:val="28"/>
          <w:szCs w:val="28"/>
        </w:rPr>
      </w:pPr>
      <w:r>
        <w:rPr>
          <w:rFonts w:hint="eastAsia" w:ascii="宋体" w:hAnsi="宋体" w:eastAsia="宋体" w:cs="宋体"/>
          <w:color w:val="000000"/>
          <w:sz w:val="28"/>
          <w:szCs w:val="28"/>
        </w:rPr>
        <w:t>邮政编码：</w:t>
      </w:r>
      <w:r>
        <w:rPr>
          <w:rFonts w:hint="eastAsia" w:ascii="宋体" w:hAnsi="宋体" w:eastAsia="宋体" w:cs="宋体"/>
          <w:color w:val="000000"/>
          <w:sz w:val="28"/>
          <w:szCs w:val="28"/>
          <w:u w:val="single"/>
        </w:rPr>
        <w:t xml:space="preserve">                                        </w:t>
      </w:r>
    </w:p>
    <w:p w14:paraId="778B34FF">
      <w:pPr>
        <w:spacing w:line="360" w:lineRule="auto"/>
        <w:ind w:right="150" w:firstLine="560" w:firstLineChars="200"/>
        <w:jc w:val="left"/>
        <w:rPr>
          <w:rFonts w:hint="eastAsia" w:ascii="宋体" w:hAnsi="宋体" w:eastAsia="宋体" w:cs="宋体"/>
          <w:color w:val="000000"/>
          <w:sz w:val="28"/>
          <w:szCs w:val="28"/>
          <w:u w:val="single"/>
          <w:lang w:eastAsia="zh-CN"/>
        </w:rPr>
      </w:pPr>
      <w:r>
        <w:rPr>
          <w:rFonts w:hint="eastAsia" w:ascii="宋体" w:hAnsi="宋体" w:eastAsia="宋体" w:cs="宋体"/>
          <w:color w:val="000000"/>
          <w:sz w:val="28"/>
          <w:szCs w:val="28"/>
        </w:rPr>
        <w:t>传    真：</w:t>
      </w:r>
      <w:r>
        <w:rPr>
          <w:rFonts w:hint="eastAsia" w:ascii="宋体" w:hAnsi="宋体" w:eastAsia="宋体" w:cs="宋体"/>
          <w:color w:val="000000"/>
          <w:sz w:val="28"/>
          <w:szCs w:val="28"/>
          <w:u w:val="single"/>
        </w:rPr>
        <w:t xml:space="preserve">                                        </w:t>
      </w:r>
    </w:p>
    <w:p w14:paraId="1CF0B37F">
      <w:pPr>
        <w:spacing w:line="360" w:lineRule="auto"/>
        <w:ind w:right="15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14:paraId="4F072C20">
      <w:pPr>
        <w:spacing w:line="440" w:lineRule="exact"/>
        <w:rPr>
          <w:rFonts w:ascii="Times New Roman" w:hAnsi="Times New Roman" w:eastAsia="黑体"/>
          <w:color w:val="000000"/>
          <w:sz w:val="30"/>
          <w:szCs w:val="30"/>
        </w:rPr>
      </w:pPr>
      <w:r>
        <w:rPr>
          <w:rFonts w:ascii="Times New Roman" w:hAnsi="Times New Roman" w:eastAsia="仿宋_GB2312"/>
          <w:color w:val="000000"/>
          <w:sz w:val="30"/>
          <w:szCs w:val="30"/>
        </w:rPr>
        <w:t>附件11：</w:t>
      </w:r>
    </w:p>
    <w:p w14:paraId="1E876C89">
      <w:pPr>
        <w:bidi w:val="0"/>
        <w:ind w:left="0" w:leftChars="0" w:firstLine="0" w:firstLineChars="0"/>
        <w:jc w:val="center"/>
        <w:rPr>
          <w:b/>
          <w:bCs/>
          <w:sz w:val="28"/>
          <w:szCs w:val="22"/>
        </w:rPr>
      </w:pPr>
      <w:r>
        <w:rPr>
          <w:b/>
          <w:bCs/>
          <w:sz w:val="28"/>
          <w:szCs w:val="22"/>
        </w:rPr>
        <w:t>11-1：材料暂估价表</w:t>
      </w:r>
    </w:p>
    <w:tbl>
      <w:tblPr>
        <w:tblStyle w:val="29"/>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0"/>
        <w:gridCol w:w="2144"/>
        <w:gridCol w:w="917"/>
        <w:gridCol w:w="835"/>
        <w:gridCol w:w="1458"/>
        <w:gridCol w:w="1531"/>
        <w:gridCol w:w="1839"/>
      </w:tblGrid>
      <w:tr w14:paraId="417CE1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7D20A143">
            <w:pPr>
              <w:pStyle w:val="66"/>
              <w:bidi w:val="0"/>
              <w:rPr>
                <w:lang w:val="en-US" w:eastAsia="zh-CN"/>
              </w:rPr>
            </w:pPr>
            <w:r>
              <w:rPr>
                <w:lang w:val="en-US" w:eastAsia="zh-CN"/>
              </w:rPr>
              <w:t>序号</w:t>
            </w:r>
          </w:p>
        </w:tc>
        <w:tc>
          <w:tcPr>
            <w:tcW w:w="1094" w:type="pct"/>
            <w:tcBorders>
              <w:top w:val="single" w:color="auto" w:sz="12" w:space="0"/>
              <w:bottom w:val="double" w:color="auto" w:sz="6" w:space="0"/>
            </w:tcBorders>
            <w:noWrap w:val="0"/>
            <w:vAlign w:val="top"/>
          </w:tcPr>
          <w:p w14:paraId="0236F1BC">
            <w:pPr>
              <w:pStyle w:val="66"/>
              <w:bidi w:val="0"/>
              <w:rPr>
                <w:lang w:val="en-US" w:eastAsia="zh-CN"/>
              </w:rPr>
            </w:pPr>
            <w:r>
              <w:rPr>
                <w:lang w:val="en-US" w:eastAsia="zh-CN"/>
              </w:rPr>
              <w:t>名称</w:t>
            </w:r>
          </w:p>
        </w:tc>
        <w:tc>
          <w:tcPr>
            <w:tcW w:w="468" w:type="pct"/>
            <w:tcBorders>
              <w:top w:val="single" w:color="auto" w:sz="12" w:space="0"/>
              <w:bottom w:val="double" w:color="auto" w:sz="6" w:space="0"/>
            </w:tcBorders>
            <w:noWrap w:val="0"/>
            <w:vAlign w:val="top"/>
          </w:tcPr>
          <w:p w14:paraId="772CF5FE">
            <w:pPr>
              <w:pStyle w:val="66"/>
              <w:bidi w:val="0"/>
              <w:rPr>
                <w:lang w:val="en-US" w:eastAsia="zh-CN"/>
              </w:rPr>
            </w:pPr>
            <w:r>
              <w:rPr>
                <w:lang w:val="en-US" w:eastAsia="zh-CN"/>
              </w:rPr>
              <w:t>单位</w:t>
            </w:r>
          </w:p>
        </w:tc>
        <w:tc>
          <w:tcPr>
            <w:tcW w:w="426" w:type="pct"/>
            <w:tcBorders>
              <w:top w:val="single" w:color="auto" w:sz="12" w:space="0"/>
              <w:bottom w:val="double" w:color="auto" w:sz="6" w:space="0"/>
            </w:tcBorders>
            <w:noWrap w:val="0"/>
            <w:vAlign w:val="top"/>
          </w:tcPr>
          <w:p w14:paraId="6046C92E">
            <w:pPr>
              <w:pStyle w:val="66"/>
              <w:bidi w:val="0"/>
              <w:rPr>
                <w:lang w:val="en-US" w:eastAsia="zh-CN"/>
              </w:rPr>
            </w:pPr>
            <w:r>
              <w:rPr>
                <w:lang w:val="en-US" w:eastAsia="zh-CN"/>
              </w:rPr>
              <w:t>数量</w:t>
            </w:r>
          </w:p>
        </w:tc>
        <w:tc>
          <w:tcPr>
            <w:tcW w:w="744" w:type="pct"/>
            <w:tcBorders>
              <w:top w:val="single" w:color="auto" w:sz="12" w:space="0"/>
              <w:bottom w:val="double" w:color="auto" w:sz="6" w:space="0"/>
            </w:tcBorders>
            <w:noWrap w:val="0"/>
            <w:vAlign w:val="top"/>
          </w:tcPr>
          <w:p w14:paraId="45517BCA">
            <w:pPr>
              <w:pStyle w:val="66"/>
              <w:bidi w:val="0"/>
              <w:rPr>
                <w:lang w:val="en-US" w:eastAsia="zh-CN"/>
              </w:rPr>
            </w:pPr>
            <w:r>
              <w:rPr>
                <w:lang w:val="en-US" w:eastAsia="zh-CN"/>
              </w:rPr>
              <w:t>单价</w:t>
            </w:r>
            <w:r>
              <w:rPr>
                <w:rFonts w:hint="eastAsia"/>
                <w:lang w:val="en-US" w:eastAsia="zh-CN"/>
              </w:rPr>
              <w:t>（元）</w:t>
            </w:r>
          </w:p>
        </w:tc>
        <w:tc>
          <w:tcPr>
            <w:tcW w:w="781" w:type="pct"/>
            <w:tcBorders>
              <w:top w:val="single" w:color="auto" w:sz="12" w:space="0"/>
              <w:bottom w:val="double" w:color="auto" w:sz="6" w:space="0"/>
            </w:tcBorders>
            <w:noWrap w:val="0"/>
            <w:vAlign w:val="top"/>
          </w:tcPr>
          <w:p w14:paraId="13FB635E">
            <w:pPr>
              <w:pStyle w:val="66"/>
              <w:bidi w:val="0"/>
              <w:rPr>
                <w:lang w:val="en-US" w:eastAsia="zh-CN"/>
              </w:rPr>
            </w:pPr>
            <w:r>
              <w:rPr>
                <w:lang w:val="en-US" w:eastAsia="zh-CN"/>
              </w:rPr>
              <w:t>合价</w:t>
            </w:r>
            <w:r>
              <w:rPr>
                <w:rFonts w:hint="eastAsia"/>
                <w:lang w:val="en-US" w:eastAsia="zh-CN"/>
              </w:rPr>
              <w:t>（元）</w:t>
            </w:r>
          </w:p>
        </w:tc>
        <w:tc>
          <w:tcPr>
            <w:tcW w:w="938" w:type="pct"/>
            <w:tcBorders>
              <w:top w:val="single" w:color="auto" w:sz="12" w:space="0"/>
              <w:bottom w:val="double" w:color="auto" w:sz="6" w:space="0"/>
            </w:tcBorders>
            <w:noWrap w:val="0"/>
            <w:vAlign w:val="top"/>
          </w:tcPr>
          <w:p w14:paraId="65E9A10C">
            <w:pPr>
              <w:pStyle w:val="66"/>
              <w:bidi w:val="0"/>
              <w:rPr>
                <w:lang w:val="en-US" w:eastAsia="zh-CN"/>
              </w:rPr>
            </w:pPr>
            <w:r>
              <w:rPr>
                <w:lang w:val="en-US" w:eastAsia="zh-CN"/>
              </w:rPr>
              <w:t>备注</w:t>
            </w:r>
          </w:p>
        </w:tc>
      </w:tr>
      <w:tr w14:paraId="2F98B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3368FA24">
            <w:pPr>
              <w:pStyle w:val="66"/>
              <w:bidi w:val="0"/>
              <w:rPr>
                <w:lang w:val="en-US" w:eastAsia="zh-CN"/>
              </w:rPr>
            </w:pPr>
          </w:p>
        </w:tc>
        <w:tc>
          <w:tcPr>
            <w:tcW w:w="1094" w:type="pct"/>
            <w:tcBorders>
              <w:top w:val="double" w:color="auto" w:sz="6" w:space="0"/>
              <w:bottom w:val="single" w:color="auto" w:sz="6" w:space="0"/>
            </w:tcBorders>
            <w:noWrap w:val="0"/>
            <w:vAlign w:val="top"/>
          </w:tcPr>
          <w:p w14:paraId="092CD39A">
            <w:pPr>
              <w:pStyle w:val="66"/>
              <w:bidi w:val="0"/>
              <w:rPr>
                <w:lang w:val="en-US" w:eastAsia="zh-CN"/>
              </w:rPr>
            </w:pPr>
          </w:p>
        </w:tc>
        <w:tc>
          <w:tcPr>
            <w:tcW w:w="468" w:type="pct"/>
            <w:tcBorders>
              <w:top w:val="double" w:color="auto" w:sz="6" w:space="0"/>
              <w:bottom w:val="single" w:color="auto" w:sz="6" w:space="0"/>
            </w:tcBorders>
            <w:noWrap w:val="0"/>
            <w:vAlign w:val="top"/>
          </w:tcPr>
          <w:p w14:paraId="55D3D34D">
            <w:pPr>
              <w:pStyle w:val="66"/>
              <w:bidi w:val="0"/>
              <w:rPr>
                <w:lang w:val="en-US" w:eastAsia="zh-CN"/>
              </w:rPr>
            </w:pPr>
          </w:p>
        </w:tc>
        <w:tc>
          <w:tcPr>
            <w:tcW w:w="426" w:type="pct"/>
            <w:tcBorders>
              <w:top w:val="double" w:color="auto" w:sz="6" w:space="0"/>
              <w:bottom w:val="single" w:color="auto" w:sz="6" w:space="0"/>
            </w:tcBorders>
            <w:noWrap w:val="0"/>
            <w:vAlign w:val="top"/>
          </w:tcPr>
          <w:p w14:paraId="6AE9A61F">
            <w:pPr>
              <w:pStyle w:val="66"/>
              <w:bidi w:val="0"/>
              <w:rPr>
                <w:lang w:val="en-US" w:eastAsia="zh-CN"/>
              </w:rPr>
            </w:pPr>
          </w:p>
        </w:tc>
        <w:tc>
          <w:tcPr>
            <w:tcW w:w="744" w:type="pct"/>
            <w:tcBorders>
              <w:top w:val="double" w:color="auto" w:sz="6" w:space="0"/>
              <w:bottom w:val="single" w:color="auto" w:sz="6" w:space="0"/>
            </w:tcBorders>
            <w:noWrap w:val="0"/>
            <w:vAlign w:val="top"/>
          </w:tcPr>
          <w:p w14:paraId="46EBF2BD">
            <w:pPr>
              <w:pStyle w:val="66"/>
              <w:bidi w:val="0"/>
              <w:rPr>
                <w:lang w:val="en-US" w:eastAsia="zh-CN"/>
              </w:rPr>
            </w:pPr>
          </w:p>
        </w:tc>
        <w:tc>
          <w:tcPr>
            <w:tcW w:w="781" w:type="pct"/>
            <w:tcBorders>
              <w:top w:val="double" w:color="auto" w:sz="6" w:space="0"/>
              <w:bottom w:val="single" w:color="auto" w:sz="6" w:space="0"/>
            </w:tcBorders>
            <w:noWrap w:val="0"/>
            <w:vAlign w:val="top"/>
          </w:tcPr>
          <w:p w14:paraId="500AC6C5">
            <w:pPr>
              <w:pStyle w:val="66"/>
              <w:bidi w:val="0"/>
              <w:rPr>
                <w:lang w:val="en-US" w:eastAsia="zh-CN"/>
              </w:rPr>
            </w:pPr>
          </w:p>
        </w:tc>
        <w:tc>
          <w:tcPr>
            <w:tcW w:w="938" w:type="pct"/>
            <w:tcBorders>
              <w:top w:val="double" w:color="auto" w:sz="6" w:space="0"/>
              <w:bottom w:val="single" w:color="auto" w:sz="6" w:space="0"/>
            </w:tcBorders>
            <w:noWrap w:val="0"/>
            <w:vAlign w:val="top"/>
          </w:tcPr>
          <w:p w14:paraId="2528EA52">
            <w:pPr>
              <w:pStyle w:val="66"/>
              <w:bidi w:val="0"/>
              <w:rPr>
                <w:lang w:val="en-US" w:eastAsia="zh-CN"/>
              </w:rPr>
            </w:pPr>
          </w:p>
        </w:tc>
      </w:tr>
      <w:tr w14:paraId="18F55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456B1337">
            <w:pPr>
              <w:pStyle w:val="66"/>
              <w:bidi w:val="0"/>
              <w:rPr>
                <w:lang w:val="en-US" w:eastAsia="zh-CN"/>
              </w:rPr>
            </w:pPr>
          </w:p>
        </w:tc>
        <w:tc>
          <w:tcPr>
            <w:tcW w:w="1094" w:type="pct"/>
            <w:tcBorders>
              <w:top w:val="nil"/>
            </w:tcBorders>
            <w:noWrap w:val="0"/>
            <w:vAlign w:val="top"/>
          </w:tcPr>
          <w:p w14:paraId="38102691">
            <w:pPr>
              <w:pStyle w:val="66"/>
              <w:bidi w:val="0"/>
              <w:rPr>
                <w:lang w:val="en-US" w:eastAsia="zh-CN"/>
              </w:rPr>
            </w:pPr>
          </w:p>
        </w:tc>
        <w:tc>
          <w:tcPr>
            <w:tcW w:w="468" w:type="pct"/>
            <w:tcBorders>
              <w:top w:val="nil"/>
            </w:tcBorders>
            <w:noWrap w:val="0"/>
            <w:vAlign w:val="top"/>
          </w:tcPr>
          <w:p w14:paraId="2012EE64">
            <w:pPr>
              <w:pStyle w:val="66"/>
              <w:bidi w:val="0"/>
              <w:rPr>
                <w:lang w:val="en-US" w:eastAsia="zh-CN"/>
              </w:rPr>
            </w:pPr>
          </w:p>
        </w:tc>
        <w:tc>
          <w:tcPr>
            <w:tcW w:w="426" w:type="pct"/>
            <w:tcBorders>
              <w:top w:val="nil"/>
            </w:tcBorders>
            <w:noWrap w:val="0"/>
            <w:vAlign w:val="top"/>
          </w:tcPr>
          <w:p w14:paraId="0133C9AD">
            <w:pPr>
              <w:pStyle w:val="66"/>
              <w:bidi w:val="0"/>
              <w:rPr>
                <w:lang w:val="en-US" w:eastAsia="zh-CN"/>
              </w:rPr>
            </w:pPr>
          </w:p>
        </w:tc>
        <w:tc>
          <w:tcPr>
            <w:tcW w:w="744" w:type="pct"/>
            <w:tcBorders>
              <w:top w:val="nil"/>
            </w:tcBorders>
            <w:noWrap w:val="0"/>
            <w:vAlign w:val="top"/>
          </w:tcPr>
          <w:p w14:paraId="1E6ACDB0">
            <w:pPr>
              <w:pStyle w:val="66"/>
              <w:bidi w:val="0"/>
              <w:rPr>
                <w:lang w:val="en-US" w:eastAsia="zh-CN"/>
              </w:rPr>
            </w:pPr>
          </w:p>
        </w:tc>
        <w:tc>
          <w:tcPr>
            <w:tcW w:w="781" w:type="pct"/>
            <w:tcBorders>
              <w:top w:val="nil"/>
            </w:tcBorders>
            <w:noWrap w:val="0"/>
            <w:vAlign w:val="top"/>
          </w:tcPr>
          <w:p w14:paraId="4DE15FEB">
            <w:pPr>
              <w:pStyle w:val="66"/>
              <w:bidi w:val="0"/>
              <w:rPr>
                <w:lang w:val="en-US" w:eastAsia="zh-CN"/>
              </w:rPr>
            </w:pPr>
          </w:p>
        </w:tc>
        <w:tc>
          <w:tcPr>
            <w:tcW w:w="938" w:type="pct"/>
            <w:tcBorders>
              <w:top w:val="nil"/>
            </w:tcBorders>
            <w:noWrap w:val="0"/>
            <w:vAlign w:val="top"/>
          </w:tcPr>
          <w:p w14:paraId="70FA537F">
            <w:pPr>
              <w:pStyle w:val="66"/>
              <w:bidi w:val="0"/>
              <w:rPr>
                <w:lang w:val="en-US" w:eastAsia="zh-CN"/>
              </w:rPr>
            </w:pPr>
          </w:p>
        </w:tc>
      </w:tr>
      <w:tr w14:paraId="45A8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31FA2A8">
            <w:pPr>
              <w:pStyle w:val="66"/>
              <w:bidi w:val="0"/>
              <w:rPr>
                <w:lang w:val="en-US" w:eastAsia="zh-CN"/>
              </w:rPr>
            </w:pPr>
          </w:p>
        </w:tc>
        <w:tc>
          <w:tcPr>
            <w:tcW w:w="1094" w:type="pct"/>
            <w:noWrap w:val="0"/>
            <w:vAlign w:val="top"/>
          </w:tcPr>
          <w:p w14:paraId="00D700B8">
            <w:pPr>
              <w:pStyle w:val="66"/>
              <w:bidi w:val="0"/>
              <w:rPr>
                <w:lang w:val="en-US" w:eastAsia="zh-CN"/>
              </w:rPr>
            </w:pPr>
          </w:p>
        </w:tc>
        <w:tc>
          <w:tcPr>
            <w:tcW w:w="468" w:type="pct"/>
            <w:noWrap w:val="0"/>
            <w:vAlign w:val="top"/>
          </w:tcPr>
          <w:p w14:paraId="4FD8D8AF">
            <w:pPr>
              <w:pStyle w:val="66"/>
              <w:bidi w:val="0"/>
              <w:rPr>
                <w:lang w:val="en-US" w:eastAsia="zh-CN"/>
              </w:rPr>
            </w:pPr>
          </w:p>
        </w:tc>
        <w:tc>
          <w:tcPr>
            <w:tcW w:w="426" w:type="pct"/>
            <w:noWrap w:val="0"/>
            <w:vAlign w:val="top"/>
          </w:tcPr>
          <w:p w14:paraId="49894E72">
            <w:pPr>
              <w:pStyle w:val="66"/>
              <w:bidi w:val="0"/>
              <w:rPr>
                <w:lang w:val="en-US" w:eastAsia="zh-CN"/>
              </w:rPr>
            </w:pPr>
          </w:p>
        </w:tc>
        <w:tc>
          <w:tcPr>
            <w:tcW w:w="744" w:type="pct"/>
            <w:noWrap w:val="0"/>
            <w:vAlign w:val="top"/>
          </w:tcPr>
          <w:p w14:paraId="6D0F01B6">
            <w:pPr>
              <w:pStyle w:val="66"/>
              <w:bidi w:val="0"/>
              <w:rPr>
                <w:lang w:val="en-US" w:eastAsia="zh-CN"/>
              </w:rPr>
            </w:pPr>
          </w:p>
        </w:tc>
        <w:tc>
          <w:tcPr>
            <w:tcW w:w="781" w:type="pct"/>
            <w:noWrap w:val="0"/>
            <w:vAlign w:val="top"/>
          </w:tcPr>
          <w:p w14:paraId="5E4E5384">
            <w:pPr>
              <w:pStyle w:val="66"/>
              <w:bidi w:val="0"/>
              <w:rPr>
                <w:lang w:val="en-US" w:eastAsia="zh-CN"/>
              </w:rPr>
            </w:pPr>
          </w:p>
        </w:tc>
        <w:tc>
          <w:tcPr>
            <w:tcW w:w="938" w:type="pct"/>
            <w:noWrap w:val="0"/>
            <w:vAlign w:val="top"/>
          </w:tcPr>
          <w:p w14:paraId="087B048C">
            <w:pPr>
              <w:pStyle w:val="66"/>
              <w:bidi w:val="0"/>
              <w:rPr>
                <w:lang w:val="en-US" w:eastAsia="zh-CN"/>
              </w:rPr>
            </w:pPr>
          </w:p>
        </w:tc>
      </w:tr>
      <w:tr w14:paraId="0904B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E1963FA">
            <w:pPr>
              <w:pStyle w:val="66"/>
              <w:bidi w:val="0"/>
              <w:rPr>
                <w:lang w:val="en-US" w:eastAsia="zh-CN"/>
              </w:rPr>
            </w:pPr>
          </w:p>
        </w:tc>
        <w:tc>
          <w:tcPr>
            <w:tcW w:w="1094" w:type="pct"/>
            <w:noWrap w:val="0"/>
            <w:vAlign w:val="top"/>
          </w:tcPr>
          <w:p w14:paraId="24ECBF91">
            <w:pPr>
              <w:pStyle w:val="66"/>
              <w:bidi w:val="0"/>
              <w:rPr>
                <w:lang w:val="en-US" w:eastAsia="zh-CN"/>
              </w:rPr>
            </w:pPr>
          </w:p>
        </w:tc>
        <w:tc>
          <w:tcPr>
            <w:tcW w:w="468" w:type="pct"/>
            <w:noWrap w:val="0"/>
            <w:vAlign w:val="top"/>
          </w:tcPr>
          <w:p w14:paraId="4219CF54">
            <w:pPr>
              <w:pStyle w:val="66"/>
              <w:bidi w:val="0"/>
              <w:rPr>
                <w:lang w:val="en-US" w:eastAsia="zh-CN"/>
              </w:rPr>
            </w:pPr>
          </w:p>
        </w:tc>
        <w:tc>
          <w:tcPr>
            <w:tcW w:w="426" w:type="pct"/>
            <w:noWrap w:val="0"/>
            <w:vAlign w:val="top"/>
          </w:tcPr>
          <w:p w14:paraId="4441E1BC">
            <w:pPr>
              <w:pStyle w:val="66"/>
              <w:bidi w:val="0"/>
              <w:rPr>
                <w:lang w:val="en-US" w:eastAsia="zh-CN"/>
              </w:rPr>
            </w:pPr>
          </w:p>
        </w:tc>
        <w:tc>
          <w:tcPr>
            <w:tcW w:w="744" w:type="pct"/>
            <w:noWrap w:val="0"/>
            <w:vAlign w:val="top"/>
          </w:tcPr>
          <w:p w14:paraId="48F98D6F">
            <w:pPr>
              <w:pStyle w:val="66"/>
              <w:bidi w:val="0"/>
              <w:rPr>
                <w:lang w:val="en-US" w:eastAsia="zh-CN"/>
              </w:rPr>
            </w:pPr>
          </w:p>
        </w:tc>
        <w:tc>
          <w:tcPr>
            <w:tcW w:w="781" w:type="pct"/>
            <w:noWrap w:val="0"/>
            <w:vAlign w:val="top"/>
          </w:tcPr>
          <w:p w14:paraId="22CD9538">
            <w:pPr>
              <w:pStyle w:val="66"/>
              <w:bidi w:val="0"/>
              <w:rPr>
                <w:lang w:val="en-US" w:eastAsia="zh-CN"/>
              </w:rPr>
            </w:pPr>
          </w:p>
        </w:tc>
        <w:tc>
          <w:tcPr>
            <w:tcW w:w="938" w:type="pct"/>
            <w:noWrap w:val="0"/>
            <w:vAlign w:val="top"/>
          </w:tcPr>
          <w:p w14:paraId="4BE884E1">
            <w:pPr>
              <w:pStyle w:val="66"/>
              <w:bidi w:val="0"/>
              <w:rPr>
                <w:lang w:val="en-US" w:eastAsia="zh-CN"/>
              </w:rPr>
            </w:pPr>
          </w:p>
        </w:tc>
      </w:tr>
      <w:tr w14:paraId="08002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053D1CD">
            <w:pPr>
              <w:pStyle w:val="66"/>
              <w:bidi w:val="0"/>
              <w:rPr>
                <w:lang w:val="en-US" w:eastAsia="zh-CN"/>
              </w:rPr>
            </w:pPr>
          </w:p>
        </w:tc>
        <w:tc>
          <w:tcPr>
            <w:tcW w:w="1094" w:type="pct"/>
            <w:noWrap w:val="0"/>
            <w:vAlign w:val="top"/>
          </w:tcPr>
          <w:p w14:paraId="1196C3CC">
            <w:pPr>
              <w:pStyle w:val="66"/>
              <w:bidi w:val="0"/>
              <w:rPr>
                <w:lang w:val="en-US" w:eastAsia="zh-CN"/>
              </w:rPr>
            </w:pPr>
          </w:p>
        </w:tc>
        <w:tc>
          <w:tcPr>
            <w:tcW w:w="468" w:type="pct"/>
            <w:noWrap w:val="0"/>
            <w:vAlign w:val="top"/>
          </w:tcPr>
          <w:p w14:paraId="269241E1">
            <w:pPr>
              <w:pStyle w:val="66"/>
              <w:bidi w:val="0"/>
              <w:rPr>
                <w:lang w:val="en-US" w:eastAsia="zh-CN"/>
              </w:rPr>
            </w:pPr>
          </w:p>
        </w:tc>
        <w:tc>
          <w:tcPr>
            <w:tcW w:w="426" w:type="pct"/>
            <w:noWrap w:val="0"/>
            <w:vAlign w:val="top"/>
          </w:tcPr>
          <w:p w14:paraId="22C098DA">
            <w:pPr>
              <w:pStyle w:val="66"/>
              <w:bidi w:val="0"/>
              <w:rPr>
                <w:lang w:val="en-US" w:eastAsia="zh-CN"/>
              </w:rPr>
            </w:pPr>
          </w:p>
        </w:tc>
        <w:tc>
          <w:tcPr>
            <w:tcW w:w="744" w:type="pct"/>
            <w:noWrap w:val="0"/>
            <w:vAlign w:val="top"/>
          </w:tcPr>
          <w:p w14:paraId="24677952">
            <w:pPr>
              <w:pStyle w:val="66"/>
              <w:bidi w:val="0"/>
              <w:rPr>
                <w:lang w:val="en-US" w:eastAsia="zh-CN"/>
              </w:rPr>
            </w:pPr>
          </w:p>
        </w:tc>
        <w:tc>
          <w:tcPr>
            <w:tcW w:w="781" w:type="pct"/>
            <w:noWrap w:val="0"/>
            <w:vAlign w:val="top"/>
          </w:tcPr>
          <w:p w14:paraId="3AAB8A63">
            <w:pPr>
              <w:pStyle w:val="66"/>
              <w:bidi w:val="0"/>
              <w:rPr>
                <w:lang w:val="en-US" w:eastAsia="zh-CN"/>
              </w:rPr>
            </w:pPr>
          </w:p>
        </w:tc>
        <w:tc>
          <w:tcPr>
            <w:tcW w:w="938" w:type="pct"/>
            <w:noWrap w:val="0"/>
            <w:vAlign w:val="top"/>
          </w:tcPr>
          <w:p w14:paraId="4D5E9C2A">
            <w:pPr>
              <w:pStyle w:val="66"/>
              <w:bidi w:val="0"/>
              <w:rPr>
                <w:lang w:val="en-US" w:eastAsia="zh-CN"/>
              </w:rPr>
            </w:pPr>
          </w:p>
        </w:tc>
      </w:tr>
      <w:tr w14:paraId="7471CF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2765562">
            <w:pPr>
              <w:pStyle w:val="66"/>
              <w:bidi w:val="0"/>
              <w:rPr>
                <w:lang w:val="en-US" w:eastAsia="zh-CN"/>
              </w:rPr>
            </w:pPr>
          </w:p>
        </w:tc>
        <w:tc>
          <w:tcPr>
            <w:tcW w:w="1094" w:type="pct"/>
            <w:noWrap w:val="0"/>
            <w:vAlign w:val="top"/>
          </w:tcPr>
          <w:p w14:paraId="102E2E4B">
            <w:pPr>
              <w:pStyle w:val="66"/>
              <w:bidi w:val="0"/>
              <w:rPr>
                <w:lang w:val="en-US" w:eastAsia="zh-CN"/>
              </w:rPr>
            </w:pPr>
          </w:p>
        </w:tc>
        <w:tc>
          <w:tcPr>
            <w:tcW w:w="468" w:type="pct"/>
            <w:noWrap w:val="0"/>
            <w:vAlign w:val="top"/>
          </w:tcPr>
          <w:p w14:paraId="1FCB826B">
            <w:pPr>
              <w:pStyle w:val="66"/>
              <w:bidi w:val="0"/>
              <w:rPr>
                <w:lang w:val="en-US" w:eastAsia="zh-CN"/>
              </w:rPr>
            </w:pPr>
          </w:p>
        </w:tc>
        <w:tc>
          <w:tcPr>
            <w:tcW w:w="426" w:type="pct"/>
            <w:noWrap w:val="0"/>
            <w:vAlign w:val="top"/>
          </w:tcPr>
          <w:p w14:paraId="51673F04">
            <w:pPr>
              <w:pStyle w:val="66"/>
              <w:bidi w:val="0"/>
              <w:rPr>
                <w:lang w:val="en-US" w:eastAsia="zh-CN"/>
              </w:rPr>
            </w:pPr>
          </w:p>
        </w:tc>
        <w:tc>
          <w:tcPr>
            <w:tcW w:w="744" w:type="pct"/>
            <w:noWrap w:val="0"/>
            <w:vAlign w:val="top"/>
          </w:tcPr>
          <w:p w14:paraId="6C123059">
            <w:pPr>
              <w:pStyle w:val="66"/>
              <w:bidi w:val="0"/>
              <w:rPr>
                <w:lang w:val="en-US" w:eastAsia="zh-CN"/>
              </w:rPr>
            </w:pPr>
          </w:p>
        </w:tc>
        <w:tc>
          <w:tcPr>
            <w:tcW w:w="781" w:type="pct"/>
            <w:noWrap w:val="0"/>
            <w:vAlign w:val="top"/>
          </w:tcPr>
          <w:p w14:paraId="2407B67A">
            <w:pPr>
              <w:pStyle w:val="66"/>
              <w:bidi w:val="0"/>
              <w:rPr>
                <w:lang w:val="en-US" w:eastAsia="zh-CN"/>
              </w:rPr>
            </w:pPr>
          </w:p>
        </w:tc>
        <w:tc>
          <w:tcPr>
            <w:tcW w:w="938" w:type="pct"/>
            <w:noWrap w:val="0"/>
            <w:vAlign w:val="top"/>
          </w:tcPr>
          <w:p w14:paraId="5C669B2F">
            <w:pPr>
              <w:pStyle w:val="66"/>
              <w:bidi w:val="0"/>
              <w:rPr>
                <w:lang w:val="en-US" w:eastAsia="zh-CN"/>
              </w:rPr>
            </w:pPr>
          </w:p>
        </w:tc>
      </w:tr>
      <w:tr w14:paraId="3D7792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1851AFC6">
            <w:pPr>
              <w:pStyle w:val="66"/>
              <w:bidi w:val="0"/>
              <w:rPr>
                <w:lang w:val="en-US" w:eastAsia="zh-CN"/>
              </w:rPr>
            </w:pPr>
          </w:p>
        </w:tc>
        <w:tc>
          <w:tcPr>
            <w:tcW w:w="1094" w:type="pct"/>
            <w:noWrap w:val="0"/>
            <w:vAlign w:val="top"/>
          </w:tcPr>
          <w:p w14:paraId="49108DA5">
            <w:pPr>
              <w:pStyle w:val="66"/>
              <w:bidi w:val="0"/>
              <w:rPr>
                <w:lang w:val="en-US" w:eastAsia="zh-CN"/>
              </w:rPr>
            </w:pPr>
          </w:p>
        </w:tc>
        <w:tc>
          <w:tcPr>
            <w:tcW w:w="468" w:type="pct"/>
            <w:noWrap w:val="0"/>
            <w:vAlign w:val="top"/>
          </w:tcPr>
          <w:p w14:paraId="45B90046">
            <w:pPr>
              <w:pStyle w:val="66"/>
              <w:bidi w:val="0"/>
              <w:rPr>
                <w:lang w:val="en-US" w:eastAsia="zh-CN"/>
              </w:rPr>
            </w:pPr>
          </w:p>
        </w:tc>
        <w:tc>
          <w:tcPr>
            <w:tcW w:w="426" w:type="pct"/>
            <w:noWrap w:val="0"/>
            <w:vAlign w:val="top"/>
          </w:tcPr>
          <w:p w14:paraId="01952045">
            <w:pPr>
              <w:pStyle w:val="66"/>
              <w:bidi w:val="0"/>
              <w:rPr>
                <w:lang w:val="en-US" w:eastAsia="zh-CN"/>
              </w:rPr>
            </w:pPr>
          </w:p>
        </w:tc>
        <w:tc>
          <w:tcPr>
            <w:tcW w:w="744" w:type="pct"/>
            <w:noWrap w:val="0"/>
            <w:vAlign w:val="top"/>
          </w:tcPr>
          <w:p w14:paraId="2BFE9F28">
            <w:pPr>
              <w:pStyle w:val="66"/>
              <w:bidi w:val="0"/>
              <w:rPr>
                <w:lang w:val="en-US" w:eastAsia="zh-CN"/>
              </w:rPr>
            </w:pPr>
          </w:p>
        </w:tc>
        <w:tc>
          <w:tcPr>
            <w:tcW w:w="781" w:type="pct"/>
            <w:noWrap w:val="0"/>
            <w:vAlign w:val="top"/>
          </w:tcPr>
          <w:p w14:paraId="567A009D">
            <w:pPr>
              <w:pStyle w:val="66"/>
              <w:bidi w:val="0"/>
              <w:rPr>
                <w:lang w:val="en-US" w:eastAsia="zh-CN"/>
              </w:rPr>
            </w:pPr>
          </w:p>
        </w:tc>
        <w:tc>
          <w:tcPr>
            <w:tcW w:w="938" w:type="pct"/>
            <w:noWrap w:val="0"/>
            <w:vAlign w:val="top"/>
          </w:tcPr>
          <w:p w14:paraId="79B11188">
            <w:pPr>
              <w:pStyle w:val="66"/>
              <w:bidi w:val="0"/>
              <w:rPr>
                <w:lang w:val="en-US" w:eastAsia="zh-CN"/>
              </w:rPr>
            </w:pPr>
          </w:p>
        </w:tc>
      </w:tr>
      <w:tr w14:paraId="58CD74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4DB6728">
            <w:pPr>
              <w:pStyle w:val="66"/>
              <w:bidi w:val="0"/>
              <w:rPr>
                <w:lang w:val="en-US" w:eastAsia="zh-CN"/>
              </w:rPr>
            </w:pPr>
          </w:p>
        </w:tc>
        <w:tc>
          <w:tcPr>
            <w:tcW w:w="1094" w:type="pct"/>
            <w:noWrap w:val="0"/>
            <w:vAlign w:val="top"/>
          </w:tcPr>
          <w:p w14:paraId="1CA14F12">
            <w:pPr>
              <w:pStyle w:val="66"/>
              <w:bidi w:val="0"/>
              <w:rPr>
                <w:lang w:val="en-US" w:eastAsia="zh-CN"/>
              </w:rPr>
            </w:pPr>
          </w:p>
        </w:tc>
        <w:tc>
          <w:tcPr>
            <w:tcW w:w="468" w:type="pct"/>
            <w:noWrap w:val="0"/>
            <w:vAlign w:val="top"/>
          </w:tcPr>
          <w:p w14:paraId="11CEEBD3">
            <w:pPr>
              <w:pStyle w:val="66"/>
              <w:bidi w:val="0"/>
              <w:rPr>
                <w:lang w:val="en-US" w:eastAsia="zh-CN"/>
              </w:rPr>
            </w:pPr>
          </w:p>
        </w:tc>
        <w:tc>
          <w:tcPr>
            <w:tcW w:w="426" w:type="pct"/>
            <w:noWrap w:val="0"/>
            <w:vAlign w:val="top"/>
          </w:tcPr>
          <w:p w14:paraId="64D9A7B7">
            <w:pPr>
              <w:pStyle w:val="66"/>
              <w:bidi w:val="0"/>
              <w:rPr>
                <w:lang w:val="en-US" w:eastAsia="zh-CN"/>
              </w:rPr>
            </w:pPr>
          </w:p>
        </w:tc>
        <w:tc>
          <w:tcPr>
            <w:tcW w:w="744" w:type="pct"/>
            <w:noWrap w:val="0"/>
            <w:vAlign w:val="top"/>
          </w:tcPr>
          <w:p w14:paraId="4CD88B23">
            <w:pPr>
              <w:pStyle w:val="66"/>
              <w:bidi w:val="0"/>
              <w:rPr>
                <w:lang w:val="en-US" w:eastAsia="zh-CN"/>
              </w:rPr>
            </w:pPr>
          </w:p>
        </w:tc>
        <w:tc>
          <w:tcPr>
            <w:tcW w:w="781" w:type="pct"/>
            <w:noWrap w:val="0"/>
            <w:vAlign w:val="top"/>
          </w:tcPr>
          <w:p w14:paraId="767D1519">
            <w:pPr>
              <w:pStyle w:val="66"/>
              <w:bidi w:val="0"/>
              <w:rPr>
                <w:lang w:val="en-US" w:eastAsia="zh-CN"/>
              </w:rPr>
            </w:pPr>
          </w:p>
        </w:tc>
        <w:tc>
          <w:tcPr>
            <w:tcW w:w="938" w:type="pct"/>
            <w:noWrap w:val="0"/>
            <w:vAlign w:val="top"/>
          </w:tcPr>
          <w:p w14:paraId="0F4C2C90">
            <w:pPr>
              <w:pStyle w:val="66"/>
              <w:bidi w:val="0"/>
              <w:rPr>
                <w:lang w:val="en-US" w:eastAsia="zh-CN"/>
              </w:rPr>
            </w:pPr>
          </w:p>
        </w:tc>
      </w:tr>
      <w:tr w14:paraId="2B421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4AB3A48">
            <w:pPr>
              <w:pStyle w:val="66"/>
              <w:bidi w:val="0"/>
              <w:rPr>
                <w:lang w:val="en-US" w:eastAsia="zh-CN"/>
              </w:rPr>
            </w:pPr>
          </w:p>
        </w:tc>
        <w:tc>
          <w:tcPr>
            <w:tcW w:w="1094" w:type="pct"/>
            <w:noWrap w:val="0"/>
            <w:vAlign w:val="top"/>
          </w:tcPr>
          <w:p w14:paraId="282B5160">
            <w:pPr>
              <w:pStyle w:val="66"/>
              <w:bidi w:val="0"/>
              <w:rPr>
                <w:lang w:val="en-US" w:eastAsia="zh-CN"/>
              </w:rPr>
            </w:pPr>
          </w:p>
        </w:tc>
        <w:tc>
          <w:tcPr>
            <w:tcW w:w="468" w:type="pct"/>
            <w:noWrap w:val="0"/>
            <w:vAlign w:val="top"/>
          </w:tcPr>
          <w:p w14:paraId="498D8855">
            <w:pPr>
              <w:pStyle w:val="66"/>
              <w:bidi w:val="0"/>
              <w:rPr>
                <w:lang w:val="en-US" w:eastAsia="zh-CN"/>
              </w:rPr>
            </w:pPr>
          </w:p>
        </w:tc>
        <w:tc>
          <w:tcPr>
            <w:tcW w:w="426" w:type="pct"/>
            <w:noWrap w:val="0"/>
            <w:vAlign w:val="top"/>
          </w:tcPr>
          <w:p w14:paraId="3555E5F4">
            <w:pPr>
              <w:pStyle w:val="66"/>
              <w:bidi w:val="0"/>
              <w:rPr>
                <w:lang w:val="en-US" w:eastAsia="zh-CN"/>
              </w:rPr>
            </w:pPr>
          </w:p>
        </w:tc>
        <w:tc>
          <w:tcPr>
            <w:tcW w:w="744" w:type="pct"/>
            <w:noWrap w:val="0"/>
            <w:vAlign w:val="top"/>
          </w:tcPr>
          <w:p w14:paraId="09C077A5">
            <w:pPr>
              <w:pStyle w:val="66"/>
              <w:bidi w:val="0"/>
              <w:rPr>
                <w:lang w:val="en-US" w:eastAsia="zh-CN"/>
              </w:rPr>
            </w:pPr>
          </w:p>
        </w:tc>
        <w:tc>
          <w:tcPr>
            <w:tcW w:w="781" w:type="pct"/>
            <w:noWrap w:val="0"/>
            <w:vAlign w:val="top"/>
          </w:tcPr>
          <w:p w14:paraId="33AB5C04">
            <w:pPr>
              <w:pStyle w:val="66"/>
              <w:bidi w:val="0"/>
              <w:rPr>
                <w:lang w:val="en-US" w:eastAsia="zh-CN"/>
              </w:rPr>
            </w:pPr>
          </w:p>
        </w:tc>
        <w:tc>
          <w:tcPr>
            <w:tcW w:w="938" w:type="pct"/>
            <w:noWrap w:val="0"/>
            <w:vAlign w:val="top"/>
          </w:tcPr>
          <w:p w14:paraId="576DEFAD">
            <w:pPr>
              <w:pStyle w:val="66"/>
              <w:bidi w:val="0"/>
              <w:rPr>
                <w:lang w:val="en-US" w:eastAsia="zh-CN"/>
              </w:rPr>
            </w:pPr>
          </w:p>
        </w:tc>
      </w:tr>
      <w:tr w14:paraId="4A466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42219EE">
            <w:pPr>
              <w:pStyle w:val="66"/>
              <w:bidi w:val="0"/>
              <w:rPr>
                <w:lang w:val="en-US" w:eastAsia="zh-CN"/>
              </w:rPr>
            </w:pPr>
          </w:p>
        </w:tc>
        <w:tc>
          <w:tcPr>
            <w:tcW w:w="1094" w:type="pct"/>
            <w:noWrap w:val="0"/>
            <w:vAlign w:val="top"/>
          </w:tcPr>
          <w:p w14:paraId="07DB4D3E">
            <w:pPr>
              <w:pStyle w:val="66"/>
              <w:bidi w:val="0"/>
              <w:rPr>
                <w:lang w:val="en-US" w:eastAsia="zh-CN"/>
              </w:rPr>
            </w:pPr>
          </w:p>
        </w:tc>
        <w:tc>
          <w:tcPr>
            <w:tcW w:w="468" w:type="pct"/>
            <w:noWrap w:val="0"/>
            <w:vAlign w:val="top"/>
          </w:tcPr>
          <w:p w14:paraId="6EA9E612">
            <w:pPr>
              <w:pStyle w:val="66"/>
              <w:bidi w:val="0"/>
              <w:rPr>
                <w:lang w:val="en-US" w:eastAsia="zh-CN"/>
              </w:rPr>
            </w:pPr>
          </w:p>
        </w:tc>
        <w:tc>
          <w:tcPr>
            <w:tcW w:w="426" w:type="pct"/>
            <w:noWrap w:val="0"/>
            <w:vAlign w:val="top"/>
          </w:tcPr>
          <w:p w14:paraId="6E466DA4">
            <w:pPr>
              <w:pStyle w:val="66"/>
              <w:bidi w:val="0"/>
              <w:rPr>
                <w:lang w:val="en-US" w:eastAsia="zh-CN"/>
              </w:rPr>
            </w:pPr>
          </w:p>
        </w:tc>
        <w:tc>
          <w:tcPr>
            <w:tcW w:w="744" w:type="pct"/>
            <w:noWrap w:val="0"/>
            <w:vAlign w:val="top"/>
          </w:tcPr>
          <w:p w14:paraId="7C22E7FE">
            <w:pPr>
              <w:pStyle w:val="66"/>
              <w:bidi w:val="0"/>
              <w:rPr>
                <w:lang w:val="en-US" w:eastAsia="zh-CN"/>
              </w:rPr>
            </w:pPr>
          </w:p>
        </w:tc>
        <w:tc>
          <w:tcPr>
            <w:tcW w:w="781" w:type="pct"/>
            <w:noWrap w:val="0"/>
            <w:vAlign w:val="top"/>
          </w:tcPr>
          <w:p w14:paraId="3C201382">
            <w:pPr>
              <w:pStyle w:val="66"/>
              <w:bidi w:val="0"/>
              <w:rPr>
                <w:lang w:val="en-US" w:eastAsia="zh-CN"/>
              </w:rPr>
            </w:pPr>
          </w:p>
        </w:tc>
        <w:tc>
          <w:tcPr>
            <w:tcW w:w="938" w:type="pct"/>
            <w:noWrap w:val="0"/>
            <w:vAlign w:val="top"/>
          </w:tcPr>
          <w:p w14:paraId="4B8D64F2">
            <w:pPr>
              <w:pStyle w:val="66"/>
              <w:bidi w:val="0"/>
              <w:rPr>
                <w:lang w:val="en-US" w:eastAsia="zh-CN"/>
              </w:rPr>
            </w:pPr>
          </w:p>
        </w:tc>
      </w:tr>
      <w:tr w14:paraId="32E150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00F6E223">
            <w:pPr>
              <w:pStyle w:val="66"/>
              <w:bidi w:val="0"/>
              <w:rPr>
                <w:lang w:val="en-US" w:eastAsia="zh-CN"/>
              </w:rPr>
            </w:pPr>
          </w:p>
        </w:tc>
        <w:tc>
          <w:tcPr>
            <w:tcW w:w="1094" w:type="pct"/>
            <w:noWrap w:val="0"/>
            <w:vAlign w:val="top"/>
          </w:tcPr>
          <w:p w14:paraId="5EF0E0E4">
            <w:pPr>
              <w:pStyle w:val="66"/>
              <w:bidi w:val="0"/>
              <w:rPr>
                <w:lang w:val="en-US" w:eastAsia="zh-CN"/>
              </w:rPr>
            </w:pPr>
          </w:p>
        </w:tc>
        <w:tc>
          <w:tcPr>
            <w:tcW w:w="468" w:type="pct"/>
            <w:noWrap w:val="0"/>
            <w:vAlign w:val="top"/>
          </w:tcPr>
          <w:p w14:paraId="52DC4B8B">
            <w:pPr>
              <w:pStyle w:val="66"/>
              <w:bidi w:val="0"/>
              <w:rPr>
                <w:lang w:val="en-US" w:eastAsia="zh-CN"/>
              </w:rPr>
            </w:pPr>
          </w:p>
        </w:tc>
        <w:tc>
          <w:tcPr>
            <w:tcW w:w="426" w:type="pct"/>
            <w:noWrap w:val="0"/>
            <w:vAlign w:val="top"/>
          </w:tcPr>
          <w:p w14:paraId="26709F35">
            <w:pPr>
              <w:pStyle w:val="66"/>
              <w:bidi w:val="0"/>
              <w:rPr>
                <w:lang w:val="en-US" w:eastAsia="zh-CN"/>
              </w:rPr>
            </w:pPr>
          </w:p>
        </w:tc>
        <w:tc>
          <w:tcPr>
            <w:tcW w:w="744" w:type="pct"/>
            <w:noWrap w:val="0"/>
            <w:vAlign w:val="top"/>
          </w:tcPr>
          <w:p w14:paraId="3822A26F">
            <w:pPr>
              <w:pStyle w:val="66"/>
              <w:bidi w:val="0"/>
              <w:rPr>
                <w:lang w:val="en-US" w:eastAsia="zh-CN"/>
              </w:rPr>
            </w:pPr>
          </w:p>
        </w:tc>
        <w:tc>
          <w:tcPr>
            <w:tcW w:w="781" w:type="pct"/>
            <w:noWrap w:val="0"/>
            <w:vAlign w:val="top"/>
          </w:tcPr>
          <w:p w14:paraId="355226C1">
            <w:pPr>
              <w:pStyle w:val="66"/>
              <w:bidi w:val="0"/>
              <w:rPr>
                <w:lang w:val="en-US" w:eastAsia="zh-CN"/>
              </w:rPr>
            </w:pPr>
          </w:p>
        </w:tc>
        <w:tc>
          <w:tcPr>
            <w:tcW w:w="938" w:type="pct"/>
            <w:noWrap w:val="0"/>
            <w:vAlign w:val="top"/>
          </w:tcPr>
          <w:p w14:paraId="1B1718AD">
            <w:pPr>
              <w:pStyle w:val="66"/>
              <w:bidi w:val="0"/>
              <w:rPr>
                <w:lang w:val="en-US" w:eastAsia="zh-CN"/>
              </w:rPr>
            </w:pPr>
          </w:p>
        </w:tc>
      </w:tr>
      <w:tr w14:paraId="5F177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9E64ED2">
            <w:pPr>
              <w:pStyle w:val="66"/>
              <w:bidi w:val="0"/>
              <w:rPr>
                <w:lang w:val="en-US" w:eastAsia="zh-CN"/>
              </w:rPr>
            </w:pPr>
          </w:p>
        </w:tc>
        <w:tc>
          <w:tcPr>
            <w:tcW w:w="1094" w:type="pct"/>
            <w:noWrap w:val="0"/>
            <w:vAlign w:val="top"/>
          </w:tcPr>
          <w:p w14:paraId="4A07D42D">
            <w:pPr>
              <w:pStyle w:val="66"/>
              <w:bidi w:val="0"/>
              <w:rPr>
                <w:lang w:val="en-US" w:eastAsia="zh-CN"/>
              </w:rPr>
            </w:pPr>
          </w:p>
        </w:tc>
        <w:tc>
          <w:tcPr>
            <w:tcW w:w="468" w:type="pct"/>
            <w:noWrap w:val="0"/>
            <w:vAlign w:val="top"/>
          </w:tcPr>
          <w:p w14:paraId="15C11AC7">
            <w:pPr>
              <w:pStyle w:val="66"/>
              <w:bidi w:val="0"/>
              <w:rPr>
                <w:lang w:val="en-US" w:eastAsia="zh-CN"/>
              </w:rPr>
            </w:pPr>
          </w:p>
        </w:tc>
        <w:tc>
          <w:tcPr>
            <w:tcW w:w="426" w:type="pct"/>
            <w:noWrap w:val="0"/>
            <w:vAlign w:val="top"/>
          </w:tcPr>
          <w:p w14:paraId="0FA05607">
            <w:pPr>
              <w:pStyle w:val="66"/>
              <w:bidi w:val="0"/>
              <w:rPr>
                <w:lang w:val="en-US" w:eastAsia="zh-CN"/>
              </w:rPr>
            </w:pPr>
          </w:p>
        </w:tc>
        <w:tc>
          <w:tcPr>
            <w:tcW w:w="744" w:type="pct"/>
            <w:noWrap w:val="0"/>
            <w:vAlign w:val="top"/>
          </w:tcPr>
          <w:p w14:paraId="3BF4E030">
            <w:pPr>
              <w:pStyle w:val="66"/>
              <w:bidi w:val="0"/>
              <w:rPr>
                <w:lang w:val="en-US" w:eastAsia="zh-CN"/>
              </w:rPr>
            </w:pPr>
          </w:p>
        </w:tc>
        <w:tc>
          <w:tcPr>
            <w:tcW w:w="781" w:type="pct"/>
            <w:noWrap w:val="0"/>
            <w:vAlign w:val="top"/>
          </w:tcPr>
          <w:p w14:paraId="53EEAC34">
            <w:pPr>
              <w:pStyle w:val="66"/>
              <w:bidi w:val="0"/>
              <w:rPr>
                <w:lang w:val="en-US" w:eastAsia="zh-CN"/>
              </w:rPr>
            </w:pPr>
          </w:p>
        </w:tc>
        <w:tc>
          <w:tcPr>
            <w:tcW w:w="938" w:type="pct"/>
            <w:noWrap w:val="0"/>
            <w:vAlign w:val="top"/>
          </w:tcPr>
          <w:p w14:paraId="586BAD41">
            <w:pPr>
              <w:pStyle w:val="66"/>
              <w:bidi w:val="0"/>
              <w:rPr>
                <w:lang w:val="en-US" w:eastAsia="zh-CN"/>
              </w:rPr>
            </w:pPr>
          </w:p>
        </w:tc>
      </w:tr>
      <w:tr w14:paraId="1C4FE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F0FA5D4">
            <w:pPr>
              <w:pStyle w:val="66"/>
              <w:bidi w:val="0"/>
              <w:rPr>
                <w:lang w:val="en-US" w:eastAsia="zh-CN"/>
              </w:rPr>
            </w:pPr>
          </w:p>
        </w:tc>
        <w:tc>
          <w:tcPr>
            <w:tcW w:w="1094" w:type="pct"/>
            <w:noWrap w:val="0"/>
            <w:vAlign w:val="top"/>
          </w:tcPr>
          <w:p w14:paraId="14A5B703">
            <w:pPr>
              <w:pStyle w:val="66"/>
              <w:bidi w:val="0"/>
              <w:rPr>
                <w:lang w:val="en-US" w:eastAsia="zh-CN"/>
              </w:rPr>
            </w:pPr>
          </w:p>
        </w:tc>
        <w:tc>
          <w:tcPr>
            <w:tcW w:w="468" w:type="pct"/>
            <w:noWrap w:val="0"/>
            <w:vAlign w:val="top"/>
          </w:tcPr>
          <w:p w14:paraId="33F78851">
            <w:pPr>
              <w:pStyle w:val="66"/>
              <w:bidi w:val="0"/>
              <w:rPr>
                <w:lang w:val="en-US" w:eastAsia="zh-CN"/>
              </w:rPr>
            </w:pPr>
          </w:p>
        </w:tc>
        <w:tc>
          <w:tcPr>
            <w:tcW w:w="426" w:type="pct"/>
            <w:noWrap w:val="0"/>
            <w:vAlign w:val="top"/>
          </w:tcPr>
          <w:p w14:paraId="5BA44A03">
            <w:pPr>
              <w:pStyle w:val="66"/>
              <w:bidi w:val="0"/>
              <w:rPr>
                <w:lang w:val="en-US" w:eastAsia="zh-CN"/>
              </w:rPr>
            </w:pPr>
          </w:p>
        </w:tc>
        <w:tc>
          <w:tcPr>
            <w:tcW w:w="744" w:type="pct"/>
            <w:noWrap w:val="0"/>
            <w:vAlign w:val="top"/>
          </w:tcPr>
          <w:p w14:paraId="7788118F">
            <w:pPr>
              <w:pStyle w:val="66"/>
              <w:bidi w:val="0"/>
              <w:rPr>
                <w:lang w:val="en-US" w:eastAsia="zh-CN"/>
              </w:rPr>
            </w:pPr>
          </w:p>
        </w:tc>
        <w:tc>
          <w:tcPr>
            <w:tcW w:w="781" w:type="pct"/>
            <w:noWrap w:val="0"/>
            <w:vAlign w:val="top"/>
          </w:tcPr>
          <w:p w14:paraId="05097CAC">
            <w:pPr>
              <w:pStyle w:val="66"/>
              <w:bidi w:val="0"/>
              <w:rPr>
                <w:lang w:val="en-US" w:eastAsia="zh-CN"/>
              </w:rPr>
            </w:pPr>
          </w:p>
        </w:tc>
        <w:tc>
          <w:tcPr>
            <w:tcW w:w="938" w:type="pct"/>
            <w:noWrap w:val="0"/>
            <w:vAlign w:val="top"/>
          </w:tcPr>
          <w:p w14:paraId="59B5B768">
            <w:pPr>
              <w:pStyle w:val="66"/>
              <w:bidi w:val="0"/>
              <w:rPr>
                <w:lang w:val="en-US" w:eastAsia="zh-CN"/>
              </w:rPr>
            </w:pPr>
          </w:p>
        </w:tc>
      </w:tr>
      <w:tr w14:paraId="4EAFC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1D4A6F7">
            <w:pPr>
              <w:pStyle w:val="66"/>
              <w:bidi w:val="0"/>
              <w:rPr>
                <w:lang w:val="en-US" w:eastAsia="zh-CN"/>
              </w:rPr>
            </w:pPr>
          </w:p>
        </w:tc>
        <w:tc>
          <w:tcPr>
            <w:tcW w:w="1094" w:type="pct"/>
            <w:noWrap w:val="0"/>
            <w:vAlign w:val="top"/>
          </w:tcPr>
          <w:p w14:paraId="631F5655">
            <w:pPr>
              <w:pStyle w:val="66"/>
              <w:bidi w:val="0"/>
              <w:rPr>
                <w:lang w:val="en-US" w:eastAsia="zh-CN"/>
              </w:rPr>
            </w:pPr>
          </w:p>
        </w:tc>
        <w:tc>
          <w:tcPr>
            <w:tcW w:w="468" w:type="pct"/>
            <w:noWrap w:val="0"/>
            <w:vAlign w:val="top"/>
          </w:tcPr>
          <w:p w14:paraId="1F2AD55B">
            <w:pPr>
              <w:pStyle w:val="66"/>
              <w:bidi w:val="0"/>
              <w:rPr>
                <w:lang w:val="en-US" w:eastAsia="zh-CN"/>
              </w:rPr>
            </w:pPr>
          </w:p>
        </w:tc>
        <w:tc>
          <w:tcPr>
            <w:tcW w:w="426" w:type="pct"/>
            <w:noWrap w:val="0"/>
            <w:vAlign w:val="top"/>
          </w:tcPr>
          <w:p w14:paraId="6F938618">
            <w:pPr>
              <w:pStyle w:val="66"/>
              <w:bidi w:val="0"/>
              <w:rPr>
                <w:lang w:val="en-US" w:eastAsia="zh-CN"/>
              </w:rPr>
            </w:pPr>
          </w:p>
        </w:tc>
        <w:tc>
          <w:tcPr>
            <w:tcW w:w="744" w:type="pct"/>
            <w:noWrap w:val="0"/>
            <w:vAlign w:val="top"/>
          </w:tcPr>
          <w:p w14:paraId="46F6F6B0">
            <w:pPr>
              <w:pStyle w:val="66"/>
              <w:bidi w:val="0"/>
              <w:rPr>
                <w:lang w:val="en-US" w:eastAsia="zh-CN"/>
              </w:rPr>
            </w:pPr>
          </w:p>
        </w:tc>
        <w:tc>
          <w:tcPr>
            <w:tcW w:w="781" w:type="pct"/>
            <w:noWrap w:val="0"/>
            <w:vAlign w:val="top"/>
          </w:tcPr>
          <w:p w14:paraId="4FE09FD0">
            <w:pPr>
              <w:pStyle w:val="66"/>
              <w:bidi w:val="0"/>
              <w:rPr>
                <w:lang w:val="en-US" w:eastAsia="zh-CN"/>
              </w:rPr>
            </w:pPr>
          </w:p>
        </w:tc>
        <w:tc>
          <w:tcPr>
            <w:tcW w:w="938" w:type="pct"/>
            <w:noWrap w:val="0"/>
            <w:vAlign w:val="top"/>
          </w:tcPr>
          <w:p w14:paraId="740C507B">
            <w:pPr>
              <w:pStyle w:val="66"/>
              <w:bidi w:val="0"/>
              <w:rPr>
                <w:lang w:val="en-US" w:eastAsia="zh-CN"/>
              </w:rPr>
            </w:pPr>
          </w:p>
        </w:tc>
      </w:tr>
      <w:tr w14:paraId="7EFDD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DB71601">
            <w:pPr>
              <w:pStyle w:val="66"/>
              <w:bidi w:val="0"/>
              <w:rPr>
                <w:lang w:val="en-US" w:eastAsia="zh-CN"/>
              </w:rPr>
            </w:pPr>
          </w:p>
        </w:tc>
        <w:tc>
          <w:tcPr>
            <w:tcW w:w="1094" w:type="pct"/>
            <w:noWrap w:val="0"/>
            <w:vAlign w:val="top"/>
          </w:tcPr>
          <w:p w14:paraId="1AC8C18C">
            <w:pPr>
              <w:pStyle w:val="66"/>
              <w:bidi w:val="0"/>
              <w:rPr>
                <w:lang w:val="en-US" w:eastAsia="zh-CN"/>
              </w:rPr>
            </w:pPr>
          </w:p>
        </w:tc>
        <w:tc>
          <w:tcPr>
            <w:tcW w:w="468" w:type="pct"/>
            <w:noWrap w:val="0"/>
            <w:vAlign w:val="top"/>
          </w:tcPr>
          <w:p w14:paraId="7DFDE911">
            <w:pPr>
              <w:pStyle w:val="66"/>
              <w:bidi w:val="0"/>
              <w:rPr>
                <w:lang w:val="en-US" w:eastAsia="zh-CN"/>
              </w:rPr>
            </w:pPr>
          </w:p>
        </w:tc>
        <w:tc>
          <w:tcPr>
            <w:tcW w:w="426" w:type="pct"/>
            <w:noWrap w:val="0"/>
            <w:vAlign w:val="top"/>
          </w:tcPr>
          <w:p w14:paraId="159E4944">
            <w:pPr>
              <w:pStyle w:val="66"/>
              <w:bidi w:val="0"/>
              <w:rPr>
                <w:lang w:val="en-US" w:eastAsia="zh-CN"/>
              </w:rPr>
            </w:pPr>
          </w:p>
        </w:tc>
        <w:tc>
          <w:tcPr>
            <w:tcW w:w="744" w:type="pct"/>
            <w:noWrap w:val="0"/>
            <w:vAlign w:val="top"/>
          </w:tcPr>
          <w:p w14:paraId="5F9A9C8E">
            <w:pPr>
              <w:pStyle w:val="66"/>
              <w:bidi w:val="0"/>
              <w:rPr>
                <w:lang w:val="en-US" w:eastAsia="zh-CN"/>
              </w:rPr>
            </w:pPr>
          </w:p>
        </w:tc>
        <w:tc>
          <w:tcPr>
            <w:tcW w:w="781" w:type="pct"/>
            <w:noWrap w:val="0"/>
            <w:vAlign w:val="top"/>
          </w:tcPr>
          <w:p w14:paraId="0DBD2D16">
            <w:pPr>
              <w:pStyle w:val="66"/>
              <w:bidi w:val="0"/>
              <w:rPr>
                <w:lang w:val="en-US" w:eastAsia="zh-CN"/>
              </w:rPr>
            </w:pPr>
          </w:p>
        </w:tc>
        <w:tc>
          <w:tcPr>
            <w:tcW w:w="938" w:type="pct"/>
            <w:noWrap w:val="0"/>
            <w:vAlign w:val="top"/>
          </w:tcPr>
          <w:p w14:paraId="6AD94142">
            <w:pPr>
              <w:pStyle w:val="66"/>
              <w:bidi w:val="0"/>
              <w:rPr>
                <w:lang w:val="en-US" w:eastAsia="zh-CN"/>
              </w:rPr>
            </w:pPr>
          </w:p>
        </w:tc>
      </w:tr>
      <w:tr w14:paraId="47D20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7F970EC">
            <w:pPr>
              <w:pStyle w:val="66"/>
              <w:bidi w:val="0"/>
              <w:rPr>
                <w:lang w:val="en-US" w:eastAsia="zh-CN"/>
              </w:rPr>
            </w:pPr>
          </w:p>
        </w:tc>
        <w:tc>
          <w:tcPr>
            <w:tcW w:w="1094" w:type="pct"/>
            <w:noWrap w:val="0"/>
            <w:vAlign w:val="top"/>
          </w:tcPr>
          <w:p w14:paraId="314E8242">
            <w:pPr>
              <w:pStyle w:val="66"/>
              <w:bidi w:val="0"/>
              <w:rPr>
                <w:lang w:val="en-US" w:eastAsia="zh-CN"/>
              </w:rPr>
            </w:pPr>
          </w:p>
        </w:tc>
        <w:tc>
          <w:tcPr>
            <w:tcW w:w="468" w:type="pct"/>
            <w:noWrap w:val="0"/>
            <w:vAlign w:val="top"/>
          </w:tcPr>
          <w:p w14:paraId="3FBFFA4E">
            <w:pPr>
              <w:pStyle w:val="66"/>
              <w:bidi w:val="0"/>
              <w:rPr>
                <w:lang w:val="en-US" w:eastAsia="zh-CN"/>
              </w:rPr>
            </w:pPr>
          </w:p>
        </w:tc>
        <w:tc>
          <w:tcPr>
            <w:tcW w:w="426" w:type="pct"/>
            <w:noWrap w:val="0"/>
            <w:vAlign w:val="top"/>
          </w:tcPr>
          <w:p w14:paraId="5DB13768">
            <w:pPr>
              <w:pStyle w:val="66"/>
              <w:bidi w:val="0"/>
              <w:rPr>
                <w:lang w:val="en-US" w:eastAsia="zh-CN"/>
              </w:rPr>
            </w:pPr>
          </w:p>
        </w:tc>
        <w:tc>
          <w:tcPr>
            <w:tcW w:w="744" w:type="pct"/>
            <w:noWrap w:val="0"/>
            <w:vAlign w:val="top"/>
          </w:tcPr>
          <w:p w14:paraId="41C3CEEB">
            <w:pPr>
              <w:pStyle w:val="66"/>
              <w:bidi w:val="0"/>
              <w:rPr>
                <w:lang w:val="en-US" w:eastAsia="zh-CN"/>
              </w:rPr>
            </w:pPr>
          </w:p>
        </w:tc>
        <w:tc>
          <w:tcPr>
            <w:tcW w:w="781" w:type="pct"/>
            <w:noWrap w:val="0"/>
            <w:vAlign w:val="top"/>
          </w:tcPr>
          <w:p w14:paraId="73248C87">
            <w:pPr>
              <w:pStyle w:val="66"/>
              <w:bidi w:val="0"/>
              <w:rPr>
                <w:lang w:val="en-US" w:eastAsia="zh-CN"/>
              </w:rPr>
            </w:pPr>
          </w:p>
        </w:tc>
        <w:tc>
          <w:tcPr>
            <w:tcW w:w="938" w:type="pct"/>
            <w:noWrap w:val="0"/>
            <w:vAlign w:val="top"/>
          </w:tcPr>
          <w:p w14:paraId="089BECEA">
            <w:pPr>
              <w:pStyle w:val="66"/>
              <w:bidi w:val="0"/>
              <w:rPr>
                <w:lang w:val="en-US" w:eastAsia="zh-CN"/>
              </w:rPr>
            </w:pPr>
          </w:p>
        </w:tc>
      </w:tr>
      <w:tr w14:paraId="3F5CED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1921F4E">
            <w:pPr>
              <w:pStyle w:val="66"/>
              <w:bidi w:val="0"/>
              <w:rPr>
                <w:lang w:val="en-US" w:eastAsia="zh-CN"/>
              </w:rPr>
            </w:pPr>
          </w:p>
        </w:tc>
        <w:tc>
          <w:tcPr>
            <w:tcW w:w="1094" w:type="pct"/>
            <w:noWrap w:val="0"/>
            <w:vAlign w:val="top"/>
          </w:tcPr>
          <w:p w14:paraId="37FE9A27">
            <w:pPr>
              <w:pStyle w:val="66"/>
              <w:bidi w:val="0"/>
              <w:rPr>
                <w:lang w:val="en-US" w:eastAsia="zh-CN"/>
              </w:rPr>
            </w:pPr>
          </w:p>
        </w:tc>
        <w:tc>
          <w:tcPr>
            <w:tcW w:w="468" w:type="pct"/>
            <w:noWrap w:val="0"/>
            <w:vAlign w:val="top"/>
          </w:tcPr>
          <w:p w14:paraId="0D769AF4">
            <w:pPr>
              <w:pStyle w:val="66"/>
              <w:bidi w:val="0"/>
              <w:rPr>
                <w:lang w:val="en-US" w:eastAsia="zh-CN"/>
              </w:rPr>
            </w:pPr>
          </w:p>
        </w:tc>
        <w:tc>
          <w:tcPr>
            <w:tcW w:w="426" w:type="pct"/>
            <w:noWrap w:val="0"/>
            <w:vAlign w:val="top"/>
          </w:tcPr>
          <w:p w14:paraId="399E7599">
            <w:pPr>
              <w:pStyle w:val="66"/>
              <w:bidi w:val="0"/>
              <w:rPr>
                <w:lang w:val="en-US" w:eastAsia="zh-CN"/>
              </w:rPr>
            </w:pPr>
          </w:p>
        </w:tc>
        <w:tc>
          <w:tcPr>
            <w:tcW w:w="744" w:type="pct"/>
            <w:noWrap w:val="0"/>
            <w:vAlign w:val="top"/>
          </w:tcPr>
          <w:p w14:paraId="47A23825">
            <w:pPr>
              <w:pStyle w:val="66"/>
              <w:bidi w:val="0"/>
              <w:rPr>
                <w:lang w:val="en-US" w:eastAsia="zh-CN"/>
              </w:rPr>
            </w:pPr>
          </w:p>
        </w:tc>
        <w:tc>
          <w:tcPr>
            <w:tcW w:w="781" w:type="pct"/>
            <w:noWrap w:val="0"/>
            <w:vAlign w:val="top"/>
          </w:tcPr>
          <w:p w14:paraId="20F51035">
            <w:pPr>
              <w:pStyle w:val="66"/>
              <w:bidi w:val="0"/>
              <w:rPr>
                <w:lang w:val="en-US" w:eastAsia="zh-CN"/>
              </w:rPr>
            </w:pPr>
          </w:p>
        </w:tc>
        <w:tc>
          <w:tcPr>
            <w:tcW w:w="938" w:type="pct"/>
            <w:noWrap w:val="0"/>
            <w:vAlign w:val="top"/>
          </w:tcPr>
          <w:p w14:paraId="7BF1C688">
            <w:pPr>
              <w:pStyle w:val="66"/>
              <w:bidi w:val="0"/>
              <w:rPr>
                <w:lang w:val="en-US" w:eastAsia="zh-CN"/>
              </w:rPr>
            </w:pPr>
          </w:p>
        </w:tc>
      </w:tr>
      <w:tr w14:paraId="4D2AE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94C34AA">
            <w:pPr>
              <w:pStyle w:val="66"/>
              <w:bidi w:val="0"/>
              <w:rPr>
                <w:lang w:val="en-US" w:eastAsia="zh-CN"/>
              </w:rPr>
            </w:pPr>
          </w:p>
        </w:tc>
        <w:tc>
          <w:tcPr>
            <w:tcW w:w="1094" w:type="pct"/>
            <w:noWrap w:val="0"/>
            <w:vAlign w:val="top"/>
          </w:tcPr>
          <w:p w14:paraId="48C3D065">
            <w:pPr>
              <w:pStyle w:val="66"/>
              <w:bidi w:val="0"/>
              <w:rPr>
                <w:lang w:val="en-US" w:eastAsia="zh-CN"/>
              </w:rPr>
            </w:pPr>
          </w:p>
        </w:tc>
        <w:tc>
          <w:tcPr>
            <w:tcW w:w="468" w:type="pct"/>
            <w:noWrap w:val="0"/>
            <w:vAlign w:val="top"/>
          </w:tcPr>
          <w:p w14:paraId="3133D483">
            <w:pPr>
              <w:pStyle w:val="66"/>
              <w:bidi w:val="0"/>
              <w:rPr>
                <w:lang w:val="en-US" w:eastAsia="zh-CN"/>
              </w:rPr>
            </w:pPr>
          </w:p>
        </w:tc>
        <w:tc>
          <w:tcPr>
            <w:tcW w:w="426" w:type="pct"/>
            <w:noWrap w:val="0"/>
            <w:vAlign w:val="top"/>
          </w:tcPr>
          <w:p w14:paraId="0405C959">
            <w:pPr>
              <w:pStyle w:val="66"/>
              <w:bidi w:val="0"/>
              <w:rPr>
                <w:lang w:val="en-US" w:eastAsia="zh-CN"/>
              </w:rPr>
            </w:pPr>
          </w:p>
        </w:tc>
        <w:tc>
          <w:tcPr>
            <w:tcW w:w="744" w:type="pct"/>
            <w:noWrap w:val="0"/>
            <w:vAlign w:val="top"/>
          </w:tcPr>
          <w:p w14:paraId="50375CB2">
            <w:pPr>
              <w:pStyle w:val="66"/>
              <w:bidi w:val="0"/>
              <w:rPr>
                <w:lang w:val="en-US" w:eastAsia="zh-CN"/>
              </w:rPr>
            </w:pPr>
          </w:p>
        </w:tc>
        <w:tc>
          <w:tcPr>
            <w:tcW w:w="781" w:type="pct"/>
            <w:noWrap w:val="0"/>
            <w:vAlign w:val="top"/>
          </w:tcPr>
          <w:p w14:paraId="3B6A7613">
            <w:pPr>
              <w:pStyle w:val="66"/>
              <w:bidi w:val="0"/>
              <w:rPr>
                <w:lang w:val="en-US" w:eastAsia="zh-CN"/>
              </w:rPr>
            </w:pPr>
          </w:p>
        </w:tc>
        <w:tc>
          <w:tcPr>
            <w:tcW w:w="938" w:type="pct"/>
            <w:noWrap w:val="0"/>
            <w:vAlign w:val="top"/>
          </w:tcPr>
          <w:p w14:paraId="05702F16">
            <w:pPr>
              <w:pStyle w:val="66"/>
              <w:bidi w:val="0"/>
              <w:rPr>
                <w:lang w:val="en-US" w:eastAsia="zh-CN"/>
              </w:rPr>
            </w:pPr>
          </w:p>
        </w:tc>
      </w:tr>
      <w:tr w14:paraId="125749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15AE6ED">
            <w:pPr>
              <w:pStyle w:val="66"/>
              <w:bidi w:val="0"/>
              <w:rPr>
                <w:lang w:val="en-US" w:eastAsia="zh-CN"/>
              </w:rPr>
            </w:pPr>
          </w:p>
        </w:tc>
        <w:tc>
          <w:tcPr>
            <w:tcW w:w="1094" w:type="pct"/>
            <w:noWrap w:val="0"/>
            <w:vAlign w:val="top"/>
          </w:tcPr>
          <w:p w14:paraId="748DE26B">
            <w:pPr>
              <w:pStyle w:val="66"/>
              <w:bidi w:val="0"/>
              <w:rPr>
                <w:lang w:val="en-US" w:eastAsia="zh-CN"/>
              </w:rPr>
            </w:pPr>
          </w:p>
        </w:tc>
        <w:tc>
          <w:tcPr>
            <w:tcW w:w="468" w:type="pct"/>
            <w:noWrap w:val="0"/>
            <w:vAlign w:val="top"/>
          </w:tcPr>
          <w:p w14:paraId="56999969">
            <w:pPr>
              <w:pStyle w:val="66"/>
              <w:bidi w:val="0"/>
              <w:rPr>
                <w:lang w:val="en-US" w:eastAsia="zh-CN"/>
              </w:rPr>
            </w:pPr>
          </w:p>
        </w:tc>
        <w:tc>
          <w:tcPr>
            <w:tcW w:w="426" w:type="pct"/>
            <w:noWrap w:val="0"/>
            <w:vAlign w:val="top"/>
          </w:tcPr>
          <w:p w14:paraId="6EAD45D3">
            <w:pPr>
              <w:pStyle w:val="66"/>
              <w:bidi w:val="0"/>
              <w:rPr>
                <w:lang w:val="en-US" w:eastAsia="zh-CN"/>
              </w:rPr>
            </w:pPr>
          </w:p>
        </w:tc>
        <w:tc>
          <w:tcPr>
            <w:tcW w:w="744" w:type="pct"/>
            <w:noWrap w:val="0"/>
            <w:vAlign w:val="top"/>
          </w:tcPr>
          <w:p w14:paraId="71D9060C">
            <w:pPr>
              <w:pStyle w:val="66"/>
              <w:bidi w:val="0"/>
              <w:rPr>
                <w:lang w:val="en-US" w:eastAsia="zh-CN"/>
              </w:rPr>
            </w:pPr>
          </w:p>
        </w:tc>
        <w:tc>
          <w:tcPr>
            <w:tcW w:w="781" w:type="pct"/>
            <w:noWrap w:val="0"/>
            <w:vAlign w:val="top"/>
          </w:tcPr>
          <w:p w14:paraId="4C407362">
            <w:pPr>
              <w:pStyle w:val="66"/>
              <w:bidi w:val="0"/>
              <w:rPr>
                <w:lang w:val="en-US" w:eastAsia="zh-CN"/>
              </w:rPr>
            </w:pPr>
          </w:p>
        </w:tc>
        <w:tc>
          <w:tcPr>
            <w:tcW w:w="938" w:type="pct"/>
            <w:noWrap w:val="0"/>
            <w:vAlign w:val="top"/>
          </w:tcPr>
          <w:p w14:paraId="12C6627F">
            <w:pPr>
              <w:pStyle w:val="66"/>
              <w:bidi w:val="0"/>
              <w:rPr>
                <w:lang w:val="en-US" w:eastAsia="zh-CN"/>
              </w:rPr>
            </w:pPr>
          </w:p>
        </w:tc>
      </w:tr>
      <w:tr w14:paraId="386D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B2BB655">
            <w:pPr>
              <w:pStyle w:val="66"/>
              <w:bidi w:val="0"/>
              <w:rPr>
                <w:lang w:val="en-US" w:eastAsia="zh-CN"/>
              </w:rPr>
            </w:pPr>
          </w:p>
        </w:tc>
        <w:tc>
          <w:tcPr>
            <w:tcW w:w="1094" w:type="pct"/>
            <w:noWrap w:val="0"/>
            <w:vAlign w:val="top"/>
          </w:tcPr>
          <w:p w14:paraId="6199440E">
            <w:pPr>
              <w:pStyle w:val="66"/>
              <w:bidi w:val="0"/>
              <w:rPr>
                <w:lang w:val="en-US" w:eastAsia="zh-CN"/>
              </w:rPr>
            </w:pPr>
          </w:p>
        </w:tc>
        <w:tc>
          <w:tcPr>
            <w:tcW w:w="468" w:type="pct"/>
            <w:noWrap w:val="0"/>
            <w:vAlign w:val="top"/>
          </w:tcPr>
          <w:p w14:paraId="47C4DE40">
            <w:pPr>
              <w:pStyle w:val="66"/>
              <w:bidi w:val="0"/>
              <w:rPr>
                <w:lang w:val="en-US" w:eastAsia="zh-CN"/>
              </w:rPr>
            </w:pPr>
          </w:p>
        </w:tc>
        <w:tc>
          <w:tcPr>
            <w:tcW w:w="426" w:type="pct"/>
            <w:noWrap w:val="0"/>
            <w:vAlign w:val="top"/>
          </w:tcPr>
          <w:p w14:paraId="4124DA53">
            <w:pPr>
              <w:pStyle w:val="66"/>
              <w:bidi w:val="0"/>
              <w:rPr>
                <w:lang w:val="en-US" w:eastAsia="zh-CN"/>
              </w:rPr>
            </w:pPr>
          </w:p>
        </w:tc>
        <w:tc>
          <w:tcPr>
            <w:tcW w:w="744" w:type="pct"/>
            <w:noWrap w:val="0"/>
            <w:vAlign w:val="top"/>
          </w:tcPr>
          <w:p w14:paraId="44D377DA">
            <w:pPr>
              <w:pStyle w:val="66"/>
              <w:bidi w:val="0"/>
              <w:rPr>
                <w:lang w:val="en-US" w:eastAsia="zh-CN"/>
              </w:rPr>
            </w:pPr>
          </w:p>
        </w:tc>
        <w:tc>
          <w:tcPr>
            <w:tcW w:w="781" w:type="pct"/>
            <w:noWrap w:val="0"/>
            <w:vAlign w:val="top"/>
          </w:tcPr>
          <w:p w14:paraId="2091E4A9">
            <w:pPr>
              <w:pStyle w:val="66"/>
              <w:bidi w:val="0"/>
              <w:rPr>
                <w:lang w:val="en-US" w:eastAsia="zh-CN"/>
              </w:rPr>
            </w:pPr>
          </w:p>
        </w:tc>
        <w:tc>
          <w:tcPr>
            <w:tcW w:w="938" w:type="pct"/>
            <w:noWrap w:val="0"/>
            <w:vAlign w:val="top"/>
          </w:tcPr>
          <w:p w14:paraId="78348B93">
            <w:pPr>
              <w:pStyle w:val="66"/>
              <w:bidi w:val="0"/>
              <w:rPr>
                <w:lang w:val="en-US" w:eastAsia="zh-CN"/>
              </w:rPr>
            </w:pPr>
          </w:p>
        </w:tc>
      </w:tr>
      <w:tr w14:paraId="62F2A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98ED02D">
            <w:pPr>
              <w:pStyle w:val="66"/>
              <w:bidi w:val="0"/>
              <w:rPr>
                <w:lang w:val="en-US" w:eastAsia="zh-CN"/>
              </w:rPr>
            </w:pPr>
          </w:p>
        </w:tc>
        <w:tc>
          <w:tcPr>
            <w:tcW w:w="1094" w:type="pct"/>
            <w:noWrap w:val="0"/>
            <w:vAlign w:val="top"/>
          </w:tcPr>
          <w:p w14:paraId="581537DA">
            <w:pPr>
              <w:pStyle w:val="66"/>
              <w:bidi w:val="0"/>
              <w:rPr>
                <w:lang w:val="en-US" w:eastAsia="zh-CN"/>
              </w:rPr>
            </w:pPr>
          </w:p>
        </w:tc>
        <w:tc>
          <w:tcPr>
            <w:tcW w:w="468" w:type="pct"/>
            <w:noWrap w:val="0"/>
            <w:vAlign w:val="top"/>
          </w:tcPr>
          <w:p w14:paraId="7C097762">
            <w:pPr>
              <w:pStyle w:val="66"/>
              <w:bidi w:val="0"/>
              <w:rPr>
                <w:lang w:val="en-US" w:eastAsia="zh-CN"/>
              </w:rPr>
            </w:pPr>
          </w:p>
        </w:tc>
        <w:tc>
          <w:tcPr>
            <w:tcW w:w="426" w:type="pct"/>
            <w:noWrap w:val="0"/>
            <w:vAlign w:val="top"/>
          </w:tcPr>
          <w:p w14:paraId="6E147E65">
            <w:pPr>
              <w:pStyle w:val="66"/>
              <w:bidi w:val="0"/>
              <w:rPr>
                <w:lang w:val="en-US" w:eastAsia="zh-CN"/>
              </w:rPr>
            </w:pPr>
          </w:p>
        </w:tc>
        <w:tc>
          <w:tcPr>
            <w:tcW w:w="744" w:type="pct"/>
            <w:noWrap w:val="0"/>
            <w:vAlign w:val="top"/>
          </w:tcPr>
          <w:p w14:paraId="511C4522">
            <w:pPr>
              <w:pStyle w:val="66"/>
              <w:bidi w:val="0"/>
              <w:rPr>
                <w:lang w:val="en-US" w:eastAsia="zh-CN"/>
              </w:rPr>
            </w:pPr>
          </w:p>
        </w:tc>
        <w:tc>
          <w:tcPr>
            <w:tcW w:w="781" w:type="pct"/>
            <w:noWrap w:val="0"/>
            <w:vAlign w:val="top"/>
          </w:tcPr>
          <w:p w14:paraId="4E259523">
            <w:pPr>
              <w:pStyle w:val="66"/>
              <w:bidi w:val="0"/>
              <w:rPr>
                <w:lang w:val="en-US" w:eastAsia="zh-CN"/>
              </w:rPr>
            </w:pPr>
          </w:p>
        </w:tc>
        <w:tc>
          <w:tcPr>
            <w:tcW w:w="938" w:type="pct"/>
            <w:noWrap w:val="0"/>
            <w:vAlign w:val="top"/>
          </w:tcPr>
          <w:p w14:paraId="04F5DD12">
            <w:pPr>
              <w:pStyle w:val="66"/>
              <w:bidi w:val="0"/>
              <w:rPr>
                <w:lang w:val="en-US" w:eastAsia="zh-CN"/>
              </w:rPr>
            </w:pPr>
          </w:p>
        </w:tc>
      </w:tr>
    </w:tbl>
    <w:p w14:paraId="322AFEA3">
      <w:pPr>
        <w:rPr>
          <w:rFonts w:hint="eastAsia" w:ascii="Times New Roman" w:hAnsi="Times New Roman" w:eastAsia="黑体"/>
          <w:color w:val="000000"/>
          <w:sz w:val="30"/>
          <w:szCs w:val="30"/>
        </w:rPr>
      </w:pPr>
      <w:r>
        <w:rPr>
          <w:rFonts w:hint="eastAsia" w:ascii="Times New Roman" w:hAnsi="Times New Roman" w:eastAsia="黑体"/>
          <w:color w:val="000000"/>
          <w:sz w:val="30"/>
          <w:szCs w:val="30"/>
        </w:rPr>
        <w:br w:type="page"/>
      </w:r>
    </w:p>
    <w:p w14:paraId="70AADE11">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11-2：工程设备暂估价表</w:t>
      </w:r>
    </w:p>
    <w:tbl>
      <w:tblPr>
        <w:tblStyle w:val="29"/>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070"/>
        <w:gridCol w:w="2144"/>
        <w:gridCol w:w="917"/>
        <w:gridCol w:w="835"/>
        <w:gridCol w:w="1458"/>
        <w:gridCol w:w="1531"/>
        <w:gridCol w:w="1839"/>
      </w:tblGrid>
      <w:tr w14:paraId="37293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single" w:color="auto" w:sz="12" w:space="0"/>
              <w:bottom w:val="double" w:color="auto" w:sz="6" w:space="0"/>
            </w:tcBorders>
            <w:noWrap w:val="0"/>
            <w:vAlign w:val="top"/>
          </w:tcPr>
          <w:p w14:paraId="2F17E709">
            <w:pPr>
              <w:pStyle w:val="66"/>
              <w:bidi w:val="0"/>
              <w:rPr>
                <w:lang w:val="en-US" w:eastAsia="zh-CN"/>
              </w:rPr>
            </w:pPr>
            <w:r>
              <w:rPr>
                <w:lang w:val="en-US" w:eastAsia="zh-CN"/>
              </w:rPr>
              <w:t>序号</w:t>
            </w:r>
          </w:p>
        </w:tc>
        <w:tc>
          <w:tcPr>
            <w:tcW w:w="1094" w:type="pct"/>
            <w:tcBorders>
              <w:top w:val="single" w:color="auto" w:sz="12" w:space="0"/>
              <w:bottom w:val="double" w:color="auto" w:sz="6" w:space="0"/>
            </w:tcBorders>
            <w:noWrap w:val="0"/>
            <w:vAlign w:val="top"/>
          </w:tcPr>
          <w:p w14:paraId="5C1F1BCF">
            <w:pPr>
              <w:pStyle w:val="66"/>
              <w:bidi w:val="0"/>
              <w:rPr>
                <w:lang w:val="en-US" w:eastAsia="zh-CN"/>
              </w:rPr>
            </w:pPr>
            <w:r>
              <w:rPr>
                <w:lang w:val="en-US" w:eastAsia="zh-CN"/>
              </w:rPr>
              <w:t>名称</w:t>
            </w:r>
          </w:p>
        </w:tc>
        <w:tc>
          <w:tcPr>
            <w:tcW w:w="468" w:type="pct"/>
            <w:tcBorders>
              <w:top w:val="single" w:color="auto" w:sz="12" w:space="0"/>
              <w:bottom w:val="double" w:color="auto" w:sz="6" w:space="0"/>
            </w:tcBorders>
            <w:noWrap w:val="0"/>
            <w:vAlign w:val="top"/>
          </w:tcPr>
          <w:p w14:paraId="4C9D20F2">
            <w:pPr>
              <w:pStyle w:val="66"/>
              <w:bidi w:val="0"/>
              <w:rPr>
                <w:lang w:val="en-US" w:eastAsia="zh-CN"/>
              </w:rPr>
            </w:pPr>
            <w:r>
              <w:rPr>
                <w:lang w:val="en-US" w:eastAsia="zh-CN"/>
              </w:rPr>
              <w:t>单位</w:t>
            </w:r>
          </w:p>
        </w:tc>
        <w:tc>
          <w:tcPr>
            <w:tcW w:w="426" w:type="pct"/>
            <w:tcBorders>
              <w:top w:val="single" w:color="auto" w:sz="12" w:space="0"/>
              <w:bottom w:val="double" w:color="auto" w:sz="6" w:space="0"/>
            </w:tcBorders>
            <w:noWrap w:val="0"/>
            <w:vAlign w:val="top"/>
          </w:tcPr>
          <w:p w14:paraId="707B05B9">
            <w:pPr>
              <w:pStyle w:val="66"/>
              <w:bidi w:val="0"/>
              <w:rPr>
                <w:lang w:val="en-US" w:eastAsia="zh-CN"/>
              </w:rPr>
            </w:pPr>
            <w:r>
              <w:rPr>
                <w:lang w:val="en-US" w:eastAsia="zh-CN"/>
              </w:rPr>
              <w:t>数量</w:t>
            </w:r>
          </w:p>
        </w:tc>
        <w:tc>
          <w:tcPr>
            <w:tcW w:w="744" w:type="pct"/>
            <w:tcBorders>
              <w:top w:val="single" w:color="auto" w:sz="12" w:space="0"/>
              <w:bottom w:val="double" w:color="auto" w:sz="6" w:space="0"/>
            </w:tcBorders>
            <w:noWrap w:val="0"/>
            <w:vAlign w:val="top"/>
          </w:tcPr>
          <w:p w14:paraId="30B18146">
            <w:pPr>
              <w:pStyle w:val="66"/>
              <w:bidi w:val="0"/>
              <w:rPr>
                <w:lang w:val="en-US" w:eastAsia="zh-CN"/>
              </w:rPr>
            </w:pPr>
            <w:r>
              <w:rPr>
                <w:lang w:val="en-US" w:eastAsia="zh-CN"/>
              </w:rPr>
              <w:t>单价</w:t>
            </w:r>
            <w:r>
              <w:rPr>
                <w:rFonts w:hint="eastAsia"/>
                <w:lang w:val="en-US" w:eastAsia="zh-CN"/>
              </w:rPr>
              <w:t>（元）</w:t>
            </w:r>
          </w:p>
        </w:tc>
        <w:tc>
          <w:tcPr>
            <w:tcW w:w="781" w:type="pct"/>
            <w:tcBorders>
              <w:top w:val="single" w:color="auto" w:sz="12" w:space="0"/>
              <w:bottom w:val="double" w:color="auto" w:sz="6" w:space="0"/>
            </w:tcBorders>
            <w:noWrap w:val="0"/>
            <w:vAlign w:val="top"/>
          </w:tcPr>
          <w:p w14:paraId="05BD0D32">
            <w:pPr>
              <w:pStyle w:val="66"/>
              <w:bidi w:val="0"/>
              <w:rPr>
                <w:lang w:val="en-US" w:eastAsia="zh-CN"/>
              </w:rPr>
            </w:pPr>
            <w:r>
              <w:rPr>
                <w:lang w:val="en-US" w:eastAsia="zh-CN"/>
              </w:rPr>
              <w:t>合价</w:t>
            </w:r>
            <w:r>
              <w:rPr>
                <w:rFonts w:hint="eastAsia"/>
                <w:lang w:val="en-US" w:eastAsia="zh-CN"/>
              </w:rPr>
              <w:t>（元）</w:t>
            </w:r>
          </w:p>
        </w:tc>
        <w:tc>
          <w:tcPr>
            <w:tcW w:w="938" w:type="pct"/>
            <w:tcBorders>
              <w:top w:val="single" w:color="auto" w:sz="12" w:space="0"/>
              <w:bottom w:val="double" w:color="auto" w:sz="6" w:space="0"/>
            </w:tcBorders>
            <w:noWrap w:val="0"/>
            <w:vAlign w:val="top"/>
          </w:tcPr>
          <w:p w14:paraId="29C029D5">
            <w:pPr>
              <w:pStyle w:val="66"/>
              <w:bidi w:val="0"/>
              <w:rPr>
                <w:lang w:val="en-US" w:eastAsia="zh-CN"/>
              </w:rPr>
            </w:pPr>
            <w:r>
              <w:rPr>
                <w:lang w:val="en-US" w:eastAsia="zh-CN"/>
              </w:rPr>
              <w:t>备注</w:t>
            </w:r>
          </w:p>
        </w:tc>
      </w:tr>
      <w:tr w14:paraId="6368C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double" w:color="auto" w:sz="6" w:space="0"/>
              <w:bottom w:val="single" w:color="auto" w:sz="6" w:space="0"/>
            </w:tcBorders>
            <w:noWrap w:val="0"/>
            <w:vAlign w:val="top"/>
          </w:tcPr>
          <w:p w14:paraId="565279F0">
            <w:pPr>
              <w:pStyle w:val="66"/>
              <w:bidi w:val="0"/>
              <w:rPr>
                <w:lang w:val="en-US" w:eastAsia="zh-CN"/>
              </w:rPr>
            </w:pPr>
          </w:p>
        </w:tc>
        <w:tc>
          <w:tcPr>
            <w:tcW w:w="1094" w:type="pct"/>
            <w:tcBorders>
              <w:top w:val="double" w:color="auto" w:sz="6" w:space="0"/>
              <w:bottom w:val="single" w:color="auto" w:sz="6" w:space="0"/>
            </w:tcBorders>
            <w:noWrap w:val="0"/>
            <w:vAlign w:val="top"/>
          </w:tcPr>
          <w:p w14:paraId="121CDD0E">
            <w:pPr>
              <w:pStyle w:val="66"/>
              <w:bidi w:val="0"/>
              <w:rPr>
                <w:lang w:val="en-US" w:eastAsia="zh-CN"/>
              </w:rPr>
            </w:pPr>
          </w:p>
        </w:tc>
        <w:tc>
          <w:tcPr>
            <w:tcW w:w="468" w:type="pct"/>
            <w:tcBorders>
              <w:top w:val="double" w:color="auto" w:sz="6" w:space="0"/>
              <w:bottom w:val="single" w:color="auto" w:sz="6" w:space="0"/>
            </w:tcBorders>
            <w:noWrap w:val="0"/>
            <w:vAlign w:val="top"/>
          </w:tcPr>
          <w:p w14:paraId="1D0C5A4C">
            <w:pPr>
              <w:pStyle w:val="66"/>
              <w:bidi w:val="0"/>
              <w:rPr>
                <w:lang w:val="en-US" w:eastAsia="zh-CN"/>
              </w:rPr>
            </w:pPr>
          </w:p>
        </w:tc>
        <w:tc>
          <w:tcPr>
            <w:tcW w:w="426" w:type="pct"/>
            <w:tcBorders>
              <w:top w:val="double" w:color="auto" w:sz="6" w:space="0"/>
              <w:bottom w:val="single" w:color="auto" w:sz="6" w:space="0"/>
            </w:tcBorders>
            <w:noWrap w:val="0"/>
            <w:vAlign w:val="top"/>
          </w:tcPr>
          <w:p w14:paraId="530E5F80">
            <w:pPr>
              <w:pStyle w:val="66"/>
              <w:bidi w:val="0"/>
              <w:rPr>
                <w:lang w:val="en-US" w:eastAsia="zh-CN"/>
              </w:rPr>
            </w:pPr>
          </w:p>
        </w:tc>
        <w:tc>
          <w:tcPr>
            <w:tcW w:w="744" w:type="pct"/>
            <w:tcBorders>
              <w:top w:val="double" w:color="auto" w:sz="6" w:space="0"/>
              <w:bottom w:val="single" w:color="auto" w:sz="6" w:space="0"/>
            </w:tcBorders>
            <w:noWrap w:val="0"/>
            <w:vAlign w:val="top"/>
          </w:tcPr>
          <w:p w14:paraId="212C1790">
            <w:pPr>
              <w:pStyle w:val="66"/>
              <w:bidi w:val="0"/>
              <w:rPr>
                <w:lang w:val="en-US" w:eastAsia="zh-CN"/>
              </w:rPr>
            </w:pPr>
          </w:p>
        </w:tc>
        <w:tc>
          <w:tcPr>
            <w:tcW w:w="781" w:type="pct"/>
            <w:tcBorders>
              <w:top w:val="double" w:color="auto" w:sz="6" w:space="0"/>
              <w:bottom w:val="single" w:color="auto" w:sz="6" w:space="0"/>
            </w:tcBorders>
            <w:noWrap w:val="0"/>
            <w:vAlign w:val="top"/>
          </w:tcPr>
          <w:p w14:paraId="3A2F1D93">
            <w:pPr>
              <w:pStyle w:val="66"/>
              <w:bidi w:val="0"/>
              <w:rPr>
                <w:lang w:val="en-US" w:eastAsia="zh-CN"/>
              </w:rPr>
            </w:pPr>
          </w:p>
        </w:tc>
        <w:tc>
          <w:tcPr>
            <w:tcW w:w="938" w:type="pct"/>
            <w:tcBorders>
              <w:top w:val="double" w:color="auto" w:sz="6" w:space="0"/>
              <w:bottom w:val="single" w:color="auto" w:sz="6" w:space="0"/>
            </w:tcBorders>
            <w:noWrap w:val="0"/>
            <w:vAlign w:val="top"/>
          </w:tcPr>
          <w:p w14:paraId="7CEC1650">
            <w:pPr>
              <w:pStyle w:val="66"/>
              <w:bidi w:val="0"/>
              <w:rPr>
                <w:lang w:val="en-US" w:eastAsia="zh-CN"/>
              </w:rPr>
            </w:pPr>
          </w:p>
        </w:tc>
      </w:tr>
      <w:tr w14:paraId="51C6F8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tcBorders>
              <w:top w:val="nil"/>
            </w:tcBorders>
            <w:noWrap w:val="0"/>
            <w:vAlign w:val="top"/>
          </w:tcPr>
          <w:p w14:paraId="1551B537">
            <w:pPr>
              <w:pStyle w:val="66"/>
              <w:bidi w:val="0"/>
              <w:rPr>
                <w:lang w:val="en-US" w:eastAsia="zh-CN"/>
              </w:rPr>
            </w:pPr>
          </w:p>
        </w:tc>
        <w:tc>
          <w:tcPr>
            <w:tcW w:w="1094" w:type="pct"/>
            <w:tcBorders>
              <w:top w:val="nil"/>
            </w:tcBorders>
            <w:noWrap w:val="0"/>
            <w:vAlign w:val="top"/>
          </w:tcPr>
          <w:p w14:paraId="40DA2883">
            <w:pPr>
              <w:pStyle w:val="66"/>
              <w:bidi w:val="0"/>
              <w:rPr>
                <w:lang w:val="en-US" w:eastAsia="zh-CN"/>
              </w:rPr>
            </w:pPr>
          </w:p>
        </w:tc>
        <w:tc>
          <w:tcPr>
            <w:tcW w:w="468" w:type="pct"/>
            <w:tcBorders>
              <w:top w:val="nil"/>
            </w:tcBorders>
            <w:noWrap w:val="0"/>
            <w:vAlign w:val="top"/>
          </w:tcPr>
          <w:p w14:paraId="0B7CB9B8">
            <w:pPr>
              <w:pStyle w:val="66"/>
              <w:bidi w:val="0"/>
              <w:rPr>
                <w:lang w:val="en-US" w:eastAsia="zh-CN"/>
              </w:rPr>
            </w:pPr>
          </w:p>
        </w:tc>
        <w:tc>
          <w:tcPr>
            <w:tcW w:w="426" w:type="pct"/>
            <w:tcBorders>
              <w:top w:val="nil"/>
            </w:tcBorders>
            <w:noWrap w:val="0"/>
            <w:vAlign w:val="top"/>
          </w:tcPr>
          <w:p w14:paraId="390B942A">
            <w:pPr>
              <w:pStyle w:val="66"/>
              <w:bidi w:val="0"/>
              <w:rPr>
                <w:lang w:val="en-US" w:eastAsia="zh-CN"/>
              </w:rPr>
            </w:pPr>
          </w:p>
        </w:tc>
        <w:tc>
          <w:tcPr>
            <w:tcW w:w="744" w:type="pct"/>
            <w:tcBorders>
              <w:top w:val="nil"/>
            </w:tcBorders>
            <w:noWrap w:val="0"/>
            <w:vAlign w:val="top"/>
          </w:tcPr>
          <w:p w14:paraId="3B8FD628">
            <w:pPr>
              <w:pStyle w:val="66"/>
              <w:bidi w:val="0"/>
              <w:rPr>
                <w:lang w:val="en-US" w:eastAsia="zh-CN"/>
              </w:rPr>
            </w:pPr>
          </w:p>
        </w:tc>
        <w:tc>
          <w:tcPr>
            <w:tcW w:w="781" w:type="pct"/>
            <w:tcBorders>
              <w:top w:val="nil"/>
            </w:tcBorders>
            <w:noWrap w:val="0"/>
            <w:vAlign w:val="top"/>
          </w:tcPr>
          <w:p w14:paraId="5F6D5CBE">
            <w:pPr>
              <w:pStyle w:val="66"/>
              <w:bidi w:val="0"/>
              <w:rPr>
                <w:lang w:val="en-US" w:eastAsia="zh-CN"/>
              </w:rPr>
            </w:pPr>
          </w:p>
        </w:tc>
        <w:tc>
          <w:tcPr>
            <w:tcW w:w="938" w:type="pct"/>
            <w:tcBorders>
              <w:top w:val="nil"/>
            </w:tcBorders>
            <w:noWrap w:val="0"/>
            <w:vAlign w:val="top"/>
          </w:tcPr>
          <w:p w14:paraId="38ECD492">
            <w:pPr>
              <w:pStyle w:val="66"/>
              <w:bidi w:val="0"/>
              <w:rPr>
                <w:lang w:val="en-US" w:eastAsia="zh-CN"/>
              </w:rPr>
            </w:pPr>
          </w:p>
        </w:tc>
      </w:tr>
      <w:tr w14:paraId="2DD448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6" w:type="pct"/>
            <w:noWrap w:val="0"/>
            <w:vAlign w:val="top"/>
          </w:tcPr>
          <w:p w14:paraId="10C8AD83">
            <w:pPr>
              <w:pStyle w:val="66"/>
              <w:bidi w:val="0"/>
              <w:rPr>
                <w:lang w:val="en-US" w:eastAsia="zh-CN"/>
              </w:rPr>
            </w:pPr>
          </w:p>
        </w:tc>
        <w:tc>
          <w:tcPr>
            <w:tcW w:w="1094" w:type="pct"/>
            <w:noWrap w:val="0"/>
            <w:vAlign w:val="top"/>
          </w:tcPr>
          <w:p w14:paraId="02F2C3DB">
            <w:pPr>
              <w:pStyle w:val="66"/>
              <w:bidi w:val="0"/>
              <w:rPr>
                <w:lang w:val="en-US" w:eastAsia="zh-CN"/>
              </w:rPr>
            </w:pPr>
          </w:p>
        </w:tc>
        <w:tc>
          <w:tcPr>
            <w:tcW w:w="468" w:type="pct"/>
            <w:noWrap w:val="0"/>
            <w:vAlign w:val="top"/>
          </w:tcPr>
          <w:p w14:paraId="1C4F3C5A">
            <w:pPr>
              <w:pStyle w:val="66"/>
              <w:bidi w:val="0"/>
              <w:rPr>
                <w:lang w:val="en-US" w:eastAsia="zh-CN"/>
              </w:rPr>
            </w:pPr>
          </w:p>
        </w:tc>
        <w:tc>
          <w:tcPr>
            <w:tcW w:w="426" w:type="pct"/>
            <w:noWrap w:val="0"/>
            <w:vAlign w:val="top"/>
          </w:tcPr>
          <w:p w14:paraId="2B265809">
            <w:pPr>
              <w:pStyle w:val="66"/>
              <w:bidi w:val="0"/>
              <w:rPr>
                <w:lang w:val="en-US" w:eastAsia="zh-CN"/>
              </w:rPr>
            </w:pPr>
          </w:p>
        </w:tc>
        <w:tc>
          <w:tcPr>
            <w:tcW w:w="744" w:type="pct"/>
            <w:noWrap w:val="0"/>
            <w:vAlign w:val="top"/>
          </w:tcPr>
          <w:p w14:paraId="268294BC">
            <w:pPr>
              <w:pStyle w:val="66"/>
              <w:bidi w:val="0"/>
              <w:rPr>
                <w:lang w:val="en-US" w:eastAsia="zh-CN"/>
              </w:rPr>
            </w:pPr>
          </w:p>
        </w:tc>
        <w:tc>
          <w:tcPr>
            <w:tcW w:w="781" w:type="pct"/>
            <w:noWrap w:val="0"/>
            <w:vAlign w:val="top"/>
          </w:tcPr>
          <w:p w14:paraId="1B25C1A1">
            <w:pPr>
              <w:pStyle w:val="66"/>
              <w:bidi w:val="0"/>
              <w:rPr>
                <w:lang w:val="en-US" w:eastAsia="zh-CN"/>
              </w:rPr>
            </w:pPr>
          </w:p>
        </w:tc>
        <w:tc>
          <w:tcPr>
            <w:tcW w:w="938" w:type="pct"/>
            <w:noWrap w:val="0"/>
            <w:vAlign w:val="top"/>
          </w:tcPr>
          <w:p w14:paraId="1B0650AC">
            <w:pPr>
              <w:pStyle w:val="66"/>
              <w:bidi w:val="0"/>
              <w:rPr>
                <w:lang w:val="en-US" w:eastAsia="zh-CN"/>
              </w:rPr>
            </w:pPr>
          </w:p>
        </w:tc>
      </w:tr>
      <w:tr w14:paraId="35A78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8843253">
            <w:pPr>
              <w:pStyle w:val="66"/>
              <w:bidi w:val="0"/>
              <w:rPr>
                <w:lang w:val="en-US" w:eastAsia="zh-CN"/>
              </w:rPr>
            </w:pPr>
          </w:p>
        </w:tc>
        <w:tc>
          <w:tcPr>
            <w:tcW w:w="1094" w:type="pct"/>
            <w:noWrap w:val="0"/>
            <w:vAlign w:val="top"/>
          </w:tcPr>
          <w:p w14:paraId="2647E3BE">
            <w:pPr>
              <w:pStyle w:val="66"/>
              <w:bidi w:val="0"/>
              <w:rPr>
                <w:lang w:val="en-US" w:eastAsia="zh-CN"/>
              </w:rPr>
            </w:pPr>
          </w:p>
        </w:tc>
        <w:tc>
          <w:tcPr>
            <w:tcW w:w="468" w:type="pct"/>
            <w:noWrap w:val="0"/>
            <w:vAlign w:val="top"/>
          </w:tcPr>
          <w:p w14:paraId="13AF1598">
            <w:pPr>
              <w:pStyle w:val="66"/>
              <w:bidi w:val="0"/>
              <w:rPr>
                <w:lang w:val="en-US" w:eastAsia="zh-CN"/>
              </w:rPr>
            </w:pPr>
          </w:p>
        </w:tc>
        <w:tc>
          <w:tcPr>
            <w:tcW w:w="426" w:type="pct"/>
            <w:noWrap w:val="0"/>
            <w:vAlign w:val="top"/>
          </w:tcPr>
          <w:p w14:paraId="73DB3F0D">
            <w:pPr>
              <w:pStyle w:val="66"/>
              <w:bidi w:val="0"/>
              <w:rPr>
                <w:lang w:val="en-US" w:eastAsia="zh-CN"/>
              </w:rPr>
            </w:pPr>
          </w:p>
        </w:tc>
        <w:tc>
          <w:tcPr>
            <w:tcW w:w="744" w:type="pct"/>
            <w:noWrap w:val="0"/>
            <w:vAlign w:val="top"/>
          </w:tcPr>
          <w:p w14:paraId="07ABD853">
            <w:pPr>
              <w:pStyle w:val="66"/>
              <w:bidi w:val="0"/>
              <w:rPr>
                <w:lang w:val="en-US" w:eastAsia="zh-CN"/>
              </w:rPr>
            </w:pPr>
          </w:p>
        </w:tc>
        <w:tc>
          <w:tcPr>
            <w:tcW w:w="781" w:type="pct"/>
            <w:noWrap w:val="0"/>
            <w:vAlign w:val="top"/>
          </w:tcPr>
          <w:p w14:paraId="3F4C6957">
            <w:pPr>
              <w:pStyle w:val="66"/>
              <w:bidi w:val="0"/>
              <w:rPr>
                <w:lang w:val="en-US" w:eastAsia="zh-CN"/>
              </w:rPr>
            </w:pPr>
          </w:p>
        </w:tc>
        <w:tc>
          <w:tcPr>
            <w:tcW w:w="938" w:type="pct"/>
            <w:noWrap w:val="0"/>
            <w:vAlign w:val="top"/>
          </w:tcPr>
          <w:p w14:paraId="0CB952A1">
            <w:pPr>
              <w:pStyle w:val="66"/>
              <w:bidi w:val="0"/>
              <w:rPr>
                <w:lang w:val="en-US" w:eastAsia="zh-CN"/>
              </w:rPr>
            </w:pPr>
          </w:p>
        </w:tc>
      </w:tr>
      <w:tr w14:paraId="63EA34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4D9CA7A">
            <w:pPr>
              <w:pStyle w:val="66"/>
              <w:bidi w:val="0"/>
              <w:rPr>
                <w:lang w:val="en-US" w:eastAsia="zh-CN"/>
              </w:rPr>
            </w:pPr>
          </w:p>
        </w:tc>
        <w:tc>
          <w:tcPr>
            <w:tcW w:w="1094" w:type="pct"/>
            <w:noWrap w:val="0"/>
            <w:vAlign w:val="top"/>
          </w:tcPr>
          <w:p w14:paraId="121551C9">
            <w:pPr>
              <w:pStyle w:val="66"/>
              <w:bidi w:val="0"/>
              <w:rPr>
                <w:lang w:val="en-US" w:eastAsia="zh-CN"/>
              </w:rPr>
            </w:pPr>
          </w:p>
        </w:tc>
        <w:tc>
          <w:tcPr>
            <w:tcW w:w="468" w:type="pct"/>
            <w:noWrap w:val="0"/>
            <w:vAlign w:val="top"/>
          </w:tcPr>
          <w:p w14:paraId="4E7287BA">
            <w:pPr>
              <w:pStyle w:val="66"/>
              <w:bidi w:val="0"/>
              <w:rPr>
                <w:lang w:val="en-US" w:eastAsia="zh-CN"/>
              </w:rPr>
            </w:pPr>
          </w:p>
        </w:tc>
        <w:tc>
          <w:tcPr>
            <w:tcW w:w="426" w:type="pct"/>
            <w:noWrap w:val="0"/>
            <w:vAlign w:val="top"/>
          </w:tcPr>
          <w:p w14:paraId="6AFF67B6">
            <w:pPr>
              <w:pStyle w:val="66"/>
              <w:bidi w:val="0"/>
              <w:rPr>
                <w:lang w:val="en-US" w:eastAsia="zh-CN"/>
              </w:rPr>
            </w:pPr>
          </w:p>
        </w:tc>
        <w:tc>
          <w:tcPr>
            <w:tcW w:w="744" w:type="pct"/>
            <w:noWrap w:val="0"/>
            <w:vAlign w:val="top"/>
          </w:tcPr>
          <w:p w14:paraId="2B2FF3D7">
            <w:pPr>
              <w:pStyle w:val="66"/>
              <w:bidi w:val="0"/>
              <w:rPr>
                <w:lang w:val="en-US" w:eastAsia="zh-CN"/>
              </w:rPr>
            </w:pPr>
          </w:p>
        </w:tc>
        <w:tc>
          <w:tcPr>
            <w:tcW w:w="781" w:type="pct"/>
            <w:noWrap w:val="0"/>
            <w:vAlign w:val="top"/>
          </w:tcPr>
          <w:p w14:paraId="589F5998">
            <w:pPr>
              <w:pStyle w:val="66"/>
              <w:bidi w:val="0"/>
              <w:rPr>
                <w:lang w:val="en-US" w:eastAsia="zh-CN"/>
              </w:rPr>
            </w:pPr>
          </w:p>
        </w:tc>
        <w:tc>
          <w:tcPr>
            <w:tcW w:w="938" w:type="pct"/>
            <w:noWrap w:val="0"/>
            <w:vAlign w:val="top"/>
          </w:tcPr>
          <w:p w14:paraId="78FD00EB">
            <w:pPr>
              <w:pStyle w:val="66"/>
              <w:bidi w:val="0"/>
              <w:rPr>
                <w:lang w:val="en-US" w:eastAsia="zh-CN"/>
              </w:rPr>
            </w:pPr>
          </w:p>
        </w:tc>
      </w:tr>
      <w:tr w14:paraId="5AADA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6" w:type="pct"/>
            <w:noWrap w:val="0"/>
            <w:vAlign w:val="top"/>
          </w:tcPr>
          <w:p w14:paraId="0470A715">
            <w:pPr>
              <w:pStyle w:val="66"/>
              <w:bidi w:val="0"/>
              <w:rPr>
                <w:lang w:val="en-US" w:eastAsia="zh-CN"/>
              </w:rPr>
            </w:pPr>
          </w:p>
        </w:tc>
        <w:tc>
          <w:tcPr>
            <w:tcW w:w="1094" w:type="pct"/>
            <w:noWrap w:val="0"/>
            <w:vAlign w:val="top"/>
          </w:tcPr>
          <w:p w14:paraId="7ECB85A9">
            <w:pPr>
              <w:pStyle w:val="66"/>
              <w:bidi w:val="0"/>
              <w:rPr>
                <w:lang w:val="en-US" w:eastAsia="zh-CN"/>
              </w:rPr>
            </w:pPr>
          </w:p>
        </w:tc>
        <w:tc>
          <w:tcPr>
            <w:tcW w:w="468" w:type="pct"/>
            <w:noWrap w:val="0"/>
            <w:vAlign w:val="top"/>
          </w:tcPr>
          <w:p w14:paraId="29996990">
            <w:pPr>
              <w:pStyle w:val="66"/>
              <w:bidi w:val="0"/>
              <w:rPr>
                <w:lang w:val="en-US" w:eastAsia="zh-CN"/>
              </w:rPr>
            </w:pPr>
          </w:p>
        </w:tc>
        <w:tc>
          <w:tcPr>
            <w:tcW w:w="426" w:type="pct"/>
            <w:noWrap w:val="0"/>
            <w:vAlign w:val="top"/>
          </w:tcPr>
          <w:p w14:paraId="0F1B5335">
            <w:pPr>
              <w:pStyle w:val="66"/>
              <w:bidi w:val="0"/>
              <w:rPr>
                <w:lang w:val="en-US" w:eastAsia="zh-CN"/>
              </w:rPr>
            </w:pPr>
          </w:p>
        </w:tc>
        <w:tc>
          <w:tcPr>
            <w:tcW w:w="744" w:type="pct"/>
            <w:noWrap w:val="0"/>
            <w:vAlign w:val="top"/>
          </w:tcPr>
          <w:p w14:paraId="53C38C6F">
            <w:pPr>
              <w:pStyle w:val="66"/>
              <w:bidi w:val="0"/>
              <w:rPr>
                <w:lang w:val="en-US" w:eastAsia="zh-CN"/>
              </w:rPr>
            </w:pPr>
          </w:p>
        </w:tc>
        <w:tc>
          <w:tcPr>
            <w:tcW w:w="781" w:type="pct"/>
            <w:noWrap w:val="0"/>
            <w:vAlign w:val="top"/>
          </w:tcPr>
          <w:p w14:paraId="1369D7BF">
            <w:pPr>
              <w:pStyle w:val="66"/>
              <w:bidi w:val="0"/>
              <w:rPr>
                <w:lang w:val="en-US" w:eastAsia="zh-CN"/>
              </w:rPr>
            </w:pPr>
          </w:p>
        </w:tc>
        <w:tc>
          <w:tcPr>
            <w:tcW w:w="938" w:type="pct"/>
            <w:noWrap w:val="0"/>
            <w:vAlign w:val="top"/>
          </w:tcPr>
          <w:p w14:paraId="5C7F776F">
            <w:pPr>
              <w:pStyle w:val="66"/>
              <w:bidi w:val="0"/>
              <w:rPr>
                <w:lang w:val="en-US" w:eastAsia="zh-CN"/>
              </w:rPr>
            </w:pPr>
          </w:p>
        </w:tc>
      </w:tr>
      <w:tr w14:paraId="74DFAE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0B2C4B1">
            <w:pPr>
              <w:pStyle w:val="66"/>
              <w:bidi w:val="0"/>
              <w:rPr>
                <w:lang w:val="en-US" w:eastAsia="zh-CN"/>
              </w:rPr>
            </w:pPr>
          </w:p>
        </w:tc>
        <w:tc>
          <w:tcPr>
            <w:tcW w:w="1094" w:type="pct"/>
            <w:noWrap w:val="0"/>
            <w:vAlign w:val="top"/>
          </w:tcPr>
          <w:p w14:paraId="5AAD32A0">
            <w:pPr>
              <w:pStyle w:val="66"/>
              <w:bidi w:val="0"/>
              <w:rPr>
                <w:lang w:val="en-US" w:eastAsia="zh-CN"/>
              </w:rPr>
            </w:pPr>
          </w:p>
        </w:tc>
        <w:tc>
          <w:tcPr>
            <w:tcW w:w="468" w:type="pct"/>
            <w:noWrap w:val="0"/>
            <w:vAlign w:val="top"/>
          </w:tcPr>
          <w:p w14:paraId="7000388D">
            <w:pPr>
              <w:pStyle w:val="66"/>
              <w:bidi w:val="0"/>
              <w:rPr>
                <w:lang w:val="en-US" w:eastAsia="zh-CN"/>
              </w:rPr>
            </w:pPr>
          </w:p>
        </w:tc>
        <w:tc>
          <w:tcPr>
            <w:tcW w:w="426" w:type="pct"/>
            <w:noWrap w:val="0"/>
            <w:vAlign w:val="top"/>
          </w:tcPr>
          <w:p w14:paraId="7EEFA9A8">
            <w:pPr>
              <w:pStyle w:val="66"/>
              <w:bidi w:val="0"/>
              <w:rPr>
                <w:lang w:val="en-US" w:eastAsia="zh-CN"/>
              </w:rPr>
            </w:pPr>
          </w:p>
        </w:tc>
        <w:tc>
          <w:tcPr>
            <w:tcW w:w="744" w:type="pct"/>
            <w:noWrap w:val="0"/>
            <w:vAlign w:val="top"/>
          </w:tcPr>
          <w:p w14:paraId="70940F18">
            <w:pPr>
              <w:pStyle w:val="66"/>
              <w:bidi w:val="0"/>
              <w:rPr>
                <w:lang w:val="en-US" w:eastAsia="zh-CN"/>
              </w:rPr>
            </w:pPr>
          </w:p>
        </w:tc>
        <w:tc>
          <w:tcPr>
            <w:tcW w:w="781" w:type="pct"/>
            <w:noWrap w:val="0"/>
            <w:vAlign w:val="top"/>
          </w:tcPr>
          <w:p w14:paraId="1CCAC386">
            <w:pPr>
              <w:pStyle w:val="66"/>
              <w:bidi w:val="0"/>
              <w:rPr>
                <w:lang w:val="en-US" w:eastAsia="zh-CN"/>
              </w:rPr>
            </w:pPr>
          </w:p>
        </w:tc>
        <w:tc>
          <w:tcPr>
            <w:tcW w:w="938" w:type="pct"/>
            <w:noWrap w:val="0"/>
            <w:vAlign w:val="top"/>
          </w:tcPr>
          <w:p w14:paraId="7AACE98E">
            <w:pPr>
              <w:pStyle w:val="66"/>
              <w:bidi w:val="0"/>
              <w:rPr>
                <w:lang w:val="en-US" w:eastAsia="zh-CN"/>
              </w:rPr>
            </w:pPr>
          </w:p>
        </w:tc>
      </w:tr>
      <w:tr w14:paraId="780A2C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56EB5A3">
            <w:pPr>
              <w:pStyle w:val="66"/>
              <w:bidi w:val="0"/>
              <w:rPr>
                <w:lang w:val="en-US" w:eastAsia="zh-CN"/>
              </w:rPr>
            </w:pPr>
          </w:p>
        </w:tc>
        <w:tc>
          <w:tcPr>
            <w:tcW w:w="1094" w:type="pct"/>
            <w:noWrap w:val="0"/>
            <w:vAlign w:val="top"/>
          </w:tcPr>
          <w:p w14:paraId="6C796DA2">
            <w:pPr>
              <w:pStyle w:val="66"/>
              <w:bidi w:val="0"/>
              <w:rPr>
                <w:lang w:val="en-US" w:eastAsia="zh-CN"/>
              </w:rPr>
            </w:pPr>
          </w:p>
        </w:tc>
        <w:tc>
          <w:tcPr>
            <w:tcW w:w="468" w:type="pct"/>
            <w:noWrap w:val="0"/>
            <w:vAlign w:val="top"/>
          </w:tcPr>
          <w:p w14:paraId="22E22A6A">
            <w:pPr>
              <w:pStyle w:val="66"/>
              <w:bidi w:val="0"/>
              <w:rPr>
                <w:lang w:val="en-US" w:eastAsia="zh-CN"/>
              </w:rPr>
            </w:pPr>
          </w:p>
        </w:tc>
        <w:tc>
          <w:tcPr>
            <w:tcW w:w="426" w:type="pct"/>
            <w:noWrap w:val="0"/>
            <w:vAlign w:val="top"/>
          </w:tcPr>
          <w:p w14:paraId="40E9AC89">
            <w:pPr>
              <w:pStyle w:val="66"/>
              <w:bidi w:val="0"/>
              <w:rPr>
                <w:lang w:val="en-US" w:eastAsia="zh-CN"/>
              </w:rPr>
            </w:pPr>
          </w:p>
        </w:tc>
        <w:tc>
          <w:tcPr>
            <w:tcW w:w="744" w:type="pct"/>
            <w:noWrap w:val="0"/>
            <w:vAlign w:val="top"/>
          </w:tcPr>
          <w:p w14:paraId="28E2A4C7">
            <w:pPr>
              <w:pStyle w:val="66"/>
              <w:bidi w:val="0"/>
              <w:rPr>
                <w:lang w:val="en-US" w:eastAsia="zh-CN"/>
              </w:rPr>
            </w:pPr>
          </w:p>
        </w:tc>
        <w:tc>
          <w:tcPr>
            <w:tcW w:w="781" w:type="pct"/>
            <w:noWrap w:val="0"/>
            <w:vAlign w:val="top"/>
          </w:tcPr>
          <w:p w14:paraId="3EE2A90C">
            <w:pPr>
              <w:pStyle w:val="66"/>
              <w:bidi w:val="0"/>
              <w:rPr>
                <w:lang w:val="en-US" w:eastAsia="zh-CN"/>
              </w:rPr>
            </w:pPr>
          </w:p>
        </w:tc>
        <w:tc>
          <w:tcPr>
            <w:tcW w:w="938" w:type="pct"/>
            <w:noWrap w:val="0"/>
            <w:vAlign w:val="top"/>
          </w:tcPr>
          <w:p w14:paraId="0A2A1408">
            <w:pPr>
              <w:pStyle w:val="66"/>
              <w:bidi w:val="0"/>
              <w:rPr>
                <w:lang w:val="en-US" w:eastAsia="zh-CN"/>
              </w:rPr>
            </w:pPr>
          </w:p>
        </w:tc>
      </w:tr>
      <w:tr w14:paraId="0AE9CB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84AD172">
            <w:pPr>
              <w:pStyle w:val="66"/>
              <w:bidi w:val="0"/>
              <w:rPr>
                <w:lang w:val="en-US" w:eastAsia="zh-CN"/>
              </w:rPr>
            </w:pPr>
          </w:p>
        </w:tc>
        <w:tc>
          <w:tcPr>
            <w:tcW w:w="1094" w:type="pct"/>
            <w:noWrap w:val="0"/>
            <w:vAlign w:val="top"/>
          </w:tcPr>
          <w:p w14:paraId="7F858B3B">
            <w:pPr>
              <w:pStyle w:val="66"/>
              <w:bidi w:val="0"/>
              <w:rPr>
                <w:lang w:val="en-US" w:eastAsia="zh-CN"/>
              </w:rPr>
            </w:pPr>
          </w:p>
        </w:tc>
        <w:tc>
          <w:tcPr>
            <w:tcW w:w="468" w:type="pct"/>
            <w:noWrap w:val="0"/>
            <w:vAlign w:val="top"/>
          </w:tcPr>
          <w:p w14:paraId="3E237EA6">
            <w:pPr>
              <w:pStyle w:val="66"/>
              <w:bidi w:val="0"/>
              <w:rPr>
                <w:lang w:val="en-US" w:eastAsia="zh-CN"/>
              </w:rPr>
            </w:pPr>
          </w:p>
        </w:tc>
        <w:tc>
          <w:tcPr>
            <w:tcW w:w="426" w:type="pct"/>
            <w:noWrap w:val="0"/>
            <w:vAlign w:val="top"/>
          </w:tcPr>
          <w:p w14:paraId="6013F8B2">
            <w:pPr>
              <w:pStyle w:val="66"/>
              <w:bidi w:val="0"/>
              <w:rPr>
                <w:lang w:val="en-US" w:eastAsia="zh-CN"/>
              </w:rPr>
            </w:pPr>
          </w:p>
        </w:tc>
        <w:tc>
          <w:tcPr>
            <w:tcW w:w="744" w:type="pct"/>
            <w:noWrap w:val="0"/>
            <w:vAlign w:val="top"/>
          </w:tcPr>
          <w:p w14:paraId="002A5256">
            <w:pPr>
              <w:pStyle w:val="66"/>
              <w:bidi w:val="0"/>
              <w:rPr>
                <w:lang w:val="en-US" w:eastAsia="zh-CN"/>
              </w:rPr>
            </w:pPr>
          </w:p>
        </w:tc>
        <w:tc>
          <w:tcPr>
            <w:tcW w:w="781" w:type="pct"/>
            <w:noWrap w:val="0"/>
            <w:vAlign w:val="top"/>
          </w:tcPr>
          <w:p w14:paraId="64CBD12D">
            <w:pPr>
              <w:pStyle w:val="66"/>
              <w:bidi w:val="0"/>
              <w:rPr>
                <w:lang w:val="en-US" w:eastAsia="zh-CN"/>
              </w:rPr>
            </w:pPr>
          </w:p>
        </w:tc>
        <w:tc>
          <w:tcPr>
            <w:tcW w:w="938" w:type="pct"/>
            <w:noWrap w:val="0"/>
            <w:vAlign w:val="top"/>
          </w:tcPr>
          <w:p w14:paraId="5504BBAE">
            <w:pPr>
              <w:pStyle w:val="66"/>
              <w:bidi w:val="0"/>
              <w:rPr>
                <w:lang w:val="en-US" w:eastAsia="zh-CN"/>
              </w:rPr>
            </w:pPr>
          </w:p>
        </w:tc>
      </w:tr>
      <w:tr w14:paraId="6AC33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6" w:type="pct"/>
            <w:noWrap w:val="0"/>
            <w:vAlign w:val="top"/>
          </w:tcPr>
          <w:p w14:paraId="262B8F9C">
            <w:pPr>
              <w:pStyle w:val="66"/>
              <w:bidi w:val="0"/>
              <w:rPr>
                <w:lang w:val="en-US" w:eastAsia="zh-CN"/>
              </w:rPr>
            </w:pPr>
          </w:p>
        </w:tc>
        <w:tc>
          <w:tcPr>
            <w:tcW w:w="1094" w:type="pct"/>
            <w:noWrap w:val="0"/>
            <w:vAlign w:val="top"/>
          </w:tcPr>
          <w:p w14:paraId="70DDDBFF">
            <w:pPr>
              <w:pStyle w:val="66"/>
              <w:bidi w:val="0"/>
              <w:rPr>
                <w:lang w:val="en-US" w:eastAsia="zh-CN"/>
              </w:rPr>
            </w:pPr>
          </w:p>
        </w:tc>
        <w:tc>
          <w:tcPr>
            <w:tcW w:w="468" w:type="pct"/>
            <w:noWrap w:val="0"/>
            <w:vAlign w:val="top"/>
          </w:tcPr>
          <w:p w14:paraId="39E9ADC7">
            <w:pPr>
              <w:pStyle w:val="66"/>
              <w:bidi w:val="0"/>
              <w:rPr>
                <w:lang w:val="en-US" w:eastAsia="zh-CN"/>
              </w:rPr>
            </w:pPr>
          </w:p>
        </w:tc>
        <w:tc>
          <w:tcPr>
            <w:tcW w:w="426" w:type="pct"/>
            <w:noWrap w:val="0"/>
            <w:vAlign w:val="top"/>
          </w:tcPr>
          <w:p w14:paraId="715DAF63">
            <w:pPr>
              <w:pStyle w:val="66"/>
              <w:bidi w:val="0"/>
              <w:rPr>
                <w:lang w:val="en-US" w:eastAsia="zh-CN"/>
              </w:rPr>
            </w:pPr>
          </w:p>
        </w:tc>
        <w:tc>
          <w:tcPr>
            <w:tcW w:w="744" w:type="pct"/>
            <w:noWrap w:val="0"/>
            <w:vAlign w:val="top"/>
          </w:tcPr>
          <w:p w14:paraId="4F4F2F8F">
            <w:pPr>
              <w:pStyle w:val="66"/>
              <w:bidi w:val="0"/>
              <w:rPr>
                <w:lang w:val="en-US" w:eastAsia="zh-CN"/>
              </w:rPr>
            </w:pPr>
          </w:p>
        </w:tc>
        <w:tc>
          <w:tcPr>
            <w:tcW w:w="781" w:type="pct"/>
            <w:noWrap w:val="0"/>
            <w:vAlign w:val="top"/>
          </w:tcPr>
          <w:p w14:paraId="548449F6">
            <w:pPr>
              <w:pStyle w:val="66"/>
              <w:bidi w:val="0"/>
              <w:rPr>
                <w:lang w:val="en-US" w:eastAsia="zh-CN"/>
              </w:rPr>
            </w:pPr>
          </w:p>
        </w:tc>
        <w:tc>
          <w:tcPr>
            <w:tcW w:w="938" w:type="pct"/>
            <w:noWrap w:val="0"/>
            <w:vAlign w:val="top"/>
          </w:tcPr>
          <w:p w14:paraId="530D398F">
            <w:pPr>
              <w:pStyle w:val="66"/>
              <w:bidi w:val="0"/>
              <w:rPr>
                <w:lang w:val="en-US" w:eastAsia="zh-CN"/>
              </w:rPr>
            </w:pPr>
          </w:p>
        </w:tc>
      </w:tr>
      <w:tr w14:paraId="2D583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69B65D64">
            <w:pPr>
              <w:pStyle w:val="66"/>
              <w:bidi w:val="0"/>
              <w:rPr>
                <w:lang w:val="en-US" w:eastAsia="zh-CN"/>
              </w:rPr>
            </w:pPr>
          </w:p>
        </w:tc>
        <w:tc>
          <w:tcPr>
            <w:tcW w:w="1094" w:type="pct"/>
            <w:noWrap w:val="0"/>
            <w:vAlign w:val="top"/>
          </w:tcPr>
          <w:p w14:paraId="6DFAFA45">
            <w:pPr>
              <w:pStyle w:val="66"/>
              <w:bidi w:val="0"/>
              <w:rPr>
                <w:lang w:val="en-US" w:eastAsia="zh-CN"/>
              </w:rPr>
            </w:pPr>
          </w:p>
        </w:tc>
        <w:tc>
          <w:tcPr>
            <w:tcW w:w="468" w:type="pct"/>
            <w:noWrap w:val="0"/>
            <w:vAlign w:val="top"/>
          </w:tcPr>
          <w:p w14:paraId="72CFD42F">
            <w:pPr>
              <w:pStyle w:val="66"/>
              <w:bidi w:val="0"/>
              <w:rPr>
                <w:lang w:val="en-US" w:eastAsia="zh-CN"/>
              </w:rPr>
            </w:pPr>
          </w:p>
        </w:tc>
        <w:tc>
          <w:tcPr>
            <w:tcW w:w="426" w:type="pct"/>
            <w:noWrap w:val="0"/>
            <w:vAlign w:val="top"/>
          </w:tcPr>
          <w:p w14:paraId="5DC825AC">
            <w:pPr>
              <w:pStyle w:val="66"/>
              <w:bidi w:val="0"/>
              <w:rPr>
                <w:lang w:val="en-US" w:eastAsia="zh-CN"/>
              </w:rPr>
            </w:pPr>
          </w:p>
        </w:tc>
        <w:tc>
          <w:tcPr>
            <w:tcW w:w="744" w:type="pct"/>
            <w:noWrap w:val="0"/>
            <w:vAlign w:val="top"/>
          </w:tcPr>
          <w:p w14:paraId="6E5FAA77">
            <w:pPr>
              <w:pStyle w:val="66"/>
              <w:bidi w:val="0"/>
              <w:rPr>
                <w:lang w:val="en-US" w:eastAsia="zh-CN"/>
              </w:rPr>
            </w:pPr>
          </w:p>
        </w:tc>
        <w:tc>
          <w:tcPr>
            <w:tcW w:w="781" w:type="pct"/>
            <w:noWrap w:val="0"/>
            <w:vAlign w:val="top"/>
          </w:tcPr>
          <w:p w14:paraId="2B89012E">
            <w:pPr>
              <w:pStyle w:val="66"/>
              <w:bidi w:val="0"/>
              <w:rPr>
                <w:lang w:val="en-US" w:eastAsia="zh-CN"/>
              </w:rPr>
            </w:pPr>
          </w:p>
        </w:tc>
        <w:tc>
          <w:tcPr>
            <w:tcW w:w="938" w:type="pct"/>
            <w:noWrap w:val="0"/>
            <w:vAlign w:val="top"/>
          </w:tcPr>
          <w:p w14:paraId="66B9B4CA">
            <w:pPr>
              <w:pStyle w:val="66"/>
              <w:bidi w:val="0"/>
              <w:rPr>
                <w:lang w:val="en-US" w:eastAsia="zh-CN"/>
              </w:rPr>
            </w:pPr>
          </w:p>
        </w:tc>
      </w:tr>
      <w:tr w14:paraId="1014C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7A7D39FB">
            <w:pPr>
              <w:pStyle w:val="66"/>
              <w:bidi w:val="0"/>
              <w:rPr>
                <w:lang w:val="en-US" w:eastAsia="zh-CN"/>
              </w:rPr>
            </w:pPr>
          </w:p>
        </w:tc>
        <w:tc>
          <w:tcPr>
            <w:tcW w:w="1094" w:type="pct"/>
            <w:noWrap w:val="0"/>
            <w:vAlign w:val="top"/>
          </w:tcPr>
          <w:p w14:paraId="1461D59D">
            <w:pPr>
              <w:pStyle w:val="66"/>
              <w:bidi w:val="0"/>
              <w:rPr>
                <w:lang w:val="en-US" w:eastAsia="zh-CN"/>
              </w:rPr>
            </w:pPr>
          </w:p>
        </w:tc>
        <w:tc>
          <w:tcPr>
            <w:tcW w:w="468" w:type="pct"/>
            <w:noWrap w:val="0"/>
            <w:vAlign w:val="top"/>
          </w:tcPr>
          <w:p w14:paraId="534FD9CC">
            <w:pPr>
              <w:pStyle w:val="66"/>
              <w:bidi w:val="0"/>
              <w:rPr>
                <w:lang w:val="en-US" w:eastAsia="zh-CN"/>
              </w:rPr>
            </w:pPr>
          </w:p>
        </w:tc>
        <w:tc>
          <w:tcPr>
            <w:tcW w:w="426" w:type="pct"/>
            <w:noWrap w:val="0"/>
            <w:vAlign w:val="top"/>
          </w:tcPr>
          <w:p w14:paraId="2FA18B5C">
            <w:pPr>
              <w:pStyle w:val="66"/>
              <w:bidi w:val="0"/>
              <w:rPr>
                <w:lang w:val="en-US" w:eastAsia="zh-CN"/>
              </w:rPr>
            </w:pPr>
          </w:p>
        </w:tc>
        <w:tc>
          <w:tcPr>
            <w:tcW w:w="744" w:type="pct"/>
            <w:noWrap w:val="0"/>
            <w:vAlign w:val="top"/>
          </w:tcPr>
          <w:p w14:paraId="46129738">
            <w:pPr>
              <w:pStyle w:val="66"/>
              <w:bidi w:val="0"/>
              <w:rPr>
                <w:lang w:val="en-US" w:eastAsia="zh-CN"/>
              </w:rPr>
            </w:pPr>
          </w:p>
        </w:tc>
        <w:tc>
          <w:tcPr>
            <w:tcW w:w="781" w:type="pct"/>
            <w:noWrap w:val="0"/>
            <w:vAlign w:val="top"/>
          </w:tcPr>
          <w:p w14:paraId="5F75BD09">
            <w:pPr>
              <w:pStyle w:val="66"/>
              <w:bidi w:val="0"/>
              <w:rPr>
                <w:lang w:val="en-US" w:eastAsia="zh-CN"/>
              </w:rPr>
            </w:pPr>
          </w:p>
        </w:tc>
        <w:tc>
          <w:tcPr>
            <w:tcW w:w="938" w:type="pct"/>
            <w:noWrap w:val="0"/>
            <w:vAlign w:val="top"/>
          </w:tcPr>
          <w:p w14:paraId="2B6A24FE">
            <w:pPr>
              <w:pStyle w:val="66"/>
              <w:bidi w:val="0"/>
              <w:rPr>
                <w:lang w:val="en-US" w:eastAsia="zh-CN"/>
              </w:rPr>
            </w:pPr>
          </w:p>
        </w:tc>
      </w:tr>
      <w:tr w14:paraId="165CDC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5EB073E">
            <w:pPr>
              <w:pStyle w:val="66"/>
              <w:bidi w:val="0"/>
              <w:rPr>
                <w:lang w:val="en-US" w:eastAsia="zh-CN"/>
              </w:rPr>
            </w:pPr>
          </w:p>
        </w:tc>
        <w:tc>
          <w:tcPr>
            <w:tcW w:w="1094" w:type="pct"/>
            <w:noWrap w:val="0"/>
            <w:vAlign w:val="top"/>
          </w:tcPr>
          <w:p w14:paraId="05F21647">
            <w:pPr>
              <w:pStyle w:val="66"/>
              <w:bidi w:val="0"/>
              <w:rPr>
                <w:lang w:val="en-US" w:eastAsia="zh-CN"/>
              </w:rPr>
            </w:pPr>
          </w:p>
        </w:tc>
        <w:tc>
          <w:tcPr>
            <w:tcW w:w="468" w:type="pct"/>
            <w:noWrap w:val="0"/>
            <w:vAlign w:val="top"/>
          </w:tcPr>
          <w:p w14:paraId="6C4F2C02">
            <w:pPr>
              <w:pStyle w:val="66"/>
              <w:bidi w:val="0"/>
              <w:rPr>
                <w:lang w:val="en-US" w:eastAsia="zh-CN"/>
              </w:rPr>
            </w:pPr>
          </w:p>
        </w:tc>
        <w:tc>
          <w:tcPr>
            <w:tcW w:w="426" w:type="pct"/>
            <w:noWrap w:val="0"/>
            <w:vAlign w:val="top"/>
          </w:tcPr>
          <w:p w14:paraId="279C089F">
            <w:pPr>
              <w:pStyle w:val="66"/>
              <w:bidi w:val="0"/>
              <w:rPr>
                <w:lang w:val="en-US" w:eastAsia="zh-CN"/>
              </w:rPr>
            </w:pPr>
          </w:p>
        </w:tc>
        <w:tc>
          <w:tcPr>
            <w:tcW w:w="744" w:type="pct"/>
            <w:noWrap w:val="0"/>
            <w:vAlign w:val="top"/>
          </w:tcPr>
          <w:p w14:paraId="55D4F074">
            <w:pPr>
              <w:pStyle w:val="66"/>
              <w:bidi w:val="0"/>
              <w:rPr>
                <w:lang w:val="en-US" w:eastAsia="zh-CN"/>
              </w:rPr>
            </w:pPr>
          </w:p>
        </w:tc>
        <w:tc>
          <w:tcPr>
            <w:tcW w:w="781" w:type="pct"/>
            <w:noWrap w:val="0"/>
            <w:vAlign w:val="top"/>
          </w:tcPr>
          <w:p w14:paraId="19B47E01">
            <w:pPr>
              <w:pStyle w:val="66"/>
              <w:bidi w:val="0"/>
              <w:rPr>
                <w:lang w:val="en-US" w:eastAsia="zh-CN"/>
              </w:rPr>
            </w:pPr>
          </w:p>
        </w:tc>
        <w:tc>
          <w:tcPr>
            <w:tcW w:w="938" w:type="pct"/>
            <w:noWrap w:val="0"/>
            <w:vAlign w:val="top"/>
          </w:tcPr>
          <w:p w14:paraId="2774463C">
            <w:pPr>
              <w:pStyle w:val="66"/>
              <w:bidi w:val="0"/>
              <w:rPr>
                <w:lang w:val="en-US" w:eastAsia="zh-CN"/>
              </w:rPr>
            </w:pPr>
          </w:p>
        </w:tc>
      </w:tr>
      <w:tr w14:paraId="56D53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0299811">
            <w:pPr>
              <w:pStyle w:val="66"/>
              <w:bidi w:val="0"/>
              <w:rPr>
                <w:lang w:val="en-US" w:eastAsia="zh-CN"/>
              </w:rPr>
            </w:pPr>
          </w:p>
        </w:tc>
        <w:tc>
          <w:tcPr>
            <w:tcW w:w="1094" w:type="pct"/>
            <w:noWrap w:val="0"/>
            <w:vAlign w:val="top"/>
          </w:tcPr>
          <w:p w14:paraId="7A2DC3AE">
            <w:pPr>
              <w:pStyle w:val="66"/>
              <w:bidi w:val="0"/>
              <w:rPr>
                <w:lang w:val="en-US" w:eastAsia="zh-CN"/>
              </w:rPr>
            </w:pPr>
          </w:p>
        </w:tc>
        <w:tc>
          <w:tcPr>
            <w:tcW w:w="468" w:type="pct"/>
            <w:noWrap w:val="0"/>
            <w:vAlign w:val="top"/>
          </w:tcPr>
          <w:p w14:paraId="78600EFE">
            <w:pPr>
              <w:pStyle w:val="66"/>
              <w:bidi w:val="0"/>
              <w:rPr>
                <w:lang w:val="en-US" w:eastAsia="zh-CN"/>
              </w:rPr>
            </w:pPr>
          </w:p>
        </w:tc>
        <w:tc>
          <w:tcPr>
            <w:tcW w:w="426" w:type="pct"/>
            <w:noWrap w:val="0"/>
            <w:vAlign w:val="top"/>
          </w:tcPr>
          <w:p w14:paraId="4B4B66BF">
            <w:pPr>
              <w:pStyle w:val="66"/>
              <w:bidi w:val="0"/>
              <w:rPr>
                <w:lang w:val="en-US" w:eastAsia="zh-CN"/>
              </w:rPr>
            </w:pPr>
          </w:p>
        </w:tc>
        <w:tc>
          <w:tcPr>
            <w:tcW w:w="744" w:type="pct"/>
            <w:noWrap w:val="0"/>
            <w:vAlign w:val="top"/>
          </w:tcPr>
          <w:p w14:paraId="0CB141BD">
            <w:pPr>
              <w:pStyle w:val="66"/>
              <w:bidi w:val="0"/>
              <w:rPr>
                <w:lang w:val="en-US" w:eastAsia="zh-CN"/>
              </w:rPr>
            </w:pPr>
          </w:p>
        </w:tc>
        <w:tc>
          <w:tcPr>
            <w:tcW w:w="781" w:type="pct"/>
            <w:noWrap w:val="0"/>
            <w:vAlign w:val="top"/>
          </w:tcPr>
          <w:p w14:paraId="05C16047">
            <w:pPr>
              <w:pStyle w:val="66"/>
              <w:bidi w:val="0"/>
              <w:rPr>
                <w:lang w:val="en-US" w:eastAsia="zh-CN"/>
              </w:rPr>
            </w:pPr>
          </w:p>
        </w:tc>
        <w:tc>
          <w:tcPr>
            <w:tcW w:w="938" w:type="pct"/>
            <w:noWrap w:val="0"/>
            <w:vAlign w:val="top"/>
          </w:tcPr>
          <w:p w14:paraId="467F9B91">
            <w:pPr>
              <w:pStyle w:val="66"/>
              <w:bidi w:val="0"/>
              <w:rPr>
                <w:lang w:val="en-US" w:eastAsia="zh-CN"/>
              </w:rPr>
            </w:pPr>
          </w:p>
        </w:tc>
      </w:tr>
      <w:tr w14:paraId="44628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35A7DAC0">
            <w:pPr>
              <w:pStyle w:val="66"/>
              <w:bidi w:val="0"/>
              <w:rPr>
                <w:lang w:val="en-US" w:eastAsia="zh-CN"/>
              </w:rPr>
            </w:pPr>
          </w:p>
        </w:tc>
        <w:tc>
          <w:tcPr>
            <w:tcW w:w="1094" w:type="pct"/>
            <w:noWrap w:val="0"/>
            <w:vAlign w:val="top"/>
          </w:tcPr>
          <w:p w14:paraId="020DF525">
            <w:pPr>
              <w:pStyle w:val="66"/>
              <w:bidi w:val="0"/>
              <w:rPr>
                <w:lang w:val="en-US" w:eastAsia="zh-CN"/>
              </w:rPr>
            </w:pPr>
          </w:p>
        </w:tc>
        <w:tc>
          <w:tcPr>
            <w:tcW w:w="468" w:type="pct"/>
            <w:noWrap w:val="0"/>
            <w:vAlign w:val="top"/>
          </w:tcPr>
          <w:p w14:paraId="427D9362">
            <w:pPr>
              <w:pStyle w:val="66"/>
              <w:bidi w:val="0"/>
              <w:rPr>
                <w:lang w:val="en-US" w:eastAsia="zh-CN"/>
              </w:rPr>
            </w:pPr>
          </w:p>
        </w:tc>
        <w:tc>
          <w:tcPr>
            <w:tcW w:w="426" w:type="pct"/>
            <w:noWrap w:val="0"/>
            <w:vAlign w:val="top"/>
          </w:tcPr>
          <w:p w14:paraId="61AD2C0B">
            <w:pPr>
              <w:pStyle w:val="66"/>
              <w:bidi w:val="0"/>
              <w:rPr>
                <w:lang w:val="en-US" w:eastAsia="zh-CN"/>
              </w:rPr>
            </w:pPr>
          </w:p>
        </w:tc>
        <w:tc>
          <w:tcPr>
            <w:tcW w:w="744" w:type="pct"/>
            <w:noWrap w:val="0"/>
            <w:vAlign w:val="top"/>
          </w:tcPr>
          <w:p w14:paraId="77E45423">
            <w:pPr>
              <w:pStyle w:val="66"/>
              <w:bidi w:val="0"/>
              <w:rPr>
                <w:lang w:val="en-US" w:eastAsia="zh-CN"/>
              </w:rPr>
            </w:pPr>
          </w:p>
        </w:tc>
        <w:tc>
          <w:tcPr>
            <w:tcW w:w="781" w:type="pct"/>
            <w:noWrap w:val="0"/>
            <w:vAlign w:val="top"/>
          </w:tcPr>
          <w:p w14:paraId="5F8F8E1A">
            <w:pPr>
              <w:pStyle w:val="66"/>
              <w:bidi w:val="0"/>
              <w:rPr>
                <w:lang w:val="en-US" w:eastAsia="zh-CN"/>
              </w:rPr>
            </w:pPr>
          </w:p>
        </w:tc>
        <w:tc>
          <w:tcPr>
            <w:tcW w:w="938" w:type="pct"/>
            <w:noWrap w:val="0"/>
            <w:vAlign w:val="top"/>
          </w:tcPr>
          <w:p w14:paraId="419C9D3E">
            <w:pPr>
              <w:pStyle w:val="66"/>
              <w:bidi w:val="0"/>
              <w:rPr>
                <w:lang w:val="en-US" w:eastAsia="zh-CN"/>
              </w:rPr>
            </w:pPr>
          </w:p>
        </w:tc>
      </w:tr>
      <w:tr w14:paraId="10704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439DF9C0">
            <w:pPr>
              <w:pStyle w:val="66"/>
              <w:bidi w:val="0"/>
              <w:rPr>
                <w:lang w:val="en-US" w:eastAsia="zh-CN"/>
              </w:rPr>
            </w:pPr>
          </w:p>
        </w:tc>
        <w:tc>
          <w:tcPr>
            <w:tcW w:w="1094" w:type="pct"/>
            <w:noWrap w:val="0"/>
            <w:vAlign w:val="top"/>
          </w:tcPr>
          <w:p w14:paraId="22047276">
            <w:pPr>
              <w:pStyle w:val="66"/>
              <w:bidi w:val="0"/>
              <w:rPr>
                <w:lang w:val="en-US" w:eastAsia="zh-CN"/>
              </w:rPr>
            </w:pPr>
          </w:p>
        </w:tc>
        <w:tc>
          <w:tcPr>
            <w:tcW w:w="468" w:type="pct"/>
            <w:noWrap w:val="0"/>
            <w:vAlign w:val="top"/>
          </w:tcPr>
          <w:p w14:paraId="04A4B370">
            <w:pPr>
              <w:pStyle w:val="66"/>
              <w:bidi w:val="0"/>
              <w:rPr>
                <w:lang w:val="en-US" w:eastAsia="zh-CN"/>
              </w:rPr>
            </w:pPr>
          </w:p>
        </w:tc>
        <w:tc>
          <w:tcPr>
            <w:tcW w:w="426" w:type="pct"/>
            <w:noWrap w:val="0"/>
            <w:vAlign w:val="top"/>
          </w:tcPr>
          <w:p w14:paraId="67115D3B">
            <w:pPr>
              <w:pStyle w:val="66"/>
              <w:bidi w:val="0"/>
              <w:rPr>
                <w:lang w:val="en-US" w:eastAsia="zh-CN"/>
              </w:rPr>
            </w:pPr>
          </w:p>
        </w:tc>
        <w:tc>
          <w:tcPr>
            <w:tcW w:w="744" w:type="pct"/>
            <w:noWrap w:val="0"/>
            <w:vAlign w:val="top"/>
          </w:tcPr>
          <w:p w14:paraId="439669A3">
            <w:pPr>
              <w:pStyle w:val="66"/>
              <w:bidi w:val="0"/>
              <w:rPr>
                <w:lang w:val="en-US" w:eastAsia="zh-CN"/>
              </w:rPr>
            </w:pPr>
          </w:p>
        </w:tc>
        <w:tc>
          <w:tcPr>
            <w:tcW w:w="781" w:type="pct"/>
            <w:noWrap w:val="0"/>
            <w:vAlign w:val="top"/>
          </w:tcPr>
          <w:p w14:paraId="7B2C495A">
            <w:pPr>
              <w:pStyle w:val="66"/>
              <w:bidi w:val="0"/>
              <w:rPr>
                <w:lang w:val="en-US" w:eastAsia="zh-CN"/>
              </w:rPr>
            </w:pPr>
          </w:p>
        </w:tc>
        <w:tc>
          <w:tcPr>
            <w:tcW w:w="938" w:type="pct"/>
            <w:noWrap w:val="0"/>
            <w:vAlign w:val="top"/>
          </w:tcPr>
          <w:p w14:paraId="354299C5">
            <w:pPr>
              <w:pStyle w:val="66"/>
              <w:bidi w:val="0"/>
              <w:rPr>
                <w:lang w:val="en-US" w:eastAsia="zh-CN"/>
              </w:rPr>
            </w:pPr>
          </w:p>
        </w:tc>
      </w:tr>
      <w:tr w14:paraId="34EA2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CEE39A5">
            <w:pPr>
              <w:pStyle w:val="66"/>
              <w:bidi w:val="0"/>
              <w:rPr>
                <w:lang w:val="en-US" w:eastAsia="zh-CN"/>
              </w:rPr>
            </w:pPr>
          </w:p>
        </w:tc>
        <w:tc>
          <w:tcPr>
            <w:tcW w:w="1094" w:type="pct"/>
            <w:noWrap w:val="0"/>
            <w:vAlign w:val="top"/>
          </w:tcPr>
          <w:p w14:paraId="2308602A">
            <w:pPr>
              <w:pStyle w:val="66"/>
              <w:bidi w:val="0"/>
              <w:rPr>
                <w:lang w:val="en-US" w:eastAsia="zh-CN"/>
              </w:rPr>
            </w:pPr>
          </w:p>
        </w:tc>
        <w:tc>
          <w:tcPr>
            <w:tcW w:w="468" w:type="pct"/>
            <w:noWrap w:val="0"/>
            <w:vAlign w:val="top"/>
          </w:tcPr>
          <w:p w14:paraId="3CF00547">
            <w:pPr>
              <w:pStyle w:val="66"/>
              <w:bidi w:val="0"/>
              <w:rPr>
                <w:lang w:val="en-US" w:eastAsia="zh-CN"/>
              </w:rPr>
            </w:pPr>
          </w:p>
        </w:tc>
        <w:tc>
          <w:tcPr>
            <w:tcW w:w="426" w:type="pct"/>
            <w:noWrap w:val="0"/>
            <w:vAlign w:val="top"/>
          </w:tcPr>
          <w:p w14:paraId="627C5615">
            <w:pPr>
              <w:pStyle w:val="66"/>
              <w:bidi w:val="0"/>
              <w:rPr>
                <w:lang w:val="en-US" w:eastAsia="zh-CN"/>
              </w:rPr>
            </w:pPr>
          </w:p>
        </w:tc>
        <w:tc>
          <w:tcPr>
            <w:tcW w:w="744" w:type="pct"/>
            <w:noWrap w:val="0"/>
            <w:vAlign w:val="top"/>
          </w:tcPr>
          <w:p w14:paraId="239BD202">
            <w:pPr>
              <w:pStyle w:val="66"/>
              <w:bidi w:val="0"/>
              <w:rPr>
                <w:lang w:val="en-US" w:eastAsia="zh-CN"/>
              </w:rPr>
            </w:pPr>
          </w:p>
        </w:tc>
        <w:tc>
          <w:tcPr>
            <w:tcW w:w="781" w:type="pct"/>
            <w:noWrap w:val="0"/>
            <w:vAlign w:val="top"/>
          </w:tcPr>
          <w:p w14:paraId="6D0479BD">
            <w:pPr>
              <w:pStyle w:val="66"/>
              <w:bidi w:val="0"/>
              <w:rPr>
                <w:lang w:val="en-US" w:eastAsia="zh-CN"/>
              </w:rPr>
            </w:pPr>
          </w:p>
        </w:tc>
        <w:tc>
          <w:tcPr>
            <w:tcW w:w="938" w:type="pct"/>
            <w:noWrap w:val="0"/>
            <w:vAlign w:val="top"/>
          </w:tcPr>
          <w:p w14:paraId="57E3F003">
            <w:pPr>
              <w:pStyle w:val="66"/>
              <w:bidi w:val="0"/>
              <w:rPr>
                <w:lang w:val="en-US" w:eastAsia="zh-CN"/>
              </w:rPr>
            </w:pPr>
          </w:p>
        </w:tc>
      </w:tr>
      <w:tr w14:paraId="4B0DF3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7E06290">
            <w:pPr>
              <w:pStyle w:val="66"/>
              <w:bidi w:val="0"/>
              <w:rPr>
                <w:lang w:val="en-US" w:eastAsia="zh-CN"/>
              </w:rPr>
            </w:pPr>
          </w:p>
        </w:tc>
        <w:tc>
          <w:tcPr>
            <w:tcW w:w="1094" w:type="pct"/>
            <w:noWrap w:val="0"/>
            <w:vAlign w:val="top"/>
          </w:tcPr>
          <w:p w14:paraId="08E48F85">
            <w:pPr>
              <w:pStyle w:val="66"/>
              <w:bidi w:val="0"/>
              <w:rPr>
                <w:lang w:val="en-US" w:eastAsia="zh-CN"/>
              </w:rPr>
            </w:pPr>
          </w:p>
        </w:tc>
        <w:tc>
          <w:tcPr>
            <w:tcW w:w="468" w:type="pct"/>
            <w:noWrap w:val="0"/>
            <w:vAlign w:val="top"/>
          </w:tcPr>
          <w:p w14:paraId="2A98812E">
            <w:pPr>
              <w:pStyle w:val="66"/>
              <w:bidi w:val="0"/>
              <w:rPr>
                <w:lang w:val="en-US" w:eastAsia="zh-CN"/>
              </w:rPr>
            </w:pPr>
          </w:p>
        </w:tc>
        <w:tc>
          <w:tcPr>
            <w:tcW w:w="426" w:type="pct"/>
            <w:noWrap w:val="0"/>
            <w:vAlign w:val="top"/>
          </w:tcPr>
          <w:p w14:paraId="6B8AC45F">
            <w:pPr>
              <w:pStyle w:val="66"/>
              <w:bidi w:val="0"/>
              <w:rPr>
                <w:lang w:val="en-US" w:eastAsia="zh-CN"/>
              </w:rPr>
            </w:pPr>
          </w:p>
        </w:tc>
        <w:tc>
          <w:tcPr>
            <w:tcW w:w="744" w:type="pct"/>
            <w:noWrap w:val="0"/>
            <w:vAlign w:val="top"/>
          </w:tcPr>
          <w:p w14:paraId="39763533">
            <w:pPr>
              <w:pStyle w:val="66"/>
              <w:bidi w:val="0"/>
              <w:rPr>
                <w:lang w:val="en-US" w:eastAsia="zh-CN"/>
              </w:rPr>
            </w:pPr>
          </w:p>
        </w:tc>
        <w:tc>
          <w:tcPr>
            <w:tcW w:w="781" w:type="pct"/>
            <w:noWrap w:val="0"/>
            <w:vAlign w:val="top"/>
          </w:tcPr>
          <w:p w14:paraId="466E255C">
            <w:pPr>
              <w:pStyle w:val="66"/>
              <w:bidi w:val="0"/>
              <w:rPr>
                <w:lang w:val="en-US" w:eastAsia="zh-CN"/>
              </w:rPr>
            </w:pPr>
          </w:p>
        </w:tc>
        <w:tc>
          <w:tcPr>
            <w:tcW w:w="938" w:type="pct"/>
            <w:noWrap w:val="0"/>
            <w:vAlign w:val="top"/>
          </w:tcPr>
          <w:p w14:paraId="63D0E312">
            <w:pPr>
              <w:pStyle w:val="66"/>
              <w:bidi w:val="0"/>
              <w:rPr>
                <w:lang w:val="en-US" w:eastAsia="zh-CN"/>
              </w:rPr>
            </w:pPr>
          </w:p>
        </w:tc>
      </w:tr>
      <w:tr w14:paraId="6F0194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24C7F8AB">
            <w:pPr>
              <w:pStyle w:val="66"/>
              <w:bidi w:val="0"/>
              <w:rPr>
                <w:lang w:val="en-US" w:eastAsia="zh-CN"/>
              </w:rPr>
            </w:pPr>
          </w:p>
        </w:tc>
        <w:tc>
          <w:tcPr>
            <w:tcW w:w="1094" w:type="pct"/>
            <w:noWrap w:val="0"/>
            <w:vAlign w:val="top"/>
          </w:tcPr>
          <w:p w14:paraId="5AD20649">
            <w:pPr>
              <w:pStyle w:val="66"/>
              <w:bidi w:val="0"/>
              <w:rPr>
                <w:lang w:val="en-US" w:eastAsia="zh-CN"/>
              </w:rPr>
            </w:pPr>
          </w:p>
        </w:tc>
        <w:tc>
          <w:tcPr>
            <w:tcW w:w="468" w:type="pct"/>
            <w:noWrap w:val="0"/>
            <w:vAlign w:val="top"/>
          </w:tcPr>
          <w:p w14:paraId="5CC94F21">
            <w:pPr>
              <w:pStyle w:val="66"/>
              <w:bidi w:val="0"/>
              <w:rPr>
                <w:lang w:val="en-US" w:eastAsia="zh-CN"/>
              </w:rPr>
            </w:pPr>
          </w:p>
        </w:tc>
        <w:tc>
          <w:tcPr>
            <w:tcW w:w="426" w:type="pct"/>
            <w:noWrap w:val="0"/>
            <w:vAlign w:val="top"/>
          </w:tcPr>
          <w:p w14:paraId="5D8A7BCE">
            <w:pPr>
              <w:pStyle w:val="66"/>
              <w:bidi w:val="0"/>
              <w:rPr>
                <w:lang w:val="en-US" w:eastAsia="zh-CN"/>
              </w:rPr>
            </w:pPr>
          </w:p>
        </w:tc>
        <w:tc>
          <w:tcPr>
            <w:tcW w:w="744" w:type="pct"/>
            <w:noWrap w:val="0"/>
            <w:vAlign w:val="top"/>
          </w:tcPr>
          <w:p w14:paraId="04BA00A1">
            <w:pPr>
              <w:pStyle w:val="66"/>
              <w:bidi w:val="0"/>
              <w:rPr>
                <w:lang w:val="en-US" w:eastAsia="zh-CN"/>
              </w:rPr>
            </w:pPr>
          </w:p>
        </w:tc>
        <w:tc>
          <w:tcPr>
            <w:tcW w:w="781" w:type="pct"/>
            <w:noWrap w:val="0"/>
            <w:vAlign w:val="top"/>
          </w:tcPr>
          <w:p w14:paraId="534ECA22">
            <w:pPr>
              <w:pStyle w:val="66"/>
              <w:bidi w:val="0"/>
              <w:rPr>
                <w:lang w:val="en-US" w:eastAsia="zh-CN"/>
              </w:rPr>
            </w:pPr>
          </w:p>
        </w:tc>
        <w:tc>
          <w:tcPr>
            <w:tcW w:w="938" w:type="pct"/>
            <w:noWrap w:val="0"/>
            <w:vAlign w:val="top"/>
          </w:tcPr>
          <w:p w14:paraId="3A17A0C1">
            <w:pPr>
              <w:pStyle w:val="66"/>
              <w:bidi w:val="0"/>
              <w:rPr>
                <w:lang w:val="en-US" w:eastAsia="zh-CN"/>
              </w:rPr>
            </w:pPr>
          </w:p>
        </w:tc>
      </w:tr>
      <w:tr w14:paraId="7FEC4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9FD4863">
            <w:pPr>
              <w:pStyle w:val="66"/>
              <w:bidi w:val="0"/>
              <w:rPr>
                <w:lang w:val="en-US" w:eastAsia="zh-CN"/>
              </w:rPr>
            </w:pPr>
          </w:p>
        </w:tc>
        <w:tc>
          <w:tcPr>
            <w:tcW w:w="1094" w:type="pct"/>
            <w:noWrap w:val="0"/>
            <w:vAlign w:val="top"/>
          </w:tcPr>
          <w:p w14:paraId="1A9C1CF2">
            <w:pPr>
              <w:pStyle w:val="66"/>
              <w:bidi w:val="0"/>
              <w:rPr>
                <w:lang w:val="en-US" w:eastAsia="zh-CN"/>
              </w:rPr>
            </w:pPr>
          </w:p>
        </w:tc>
        <w:tc>
          <w:tcPr>
            <w:tcW w:w="468" w:type="pct"/>
            <w:noWrap w:val="0"/>
            <w:vAlign w:val="top"/>
          </w:tcPr>
          <w:p w14:paraId="4D3D82B0">
            <w:pPr>
              <w:pStyle w:val="66"/>
              <w:bidi w:val="0"/>
              <w:rPr>
                <w:lang w:val="en-US" w:eastAsia="zh-CN"/>
              </w:rPr>
            </w:pPr>
          </w:p>
        </w:tc>
        <w:tc>
          <w:tcPr>
            <w:tcW w:w="426" w:type="pct"/>
            <w:noWrap w:val="0"/>
            <w:vAlign w:val="top"/>
          </w:tcPr>
          <w:p w14:paraId="15DD741F">
            <w:pPr>
              <w:pStyle w:val="66"/>
              <w:bidi w:val="0"/>
              <w:rPr>
                <w:lang w:val="en-US" w:eastAsia="zh-CN"/>
              </w:rPr>
            </w:pPr>
          </w:p>
        </w:tc>
        <w:tc>
          <w:tcPr>
            <w:tcW w:w="744" w:type="pct"/>
            <w:noWrap w:val="0"/>
            <w:vAlign w:val="top"/>
          </w:tcPr>
          <w:p w14:paraId="69C52682">
            <w:pPr>
              <w:pStyle w:val="66"/>
              <w:bidi w:val="0"/>
              <w:rPr>
                <w:lang w:val="en-US" w:eastAsia="zh-CN"/>
              </w:rPr>
            </w:pPr>
          </w:p>
        </w:tc>
        <w:tc>
          <w:tcPr>
            <w:tcW w:w="781" w:type="pct"/>
            <w:noWrap w:val="0"/>
            <w:vAlign w:val="top"/>
          </w:tcPr>
          <w:p w14:paraId="7FB259E8">
            <w:pPr>
              <w:pStyle w:val="66"/>
              <w:bidi w:val="0"/>
              <w:rPr>
                <w:lang w:val="en-US" w:eastAsia="zh-CN"/>
              </w:rPr>
            </w:pPr>
          </w:p>
        </w:tc>
        <w:tc>
          <w:tcPr>
            <w:tcW w:w="938" w:type="pct"/>
            <w:noWrap w:val="0"/>
            <w:vAlign w:val="top"/>
          </w:tcPr>
          <w:p w14:paraId="731AE1D5">
            <w:pPr>
              <w:pStyle w:val="66"/>
              <w:bidi w:val="0"/>
              <w:rPr>
                <w:lang w:val="en-US" w:eastAsia="zh-CN"/>
              </w:rPr>
            </w:pPr>
          </w:p>
        </w:tc>
      </w:tr>
      <w:tr w14:paraId="7B936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46" w:type="pct"/>
            <w:noWrap w:val="0"/>
            <w:vAlign w:val="top"/>
          </w:tcPr>
          <w:p w14:paraId="3D180E4E">
            <w:pPr>
              <w:pStyle w:val="66"/>
              <w:bidi w:val="0"/>
              <w:rPr>
                <w:lang w:val="en-US" w:eastAsia="zh-CN"/>
              </w:rPr>
            </w:pPr>
          </w:p>
        </w:tc>
        <w:tc>
          <w:tcPr>
            <w:tcW w:w="1094" w:type="pct"/>
            <w:noWrap w:val="0"/>
            <w:vAlign w:val="top"/>
          </w:tcPr>
          <w:p w14:paraId="4DD8B889">
            <w:pPr>
              <w:pStyle w:val="66"/>
              <w:bidi w:val="0"/>
              <w:rPr>
                <w:lang w:val="en-US" w:eastAsia="zh-CN"/>
              </w:rPr>
            </w:pPr>
          </w:p>
        </w:tc>
        <w:tc>
          <w:tcPr>
            <w:tcW w:w="468" w:type="pct"/>
            <w:noWrap w:val="0"/>
            <w:vAlign w:val="top"/>
          </w:tcPr>
          <w:p w14:paraId="5316A517">
            <w:pPr>
              <w:pStyle w:val="66"/>
              <w:bidi w:val="0"/>
              <w:rPr>
                <w:lang w:val="en-US" w:eastAsia="zh-CN"/>
              </w:rPr>
            </w:pPr>
          </w:p>
        </w:tc>
        <w:tc>
          <w:tcPr>
            <w:tcW w:w="426" w:type="pct"/>
            <w:noWrap w:val="0"/>
            <w:vAlign w:val="top"/>
          </w:tcPr>
          <w:p w14:paraId="4B471A54">
            <w:pPr>
              <w:pStyle w:val="66"/>
              <w:bidi w:val="0"/>
              <w:rPr>
                <w:lang w:val="en-US" w:eastAsia="zh-CN"/>
              </w:rPr>
            </w:pPr>
          </w:p>
        </w:tc>
        <w:tc>
          <w:tcPr>
            <w:tcW w:w="744" w:type="pct"/>
            <w:noWrap w:val="0"/>
            <w:vAlign w:val="top"/>
          </w:tcPr>
          <w:p w14:paraId="17060E30">
            <w:pPr>
              <w:pStyle w:val="66"/>
              <w:bidi w:val="0"/>
              <w:rPr>
                <w:lang w:val="en-US" w:eastAsia="zh-CN"/>
              </w:rPr>
            </w:pPr>
          </w:p>
        </w:tc>
        <w:tc>
          <w:tcPr>
            <w:tcW w:w="781" w:type="pct"/>
            <w:noWrap w:val="0"/>
            <w:vAlign w:val="top"/>
          </w:tcPr>
          <w:p w14:paraId="54482D3E">
            <w:pPr>
              <w:pStyle w:val="66"/>
              <w:bidi w:val="0"/>
              <w:rPr>
                <w:lang w:val="en-US" w:eastAsia="zh-CN"/>
              </w:rPr>
            </w:pPr>
          </w:p>
        </w:tc>
        <w:tc>
          <w:tcPr>
            <w:tcW w:w="938" w:type="pct"/>
            <w:noWrap w:val="0"/>
            <w:vAlign w:val="top"/>
          </w:tcPr>
          <w:p w14:paraId="3DDD25F5">
            <w:pPr>
              <w:pStyle w:val="66"/>
              <w:bidi w:val="0"/>
              <w:rPr>
                <w:lang w:val="en-US" w:eastAsia="zh-CN"/>
              </w:rPr>
            </w:pPr>
          </w:p>
        </w:tc>
      </w:tr>
      <w:tr w14:paraId="3BE288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46" w:type="pct"/>
            <w:noWrap w:val="0"/>
            <w:vAlign w:val="top"/>
          </w:tcPr>
          <w:p w14:paraId="57E472F8">
            <w:pPr>
              <w:pStyle w:val="66"/>
              <w:bidi w:val="0"/>
              <w:rPr>
                <w:lang w:val="en-US" w:eastAsia="zh-CN"/>
              </w:rPr>
            </w:pPr>
          </w:p>
        </w:tc>
        <w:tc>
          <w:tcPr>
            <w:tcW w:w="1094" w:type="pct"/>
            <w:noWrap w:val="0"/>
            <w:vAlign w:val="top"/>
          </w:tcPr>
          <w:p w14:paraId="57CDB9A7">
            <w:pPr>
              <w:pStyle w:val="66"/>
              <w:bidi w:val="0"/>
              <w:rPr>
                <w:lang w:val="en-US" w:eastAsia="zh-CN"/>
              </w:rPr>
            </w:pPr>
          </w:p>
        </w:tc>
        <w:tc>
          <w:tcPr>
            <w:tcW w:w="468" w:type="pct"/>
            <w:noWrap w:val="0"/>
            <w:vAlign w:val="top"/>
          </w:tcPr>
          <w:p w14:paraId="056A5C00">
            <w:pPr>
              <w:pStyle w:val="66"/>
              <w:bidi w:val="0"/>
              <w:rPr>
                <w:lang w:val="en-US" w:eastAsia="zh-CN"/>
              </w:rPr>
            </w:pPr>
          </w:p>
        </w:tc>
        <w:tc>
          <w:tcPr>
            <w:tcW w:w="426" w:type="pct"/>
            <w:noWrap w:val="0"/>
            <w:vAlign w:val="top"/>
          </w:tcPr>
          <w:p w14:paraId="036FD404">
            <w:pPr>
              <w:pStyle w:val="66"/>
              <w:bidi w:val="0"/>
              <w:rPr>
                <w:lang w:val="en-US" w:eastAsia="zh-CN"/>
              </w:rPr>
            </w:pPr>
          </w:p>
        </w:tc>
        <w:tc>
          <w:tcPr>
            <w:tcW w:w="744" w:type="pct"/>
            <w:noWrap w:val="0"/>
            <w:vAlign w:val="top"/>
          </w:tcPr>
          <w:p w14:paraId="76D4B2DD">
            <w:pPr>
              <w:pStyle w:val="66"/>
              <w:bidi w:val="0"/>
              <w:rPr>
                <w:lang w:val="en-US" w:eastAsia="zh-CN"/>
              </w:rPr>
            </w:pPr>
          </w:p>
        </w:tc>
        <w:tc>
          <w:tcPr>
            <w:tcW w:w="781" w:type="pct"/>
            <w:noWrap w:val="0"/>
            <w:vAlign w:val="top"/>
          </w:tcPr>
          <w:p w14:paraId="379EAF77">
            <w:pPr>
              <w:pStyle w:val="66"/>
              <w:bidi w:val="0"/>
              <w:rPr>
                <w:lang w:val="en-US" w:eastAsia="zh-CN"/>
              </w:rPr>
            </w:pPr>
          </w:p>
        </w:tc>
        <w:tc>
          <w:tcPr>
            <w:tcW w:w="938" w:type="pct"/>
            <w:noWrap w:val="0"/>
            <w:vAlign w:val="top"/>
          </w:tcPr>
          <w:p w14:paraId="1988A31D">
            <w:pPr>
              <w:pStyle w:val="66"/>
              <w:bidi w:val="0"/>
              <w:rPr>
                <w:lang w:val="en-US" w:eastAsia="zh-CN"/>
              </w:rPr>
            </w:pPr>
          </w:p>
        </w:tc>
      </w:tr>
    </w:tbl>
    <w:p w14:paraId="2752D519">
      <w:pPr>
        <w:rPr>
          <w:rFonts w:ascii="Times New Roman" w:hAnsi="Times New Roman" w:eastAsia="黑体"/>
          <w:color w:val="000000"/>
          <w:sz w:val="30"/>
          <w:szCs w:val="30"/>
        </w:rPr>
      </w:pPr>
      <w:r>
        <w:rPr>
          <w:rFonts w:ascii="Times New Roman" w:hAnsi="Times New Roman" w:eastAsia="黑体"/>
          <w:color w:val="000000"/>
          <w:sz w:val="30"/>
          <w:szCs w:val="30"/>
        </w:rPr>
        <w:br w:type="page"/>
      </w:r>
    </w:p>
    <w:p w14:paraId="0EE361B3">
      <w:pPr>
        <w:spacing w:before="156" w:beforeLines="50" w:after="156" w:afterLines="50"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11-3：专业工程暂估价表</w:t>
      </w:r>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76"/>
        <w:gridCol w:w="2202"/>
        <w:gridCol w:w="5196"/>
        <w:gridCol w:w="1422"/>
      </w:tblGrid>
      <w:tr w14:paraId="2AEBB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single" w:color="auto" w:sz="12" w:space="0"/>
              <w:bottom w:val="double" w:color="auto" w:sz="6" w:space="0"/>
            </w:tcBorders>
            <w:noWrap w:val="0"/>
            <w:vAlign w:val="top"/>
          </w:tcPr>
          <w:p w14:paraId="7336BC9A">
            <w:pPr>
              <w:pStyle w:val="66"/>
              <w:bidi w:val="0"/>
              <w:rPr>
                <w:lang w:val="en-US" w:eastAsia="zh-CN"/>
              </w:rPr>
            </w:pPr>
            <w:r>
              <w:rPr>
                <w:lang w:val="en-US" w:eastAsia="zh-CN"/>
              </w:rPr>
              <w:t>序号</w:t>
            </w:r>
          </w:p>
        </w:tc>
        <w:tc>
          <w:tcPr>
            <w:tcW w:w="1124" w:type="pct"/>
            <w:tcBorders>
              <w:top w:val="single" w:color="auto" w:sz="12" w:space="0"/>
              <w:bottom w:val="double" w:color="auto" w:sz="6" w:space="0"/>
            </w:tcBorders>
            <w:noWrap w:val="0"/>
            <w:vAlign w:val="top"/>
          </w:tcPr>
          <w:p w14:paraId="527D471D">
            <w:pPr>
              <w:pStyle w:val="66"/>
              <w:bidi w:val="0"/>
              <w:rPr>
                <w:lang w:val="en-US" w:eastAsia="zh-CN"/>
              </w:rPr>
            </w:pPr>
            <w:r>
              <w:rPr>
                <w:lang w:val="en-US" w:eastAsia="zh-CN"/>
              </w:rPr>
              <w:t>专业工程名称</w:t>
            </w:r>
          </w:p>
        </w:tc>
        <w:tc>
          <w:tcPr>
            <w:tcW w:w="2652" w:type="pct"/>
            <w:tcBorders>
              <w:top w:val="single" w:color="auto" w:sz="12" w:space="0"/>
              <w:bottom w:val="double" w:color="auto" w:sz="6" w:space="0"/>
            </w:tcBorders>
            <w:noWrap w:val="0"/>
            <w:vAlign w:val="top"/>
          </w:tcPr>
          <w:p w14:paraId="7D8A4CB6">
            <w:pPr>
              <w:pStyle w:val="66"/>
              <w:bidi w:val="0"/>
              <w:rPr>
                <w:lang w:val="en-US" w:eastAsia="zh-CN"/>
              </w:rPr>
            </w:pPr>
            <w:r>
              <w:rPr>
                <w:lang w:val="en-US" w:eastAsia="zh-CN"/>
              </w:rPr>
              <w:t>工程内容</w:t>
            </w:r>
          </w:p>
        </w:tc>
        <w:tc>
          <w:tcPr>
            <w:tcW w:w="725" w:type="pct"/>
            <w:tcBorders>
              <w:top w:val="single" w:color="auto" w:sz="12" w:space="0"/>
              <w:bottom w:val="double" w:color="auto" w:sz="6" w:space="0"/>
            </w:tcBorders>
            <w:noWrap w:val="0"/>
            <w:vAlign w:val="top"/>
          </w:tcPr>
          <w:p w14:paraId="39FC0539">
            <w:pPr>
              <w:pStyle w:val="66"/>
              <w:bidi w:val="0"/>
              <w:rPr>
                <w:lang w:val="en-US" w:eastAsia="zh-CN"/>
              </w:rPr>
            </w:pPr>
            <w:r>
              <w:rPr>
                <w:lang w:val="en-US" w:eastAsia="zh-CN"/>
              </w:rPr>
              <w:t>金额</w:t>
            </w:r>
          </w:p>
        </w:tc>
      </w:tr>
      <w:tr w14:paraId="658B8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double" w:color="auto" w:sz="6" w:space="0"/>
              <w:bottom w:val="single" w:color="auto" w:sz="6" w:space="0"/>
            </w:tcBorders>
            <w:noWrap w:val="0"/>
            <w:vAlign w:val="top"/>
          </w:tcPr>
          <w:p w14:paraId="2FEB9BCC">
            <w:pPr>
              <w:pStyle w:val="66"/>
              <w:bidi w:val="0"/>
              <w:rPr>
                <w:lang w:val="en-US" w:eastAsia="zh-CN"/>
              </w:rPr>
            </w:pPr>
          </w:p>
        </w:tc>
        <w:tc>
          <w:tcPr>
            <w:tcW w:w="1124" w:type="pct"/>
            <w:tcBorders>
              <w:top w:val="double" w:color="auto" w:sz="6" w:space="0"/>
              <w:bottom w:val="single" w:color="auto" w:sz="6" w:space="0"/>
            </w:tcBorders>
            <w:noWrap w:val="0"/>
            <w:vAlign w:val="top"/>
          </w:tcPr>
          <w:p w14:paraId="4365325C">
            <w:pPr>
              <w:pStyle w:val="66"/>
              <w:bidi w:val="0"/>
              <w:rPr>
                <w:lang w:val="en-US" w:eastAsia="zh-CN"/>
              </w:rPr>
            </w:pPr>
          </w:p>
        </w:tc>
        <w:tc>
          <w:tcPr>
            <w:tcW w:w="2652" w:type="pct"/>
            <w:tcBorders>
              <w:top w:val="double" w:color="auto" w:sz="6" w:space="0"/>
              <w:bottom w:val="single" w:color="auto" w:sz="6" w:space="0"/>
            </w:tcBorders>
            <w:noWrap w:val="0"/>
            <w:vAlign w:val="top"/>
          </w:tcPr>
          <w:p w14:paraId="67B4A0B2">
            <w:pPr>
              <w:pStyle w:val="66"/>
              <w:bidi w:val="0"/>
              <w:rPr>
                <w:lang w:val="en-US" w:eastAsia="zh-CN"/>
              </w:rPr>
            </w:pPr>
          </w:p>
        </w:tc>
        <w:tc>
          <w:tcPr>
            <w:tcW w:w="725" w:type="pct"/>
            <w:tcBorders>
              <w:top w:val="double" w:color="auto" w:sz="6" w:space="0"/>
              <w:bottom w:val="single" w:color="auto" w:sz="6" w:space="0"/>
            </w:tcBorders>
            <w:noWrap w:val="0"/>
            <w:vAlign w:val="top"/>
          </w:tcPr>
          <w:p w14:paraId="6690F34A">
            <w:pPr>
              <w:pStyle w:val="66"/>
              <w:bidi w:val="0"/>
              <w:rPr>
                <w:lang w:val="en-US" w:eastAsia="zh-CN"/>
              </w:rPr>
            </w:pPr>
          </w:p>
        </w:tc>
      </w:tr>
      <w:tr w14:paraId="5391A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5182054B">
            <w:pPr>
              <w:pStyle w:val="66"/>
              <w:bidi w:val="0"/>
              <w:rPr>
                <w:lang w:val="en-US" w:eastAsia="zh-CN"/>
              </w:rPr>
            </w:pPr>
          </w:p>
        </w:tc>
        <w:tc>
          <w:tcPr>
            <w:tcW w:w="1124" w:type="pct"/>
            <w:tcBorders>
              <w:top w:val="nil"/>
            </w:tcBorders>
            <w:noWrap w:val="0"/>
            <w:vAlign w:val="top"/>
          </w:tcPr>
          <w:p w14:paraId="71F299E0">
            <w:pPr>
              <w:pStyle w:val="66"/>
              <w:bidi w:val="0"/>
              <w:rPr>
                <w:lang w:val="en-US" w:eastAsia="zh-CN"/>
              </w:rPr>
            </w:pPr>
          </w:p>
        </w:tc>
        <w:tc>
          <w:tcPr>
            <w:tcW w:w="2652" w:type="pct"/>
            <w:tcBorders>
              <w:top w:val="nil"/>
            </w:tcBorders>
            <w:noWrap w:val="0"/>
            <w:vAlign w:val="top"/>
          </w:tcPr>
          <w:p w14:paraId="4446BFF7">
            <w:pPr>
              <w:pStyle w:val="66"/>
              <w:bidi w:val="0"/>
              <w:rPr>
                <w:lang w:val="en-US" w:eastAsia="zh-CN"/>
              </w:rPr>
            </w:pPr>
          </w:p>
        </w:tc>
        <w:tc>
          <w:tcPr>
            <w:tcW w:w="725" w:type="pct"/>
            <w:tcBorders>
              <w:top w:val="nil"/>
            </w:tcBorders>
            <w:noWrap w:val="0"/>
            <w:vAlign w:val="top"/>
          </w:tcPr>
          <w:p w14:paraId="1DD8CCD4">
            <w:pPr>
              <w:pStyle w:val="66"/>
              <w:bidi w:val="0"/>
              <w:rPr>
                <w:lang w:val="en-US" w:eastAsia="zh-CN"/>
              </w:rPr>
            </w:pPr>
          </w:p>
        </w:tc>
      </w:tr>
      <w:tr w14:paraId="7BD349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tcBorders>
              <w:top w:val="nil"/>
            </w:tcBorders>
            <w:noWrap w:val="0"/>
            <w:vAlign w:val="top"/>
          </w:tcPr>
          <w:p w14:paraId="42804BA2">
            <w:pPr>
              <w:pStyle w:val="66"/>
              <w:bidi w:val="0"/>
              <w:rPr>
                <w:lang w:val="en-US" w:eastAsia="zh-CN"/>
              </w:rPr>
            </w:pPr>
          </w:p>
        </w:tc>
        <w:tc>
          <w:tcPr>
            <w:tcW w:w="1124" w:type="pct"/>
            <w:tcBorders>
              <w:top w:val="nil"/>
            </w:tcBorders>
            <w:noWrap w:val="0"/>
            <w:vAlign w:val="top"/>
          </w:tcPr>
          <w:p w14:paraId="59F8C2D5">
            <w:pPr>
              <w:pStyle w:val="66"/>
              <w:bidi w:val="0"/>
              <w:rPr>
                <w:lang w:val="en-US" w:eastAsia="zh-CN"/>
              </w:rPr>
            </w:pPr>
          </w:p>
        </w:tc>
        <w:tc>
          <w:tcPr>
            <w:tcW w:w="2652" w:type="pct"/>
            <w:tcBorders>
              <w:top w:val="nil"/>
            </w:tcBorders>
            <w:noWrap w:val="0"/>
            <w:vAlign w:val="top"/>
          </w:tcPr>
          <w:p w14:paraId="6CB47E5B">
            <w:pPr>
              <w:pStyle w:val="66"/>
              <w:bidi w:val="0"/>
              <w:rPr>
                <w:lang w:val="en-US" w:eastAsia="zh-CN"/>
              </w:rPr>
            </w:pPr>
          </w:p>
        </w:tc>
        <w:tc>
          <w:tcPr>
            <w:tcW w:w="725" w:type="pct"/>
            <w:tcBorders>
              <w:top w:val="nil"/>
            </w:tcBorders>
            <w:noWrap w:val="0"/>
            <w:vAlign w:val="top"/>
          </w:tcPr>
          <w:p w14:paraId="49627CC1">
            <w:pPr>
              <w:pStyle w:val="66"/>
              <w:bidi w:val="0"/>
              <w:rPr>
                <w:lang w:val="en-US" w:eastAsia="zh-CN"/>
              </w:rPr>
            </w:pPr>
          </w:p>
        </w:tc>
      </w:tr>
      <w:tr w14:paraId="104F6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9E9153C">
            <w:pPr>
              <w:pStyle w:val="66"/>
              <w:bidi w:val="0"/>
              <w:rPr>
                <w:lang w:val="en-US" w:eastAsia="zh-CN"/>
              </w:rPr>
            </w:pPr>
          </w:p>
        </w:tc>
        <w:tc>
          <w:tcPr>
            <w:tcW w:w="1124" w:type="pct"/>
            <w:noWrap w:val="0"/>
            <w:vAlign w:val="top"/>
          </w:tcPr>
          <w:p w14:paraId="4CBD204D">
            <w:pPr>
              <w:pStyle w:val="66"/>
              <w:bidi w:val="0"/>
              <w:rPr>
                <w:lang w:val="en-US" w:eastAsia="zh-CN"/>
              </w:rPr>
            </w:pPr>
          </w:p>
        </w:tc>
        <w:tc>
          <w:tcPr>
            <w:tcW w:w="2652" w:type="pct"/>
            <w:noWrap w:val="0"/>
            <w:vAlign w:val="top"/>
          </w:tcPr>
          <w:p w14:paraId="00A56F0D">
            <w:pPr>
              <w:pStyle w:val="66"/>
              <w:bidi w:val="0"/>
              <w:rPr>
                <w:lang w:val="en-US" w:eastAsia="zh-CN"/>
              </w:rPr>
            </w:pPr>
          </w:p>
        </w:tc>
        <w:tc>
          <w:tcPr>
            <w:tcW w:w="725" w:type="pct"/>
            <w:noWrap w:val="0"/>
            <w:vAlign w:val="top"/>
          </w:tcPr>
          <w:p w14:paraId="3EAF7F0D">
            <w:pPr>
              <w:pStyle w:val="66"/>
              <w:bidi w:val="0"/>
              <w:rPr>
                <w:lang w:val="en-US" w:eastAsia="zh-CN"/>
              </w:rPr>
            </w:pPr>
          </w:p>
        </w:tc>
      </w:tr>
      <w:tr w14:paraId="2CFEF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9D38DB5">
            <w:pPr>
              <w:pStyle w:val="66"/>
              <w:bidi w:val="0"/>
              <w:rPr>
                <w:lang w:val="en-US" w:eastAsia="zh-CN"/>
              </w:rPr>
            </w:pPr>
          </w:p>
        </w:tc>
        <w:tc>
          <w:tcPr>
            <w:tcW w:w="1124" w:type="pct"/>
            <w:noWrap w:val="0"/>
            <w:vAlign w:val="top"/>
          </w:tcPr>
          <w:p w14:paraId="04B42A0C">
            <w:pPr>
              <w:pStyle w:val="66"/>
              <w:bidi w:val="0"/>
              <w:rPr>
                <w:lang w:val="en-US" w:eastAsia="zh-CN"/>
              </w:rPr>
            </w:pPr>
          </w:p>
        </w:tc>
        <w:tc>
          <w:tcPr>
            <w:tcW w:w="2652" w:type="pct"/>
            <w:noWrap w:val="0"/>
            <w:vAlign w:val="top"/>
          </w:tcPr>
          <w:p w14:paraId="0D714C64">
            <w:pPr>
              <w:pStyle w:val="66"/>
              <w:bidi w:val="0"/>
              <w:rPr>
                <w:lang w:val="en-US" w:eastAsia="zh-CN"/>
              </w:rPr>
            </w:pPr>
          </w:p>
        </w:tc>
        <w:tc>
          <w:tcPr>
            <w:tcW w:w="725" w:type="pct"/>
            <w:noWrap w:val="0"/>
            <w:vAlign w:val="top"/>
          </w:tcPr>
          <w:p w14:paraId="0FA0F38E">
            <w:pPr>
              <w:pStyle w:val="66"/>
              <w:bidi w:val="0"/>
              <w:rPr>
                <w:lang w:val="en-US" w:eastAsia="zh-CN"/>
              </w:rPr>
            </w:pPr>
          </w:p>
        </w:tc>
      </w:tr>
      <w:tr w14:paraId="38C81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8E98CEF">
            <w:pPr>
              <w:pStyle w:val="66"/>
              <w:bidi w:val="0"/>
              <w:rPr>
                <w:lang w:val="en-US" w:eastAsia="zh-CN"/>
              </w:rPr>
            </w:pPr>
          </w:p>
        </w:tc>
        <w:tc>
          <w:tcPr>
            <w:tcW w:w="1124" w:type="pct"/>
            <w:noWrap w:val="0"/>
            <w:vAlign w:val="top"/>
          </w:tcPr>
          <w:p w14:paraId="334D64B7">
            <w:pPr>
              <w:pStyle w:val="66"/>
              <w:bidi w:val="0"/>
              <w:rPr>
                <w:lang w:val="en-US" w:eastAsia="zh-CN"/>
              </w:rPr>
            </w:pPr>
          </w:p>
        </w:tc>
        <w:tc>
          <w:tcPr>
            <w:tcW w:w="2652" w:type="pct"/>
            <w:noWrap w:val="0"/>
            <w:vAlign w:val="top"/>
          </w:tcPr>
          <w:p w14:paraId="59CF29B8">
            <w:pPr>
              <w:pStyle w:val="66"/>
              <w:bidi w:val="0"/>
              <w:rPr>
                <w:lang w:val="en-US" w:eastAsia="zh-CN"/>
              </w:rPr>
            </w:pPr>
          </w:p>
        </w:tc>
        <w:tc>
          <w:tcPr>
            <w:tcW w:w="725" w:type="pct"/>
            <w:noWrap w:val="0"/>
            <w:vAlign w:val="top"/>
          </w:tcPr>
          <w:p w14:paraId="16566AB1">
            <w:pPr>
              <w:pStyle w:val="66"/>
              <w:bidi w:val="0"/>
              <w:rPr>
                <w:lang w:val="en-US" w:eastAsia="zh-CN"/>
              </w:rPr>
            </w:pPr>
          </w:p>
        </w:tc>
      </w:tr>
      <w:tr w14:paraId="5DA6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57F3CC17">
            <w:pPr>
              <w:pStyle w:val="66"/>
              <w:bidi w:val="0"/>
              <w:rPr>
                <w:lang w:val="en-US" w:eastAsia="zh-CN"/>
              </w:rPr>
            </w:pPr>
          </w:p>
        </w:tc>
        <w:tc>
          <w:tcPr>
            <w:tcW w:w="1124" w:type="pct"/>
            <w:noWrap w:val="0"/>
            <w:vAlign w:val="top"/>
          </w:tcPr>
          <w:p w14:paraId="0C4705B8">
            <w:pPr>
              <w:pStyle w:val="66"/>
              <w:bidi w:val="0"/>
              <w:rPr>
                <w:lang w:val="en-US" w:eastAsia="zh-CN"/>
              </w:rPr>
            </w:pPr>
          </w:p>
        </w:tc>
        <w:tc>
          <w:tcPr>
            <w:tcW w:w="2652" w:type="pct"/>
            <w:noWrap w:val="0"/>
            <w:vAlign w:val="top"/>
          </w:tcPr>
          <w:p w14:paraId="696F5D82">
            <w:pPr>
              <w:pStyle w:val="66"/>
              <w:bidi w:val="0"/>
              <w:rPr>
                <w:lang w:val="en-US" w:eastAsia="zh-CN"/>
              </w:rPr>
            </w:pPr>
          </w:p>
        </w:tc>
        <w:tc>
          <w:tcPr>
            <w:tcW w:w="725" w:type="pct"/>
            <w:noWrap w:val="0"/>
            <w:vAlign w:val="top"/>
          </w:tcPr>
          <w:p w14:paraId="56579386">
            <w:pPr>
              <w:pStyle w:val="66"/>
              <w:bidi w:val="0"/>
              <w:rPr>
                <w:lang w:val="en-US" w:eastAsia="zh-CN"/>
              </w:rPr>
            </w:pPr>
          </w:p>
        </w:tc>
      </w:tr>
      <w:tr w14:paraId="7079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7AB4BC2">
            <w:pPr>
              <w:pStyle w:val="66"/>
              <w:bidi w:val="0"/>
              <w:rPr>
                <w:lang w:val="en-US" w:eastAsia="zh-CN"/>
              </w:rPr>
            </w:pPr>
          </w:p>
        </w:tc>
        <w:tc>
          <w:tcPr>
            <w:tcW w:w="1124" w:type="pct"/>
            <w:noWrap w:val="0"/>
            <w:vAlign w:val="top"/>
          </w:tcPr>
          <w:p w14:paraId="32F6E917">
            <w:pPr>
              <w:pStyle w:val="66"/>
              <w:bidi w:val="0"/>
              <w:rPr>
                <w:lang w:val="en-US" w:eastAsia="zh-CN"/>
              </w:rPr>
            </w:pPr>
          </w:p>
        </w:tc>
        <w:tc>
          <w:tcPr>
            <w:tcW w:w="2652" w:type="pct"/>
            <w:noWrap w:val="0"/>
            <w:vAlign w:val="top"/>
          </w:tcPr>
          <w:p w14:paraId="734C60A1">
            <w:pPr>
              <w:pStyle w:val="66"/>
              <w:bidi w:val="0"/>
              <w:rPr>
                <w:lang w:val="en-US" w:eastAsia="zh-CN"/>
              </w:rPr>
            </w:pPr>
          </w:p>
        </w:tc>
        <w:tc>
          <w:tcPr>
            <w:tcW w:w="725" w:type="pct"/>
            <w:noWrap w:val="0"/>
            <w:vAlign w:val="top"/>
          </w:tcPr>
          <w:p w14:paraId="06ACAAE6">
            <w:pPr>
              <w:pStyle w:val="66"/>
              <w:bidi w:val="0"/>
              <w:rPr>
                <w:lang w:val="en-US" w:eastAsia="zh-CN"/>
              </w:rPr>
            </w:pPr>
          </w:p>
        </w:tc>
      </w:tr>
      <w:tr w14:paraId="670C5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3EA60DF">
            <w:pPr>
              <w:pStyle w:val="66"/>
              <w:bidi w:val="0"/>
              <w:rPr>
                <w:lang w:val="en-US" w:eastAsia="zh-CN"/>
              </w:rPr>
            </w:pPr>
          </w:p>
        </w:tc>
        <w:tc>
          <w:tcPr>
            <w:tcW w:w="1124" w:type="pct"/>
            <w:noWrap w:val="0"/>
            <w:vAlign w:val="top"/>
          </w:tcPr>
          <w:p w14:paraId="28284703">
            <w:pPr>
              <w:pStyle w:val="66"/>
              <w:bidi w:val="0"/>
              <w:rPr>
                <w:lang w:val="en-US" w:eastAsia="zh-CN"/>
              </w:rPr>
            </w:pPr>
          </w:p>
        </w:tc>
        <w:tc>
          <w:tcPr>
            <w:tcW w:w="2652" w:type="pct"/>
            <w:noWrap w:val="0"/>
            <w:vAlign w:val="top"/>
          </w:tcPr>
          <w:p w14:paraId="78622306">
            <w:pPr>
              <w:pStyle w:val="66"/>
              <w:bidi w:val="0"/>
              <w:rPr>
                <w:lang w:val="en-US" w:eastAsia="zh-CN"/>
              </w:rPr>
            </w:pPr>
          </w:p>
        </w:tc>
        <w:tc>
          <w:tcPr>
            <w:tcW w:w="725" w:type="pct"/>
            <w:noWrap w:val="0"/>
            <w:vAlign w:val="top"/>
          </w:tcPr>
          <w:p w14:paraId="6318C511">
            <w:pPr>
              <w:pStyle w:val="66"/>
              <w:bidi w:val="0"/>
              <w:rPr>
                <w:lang w:val="en-US" w:eastAsia="zh-CN"/>
              </w:rPr>
            </w:pPr>
          </w:p>
        </w:tc>
      </w:tr>
      <w:tr w14:paraId="6F80F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EE2D4D4">
            <w:pPr>
              <w:pStyle w:val="66"/>
              <w:bidi w:val="0"/>
              <w:rPr>
                <w:lang w:val="en-US" w:eastAsia="zh-CN"/>
              </w:rPr>
            </w:pPr>
          </w:p>
        </w:tc>
        <w:tc>
          <w:tcPr>
            <w:tcW w:w="1124" w:type="pct"/>
            <w:noWrap w:val="0"/>
            <w:vAlign w:val="top"/>
          </w:tcPr>
          <w:p w14:paraId="47CCF307">
            <w:pPr>
              <w:pStyle w:val="66"/>
              <w:bidi w:val="0"/>
              <w:rPr>
                <w:lang w:val="en-US" w:eastAsia="zh-CN"/>
              </w:rPr>
            </w:pPr>
          </w:p>
        </w:tc>
        <w:tc>
          <w:tcPr>
            <w:tcW w:w="2652" w:type="pct"/>
            <w:noWrap w:val="0"/>
            <w:vAlign w:val="top"/>
          </w:tcPr>
          <w:p w14:paraId="4C618CD8">
            <w:pPr>
              <w:pStyle w:val="66"/>
              <w:bidi w:val="0"/>
              <w:rPr>
                <w:lang w:val="en-US" w:eastAsia="zh-CN"/>
              </w:rPr>
            </w:pPr>
          </w:p>
        </w:tc>
        <w:tc>
          <w:tcPr>
            <w:tcW w:w="725" w:type="pct"/>
            <w:noWrap w:val="0"/>
            <w:vAlign w:val="top"/>
          </w:tcPr>
          <w:p w14:paraId="03077E44">
            <w:pPr>
              <w:pStyle w:val="66"/>
              <w:bidi w:val="0"/>
              <w:rPr>
                <w:lang w:val="en-US" w:eastAsia="zh-CN"/>
              </w:rPr>
            </w:pPr>
          </w:p>
        </w:tc>
      </w:tr>
      <w:tr w14:paraId="72014A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F0CDBA8">
            <w:pPr>
              <w:pStyle w:val="66"/>
              <w:bidi w:val="0"/>
              <w:rPr>
                <w:lang w:val="en-US" w:eastAsia="zh-CN"/>
              </w:rPr>
            </w:pPr>
          </w:p>
        </w:tc>
        <w:tc>
          <w:tcPr>
            <w:tcW w:w="1124" w:type="pct"/>
            <w:noWrap w:val="0"/>
            <w:vAlign w:val="top"/>
          </w:tcPr>
          <w:p w14:paraId="73B8302A">
            <w:pPr>
              <w:pStyle w:val="66"/>
              <w:bidi w:val="0"/>
              <w:rPr>
                <w:lang w:val="en-US" w:eastAsia="zh-CN"/>
              </w:rPr>
            </w:pPr>
          </w:p>
        </w:tc>
        <w:tc>
          <w:tcPr>
            <w:tcW w:w="2652" w:type="pct"/>
            <w:noWrap w:val="0"/>
            <w:vAlign w:val="top"/>
          </w:tcPr>
          <w:p w14:paraId="7FD3877E">
            <w:pPr>
              <w:pStyle w:val="66"/>
              <w:bidi w:val="0"/>
              <w:rPr>
                <w:lang w:val="en-US" w:eastAsia="zh-CN"/>
              </w:rPr>
            </w:pPr>
          </w:p>
        </w:tc>
        <w:tc>
          <w:tcPr>
            <w:tcW w:w="725" w:type="pct"/>
            <w:noWrap w:val="0"/>
            <w:vAlign w:val="top"/>
          </w:tcPr>
          <w:p w14:paraId="4AD73422">
            <w:pPr>
              <w:pStyle w:val="66"/>
              <w:bidi w:val="0"/>
              <w:rPr>
                <w:lang w:val="en-US" w:eastAsia="zh-CN"/>
              </w:rPr>
            </w:pPr>
          </w:p>
        </w:tc>
      </w:tr>
      <w:tr w14:paraId="7669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627ACFAC">
            <w:pPr>
              <w:pStyle w:val="66"/>
              <w:bidi w:val="0"/>
              <w:rPr>
                <w:lang w:val="en-US" w:eastAsia="zh-CN"/>
              </w:rPr>
            </w:pPr>
          </w:p>
        </w:tc>
        <w:tc>
          <w:tcPr>
            <w:tcW w:w="1124" w:type="pct"/>
            <w:noWrap w:val="0"/>
            <w:vAlign w:val="top"/>
          </w:tcPr>
          <w:p w14:paraId="2D32A457">
            <w:pPr>
              <w:pStyle w:val="66"/>
              <w:bidi w:val="0"/>
              <w:rPr>
                <w:lang w:val="en-US" w:eastAsia="zh-CN"/>
              </w:rPr>
            </w:pPr>
          </w:p>
        </w:tc>
        <w:tc>
          <w:tcPr>
            <w:tcW w:w="2652" w:type="pct"/>
            <w:noWrap w:val="0"/>
            <w:vAlign w:val="top"/>
          </w:tcPr>
          <w:p w14:paraId="6085E400">
            <w:pPr>
              <w:pStyle w:val="66"/>
              <w:bidi w:val="0"/>
              <w:rPr>
                <w:lang w:val="en-US" w:eastAsia="zh-CN"/>
              </w:rPr>
            </w:pPr>
          </w:p>
        </w:tc>
        <w:tc>
          <w:tcPr>
            <w:tcW w:w="725" w:type="pct"/>
            <w:noWrap w:val="0"/>
            <w:vAlign w:val="top"/>
          </w:tcPr>
          <w:p w14:paraId="5698BF59">
            <w:pPr>
              <w:pStyle w:val="66"/>
              <w:bidi w:val="0"/>
              <w:rPr>
                <w:lang w:val="en-US" w:eastAsia="zh-CN"/>
              </w:rPr>
            </w:pPr>
          </w:p>
        </w:tc>
      </w:tr>
      <w:tr w14:paraId="4F3D2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DFC4AC8">
            <w:pPr>
              <w:pStyle w:val="66"/>
              <w:bidi w:val="0"/>
              <w:rPr>
                <w:lang w:val="en-US" w:eastAsia="zh-CN"/>
              </w:rPr>
            </w:pPr>
          </w:p>
        </w:tc>
        <w:tc>
          <w:tcPr>
            <w:tcW w:w="1124" w:type="pct"/>
            <w:noWrap w:val="0"/>
            <w:vAlign w:val="top"/>
          </w:tcPr>
          <w:p w14:paraId="5D65B6B6">
            <w:pPr>
              <w:pStyle w:val="66"/>
              <w:bidi w:val="0"/>
              <w:rPr>
                <w:lang w:val="en-US" w:eastAsia="zh-CN"/>
              </w:rPr>
            </w:pPr>
          </w:p>
        </w:tc>
        <w:tc>
          <w:tcPr>
            <w:tcW w:w="2652" w:type="pct"/>
            <w:noWrap w:val="0"/>
            <w:vAlign w:val="top"/>
          </w:tcPr>
          <w:p w14:paraId="7983E0CA">
            <w:pPr>
              <w:pStyle w:val="66"/>
              <w:bidi w:val="0"/>
              <w:rPr>
                <w:lang w:val="en-US" w:eastAsia="zh-CN"/>
              </w:rPr>
            </w:pPr>
          </w:p>
        </w:tc>
        <w:tc>
          <w:tcPr>
            <w:tcW w:w="725" w:type="pct"/>
            <w:noWrap w:val="0"/>
            <w:vAlign w:val="top"/>
          </w:tcPr>
          <w:p w14:paraId="62649A8F">
            <w:pPr>
              <w:pStyle w:val="66"/>
              <w:bidi w:val="0"/>
              <w:rPr>
                <w:lang w:val="en-US" w:eastAsia="zh-CN"/>
              </w:rPr>
            </w:pPr>
          </w:p>
        </w:tc>
      </w:tr>
      <w:tr w14:paraId="5FA967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3515F41B">
            <w:pPr>
              <w:pStyle w:val="66"/>
              <w:bidi w:val="0"/>
              <w:rPr>
                <w:lang w:val="en-US" w:eastAsia="zh-CN"/>
              </w:rPr>
            </w:pPr>
          </w:p>
        </w:tc>
        <w:tc>
          <w:tcPr>
            <w:tcW w:w="1124" w:type="pct"/>
            <w:noWrap w:val="0"/>
            <w:vAlign w:val="top"/>
          </w:tcPr>
          <w:p w14:paraId="7ACD299C">
            <w:pPr>
              <w:pStyle w:val="66"/>
              <w:bidi w:val="0"/>
              <w:rPr>
                <w:lang w:val="en-US" w:eastAsia="zh-CN"/>
              </w:rPr>
            </w:pPr>
          </w:p>
        </w:tc>
        <w:tc>
          <w:tcPr>
            <w:tcW w:w="2652" w:type="pct"/>
            <w:noWrap w:val="0"/>
            <w:vAlign w:val="top"/>
          </w:tcPr>
          <w:p w14:paraId="0399002F">
            <w:pPr>
              <w:pStyle w:val="66"/>
              <w:bidi w:val="0"/>
              <w:rPr>
                <w:lang w:val="en-US" w:eastAsia="zh-CN"/>
              </w:rPr>
            </w:pPr>
          </w:p>
        </w:tc>
        <w:tc>
          <w:tcPr>
            <w:tcW w:w="725" w:type="pct"/>
            <w:noWrap w:val="0"/>
            <w:vAlign w:val="top"/>
          </w:tcPr>
          <w:p w14:paraId="0C0AB13E">
            <w:pPr>
              <w:pStyle w:val="66"/>
              <w:bidi w:val="0"/>
              <w:rPr>
                <w:lang w:val="en-US" w:eastAsia="zh-CN"/>
              </w:rPr>
            </w:pPr>
          </w:p>
        </w:tc>
      </w:tr>
      <w:tr w14:paraId="27CD46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2A7CBEEC">
            <w:pPr>
              <w:pStyle w:val="66"/>
              <w:bidi w:val="0"/>
              <w:rPr>
                <w:lang w:val="en-US" w:eastAsia="zh-CN"/>
              </w:rPr>
            </w:pPr>
          </w:p>
        </w:tc>
        <w:tc>
          <w:tcPr>
            <w:tcW w:w="1124" w:type="pct"/>
            <w:noWrap w:val="0"/>
            <w:vAlign w:val="top"/>
          </w:tcPr>
          <w:p w14:paraId="59C92385">
            <w:pPr>
              <w:pStyle w:val="66"/>
              <w:bidi w:val="0"/>
              <w:rPr>
                <w:lang w:val="en-US" w:eastAsia="zh-CN"/>
              </w:rPr>
            </w:pPr>
          </w:p>
        </w:tc>
        <w:tc>
          <w:tcPr>
            <w:tcW w:w="2652" w:type="pct"/>
            <w:noWrap w:val="0"/>
            <w:vAlign w:val="top"/>
          </w:tcPr>
          <w:p w14:paraId="010E4B52">
            <w:pPr>
              <w:pStyle w:val="66"/>
              <w:bidi w:val="0"/>
              <w:rPr>
                <w:lang w:val="en-US" w:eastAsia="zh-CN"/>
              </w:rPr>
            </w:pPr>
          </w:p>
        </w:tc>
        <w:tc>
          <w:tcPr>
            <w:tcW w:w="725" w:type="pct"/>
            <w:noWrap w:val="0"/>
            <w:vAlign w:val="top"/>
          </w:tcPr>
          <w:p w14:paraId="3132A3D4">
            <w:pPr>
              <w:pStyle w:val="66"/>
              <w:bidi w:val="0"/>
              <w:rPr>
                <w:lang w:val="en-US" w:eastAsia="zh-CN"/>
              </w:rPr>
            </w:pPr>
          </w:p>
        </w:tc>
      </w:tr>
      <w:tr w14:paraId="05C2A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49D3E71F">
            <w:pPr>
              <w:pStyle w:val="66"/>
              <w:bidi w:val="0"/>
              <w:rPr>
                <w:lang w:val="en-US" w:eastAsia="zh-CN"/>
              </w:rPr>
            </w:pPr>
          </w:p>
        </w:tc>
        <w:tc>
          <w:tcPr>
            <w:tcW w:w="1124" w:type="pct"/>
            <w:noWrap w:val="0"/>
            <w:vAlign w:val="top"/>
          </w:tcPr>
          <w:p w14:paraId="1CAD35F2">
            <w:pPr>
              <w:pStyle w:val="66"/>
              <w:bidi w:val="0"/>
              <w:rPr>
                <w:lang w:val="en-US" w:eastAsia="zh-CN"/>
              </w:rPr>
            </w:pPr>
          </w:p>
        </w:tc>
        <w:tc>
          <w:tcPr>
            <w:tcW w:w="2652" w:type="pct"/>
            <w:noWrap w:val="0"/>
            <w:vAlign w:val="top"/>
          </w:tcPr>
          <w:p w14:paraId="0610D4A4">
            <w:pPr>
              <w:pStyle w:val="66"/>
              <w:bidi w:val="0"/>
              <w:rPr>
                <w:lang w:val="en-US" w:eastAsia="zh-CN"/>
              </w:rPr>
            </w:pPr>
          </w:p>
        </w:tc>
        <w:tc>
          <w:tcPr>
            <w:tcW w:w="725" w:type="pct"/>
            <w:noWrap w:val="0"/>
            <w:vAlign w:val="top"/>
          </w:tcPr>
          <w:p w14:paraId="4C6A20A2">
            <w:pPr>
              <w:pStyle w:val="66"/>
              <w:bidi w:val="0"/>
              <w:rPr>
                <w:lang w:val="en-US" w:eastAsia="zh-CN"/>
              </w:rPr>
            </w:pPr>
          </w:p>
        </w:tc>
      </w:tr>
      <w:tr w14:paraId="18786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201BC845">
            <w:pPr>
              <w:pStyle w:val="66"/>
              <w:bidi w:val="0"/>
              <w:rPr>
                <w:lang w:val="en-US" w:eastAsia="zh-CN"/>
              </w:rPr>
            </w:pPr>
          </w:p>
        </w:tc>
        <w:tc>
          <w:tcPr>
            <w:tcW w:w="1124" w:type="pct"/>
            <w:noWrap w:val="0"/>
            <w:vAlign w:val="top"/>
          </w:tcPr>
          <w:p w14:paraId="199C1D1B">
            <w:pPr>
              <w:pStyle w:val="66"/>
              <w:bidi w:val="0"/>
              <w:rPr>
                <w:lang w:val="en-US" w:eastAsia="zh-CN"/>
              </w:rPr>
            </w:pPr>
          </w:p>
        </w:tc>
        <w:tc>
          <w:tcPr>
            <w:tcW w:w="2652" w:type="pct"/>
            <w:noWrap w:val="0"/>
            <w:vAlign w:val="top"/>
          </w:tcPr>
          <w:p w14:paraId="50D3D72C">
            <w:pPr>
              <w:pStyle w:val="66"/>
              <w:bidi w:val="0"/>
              <w:rPr>
                <w:lang w:val="en-US" w:eastAsia="zh-CN"/>
              </w:rPr>
            </w:pPr>
          </w:p>
        </w:tc>
        <w:tc>
          <w:tcPr>
            <w:tcW w:w="725" w:type="pct"/>
            <w:noWrap w:val="0"/>
            <w:vAlign w:val="top"/>
          </w:tcPr>
          <w:p w14:paraId="203F7BF4">
            <w:pPr>
              <w:pStyle w:val="66"/>
              <w:bidi w:val="0"/>
              <w:rPr>
                <w:lang w:val="en-US" w:eastAsia="zh-CN"/>
              </w:rPr>
            </w:pPr>
          </w:p>
        </w:tc>
      </w:tr>
      <w:tr w14:paraId="2272C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FD09854">
            <w:pPr>
              <w:pStyle w:val="66"/>
              <w:bidi w:val="0"/>
              <w:rPr>
                <w:lang w:val="en-US" w:eastAsia="zh-CN"/>
              </w:rPr>
            </w:pPr>
          </w:p>
        </w:tc>
        <w:tc>
          <w:tcPr>
            <w:tcW w:w="1124" w:type="pct"/>
            <w:noWrap w:val="0"/>
            <w:vAlign w:val="top"/>
          </w:tcPr>
          <w:p w14:paraId="4151F546">
            <w:pPr>
              <w:pStyle w:val="66"/>
              <w:bidi w:val="0"/>
              <w:rPr>
                <w:lang w:val="en-US" w:eastAsia="zh-CN"/>
              </w:rPr>
            </w:pPr>
          </w:p>
        </w:tc>
        <w:tc>
          <w:tcPr>
            <w:tcW w:w="2652" w:type="pct"/>
            <w:noWrap w:val="0"/>
            <w:vAlign w:val="top"/>
          </w:tcPr>
          <w:p w14:paraId="07906A6A">
            <w:pPr>
              <w:pStyle w:val="66"/>
              <w:bidi w:val="0"/>
              <w:rPr>
                <w:lang w:val="en-US" w:eastAsia="zh-CN"/>
              </w:rPr>
            </w:pPr>
          </w:p>
        </w:tc>
        <w:tc>
          <w:tcPr>
            <w:tcW w:w="725" w:type="pct"/>
            <w:noWrap w:val="0"/>
            <w:vAlign w:val="top"/>
          </w:tcPr>
          <w:p w14:paraId="6E834E75">
            <w:pPr>
              <w:pStyle w:val="66"/>
              <w:bidi w:val="0"/>
              <w:rPr>
                <w:lang w:val="en-US" w:eastAsia="zh-CN"/>
              </w:rPr>
            </w:pPr>
          </w:p>
        </w:tc>
      </w:tr>
      <w:tr w14:paraId="6C0D1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D1FD7CB">
            <w:pPr>
              <w:pStyle w:val="66"/>
              <w:bidi w:val="0"/>
              <w:rPr>
                <w:lang w:val="en-US" w:eastAsia="zh-CN"/>
              </w:rPr>
            </w:pPr>
          </w:p>
        </w:tc>
        <w:tc>
          <w:tcPr>
            <w:tcW w:w="1124" w:type="pct"/>
            <w:noWrap w:val="0"/>
            <w:vAlign w:val="top"/>
          </w:tcPr>
          <w:p w14:paraId="5B2D0221">
            <w:pPr>
              <w:pStyle w:val="66"/>
              <w:bidi w:val="0"/>
              <w:rPr>
                <w:lang w:val="en-US" w:eastAsia="zh-CN"/>
              </w:rPr>
            </w:pPr>
          </w:p>
        </w:tc>
        <w:tc>
          <w:tcPr>
            <w:tcW w:w="2652" w:type="pct"/>
            <w:noWrap w:val="0"/>
            <w:vAlign w:val="top"/>
          </w:tcPr>
          <w:p w14:paraId="2DF2575C">
            <w:pPr>
              <w:pStyle w:val="66"/>
              <w:bidi w:val="0"/>
              <w:rPr>
                <w:lang w:val="en-US" w:eastAsia="zh-CN"/>
              </w:rPr>
            </w:pPr>
          </w:p>
        </w:tc>
        <w:tc>
          <w:tcPr>
            <w:tcW w:w="725" w:type="pct"/>
            <w:noWrap w:val="0"/>
            <w:vAlign w:val="top"/>
          </w:tcPr>
          <w:p w14:paraId="4B8ACA7C">
            <w:pPr>
              <w:pStyle w:val="66"/>
              <w:bidi w:val="0"/>
              <w:rPr>
                <w:lang w:val="en-US" w:eastAsia="zh-CN"/>
              </w:rPr>
            </w:pPr>
          </w:p>
        </w:tc>
      </w:tr>
      <w:tr w14:paraId="152D4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1C2CE37F">
            <w:pPr>
              <w:pStyle w:val="66"/>
              <w:bidi w:val="0"/>
              <w:rPr>
                <w:lang w:val="en-US" w:eastAsia="zh-CN"/>
              </w:rPr>
            </w:pPr>
          </w:p>
        </w:tc>
        <w:tc>
          <w:tcPr>
            <w:tcW w:w="1124" w:type="pct"/>
            <w:noWrap w:val="0"/>
            <w:vAlign w:val="top"/>
          </w:tcPr>
          <w:p w14:paraId="5EEF4E4C">
            <w:pPr>
              <w:pStyle w:val="66"/>
              <w:bidi w:val="0"/>
              <w:rPr>
                <w:lang w:val="en-US" w:eastAsia="zh-CN"/>
              </w:rPr>
            </w:pPr>
          </w:p>
        </w:tc>
        <w:tc>
          <w:tcPr>
            <w:tcW w:w="2652" w:type="pct"/>
            <w:noWrap w:val="0"/>
            <w:vAlign w:val="top"/>
          </w:tcPr>
          <w:p w14:paraId="2329E624">
            <w:pPr>
              <w:pStyle w:val="66"/>
              <w:bidi w:val="0"/>
              <w:rPr>
                <w:lang w:val="en-US" w:eastAsia="zh-CN"/>
              </w:rPr>
            </w:pPr>
          </w:p>
        </w:tc>
        <w:tc>
          <w:tcPr>
            <w:tcW w:w="725" w:type="pct"/>
            <w:noWrap w:val="0"/>
            <w:vAlign w:val="top"/>
          </w:tcPr>
          <w:p w14:paraId="4C43A6FC">
            <w:pPr>
              <w:pStyle w:val="66"/>
              <w:bidi w:val="0"/>
              <w:rPr>
                <w:lang w:val="en-US" w:eastAsia="zh-CN"/>
              </w:rPr>
            </w:pPr>
          </w:p>
        </w:tc>
      </w:tr>
      <w:tr w14:paraId="0D8C75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498" w:type="pct"/>
            <w:noWrap w:val="0"/>
            <w:vAlign w:val="top"/>
          </w:tcPr>
          <w:p w14:paraId="01340959">
            <w:pPr>
              <w:pStyle w:val="66"/>
              <w:bidi w:val="0"/>
              <w:rPr>
                <w:lang w:val="en-US" w:eastAsia="zh-CN"/>
              </w:rPr>
            </w:pPr>
          </w:p>
        </w:tc>
        <w:tc>
          <w:tcPr>
            <w:tcW w:w="1124" w:type="pct"/>
            <w:noWrap w:val="0"/>
            <w:vAlign w:val="top"/>
          </w:tcPr>
          <w:p w14:paraId="7E878493">
            <w:pPr>
              <w:pStyle w:val="66"/>
              <w:bidi w:val="0"/>
              <w:rPr>
                <w:lang w:val="en-US" w:eastAsia="zh-CN"/>
              </w:rPr>
            </w:pPr>
          </w:p>
        </w:tc>
        <w:tc>
          <w:tcPr>
            <w:tcW w:w="2652" w:type="pct"/>
            <w:noWrap w:val="0"/>
            <w:vAlign w:val="top"/>
          </w:tcPr>
          <w:p w14:paraId="77D3A856">
            <w:pPr>
              <w:pStyle w:val="66"/>
              <w:bidi w:val="0"/>
              <w:rPr>
                <w:lang w:val="en-US" w:eastAsia="zh-CN"/>
              </w:rPr>
            </w:pPr>
          </w:p>
        </w:tc>
        <w:tc>
          <w:tcPr>
            <w:tcW w:w="725" w:type="pct"/>
            <w:noWrap w:val="0"/>
            <w:vAlign w:val="top"/>
          </w:tcPr>
          <w:p w14:paraId="319458FF">
            <w:pPr>
              <w:pStyle w:val="66"/>
              <w:bidi w:val="0"/>
              <w:rPr>
                <w:lang w:val="en-US" w:eastAsia="zh-CN"/>
              </w:rPr>
            </w:pPr>
          </w:p>
        </w:tc>
      </w:tr>
      <w:tr w14:paraId="5B6E1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5000" w:type="pct"/>
            <w:gridSpan w:val="4"/>
            <w:noWrap w:val="0"/>
            <w:vAlign w:val="top"/>
          </w:tcPr>
          <w:p w14:paraId="32D62553">
            <w:pPr>
              <w:pStyle w:val="66"/>
              <w:bidi w:val="0"/>
              <w:rPr>
                <w:lang w:val="en-US" w:eastAsia="zh-CN"/>
              </w:rPr>
            </w:pPr>
            <w:r>
              <w:rPr>
                <w:lang w:val="en-US" w:eastAsia="zh-CN"/>
              </w:rPr>
              <w:t>小计：</w:t>
            </w:r>
          </w:p>
        </w:tc>
      </w:tr>
    </w:tbl>
    <w:p w14:paraId="51868EE2">
      <w:pPr>
        <w:rPr>
          <w:rFonts w:hint="eastAsia" w:ascii="微软雅黑" w:hAnsi="微软雅黑" w:eastAsia="微软雅黑" w:cs="微软雅黑"/>
          <w:b/>
          <w:bCs/>
          <w:color w:val="auto"/>
          <w:sz w:val="32"/>
          <w:szCs w:val="32"/>
          <w:highlight w:val="none"/>
        </w:rPr>
      </w:pPr>
      <w:bookmarkStart w:id="891" w:name="_bookmark4"/>
      <w:bookmarkEnd w:id="891"/>
      <w:r>
        <w:rPr>
          <w:rFonts w:hint="eastAsia" w:ascii="微软雅黑" w:hAnsi="微软雅黑" w:eastAsia="微软雅黑" w:cs="微软雅黑"/>
          <w:b/>
          <w:bCs/>
          <w:color w:val="auto"/>
          <w:sz w:val="32"/>
          <w:szCs w:val="32"/>
          <w:highlight w:val="none"/>
        </w:rPr>
        <w:br w:type="page"/>
      </w:r>
    </w:p>
    <w:p w14:paraId="27E26346">
      <w:pPr>
        <w:pStyle w:val="3"/>
        <w:bidi w:val="0"/>
        <w:rPr>
          <w:rFonts w:hint="eastAsia"/>
        </w:rPr>
      </w:pPr>
      <w:bookmarkStart w:id="892" w:name="_Toc7648"/>
      <w:bookmarkStart w:id="893" w:name="_Toc5188"/>
      <w:bookmarkStart w:id="894" w:name="_Toc1066"/>
      <w:bookmarkStart w:id="895" w:name="_Toc12385"/>
      <w:r>
        <w:rPr>
          <w:rFonts w:hint="eastAsia"/>
          <w:lang w:val="en-US" w:eastAsia="zh-CN"/>
        </w:rPr>
        <w:t xml:space="preserve">第六章 </w:t>
      </w:r>
      <w:r>
        <w:rPr>
          <w:rFonts w:hint="eastAsia"/>
        </w:rPr>
        <w:t>响应文件的格式</w:t>
      </w:r>
      <w:bookmarkEnd w:id="892"/>
      <w:bookmarkEnd w:id="893"/>
      <w:bookmarkEnd w:id="894"/>
      <w:bookmarkEnd w:id="895"/>
    </w:p>
    <w:p w14:paraId="6DC90E3C">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202803F7">
      <w:pPr>
        <w:autoSpaceDE w:val="0"/>
        <w:autoSpaceDN w:val="0"/>
        <w:adjustRightInd w:val="0"/>
        <w:rPr>
          <w:color w:val="auto"/>
          <w:sz w:val="21"/>
          <w:szCs w:val="24"/>
          <w:highlight w:val="none"/>
        </w:rPr>
      </w:pPr>
    </w:p>
    <w:p w14:paraId="73B11C8A">
      <w:pPr>
        <w:autoSpaceDE w:val="0"/>
        <w:autoSpaceDN w:val="0"/>
        <w:adjustRightInd w:val="0"/>
        <w:rPr>
          <w:color w:val="auto"/>
          <w:sz w:val="21"/>
          <w:szCs w:val="24"/>
          <w:highlight w:val="none"/>
        </w:rPr>
      </w:pPr>
    </w:p>
    <w:p w14:paraId="04F72DAC">
      <w:pPr>
        <w:autoSpaceDE w:val="0"/>
        <w:autoSpaceDN w:val="0"/>
        <w:adjustRightInd w:val="0"/>
        <w:jc w:val="center"/>
        <w:rPr>
          <w:color w:val="auto"/>
          <w:sz w:val="21"/>
          <w:szCs w:val="24"/>
          <w:highlight w:val="none"/>
        </w:rPr>
      </w:pPr>
    </w:p>
    <w:p w14:paraId="172B0BB8">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5481DD61">
      <w:pPr>
        <w:autoSpaceDE w:val="0"/>
        <w:autoSpaceDN w:val="0"/>
        <w:adjustRightInd w:val="0"/>
        <w:jc w:val="center"/>
        <w:rPr>
          <w:color w:val="auto"/>
          <w:sz w:val="21"/>
          <w:szCs w:val="24"/>
          <w:highlight w:val="none"/>
        </w:rPr>
      </w:pPr>
    </w:p>
    <w:p w14:paraId="0ADDA00E">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6A8C389B">
      <w:pPr>
        <w:bidi w:val="0"/>
        <w:ind w:left="0" w:leftChars="0" w:firstLine="0" w:firstLineChars="0"/>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lang w:val="en-US" w:eastAsia="zh-CN"/>
        </w:rPr>
        <w:t>磋商</w:t>
      </w:r>
      <w:r>
        <w:rPr>
          <w:rFonts w:hint="eastAsia" w:ascii="宋体" w:hAnsi="宋体" w:eastAsia="宋体" w:cs="宋体"/>
          <w:b/>
          <w:bCs/>
          <w:color w:val="auto"/>
          <w:sz w:val="72"/>
          <w:szCs w:val="72"/>
          <w:highlight w:val="none"/>
        </w:rPr>
        <w:t>响应文件</w:t>
      </w:r>
    </w:p>
    <w:p w14:paraId="2FA1541E">
      <w:pPr>
        <w:autoSpaceDE w:val="0"/>
        <w:autoSpaceDN w:val="0"/>
        <w:adjustRightInd w:val="0"/>
        <w:jc w:val="center"/>
        <w:rPr>
          <w:color w:val="auto"/>
          <w:sz w:val="21"/>
          <w:szCs w:val="24"/>
          <w:highlight w:val="none"/>
        </w:rPr>
      </w:pPr>
    </w:p>
    <w:p w14:paraId="18260058">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2131F427">
      <w:pPr>
        <w:autoSpaceDE w:val="0"/>
        <w:autoSpaceDN w:val="0"/>
        <w:adjustRightInd w:val="0"/>
        <w:jc w:val="center"/>
        <w:rPr>
          <w:color w:val="auto"/>
          <w:sz w:val="21"/>
          <w:szCs w:val="24"/>
          <w:highlight w:val="none"/>
        </w:rPr>
      </w:pPr>
    </w:p>
    <w:p w14:paraId="51FD1BA0">
      <w:pPr>
        <w:bidi w:val="0"/>
        <w:ind w:left="0" w:leftChars="0" w:firstLine="0" w:firstLineChars="0"/>
        <w:jc w:val="center"/>
        <w:rPr>
          <w:rFonts w:hint="eastAsia" w:ascii="宋体" w:hAnsi="宋体" w:eastAsia="宋体" w:cs="宋体"/>
          <w:b/>
          <w:bCs/>
          <w:color w:val="auto"/>
          <w:sz w:val="56"/>
          <w:szCs w:val="56"/>
          <w:highlight w:val="none"/>
          <w:lang w:val="en-US" w:eastAsia="zh-CN"/>
        </w:rPr>
      </w:pPr>
    </w:p>
    <w:p w14:paraId="07E4B3F2">
      <w:pPr>
        <w:bidi w:val="0"/>
        <w:rPr>
          <w:rFonts w:hint="eastAsia"/>
          <w:b/>
          <w:bCs/>
          <w:lang w:val="en-US" w:eastAsia="zh-CN"/>
        </w:rPr>
      </w:pPr>
      <w:r>
        <w:rPr>
          <w:rFonts w:hint="eastAsia"/>
          <w:b/>
          <w:bCs/>
        </w:rPr>
        <w:t>供应商名称（加盖公章）：</w:t>
      </w:r>
      <w:r>
        <w:rPr>
          <w:rFonts w:hint="eastAsia"/>
          <w:b/>
          <w:bCs/>
          <w:lang w:val="en-US" w:eastAsia="zh-CN"/>
        </w:rPr>
        <w:t xml:space="preserve">                                </w:t>
      </w:r>
    </w:p>
    <w:p w14:paraId="7AF92DEA">
      <w:pPr>
        <w:bidi w:val="0"/>
        <w:rPr>
          <w:rFonts w:hint="eastAsia"/>
          <w:b/>
          <w:bCs/>
          <w:lang w:val="en-US" w:eastAsia="zh-CN"/>
        </w:rPr>
      </w:pPr>
      <w:r>
        <w:rPr>
          <w:rFonts w:hint="eastAsia"/>
          <w:b/>
          <w:bCs/>
          <w:lang w:val="en-US" w:eastAsia="zh-CN"/>
        </w:rPr>
        <w:t>供应商地址：</w:t>
      </w:r>
    </w:p>
    <w:p w14:paraId="50F61B06">
      <w:pPr>
        <w:bidi w:val="0"/>
        <w:rPr>
          <w:rFonts w:hint="eastAsia"/>
          <w:b/>
          <w:bCs/>
          <w:lang w:val="en-US" w:eastAsia="zh-CN"/>
        </w:rPr>
      </w:pPr>
      <w:r>
        <w:rPr>
          <w:rFonts w:hint="eastAsia"/>
          <w:b/>
          <w:bCs/>
          <w:lang w:val="en-US" w:eastAsia="zh-CN"/>
        </w:rPr>
        <w:t xml:space="preserve">供应商联系人：      </w:t>
      </w:r>
    </w:p>
    <w:p w14:paraId="0A7CB7AA">
      <w:pPr>
        <w:bidi w:val="0"/>
        <w:rPr>
          <w:rFonts w:hint="default"/>
          <w:b/>
          <w:bCs/>
          <w:lang w:val="en-US" w:eastAsia="zh-CN"/>
        </w:rPr>
      </w:pPr>
      <w:r>
        <w:rPr>
          <w:rFonts w:hint="eastAsia"/>
          <w:b/>
          <w:bCs/>
          <w:lang w:val="en-US" w:eastAsia="zh-CN"/>
        </w:rPr>
        <w:t>电话：</w:t>
      </w:r>
    </w:p>
    <w:p w14:paraId="04A2E4D6">
      <w:pPr>
        <w:rPr>
          <w:rFonts w:hint="eastAsia" w:ascii="宋体" w:hAnsi="宋体"/>
          <w:b/>
          <w:bCs/>
          <w:color w:val="auto"/>
          <w:sz w:val="32"/>
          <w:szCs w:val="32"/>
          <w:highlight w:val="none"/>
        </w:rPr>
      </w:pPr>
      <w:bookmarkStart w:id="896" w:name="_Toc9356_WPSOffice_Level1"/>
      <w:r>
        <w:rPr>
          <w:rFonts w:hint="eastAsia" w:ascii="宋体" w:hAnsi="宋体"/>
          <w:b/>
          <w:bCs/>
          <w:color w:val="auto"/>
          <w:sz w:val="32"/>
          <w:szCs w:val="32"/>
          <w:highlight w:val="none"/>
        </w:rPr>
        <w:br w:type="page"/>
      </w:r>
    </w:p>
    <w:p w14:paraId="07172F69">
      <w:pPr>
        <w:pStyle w:val="69"/>
        <w:bidi w:val="0"/>
        <w:rPr>
          <w:rFonts w:hint="eastAsia"/>
          <w:lang w:eastAsia="zh-CN"/>
        </w:rPr>
      </w:pPr>
      <w:r>
        <w:rPr>
          <w:rFonts w:hint="eastAsia"/>
        </w:rPr>
        <w:t>响应文件主要目录</w:t>
      </w:r>
      <w:bookmarkEnd w:id="896"/>
    </w:p>
    <w:p w14:paraId="5E905480">
      <w:pPr>
        <w:bidi w:val="0"/>
      </w:pPr>
      <w:r>
        <w:t>一、资格证明文件…………………………………………………………………………（页数）</w:t>
      </w:r>
    </w:p>
    <w:p w14:paraId="016C671A">
      <w:pPr>
        <w:bidi w:val="0"/>
      </w:pPr>
      <w:r>
        <w:t>二、</w:t>
      </w:r>
      <w:r>
        <w:rPr>
          <w:rFonts w:hint="eastAsia"/>
          <w:lang w:val="en-US" w:eastAsia="zh-CN"/>
        </w:rPr>
        <w:t>报价响应文件</w:t>
      </w:r>
      <w:r>
        <w:t>…………………………………………………………………………（页数）</w:t>
      </w:r>
    </w:p>
    <w:p w14:paraId="70A432C6">
      <w:pPr>
        <w:bidi w:val="0"/>
        <w:rPr>
          <w:rFonts w:ascii="宋体" w:hAnsi="宋体" w:eastAsia="宋体"/>
        </w:rPr>
      </w:pPr>
      <w:r>
        <w:rPr>
          <w:rFonts w:ascii="宋体" w:hAnsi="宋体" w:eastAsia="宋体"/>
        </w:rPr>
        <w:t>三、</w:t>
      </w:r>
      <w:r>
        <w:rPr>
          <w:rFonts w:hint="eastAsia" w:ascii="宋体" w:hAnsi="宋体" w:eastAsia="宋体"/>
          <w:lang w:val="en-US" w:eastAsia="zh-CN"/>
        </w:rPr>
        <w:t>商务技术响应文件</w:t>
      </w:r>
      <w:r>
        <w:rPr>
          <w:rFonts w:ascii="宋体" w:hAnsi="宋体" w:eastAsia="宋体"/>
        </w:rPr>
        <w:t>……………………………………………………………………（页数）</w:t>
      </w:r>
    </w:p>
    <w:p w14:paraId="6CB87FF9">
      <w:pPr>
        <w:pageBreakBefore w:val="0"/>
        <w:kinsoku/>
        <w:overflowPunct/>
        <w:topLinePunct w:val="0"/>
        <w:bidi w:val="0"/>
        <w:spacing w:line="360" w:lineRule="auto"/>
        <w:rPr>
          <w:b/>
          <w:bCs/>
          <w:color w:val="auto"/>
          <w:sz w:val="24"/>
          <w:szCs w:val="24"/>
          <w:highlight w:val="none"/>
        </w:rPr>
      </w:pPr>
      <w:r>
        <w:rPr>
          <w:rFonts w:hint="eastAsia"/>
          <w:spacing w:val="-1"/>
          <w:lang w:val="en-US" w:eastAsia="zh-CN"/>
        </w:rPr>
        <w:t>自行添加详细的二级、三级目录</w:t>
      </w:r>
    </w:p>
    <w:p w14:paraId="619AF0CC">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F337A4D">
      <w:pPr>
        <w:pStyle w:val="4"/>
        <w:bidi w:val="0"/>
        <w:rPr>
          <w:rFonts w:hint="default"/>
          <w:lang w:val="en-US"/>
        </w:rPr>
      </w:pPr>
      <w:r>
        <w:rPr>
          <w:rFonts w:hint="eastAsia"/>
          <w:lang w:val="en-US" w:eastAsia="zh-CN"/>
        </w:rPr>
        <w:t>一、资格响应文件</w:t>
      </w:r>
    </w:p>
    <w:p w14:paraId="155BA8B5">
      <w:pPr>
        <w:pStyle w:val="69"/>
        <w:bidi w:val="0"/>
        <w:jc w:val="center"/>
        <w:rPr>
          <w:rFonts w:hint="eastAsia"/>
          <w:color w:val="auto"/>
          <w:sz w:val="28"/>
          <w:szCs w:val="28"/>
          <w:lang w:val="en-US" w:eastAsia="zh-CN"/>
        </w:rPr>
      </w:pPr>
      <w:r>
        <w:rPr>
          <w:rFonts w:hint="eastAsia"/>
          <w:color w:val="auto"/>
          <w:sz w:val="28"/>
          <w:szCs w:val="28"/>
          <w:lang w:val="en-US" w:eastAsia="zh-CN"/>
        </w:rPr>
        <w:t>1、《中华人民共和国政府采购法》第二十二条应当具备的条件；</w:t>
      </w:r>
    </w:p>
    <w:p w14:paraId="33B0ED5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①具有独立承担民事责任的能力；</w:t>
      </w:r>
    </w:p>
    <w:p w14:paraId="149C2F7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②具有良好的商业信誉和健全的财务会计制度；</w:t>
      </w:r>
    </w:p>
    <w:p w14:paraId="45EE065B">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③有依法缴纳税收和社会保障资金的良好记录；</w:t>
      </w:r>
    </w:p>
    <w:p w14:paraId="7377DFDB">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④具有履行合同所必需的设备和专业技术能力；</w:t>
      </w:r>
    </w:p>
    <w:p w14:paraId="68D00B91">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⑤参加政府采购活动前三年内，在经营活动中没有重大违法记录；</w:t>
      </w:r>
    </w:p>
    <w:p w14:paraId="22459A3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⑥法律、行政法规规定的其他条件;</w:t>
      </w:r>
    </w:p>
    <w:p w14:paraId="7F6CE5A5">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须提供以下资料：</w:t>
      </w:r>
    </w:p>
    <w:p w14:paraId="1D1453B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1.1、具有独立承担民事责任的能力；须提供相关证明材料，其中：</w:t>
      </w:r>
    </w:p>
    <w:p w14:paraId="19CB1007">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供应商是企业（包括合伙企业）的，须提供其在工商部门注册的有效“营业执照”的复印件；</w:t>
      </w:r>
    </w:p>
    <w:p w14:paraId="3CAE008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供应商是事业单位的，须提供其有效的“事业单位法人证书”复印件；</w:t>
      </w:r>
    </w:p>
    <w:p w14:paraId="7B55B47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供应商是非企业专业服务机构的，须提供其有效的执业许可证复印件；</w:t>
      </w:r>
    </w:p>
    <w:p w14:paraId="54AADF24">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供应商是个体工商户的，须提供其有效的“个体工商户营业执照” 复印件；</w:t>
      </w:r>
    </w:p>
    <w:p w14:paraId="53D2B3D8">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auto"/>
          <w:sz w:val="28"/>
          <w:szCs w:val="28"/>
          <w:highlight w:val="none"/>
          <w:lang w:val="en-US" w:eastAsia="zh-CN"/>
        </w:rPr>
      </w:pPr>
      <w:r>
        <w:rPr>
          <w:rFonts w:hint="eastAsia" w:ascii="宋体" w:hAnsi="宋体" w:eastAsia="宋体" w:cs="宋体"/>
          <w:b/>
          <w:bCs w:val="0"/>
          <w:color w:val="auto"/>
          <w:sz w:val="28"/>
          <w:szCs w:val="28"/>
          <w:highlight w:val="none"/>
          <w:lang w:val="en-US" w:eastAsia="zh-CN"/>
        </w:rPr>
        <w:t>以上复印件须加盖供应商公章。</w:t>
      </w:r>
    </w:p>
    <w:p w14:paraId="340F0D0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供应商是自然人的，应提供其有效的自然人身份证明；</w:t>
      </w:r>
    </w:p>
    <w:p w14:paraId="5EE87EB1">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1.2、提供会计师事务所出具的2024年度或2025年度财务审计报告或财务报表或银行在开标日前一个月内开具的银行资信证明或投标担保函（成立不足一个月的供应商无需提供）；（所有扫描件必须提供原件扫描件）</w:t>
      </w:r>
    </w:p>
    <w:p w14:paraId="1DB8515E">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1.3、</w:t>
      </w:r>
      <w:r>
        <w:rPr>
          <w:rFonts w:hint="eastAsia" w:cs="宋体"/>
          <w:b w:val="0"/>
          <w:bCs/>
          <w:color w:val="auto"/>
          <w:sz w:val="28"/>
          <w:szCs w:val="28"/>
          <w:highlight w:val="none"/>
          <w:lang w:val="en-US" w:eastAsia="zh-CN"/>
        </w:rPr>
        <w:t>（1）</w:t>
      </w:r>
      <w:r>
        <w:rPr>
          <w:rFonts w:hint="eastAsia" w:ascii="宋体" w:hAnsi="宋体" w:eastAsia="宋体" w:cs="宋体"/>
          <w:b w:val="0"/>
          <w:bCs/>
          <w:color w:val="auto"/>
          <w:sz w:val="28"/>
          <w:szCs w:val="28"/>
          <w:highlight w:val="none"/>
          <w:lang w:val="en-US" w:eastAsia="zh-CN"/>
        </w:rPr>
        <w:t>须提供投标文件递交截止日期之前六个月内（2026年1</w:t>
      </w:r>
      <w:r>
        <w:rPr>
          <w:rFonts w:hint="eastAsia" w:cs="宋体"/>
          <w:b w:val="0"/>
          <w:bCs/>
          <w:color w:val="auto"/>
          <w:sz w:val="28"/>
          <w:szCs w:val="28"/>
          <w:highlight w:val="none"/>
          <w:lang w:val="en-US" w:eastAsia="zh-CN"/>
        </w:rPr>
        <w:t>月</w:t>
      </w:r>
      <w:r>
        <w:rPr>
          <w:rFonts w:hint="eastAsia" w:ascii="宋体" w:hAnsi="宋体" w:eastAsia="宋体" w:cs="宋体"/>
          <w:b w:val="0"/>
          <w:bCs/>
          <w:color w:val="auto"/>
          <w:sz w:val="28"/>
          <w:szCs w:val="28"/>
          <w:highlight w:val="none"/>
          <w:lang w:val="en-US" w:eastAsia="zh-CN"/>
        </w:rPr>
        <w:t xml:space="preserve">-6月）任何1个月的纳税记录或证明文件（依法免税的应提供相应文件说明）（加盖电子印章）； </w:t>
      </w:r>
    </w:p>
    <w:p w14:paraId="748E0FCF">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cs="宋体"/>
          <w:b w:val="0"/>
          <w:bCs/>
          <w:color w:val="auto"/>
          <w:sz w:val="28"/>
          <w:szCs w:val="28"/>
          <w:highlight w:val="none"/>
          <w:lang w:val="en-US" w:eastAsia="zh-CN"/>
        </w:rPr>
        <w:t>（2）</w:t>
      </w:r>
      <w:r>
        <w:rPr>
          <w:rFonts w:hint="eastAsia" w:ascii="宋体" w:hAnsi="宋体" w:eastAsia="宋体" w:cs="宋体"/>
          <w:b w:val="0"/>
          <w:bCs/>
          <w:color w:val="auto"/>
          <w:sz w:val="28"/>
          <w:szCs w:val="28"/>
          <w:highlight w:val="none"/>
          <w:lang w:val="en-US" w:eastAsia="zh-CN"/>
        </w:rPr>
        <w:t>须提供投标文件递交截止日期之前六个月内（2026年1</w:t>
      </w:r>
      <w:r>
        <w:rPr>
          <w:rFonts w:hint="eastAsia" w:cs="宋体"/>
          <w:b w:val="0"/>
          <w:bCs/>
          <w:color w:val="auto"/>
          <w:sz w:val="28"/>
          <w:szCs w:val="28"/>
          <w:highlight w:val="none"/>
          <w:lang w:val="en-US" w:eastAsia="zh-CN"/>
        </w:rPr>
        <w:t>月</w:t>
      </w:r>
      <w:r>
        <w:rPr>
          <w:rFonts w:hint="eastAsia" w:ascii="宋体" w:hAnsi="宋体" w:eastAsia="宋体" w:cs="宋体"/>
          <w:b w:val="0"/>
          <w:bCs/>
          <w:color w:val="auto"/>
          <w:sz w:val="28"/>
          <w:szCs w:val="28"/>
          <w:highlight w:val="none"/>
          <w:lang w:val="en-US" w:eastAsia="zh-CN"/>
        </w:rPr>
        <w:t>-6月）为员工缴纳社会保障资金的证明材料原件或扫描件投标人加盖电子印章（任意一个月即可）（依法不需要缴纳社会保障资金的应提供相应文件说明）（加盖电子印章）；</w:t>
      </w:r>
    </w:p>
    <w:p w14:paraId="68CFFA4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auto"/>
          <w:sz w:val="28"/>
          <w:szCs w:val="28"/>
          <w:highlight w:val="none"/>
          <w:lang w:val="en-US" w:eastAsia="zh-CN"/>
        </w:rPr>
      </w:pPr>
      <w:r>
        <w:rPr>
          <w:rFonts w:hint="eastAsia" w:ascii="宋体" w:hAnsi="宋体" w:eastAsia="宋体" w:cs="宋体"/>
          <w:b w:val="0"/>
          <w:bCs/>
          <w:color w:val="auto"/>
          <w:sz w:val="28"/>
          <w:szCs w:val="28"/>
          <w:highlight w:val="none"/>
          <w:lang w:val="en-US" w:eastAsia="zh-CN"/>
        </w:rPr>
        <w:t>1.4、须提供具有履行合同所必需的设备和专业技术能力相关证明材料或声明；（加盖电子印章）</w:t>
      </w:r>
    </w:p>
    <w:p w14:paraId="2B41D789">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书面声明格式：</w:t>
      </w:r>
    </w:p>
    <w:p w14:paraId="1C6A97CC">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本供应商郑重声明：</w:t>
      </w:r>
    </w:p>
    <w:p w14:paraId="59B95F46">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本公司（或单位）具备本项目履行合同所必需的设备和专业技术能力，特此声明。</w:t>
      </w:r>
    </w:p>
    <w:p w14:paraId="2E2F38F0">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供应商法定代表人（或法定代表人授权代表）签字或盖章：</w:t>
      </w:r>
    </w:p>
    <w:p w14:paraId="3D8D5617">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供应商名称（加盖公章）：</w:t>
      </w:r>
    </w:p>
    <w:p w14:paraId="2CB5C202">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日期：   年   月   日</w:t>
      </w:r>
    </w:p>
    <w:p w14:paraId="311F362E">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color w:val="000000"/>
          <w:sz w:val="28"/>
          <w:szCs w:val="28"/>
          <w:highlight w:val="none"/>
          <w:lang w:val="en-US" w:eastAsia="zh-CN"/>
        </w:rPr>
      </w:pPr>
    </w:p>
    <w:p w14:paraId="310B8275">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1.5、须提供参加政府采购活动前三年内，在经营活动中没有重大违法记录的书面声明；（加盖电子印章）</w:t>
      </w:r>
    </w:p>
    <w:p w14:paraId="5F7E97CC">
      <w:pPr>
        <w:pageBreakBefore w:val="0"/>
        <w:numPr>
          <w:ilvl w:val="0"/>
          <w:numId w:val="0"/>
        </w:numPr>
        <w:kinsoku/>
        <w:wordWrap/>
        <w:overflowPunct/>
        <w:topLinePunct w:val="0"/>
        <w:bidi w:val="0"/>
        <w:spacing w:beforeAutospacing="0" w:afterAutospacing="0" w:line="360" w:lineRule="auto"/>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我单位郑重声明： </w:t>
      </w:r>
    </w:p>
    <w:p w14:paraId="155ACC7C">
      <w:pPr>
        <w:pageBreakBefore w:val="0"/>
        <w:numPr>
          <w:ilvl w:val="0"/>
          <w:numId w:val="0"/>
        </w:numPr>
        <w:kinsoku/>
        <w:wordWrap/>
        <w:overflowPunct/>
        <w:topLinePunct w:val="0"/>
        <w:bidi w:val="0"/>
        <w:spacing w:beforeAutospacing="0" w:afterAutospacing="0" w:line="360" w:lineRule="auto"/>
        <w:ind w:firstLine="562" w:firstLineChars="200"/>
        <w:jc w:val="lef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50A78587">
      <w:pPr>
        <w:pageBreakBefore w:val="0"/>
        <w:numPr>
          <w:ilvl w:val="0"/>
          <w:numId w:val="0"/>
        </w:numPr>
        <w:kinsoku/>
        <w:wordWrap/>
        <w:overflowPunct/>
        <w:topLinePunct w:val="0"/>
        <w:bidi w:val="0"/>
        <w:spacing w:beforeAutospacing="0" w:afterAutospacing="0" w:line="360" w:lineRule="auto"/>
        <w:ind w:firstLine="562" w:firstLineChars="200"/>
        <w:jc w:val="both"/>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 xml:space="preserve">如我公司声明与实际不符，我公司将承担因此引起的一切后果。 </w:t>
      </w:r>
    </w:p>
    <w:p w14:paraId="2DE40668">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供应商法定代表人（或法定代表人授权代表）签字或盖章：</w:t>
      </w:r>
    </w:p>
    <w:p w14:paraId="0C7F89D1">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供应商名称（加盖公章）：</w:t>
      </w:r>
    </w:p>
    <w:p w14:paraId="2FAC5405">
      <w:pPr>
        <w:pageBreakBefore w:val="0"/>
        <w:numPr>
          <w:ilvl w:val="0"/>
          <w:numId w:val="0"/>
        </w:numPr>
        <w:kinsoku/>
        <w:wordWrap/>
        <w:overflowPunct/>
        <w:topLinePunct w:val="0"/>
        <w:bidi w:val="0"/>
        <w:spacing w:beforeAutospacing="0" w:afterAutospacing="0" w:line="360" w:lineRule="auto"/>
        <w:jc w:val="right"/>
        <w:rPr>
          <w:rFonts w:hint="eastAsia" w:ascii="宋体" w:hAnsi="宋体" w:eastAsia="宋体" w:cs="宋体"/>
          <w:b/>
          <w:bCs w:val="0"/>
          <w:color w:val="000000"/>
          <w:sz w:val="28"/>
          <w:szCs w:val="28"/>
          <w:highlight w:val="none"/>
          <w:lang w:val="en-US" w:eastAsia="zh-CN"/>
        </w:rPr>
      </w:pPr>
      <w:r>
        <w:rPr>
          <w:rFonts w:hint="eastAsia" w:ascii="宋体" w:hAnsi="宋体" w:eastAsia="宋体" w:cs="宋体"/>
          <w:b/>
          <w:bCs w:val="0"/>
          <w:color w:val="000000"/>
          <w:sz w:val="28"/>
          <w:szCs w:val="28"/>
          <w:highlight w:val="none"/>
          <w:lang w:val="en-US" w:eastAsia="zh-CN"/>
        </w:rPr>
        <w:t>日期：   年   月   日</w:t>
      </w:r>
    </w:p>
    <w:p w14:paraId="72C66C5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1.6、法律、行政法规规定的其他条件;</w:t>
      </w:r>
    </w:p>
    <w:p w14:paraId="40A2D389">
      <w:pPr>
        <w:keepNext w:val="0"/>
        <w:keepLines w:val="0"/>
        <w:pageBreakBefore w:val="0"/>
        <w:widowControl w:val="0"/>
        <w:kinsoku/>
        <w:wordWrap/>
        <w:overflowPunct/>
        <w:topLinePunct w:val="0"/>
        <w:autoSpaceDE w:val="0"/>
        <w:autoSpaceDN w:val="0"/>
        <w:bidi w:val="0"/>
        <w:adjustRightInd/>
        <w:snapToGrid/>
        <w:spacing w:line="360" w:lineRule="auto"/>
        <w:ind w:firstLine="2530" w:firstLineChars="900"/>
        <w:jc w:val="both"/>
        <w:textAlignment w:val="auto"/>
        <w:rPr>
          <w:rFonts w:hint="eastAsia" w:asciiTheme="majorEastAsia" w:hAnsiTheme="majorEastAsia" w:eastAsiaTheme="majorEastAsia" w:cstheme="majorEastAsia"/>
          <w:b/>
          <w:bCs/>
          <w:color w:val="auto"/>
          <w:sz w:val="28"/>
          <w:szCs w:val="28"/>
          <w:highlight w:val="none"/>
          <w:lang w:val="en-US" w:eastAsia="zh-CN"/>
        </w:rPr>
      </w:pPr>
      <w:r>
        <w:rPr>
          <w:rFonts w:hint="eastAsia" w:ascii="宋体" w:hAnsi="宋体" w:eastAsia="宋体" w:cs="宋体"/>
          <w:b/>
          <w:bCs w:val="0"/>
          <w:color w:val="000000"/>
          <w:sz w:val="28"/>
          <w:szCs w:val="28"/>
          <w:highlight w:val="none"/>
          <w:lang w:val="en-US" w:eastAsia="zh-CN"/>
        </w:rPr>
        <w:t>格式自拟</w:t>
      </w:r>
    </w:p>
    <w:p w14:paraId="4415F610">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492E8FDE">
      <w:pPr>
        <w:numPr>
          <w:ilvl w:val="0"/>
          <w:numId w:val="2"/>
        </w:numPr>
        <w:jc w:val="center"/>
        <w:rPr>
          <w:rFonts w:hint="eastAsia" w:ascii="华文中宋" w:hAnsi="华文中宋" w:eastAsia="宋体" w:cs="Times New Roman"/>
          <w:b/>
          <w:color w:val="auto"/>
          <w:kern w:val="2"/>
          <w:sz w:val="32"/>
          <w:szCs w:val="44"/>
          <w:lang w:val="en-US" w:eastAsia="zh-CN" w:bidi="ar-SA"/>
        </w:rPr>
      </w:pPr>
      <w:r>
        <w:rPr>
          <w:rFonts w:hint="eastAsia" w:ascii="华文中宋" w:hAnsi="华文中宋" w:eastAsia="宋体" w:cs="Times New Roman"/>
          <w:b/>
          <w:color w:val="auto"/>
          <w:kern w:val="2"/>
          <w:sz w:val="32"/>
          <w:szCs w:val="44"/>
          <w:lang w:val="en-US" w:eastAsia="zh-CN" w:bidi="ar-SA"/>
        </w:rPr>
        <w:t>投标保证金汇款凭证或保函</w:t>
      </w:r>
    </w:p>
    <w:p w14:paraId="029ABCF2">
      <w:pPr>
        <w:widowControl w:val="0"/>
        <w:numPr>
          <w:ilvl w:val="0"/>
          <w:numId w:val="0"/>
        </w:numPr>
        <w:spacing w:line="360" w:lineRule="auto"/>
        <w:jc w:val="center"/>
        <w:rPr>
          <w:rFonts w:hint="eastAsia" w:ascii="华文中宋" w:hAnsi="华文中宋" w:eastAsia="宋体" w:cs="Times New Roman"/>
          <w:b/>
          <w:color w:val="auto"/>
          <w:kern w:val="2"/>
          <w:sz w:val="32"/>
          <w:szCs w:val="44"/>
          <w:lang w:val="en-US" w:eastAsia="zh-CN" w:bidi="ar-SA"/>
        </w:rPr>
      </w:pPr>
    </w:p>
    <w:p w14:paraId="64ADBD67">
      <w:pPr>
        <w:bidi w:val="0"/>
        <w:rPr>
          <w:rFonts w:hint="eastAsia"/>
          <w:lang w:val="en-US" w:eastAsia="zh-CN"/>
        </w:rPr>
      </w:pPr>
      <w:r>
        <w:rPr>
          <w:rFonts w:hint="eastAsia"/>
          <w:lang w:val="en-US" w:eastAsia="zh-CN"/>
        </w:rPr>
        <w:t>须提供投标保证金缴纳凭证（打印件或复印件或电子保函相关资料）；（加盖电子印章）</w:t>
      </w:r>
    </w:p>
    <w:p w14:paraId="09BF763E">
      <w:pPr>
        <w:numPr>
          <w:ilvl w:val="0"/>
          <w:numId w:val="2"/>
        </w:numPr>
        <w:rPr>
          <w:rFonts w:hint="eastAsia"/>
          <w:lang w:val="en-US" w:eastAsia="zh-CN"/>
        </w:rPr>
      </w:pPr>
      <w:r>
        <w:rPr>
          <w:rFonts w:hint="eastAsia"/>
          <w:lang w:val="en-US" w:eastAsia="zh-CN"/>
        </w:rPr>
        <w:br w:type="page"/>
      </w:r>
    </w:p>
    <w:p w14:paraId="3CAE50B2">
      <w:pPr>
        <w:pStyle w:val="69"/>
        <w:bidi w:val="0"/>
        <w:rPr>
          <w:rFonts w:hint="eastAsia"/>
          <w:lang w:val="en-US" w:eastAsia="zh-CN"/>
        </w:rPr>
      </w:pPr>
      <w:r>
        <w:rPr>
          <w:rFonts w:hint="eastAsia"/>
          <w:lang w:val="en-US" w:eastAsia="zh-CN"/>
        </w:rPr>
        <w:t>3、中小企业声明函</w:t>
      </w:r>
    </w:p>
    <w:p w14:paraId="31BC46BF">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both"/>
        <w:textAlignment w:val="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val="en-US" w:eastAsia="zh-CN"/>
        </w:rPr>
        <w:t>3.1</w:t>
      </w:r>
      <w:r>
        <w:rPr>
          <w:rFonts w:hint="eastAsia" w:asciiTheme="majorEastAsia" w:hAnsiTheme="majorEastAsia" w:eastAsiaTheme="majorEastAsia" w:cstheme="majorEastAsia"/>
          <w:b/>
          <w:bCs/>
          <w:color w:val="auto"/>
          <w:sz w:val="24"/>
          <w:szCs w:val="24"/>
          <w:highlight w:val="none"/>
        </w:rPr>
        <w:t>中小企业声明函</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lang w:val="en-US" w:eastAsia="zh-CN"/>
        </w:rPr>
        <w:t>实质性条款</w:t>
      </w:r>
      <w:r>
        <w:rPr>
          <w:rFonts w:hint="eastAsia" w:asciiTheme="majorEastAsia" w:hAnsiTheme="majorEastAsia" w:eastAsiaTheme="majorEastAsia" w:cstheme="majorEastAsia"/>
          <w:b/>
          <w:bCs/>
          <w:color w:val="auto"/>
          <w:sz w:val="24"/>
          <w:szCs w:val="24"/>
          <w:highlight w:val="none"/>
          <w:lang w:eastAsia="zh-CN"/>
        </w:rPr>
        <w:t>）</w:t>
      </w:r>
      <w:r>
        <w:rPr>
          <w:rFonts w:hint="eastAsia" w:asciiTheme="majorEastAsia" w:hAnsiTheme="majorEastAsia" w:eastAsiaTheme="majorEastAsia" w:cstheme="majorEastAsia"/>
          <w:b/>
          <w:bCs/>
          <w:color w:val="auto"/>
          <w:sz w:val="24"/>
          <w:szCs w:val="24"/>
          <w:highlight w:val="none"/>
        </w:rPr>
        <w:t xml:space="preserve"> </w:t>
      </w:r>
    </w:p>
    <w:p w14:paraId="4D49803B">
      <w:pPr>
        <w:bidi w:val="0"/>
        <w:rPr>
          <w:rFonts w:hint="eastAsia" w:ascii="宋体" w:hAnsi="宋体" w:eastAsia="宋体" w:cs="宋体"/>
          <w:color w:val="auto"/>
          <w:spacing w:val="6"/>
          <w:kern w:val="0"/>
          <w:sz w:val="28"/>
          <w:szCs w:val="28"/>
          <w:highlight w:val="none"/>
          <w:lang w:val="zh-CN" w:eastAsia="zh-CN" w:bidi="zh-CN"/>
        </w:rPr>
      </w:pPr>
      <w:r>
        <w:rPr>
          <w:rFonts w:hint="eastAsia" w:ascii="宋体" w:hAnsi="宋体" w:eastAsia="宋体" w:cs="宋体"/>
          <w:color w:val="auto"/>
          <w:spacing w:val="6"/>
          <w:kern w:val="0"/>
          <w:sz w:val="28"/>
          <w:szCs w:val="28"/>
          <w:highlight w:val="none"/>
          <w:lang w:val="zh-CN" w:eastAsia="zh-CN" w:bidi="zh-CN"/>
        </w:rPr>
        <w:t>本公司（联合体）郑重声明，根据《政府采购促进中小企业发展管理办法》（财库〔2020〕46号）的规定，</w:t>
      </w:r>
      <w:r>
        <w:rPr>
          <w:rFonts w:hint="eastAsia" w:ascii="宋体" w:hAnsi="宋体" w:eastAsia="宋体" w:cs="宋体"/>
          <w:color w:val="auto"/>
          <w:spacing w:val="6"/>
          <w:kern w:val="0"/>
          <w:sz w:val="28"/>
          <w:szCs w:val="28"/>
          <w:highlight w:val="none"/>
          <w:u w:val="single"/>
          <w:lang w:val="zh-CN" w:eastAsia="zh-CN" w:bidi="zh-CN"/>
        </w:rPr>
        <w:t>本公司（联合体）参加（单位名称）的（项目名称）采购活动，工程的施工单位全部为符合政策要求的中小企业（或者：服务全部由符合政策要求的中小企业承接）。相关企业（含联合体中的中小企业、签订分包意向协议的中小企业）</w:t>
      </w:r>
      <w:r>
        <w:rPr>
          <w:rFonts w:hint="eastAsia" w:ascii="宋体" w:hAnsi="宋体" w:eastAsia="宋体" w:cs="宋体"/>
          <w:color w:val="auto"/>
          <w:spacing w:val="6"/>
          <w:kern w:val="0"/>
          <w:sz w:val="28"/>
          <w:szCs w:val="28"/>
          <w:highlight w:val="none"/>
          <w:lang w:val="zh-CN" w:eastAsia="zh-CN" w:bidi="zh-CN"/>
        </w:rPr>
        <w:t>的具体情况如下：</w:t>
      </w:r>
    </w:p>
    <w:p w14:paraId="3D537CCB">
      <w:pPr>
        <w:bidi w:val="0"/>
        <w:rPr>
          <w:rFonts w:hint="eastAsia" w:ascii="宋体" w:hAnsi="宋体" w:eastAsia="宋体" w:cs="宋体"/>
          <w:color w:val="auto"/>
          <w:spacing w:val="6"/>
          <w:kern w:val="0"/>
          <w:sz w:val="28"/>
          <w:szCs w:val="28"/>
          <w:highlight w:val="none"/>
          <w:u w:val="single"/>
          <w:lang w:val="zh-CN" w:eastAsia="zh-CN" w:bidi="zh-CN"/>
        </w:rPr>
      </w:pPr>
      <w:r>
        <w:rPr>
          <w:rFonts w:hint="eastAsia" w:ascii="宋体" w:hAnsi="宋体" w:eastAsia="宋体" w:cs="宋体"/>
          <w:color w:val="auto"/>
          <w:spacing w:val="6"/>
          <w:kern w:val="0"/>
          <w:sz w:val="28"/>
          <w:szCs w:val="28"/>
          <w:highlight w:val="none"/>
          <w:lang w:val="zh-CN" w:eastAsia="zh-CN" w:bidi="zh-CN"/>
        </w:rPr>
        <w:t>1.</w:t>
      </w:r>
      <w:r>
        <w:rPr>
          <w:rFonts w:hint="eastAsia" w:ascii="宋体" w:hAnsi="宋体" w:eastAsia="宋体" w:cs="宋体"/>
          <w:color w:val="auto"/>
          <w:spacing w:val="6"/>
          <w:kern w:val="0"/>
          <w:sz w:val="28"/>
          <w:szCs w:val="28"/>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468A92B8">
      <w:pPr>
        <w:bidi w:val="0"/>
        <w:rPr>
          <w:rFonts w:hint="eastAsia" w:ascii="宋体" w:hAnsi="宋体" w:eastAsia="宋体" w:cs="宋体"/>
          <w:color w:val="auto"/>
          <w:spacing w:val="6"/>
          <w:kern w:val="0"/>
          <w:sz w:val="28"/>
          <w:szCs w:val="28"/>
          <w:highlight w:val="none"/>
          <w:u w:val="single"/>
          <w:lang w:val="zh-CN" w:eastAsia="zh-CN" w:bidi="zh-CN"/>
        </w:rPr>
      </w:pPr>
      <w:r>
        <w:rPr>
          <w:rFonts w:hint="eastAsia" w:ascii="宋体" w:hAnsi="宋体" w:eastAsia="宋体" w:cs="宋体"/>
          <w:color w:val="auto"/>
          <w:spacing w:val="6"/>
          <w:kern w:val="0"/>
          <w:sz w:val="28"/>
          <w:szCs w:val="28"/>
          <w:highlight w:val="none"/>
          <w:lang w:val="zh-CN" w:eastAsia="zh-CN" w:bidi="zh-CN"/>
        </w:rPr>
        <w:t>2.</w:t>
      </w:r>
      <w:r>
        <w:rPr>
          <w:rFonts w:hint="eastAsia" w:ascii="宋体" w:hAnsi="宋体" w:eastAsia="宋体" w:cs="宋体"/>
          <w:color w:val="auto"/>
          <w:spacing w:val="6"/>
          <w:kern w:val="0"/>
          <w:sz w:val="28"/>
          <w:szCs w:val="28"/>
          <w:highlight w:val="none"/>
          <w:u w:val="single"/>
          <w:lang w:val="zh-CN" w:eastAsia="zh-CN" w:bidi="zh-CN"/>
        </w:rPr>
        <w:t>（标的名称），属于（采购文件中明确的所属行业）；承建（承接）企业为（企业名称），从业人员  人，营业收入为  万元，资产总额为  万元，属于（中型企业、小型企业、微型企业）；</w:t>
      </w:r>
    </w:p>
    <w:p w14:paraId="778CAC43">
      <w:pPr>
        <w:pStyle w:val="27"/>
        <w:keepNext w:val="0"/>
        <w:keepLines w:val="0"/>
        <w:pageBreakBefore w:val="0"/>
        <w:widowControl/>
        <w:suppressLineNumbers w:val="0"/>
        <w:kinsoku/>
        <w:overflowPunct/>
        <w:topLinePunct w:val="0"/>
        <w:bidi w:val="0"/>
        <w:spacing w:before="75" w:beforeAutospacing="0" w:after="75" w:afterAutospacing="0" w:line="360" w:lineRule="auto"/>
        <w:ind w:left="0" w:right="0" w:firstLine="645"/>
        <w:rPr>
          <w:rFonts w:hint="eastAsia" w:ascii="宋体" w:hAnsi="宋体" w:eastAsia="宋体" w:cs="宋体"/>
          <w:color w:val="auto"/>
          <w:spacing w:val="6"/>
          <w:kern w:val="0"/>
          <w:sz w:val="28"/>
          <w:szCs w:val="28"/>
          <w:highlight w:val="none"/>
          <w:lang w:val="zh-CN" w:eastAsia="zh-CN" w:bidi="zh-CN"/>
        </w:rPr>
      </w:pPr>
      <w:r>
        <w:rPr>
          <w:rFonts w:hint="eastAsia" w:ascii="宋体" w:hAnsi="宋体" w:eastAsia="宋体" w:cs="宋体"/>
          <w:color w:val="auto"/>
          <w:spacing w:val="6"/>
          <w:kern w:val="0"/>
          <w:sz w:val="28"/>
          <w:szCs w:val="28"/>
          <w:highlight w:val="none"/>
          <w:lang w:val="zh-CN" w:eastAsia="zh-CN" w:bidi="zh-CN"/>
        </w:rPr>
        <w:t>……</w:t>
      </w:r>
    </w:p>
    <w:p w14:paraId="3F38944E">
      <w:pPr>
        <w:bidi w:val="0"/>
        <w:rPr>
          <w:rFonts w:hint="eastAsia"/>
          <w:lang w:val="zh-CN" w:eastAsia="zh-CN"/>
        </w:rPr>
      </w:pPr>
      <w:r>
        <w:rPr>
          <w:rFonts w:hint="eastAsia"/>
          <w:lang w:val="zh-CN" w:eastAsia="zh-CN"/>
        </w:rPr>
        <w:t>以上企业，不属于大企业的分支机构，不存在控股股东为大企业的情形，也不存在与大企业的负责人为同一人的情形。</w:t>
      </w:r>
    </w:p>
    <w:p w14:paraId="1A824374">
      <w:pPr>
        <w:bidi w:val="0"/>
        <w:rPr>
          <w:rFonts w:hint="eastAsia"/>
          <w:lang w:val="zh-CN" w:eastAsia="zh-CN"/>
        </w:rPr>
      </w:pPr>
      <w:r>
        <w:rPr>
          <w:rFonts w:hint="eastAsia"/>
          <w:lang w:val="zh-CN" w:eastAsia="zh-CN"/>
        </w:rPr>
        <w:t>本企业对上述声明内容的真实性负责。如有虚假，将依法承担相应责任。 </w:t>
      </w:r>
    </w:p>
    <w:p w14:paraId="73C0FE60">
      <w:pPr>
        <w:bidi w:val="0"/>
        <w:rPr>
          <w:rFonts w:hint="eastAsia"/>
          <w:lang w:val="zh-CN" w:eastAsia="zh-CN"/>
        </w:rPr>
      </w:pPr>
      <w:r>
        <w:rPr>
          <w:rFonts w:hint="eastAsia"/>
          <w:lang w:val="zh-CN" w:eastAsia="zh-CN"/>
        </w:rPr>
        <w:t>企业名称（盖章）：</w:t>
      </w:r>
    </w:p>
    <w:p w14:paraId="0FDD88A0">
      <w:pPr>
        <w:bidi w:val="0"/>
        <w:rPr>
          <w:rFonts w:hint="eastAsia"/>
          <w:lang w:val="zh-CN" w:eastAsia="zh-CN"/>
        </w:rPr>
      </w:pPr>
      <w:r>
        <w:rPr>
          <w:rFonts w:hint="eastAsia"/>
          <w:lang w:val="zh-CN" w:eastAsia="zh-CN"/>
        </w:rPr>
        <w:t>日期：</w:t>
      </w:r>
    </w:p>
    <w:p w14:paraId="1B589903">
      <w:pPr>
        <w:bidi w:val="0"/>
        <w:rPr>
          <w:rFonts w:hint="eastAsia"/>
          <w:b/>
          <w:bCs/>
        </w:rPr>
      </w:pPr>
      <w:r>
        <w:rPr>
          <w:rFonts w:hint="eastAsia"/>
          <w:b/>
          <w:bCs/>
          <w:lang w:val="en-US" w:eastAsia="zh-CN"/>
        </w:rPr>
        <w:t>备注：1、</w:t>
      </w:r>
      <w:r>
        <w:rPr>
          <w:rFonts w:hint="eastAsia"/>
          <w:b/>
          <w:bCs/>
        </w:rPr>
        <w:t>从业人员、营业收入、资产总额填报上一年度数据，无上一年数据的新成立企业</w:t>
      </w:r>
      <w:r>
        <w:rPr>
          <w:rFonts w:hint="eastAsia"/>
          <w:b/>
          <w:bCs/>
          <w:lang w:val="en-US" w:eastAsia="zh-CN"/>
        </w:rPr>
        <w:t>根据目前现状填写</w:t>
      </w:r>
      <w:r>
        <w:rPr>
          <w:rFonts w:hint="eastAsia"/>
          <w:b/>
          <w:bCs/>
          <w:lang w:eastAsia="zh-CN"/>
        </w:rPr>
        <w:t>。</w:t>
      </w:r>
    </w:p>
    <w:p w14:paraId="0E17BA27">
      <w:pPr>
        <w:rPr>
          <w:rFonts w:hint="eastAsia"/>
          <w:b/>
          <w:bCs/>
          <w:lang w:val="en-US" w:eastAsia="zh-CN"/>
        </w:rPr>
      </w:pPr>
      <w:r>
        <w:rPr>
          <w:rFonts w:hint="eastAsia"/>
          <w:b/>
          <w:bCs/>
          <w:lang w:val="en-US" w:eastAsia="zh-CN"/>
        </w:rPr>
        <w:t>2、投标人为中小企业时需提供本声明函，并完整填写从业人员、营业收入、资产总额等内容，否则评审时不能享受相应的价格扣除。</w:t>
      </w:r>
    </w:p>
    <w:p w14:paraId="160FE85B">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61061E88">
      <w:pPr>
        <w:bidi w:val="0"/>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3.2 残疾人福利性单位声明函（可选）</w:t>
      </w:r>
    </w:p>
    <w:p w14:paraId="23A526F1">
      <w:pPr>
        <w:bidi w:val="0"/>
        <w:rPr>
          <w:rFonts w:hint="eastAsia"/>
        </w:rPr>
      </w:pPr>
      <w:r>
        <w:rPr>
          <w:rFonts w:hint="eastAsia"/>
        </w:rPr>
        <w:t>本单位郑重声明，根据《财政部民政部中国残疾人联合会关于促进残疾人就业政府采购政策的通知》（财库〔2017〕141号）的规定，本单位为符合条件的残疾人福利性单位，且本单位参加XXXX单位的XXXX项目采购活动由本单位承担工程。</w:t>
      </w:r>
    </w:p>
    <w:p w14:paraId="111B803E">
      <w:pPr>
        <w:bidi w:val="0"/>
        <w:rPr>
          <w:rFonts w:hint="eastAsia"/>
        </w:rPr>
      </w:pPr>
      <w:r>
        <w:rPr>
          <w:rFonts w:hint="eastAsia"/>
        </w:rPr>
        <w:t>本单位对上述声明的真实性负责。如有虚假，将依法承担相应责任。</w:t>
      </w:r>
    </w:p>
    <w:p w14:paraId="3805C3D9">
      <w:pPr>
        <w:bidi w:val="0"/>
        <w:rPr>
          <w:rFonts w:hint="eastAsia"/>
        </w:rPr>
      </w:pPr>
      <w:r>
        <w:rPr>
          <w:rFonts w:hint="eastAsia"/>
        </w:rPr>
        <w:t>供应商名称：XXXX（加盖公章）</w:t>
      </w:r>
    </w:p>
    <w:p w14:paraId="576923C9">
      <w:pPr>
        <w:bidi w:val="0"/>
        <w:rPr>
          <w:rFonts w:hint="eastAsia"/>
        </w:rPr>
      </w:pPr>
      <w:r>
        <w:rPr>
          <w:rFonts w:hint="eastAsia"/>
        </w:rPr>
        <w:t>日期：XXX年XXX月XXX日</w:t>
      </w:r>
    </w:p>
    <w:p w14:paraId="308180E2">
      <w:pPr>
        <w:bidi w:val="0"/>
        <w:rPr>
          <w:rFonts w:hint="eastAsia"/>
        </w:rPr>
      </w:pPr>
      <w:r>
        <w:rPr>
          <w:rFonts w:hint="eastAsia"/>
        </w:rPr>
        <w:t>注：</w:t>
      </w:r>
    </w:p>
    <w:p w14:paraId="2DE2DCA2">
      <w:pPr>
        <w:bidi w:val="0"/>
        <w:rPr>
          <w:rFonts w:hint="eastAsia"/>
        </w:rPr>
      </w:pPr>
      <w:r>
        <w:rPr>
          <w:rFonts w:hint="eastAsia"/>
        </w:rPr>
        <w:t>1.残疾人福利性单位视同小型、微型企业，享受预留份额、评审中价格扣除等促进中小企业发展的政府采购政策。残疾人福利性单位属于小型、微型企业的，不重复享受政策。</w:t>
      </w:r>
    </w:p>
    <w:p w14:paraId="55BA68D4">
      <w:pPr>
        <w:rPr>
          <w:rFonts w:hint="eastAsia" w:eastAsia="宋体"/>
          <w:lang w:eastAsia="zh-CN"/>
        </w:rPr>
      </w:pPr>
      <w:r>
        <w:rPr>
          <w:rFonts w:hint="eastAsia"/>
        </w:rPr>
        <w:t>2.供应商为非残疾人福利性单位的，不得提供此声明，提供此声明的，声明无效。</w:t>
      </w:r>
    </w:p>
    <w:p w14:paraId="4755F6D7">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16E5293E">
      <w:pPr>
        <w:pageBreakBefore w:val="0"/>
        <w:kinsoku/>
        <w:overflowPunct/>
        <w:topLinePunct w:val="0"/>
        <w:bidi w:val="0"/>
        <w:spacing w:after="160" w:line="360" w:lineRule="auto"/>
        <w:ind w:firstLine="480" w:firstLineChars="200"/>
        <w:jc w:val="both"/>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t>3.3监狱企业证明（可选）</w:t>
      </w:r>
    </w:p>
    <w:p w14:paraId="6F213AE3">
      <w:pPr>
        <w:pageBreakBefore w:val="0"/>
        <w:kinsoku/>
        <w:overflowPunct/>
        <w:topLinePunct w:val="0"/>
        <w:bidi w:val="0"/>
        <w:spacing w:after="160" w:line="360" w:lineRule="auto"/>
        <w:ind w:firstLine="560" w:firstLineChars="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注：1.监狱企业参加政府采购活动时，应当提供由省级以上监狱管理局、戒毒管理局（含新疆生产建设兵团）出具的属于监狱企业的证明文件，并加盖单位公章。</w:t>
      </w:r>
    </w:p>
    <w:p w14:paraId="5FB50ADB">
      <w:pPr>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2.监狱企业视同小型、微型企业，享受预留份额、评审中价格扣除等政府采购促进中小企业发展的政府采购政策。监狱企业属于小型、微型企业的，不重复享受政策。</w:t>
      </w:r>
    </w:p>
    <w:p w14:paraId="0134AAE9">
      <w:pPr>
        <w:rPr>
          <w:rFonts w:hint="eastAsia" w:asciiTheme="majorEastAsia" w:hAnsiTheme="majorEastAsia" w:eastAsiaTheme="majorEastAsia" w:cstheme="majorEastAsia"/>
          <w:b/>
          <w:bCs/>
          <w:color w:val="auto"/>
          <w:sz w:val="24"/>
          <w:szCs w:val="24"/>
          <w:highlight w:val="none"/>
          <w:lang w:val="en-US" w:eastAsia="zh-CN"/>
        </w:rPr>
      </w:pPr>
      <w:r>
        <w:rPr>
          <w:rFonts w:hint="eastAsia" w:asciiTheme="majorEastAsia" w:hAnsiTheme="majorEastAsia" w:eastAsiaTheme="majorEastAsia" w:cstheme="majorEastAsia"/>
          <w:b/>
          <w:bCs/>
          <w:color w:val="auto"/>
          <w:sz w:val="24"/>
          <w:szCs w:val="24"/>
          <w:highlight w:val="none"/>
          <w:lang w:val="en-US" w:eastAsia="zh-CN"/>
        </w:rPr>
        <w:br w:type="page"/>
      </w:r>
    </w:p>
    <w:p w14:paraId="69C5E01F">
      <w:pPr>
        <w:pStyle w:val="69"/>
        <w:bidi w:val="0"/>
        <w:jc w:val="center"/>
        <w:rPr>
          <w:rFonts w:hint="eastAsia"/>
          <w:lang w:val="en-US" w:eastAsia="zh-CN"/>
        </w:rPr>
      </w:pPr>
      <w:r>
        <w:rPr>
          <w:rFonts w:hint="eastAsia"/>
          <w:lang w:val="en-US" w:eastAsia="zh-CN"/>
        </w:rPr>
        <w:t>4、本项目的特定资格要求：</w:t>
      </w:r>
    </w:p>
    <w:p w14:paraId="7A0829AA">
      <w:pPr>
        <w:pageBreakBefore w:val="0"/>
        <w:numPr>
          <w:ilvl w:val="0"/>
          <w:numId w:val="0"/>
        </w:numPr>
        <w:kinsoku/>
        <w:overflowPunct/>
        <w:topLinePunct w:val="0"/>
        <w:bidi w:val="0"/>
        <w:spacing w:line="360" w:lineRule="auto"/>
        <w:ind w:left="0" w:leftChars="0" w:right="0" w:righ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(1)须具有有效的建筑工程施工总承包三级及以上资质、具有有效的安全生产许可证，并在人员、设备、资金等方面具有相应的施工能力；</w:t>
      </w:r>
    </w:p>
    <w:p w14:paraId="6AEC5BA9">
      <w:pPr>
        <w:pageBreakBefore w:val="0"/>
        <w:numPr>
          <w:ilvl w:val="0"/>
          <w:numId w:val="0"/>
        </w:numPr>
        <w:kinsoku/>
        <w:overflowPunct/>
        <w:topLinePunct w:val="0"/>
        <w:bidi w:val="0"/>
        <w:spacing w:line="360" w:lineRule="auto"/>
        <w:ind w:left="0" w:leftChars="0" w:right="0" w:rightChars="0" w:firstLine="560" w:firstLineChars="20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（2）项目负责人要求：应具备合格有效期内的建筑工程专业贰级以上（含）注册建造师执业资格、有效的安全生产考核合格证（B类），且未担任其他在施建设工程项目的项目负责人。 </w:t>
      </w:r>
    </w:p>
    <w:p w14:paraId="059ED2CC">
      <w:pPr>
        <w:rPr>
          <w:rFonts w:hint="eastAsia" w:ascii="宋体" w:hAnsi="宋体" w:eastAsia="宋体" w:cs="宋体"/>
          <w:sz w:val="24"/>
          <w:lang w:val="en-US" w:eastAsia="zh-CN"/>
        </w:rPr>
      </w:pPr>
      <w:r>
        <w:rPr>
          <w:rFonts w:hint="eastAsia" w:ascii="宋体" w:hAnsi="宋体" w:eastAsia="宋体" w:cs="宋体"/>
          <w:sz w:val="24"/>
          <w:lang w:val="en-US" w:eastAsia="zh-CN"/>
        </w:rPr>
        <w:br w:type="page"/>
      </w:r>
    </w:p>
    <w:p w14:paraId="01ACD1E4">
      <w:pPr>
        <w:pStyle w:val="69"/>
        <w:bidi w:val="0"/>
        <w:rPr>
          <w:rFonts w:hint="eastAsia"/>
        </w:rPr>
      </w:pPr>
      <w:r>
        <w:rPr>
          <w:rFonts w:hint="eastAsia"/>
          <w:lang w:val="en-US" w:eastAsia="zh-CN"/>
        </w:rPr>
        <w:t>5、法定代表人资格证明书</w:t>
      </w:r>
    </w:p>
    <w:p w14:paraId="6E299092">
      <w:pPr>
        <w:pStyle w:val="13"/>
        <w:pageBreakBefore w:val="0"/>
        <w:kinsoku/>
        <w:wordWrap/>
        <w:overflowPunct/>
        <w:topLinePunct w:val="0"/>
        <w:bidi w:val="0"/>
        <w:spacing w:beforeAutospacing="0" w:afterAutospacing="0" w:line="360" w:lineRule="auto"/>
        <w:ind w:firstLine="643"/>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法定代表人身份证明（法定代表人投标提供）</w:t>
      </w:r>
    </w:p>
    <w:p w14:paraId="7197C79F">
      <w:pPr>
        <w:pageBreakBefore w:val="0"/>
        <w:kinsoku/>
        <w:wordWrap/>
        <w:overflowPunct/>
        <w:topLinePunct w:val="0"/>
        <w:bidi w:val="0"/>
        <w:spacing w:beforeAutospacing="0" w:afterAutospacing="0" w:line="360" w:lineRule="auto"/>
        <w:rPr>
          <w:rFonts w:hint="eastAsia" w:eastAsia="宋体"/>
          <w:lang w:eastAsia="zh-CN"/>
        </w:rPr>
      </w:pPr>
      <w:bookmarkStart w:id="897" w:name="_Toc251236133"/>
      <w:r>
        <w:rPr>
          <w:rFonts w:hint="eastAsia"/>
        </w:rPr>
        <w:t>法定代表人证明书</w:t>
      </w:r>
      <w:bookmarkEnd w:id="897"/>
    </w:p>
    <w:p w14:paraId="325F042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）同志，现任我单位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职务，为法定代表人，特此证明。</w:t>
      </w:r>
    </w:p>
    <w:p w14:paraId="34700E0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8"/>
        <w:gridCol w:w="3552"/>
      </w:tblGrid>
      <w:tr w14:paraId="1C374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pct"/>
          </w:tcPr>
          <w:p w14:paraId="7A81870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营业执照(注册号)： </w:t>
            </w:r>
          </w:p>
        </w:tc>
        <w:tc>
          <w:tcPr>
            <w:tcW w:w="1782" w:type="pct"/>
          </w:tcPr>
          <w:p w14:paraId="377092D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经济性质：</w:t>
            </w:r>
          </w:p>
        </w:tc>
      </w:tr>
      <w:tr w14:paraId="0B47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774C1B5F">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r>
      <w:tr w14:paraId="7EE2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14:paraId="20027DCA">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法定代表人身份证号：</w:t>
            </w:r>
          </w:p>
        </w:tc>
      </w:tr>
      <w:tr w14:paraId="2060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7" w:type="pct"/>
          </w:tcPr>
          <w:p w14:paraId="1DDBAABC">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法定代表人年龄：</w:t>
            </w:r>
          </w:p>
        </w:tc>
        <w:tc>
          <w:tcPr>
            <w:tcW w:w="1782" w:type="pct"/>
          </w:tcPr>
          <w:p w14:paraId="5444961F">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法定代表人性别：</w:t>
            </w:r>
          </w:p>
        </w:tc>
      </w:tr>
    </w:tbl>
    <w:p w14:paraId="59A45BC1">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1238885</wp:posOffset>
                </wp:positionH>
                <wp:positionV relativeFrom="paragraph">
                  <wp:posOffset>208915</wp:posOffset>
                </wp:positionV>
                <wp:extent cx="3485515" cy="1979295"/>
                <wp:effectExtent l="4445" t="4445" r="15240" b="16510"/>
                <wp:wrapNone/>
                <wp:docPr id="16" name="矩形 16"/>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B851ED">
                            <w:pPr>
                              <w:jc w:val="center"/>
                              <w:rPr>
                                <w:rFonts w:hint="eastAsia" w:ascii="宋体" w:eastAsia="宋体"/>
                                <w:b/>
                                <w:bCs/>
                                <w:color w:val="000000"/>
                                <w:szCs w:val="21"/>
                                <w:lang w:eastAsia="zh-CN"/>
                              </w:rPr>
                            </w:pPr>
                          </w:p>
                          <w:p w14:paraId="7DB65C14">
                            <w:pPr>
                              <w:jc w:val="center"/>
                              <w:rPr>
                                <w:rFonts w:hint="eastAsia" w:ascii="宋体"/>
                                <w:b/>
                                <w:bCs/>
                                <w:color w:val="000000"/>
                                <w:szCs w:val="21"/>
                              </w:rPr>
                            </w:pPr>
                            <w:r>
                              <w:rPr>
                                <w:rFonts w:hint="eastAsia" w:ascii="宋体"/>
                                <w:b/>
                                <w:bCs/>
                                <w:color w:val="000000"/>
                                <w:szCs w:val="21"/>
                              </w:rPr>
                              <w:t>法定代表人身份证</w:t>
                            </w:r>
                            <w:r>
                              <w:rPr>
                                <w:rFonts w:hint="eastAsia" w:ascii="宋体"/>
                                <w:b/>
                                <w:bCs/>
                                <w:color w:val="000000"/>
                                <w:szCs w:val="21"/>
                                <w:lang w:val="en-US" w:eastAsia="zh-CN"/>
                              </w:rPr>
                              <w:t>正反面</w:t>
                            </w:r>
                            <w:r>
                              <w:rPr>
                                <w:rFonts w:hint="eastAsia" w:ascii="宋体"/>
                                <w:b/>
                                <w:bCs/>
                                <w:color w:val="000000"/>
                                <w:szCs w:val="21"/>
                              </w:rPr>
                              <w:t>复印件</w:t>
                            </w:r>
                          </w:p>
                          <w:p w14:paraId="1391B2C3">
                            <w:pPr>
                              <w:jc w:val="center"/>
                              <w:rPr>
                                <w:rFonts w:ascii="宋体"/>
                                <w:b/>
                                <w:bCs/>
                                <w:szCs w:val="21"/>
                              </w:rPr>
                            </w:pPr>
                            <w:r>
                              <w:rPr>
                                <w:rFonts w:hint="eastAsia" w:ascii="宋体"/>
                                <w:b/>
                                <w:bCs/>
                                <w:color w:val="000000"/>
                                <w:szCs w:val="21"/>
                              </w:rPr>
                              <w:t>粘贴处</w:t>
                            </w:r>
                          </w:p>
                        </w:txbxContent>
                      </wps:txbx>
                      <wps:bodyPr upright="1"/>
                    </wps:wsp>
                  </a:graphicData>
                </a:graphic>
              </wp:anchor>
            </w:drawing>
          </mc:Choice>
          <mc:Fallback>
            <w:pict>
              <v:rect id="_x0000_s1026" o:spid="_x0000_s1026" o:spt="1" style="position:absolute;left:0pt;margin-left:97.55pt;margin-top:16.45pt;height:155.85pt;width:274.45pt;z-index:251660288;mso-width-relative:page;mso-height-relative:page;" fillcolor="#FFFFFF" filled="t" stroked="t" coordsize="21600,21600" o:gfxdata="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77XujYAAAACgEAAA8AAAAAAAAAAQAgAAAAIgAAAGRycy9k&#10;b3ducmV2LnhtbFBLAQIUABQAAAAIAIdO4kDon+ozAgIAACwEAAAOAAAAAAAAAAEAIAAAACcBAABk&#10;cnMvZTJvRG9jLnhtbFBLBQYAAAAABgAGAFkBAACbBQAAAAA=&#10;">
                <v:fill on="t" focussize="0,0"/>
                <v:stroke color="#000000" joinstyle="miter"/>
                <v:imagedata o:title=""/>
                <o:lock v:ext="edit" aspectratio="f"/>
                <v:textbox>
                  <w:txbxContent>
                    <w:p w14:paraId="49B851ED">
                      <w:pPr>
                        <w:jc w:val="center"/>
                        <w:rPr>
                          <w:rFonts w:hint="eastAsia" w:ascii="宋体" w:eastAsia="宋体"/>
                          <w:b/>
                          <w:bCs/>
                          <w:color w:val="000000"/>
                          <w:szCs w:val="21"/>
                          <w:lang w:eastAsia="zh-CN"/>
                        </w:rPr>
                      </w:pPr>
                    </w:p>
                    <w:p w14:paraId="7DB65C14">
                      <w:pPr>
                        <w:jc w:val="center"/>
                        <w:rPr>
                          <w:rFonts w:hint="eastAsia" w:ascii="宋体"/>
                          <w:b/>
                          <w:bCs/>
                          <w:color w:val="000000"/>
                          <w:szCs w:val="21"/>
                        </w:rPr>
                      </w:pPr>
                      <w:r>
                        <w:rPr>
                          <w:rFonts w:hint="eastAsia" w:ascii="宋体"/>
                          <w:b/>
                          <w:bCs/>
                          <w:color w:val="000000"/>
                          <w:szCs w:val="21"/>
                        </w:rPr>
                        <w:t>法定代表人身份证</w:t>
                      </w:r>
                      <w:r>
                        <w:rPr>
                          <w:rFonts w:hint="eastAsia" w:ascii="宋体"/>
                          <w:b/>
                          <w:bCs/>
                          <w:color w:val="000000"/>
                          <w:szCs w:val="21"/>
                          <w:lang w:val="en-US" w:eastAsia="zh-CN"/>
                        </w:rPr>
                        <w:t>正反面</w:t>
                      </w:r>
                      <w:r>
                        <w:rPr>
                          <w:rFonts w:hint="eastAsia" w:ascii="宋体"/>
                          <w:b/>
                          <w:bCs/>
                          <w:color w:val="000000"/>
                          <w:szCs w:val="21"/>
                        </w:rPr>
                        <w:t>复印件</w:t>
                      </w:r>
                    </w:p>
                    <w:p w14:paraId="1391B2C3">
                      <w:pPr>
                        <w:jc w:val="center"/>
                        <w:rPr>
                          <w:rFonts w:ascii="宋体"/>
                          <w:b/>
                          <w:bCs/>
                          <w:szCs w:val="21"/>
                        </w:rPr>
                      </w:pPr>
                      <w:r>
                        <w:rPr>
                          <w:rFonts w:hint="eastAsia" w:ascii="宋体"/>
                          <w:b/>
                          <w:bCs/>
                          <w:color w:val="000000"/>
                          <w:szCs w:val="21"/>
                        </w:rPr>
                        <w:t>粘贴处</w:t>
                      </w:r>
                    </w:p>
                  </w:txbxContent>
                </v:textbox>
              </v:rect>
            </w:pict>
          </mc:Fallback>
        </mc:AlternateContent>
      </w:r>
    </w:p>
    <w:p w14:paraId="01615F09">
      <w:pPr>
        <w:rPr>
          <w:rFonts w:hint="eastAsia" w:ascii="宋体" w:hAnsi="宋体" w:eastAsia="宋体" w:cs="宋体"/>
          <w:sz w:val="24"/>
          <w:szCs w:val="24"/>
          <w:highlight w:val="none"/>
          <w:lang w:eastAsia="zh-CN"/>
        </w:rPr>
      </w:pPr>
    </w:p>
    <w:p w14:paraId="483D6170">
      <w:pPr>
        <w:rPr>
          <w:rFonts w:hint="eastAsia" w:ascii="宋体" w:hAnsi="宋体" w:eastAsia="宋体" w:cs="宋体"/>
          <w:sz w:val="24"/>
          <w:szCs w:val="24"/>
          <w:highlight w:val="none"/>
          <w:lang w:eastAsia="zh-CN"/>
        </w:rPr>
      </w:pPr>
    </w:p>
    <w:p w14:paraId="55057192">
      <w:pPr>
        <w:rPr>
          <w:rFonts w:hint="eastAsia" w:ascii="宋体" w:hAnsi="宋体" w:eastAsia="宋体" w:cs="宋体"/>
          <w:sz w:val="24"/>
          <w:szCs w:val="24"/>
          <w:highlight w:val="none"/>
          <w:lang w:eastAsia="zh-CN"/>
        </w:rPr>
      </w:pPr>
    </w:p>
    <w:p w14:paraId="5590A5DB">
      <w:pPr>
        <w:rPr>
          <w:rFonts w:hint="eastAsia" w:ascii="宋体" w:hAnsi="宋体" w:eastAsia="宋体" w:cs="宋体"/>
          <w:sz w:val="24"/>
          <w:szCs w:val="24"/>
          <w:highlight w:val="none"/>
          <w:lang w:eastAsia="zh-CN"/>
        </w:rPr>
      </w:pPr>
    </w:p>
    <w:p w14:paraId="60B58C8A">
      <w:pPr>
        <w:rPr>
          <w:rFonts w:hint="eastAsia" w:ascii="宋体" w:hAnsi="宋体" w:eastAsia="宋体" w:cs="宋体"/>
          <w:sz w:val="24"/>
          <w:szCs w:val="24"/>
          <w:highlight w:val="none"/>
          <w:lang w:eastAsia="zh-CN"/>
        </w:rPr>
      </w:pPr>
    </w:p>
    <w:p w14:paraId="0BA4FDD0">
      <w:pPr>
        <w:rPr>
          <w:rFonts w:hint="eastAsia" w:ascii="宋体" w:hAnsi="宋体" w:eastAsia="宋体" w:cs="宋体"/>
          <w:sz w:val="24"/>
          <w:szCs w:val="24"/>
          <w:highlight w:val="none"/>
          <w:lang w:eastAsia="zh-CN"/>
        </w:rPr>
      </w:pPr>
    </w:p>
    <w:p w14:paraId="0C873CC4">
      <w:pPr>
        <w:rPr>
          <w:rFonts w:hint="eastAsia" w:ascii="宋体" w:hAnsi="宋体" w:eastAsia="宋体" w:cs="宋体"/>
          <w:sz w:val="24"/>
          <w:szCs w:val="24"/>
          <w:highlight w:val="none"/>
          <w:lang w:eastAsia="zh-CN"/>
        </w:rPr>
      </w:pPr>
    </w:p>
    <w:p w14:paraId="70146F8D">
      <w:pPr>
        <w:rPr>
          <w:rFonts w:hint="eastAsia" w:ascii="宋体" w:hAnsi="宋体" w:eastAsia="宋体" w:cs="宋体"/>
          <w:sz w:val="24"/>
          <w:szCs w:val="24"/>
          <w:highlight w:val="none"/>
          <w:lang w:eastAsia="zh-CN"/>
        </w:rPr>
      </w:pPr>
    </w:p>
    <w:p w14:paraId="29ADCD4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6AFFDC3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p w14:paraId="38EBBB5D">
      <w:pPr>
        <w:pageBreakBefore w:val="0"/>
        <w:kinsoku/>
        <w:wordWrap/>
        <w:overflowPunct/>
        <w:topLinePunct w:val="0"/>
        <w:bidi w:val="0"/>
        <w:spacing w:beforeAutospacing="0" w:afterAutospacing="0" w:line="360" w:lineRule="auto"/>
        <w:jc w:val="right"/>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 xml:space="preserve"> 年   月   日</w:t>
      </w:r>
    </w:p>
    <w:p w14:paraId="02EB4BFB">
      <w:pPr>
        <w:rPr>
          <w:rFonts w:hint="eastAsia" w:hAnsi="宋体" w:cs="宋体"/>
          <w:b/>
          <w:bCs/>
          <w:color w:val="000000"/>
          <w:kern w:val="2"/>
          <w:sz w:val="24"/>
          <w:szCs w:val="24"/>
          <w:highlight w:val="none"/>
          <w:lang w:val="en-US" w:eastAsia="zh-CN"/>
        </w:rPr>
      </w:pPr>
      <w:bookmarkStart w:id="898" w:name="_Toc251236134"/>
      <w:bookmarkStart w:id="899" w:name="_Toc50737297"/>
      <w:bookmarkStart w:id="900" w:name="_Toc50737329"/>
      <w:bookmarkStart w:id="901" w:name="_Toc50736477"/>
      <w:bookmarkStart w:id="902" w:name="_Toc52165081"/>
      <w:r>
        <w:rPr>
          <w:rFonts w:hint="eastAsia" w:hAnsi="宋体" w:cs="宋体"/>
          <w:b/>
          <w:bCs/>
          <w:color w:val="000000"/>
          <w:kern w:val="2"/>
          <w:sz w:val="24"/>
          <w:szCs w:val="24"/>
          <w:highlight w:val="none"/>
          <w:lang w:val="en-US" w:eastAsia="zh-CN"/>
        </w:rPr>
        <w:br w:type="page"/>
      </w:r>
    </w:p>
    <w:bookmarkEnd w:id="898"/>
    <w:bookmarkEnd w:id="899"/>
    <w:bookmarkEnd w:id="900"/>
    <w:bookmarkEnd w:id="901"/>
    <w:bookmarkEnd w:id="902"/>
    <w:p w14:paraId="29D02206">
      <w:pPr>
        <w:pStyle w:val="69"/>
        <w:bidi w:val="0"/>
        <w:rPr>
          <w:rFonts w:hint="eastAsia" w:eastAsia="宋体" w:cs="Times New Roman"/>
          <w:lang w:val="en-US" w:eastAsia="zh-CN"/>
        </w:rPr>
      </w:pPr>
      <w:r>
        <w:rPr>
          <w:rFonts w:hint="eastAsia" w:eastAsia="宋体" w:cs="Times New Roman"/>
          <w:lang w:val="en-US" w:eastAsia="zh-CN"/>
        </w:rPr>
        <w:t>6、法定代表人授权委托书</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1"/>
        <w:gridCol w:w="3128"/>
        <w:gridCol w:w="2682"/>
        <w:gridCol w:w="1369"/>
      </w:tblGrid>
      <w:tr w14:paraId="7E15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536CD27D">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投标人（全称）</w:t>
            </w:r>
          </w:p>
        </w:tc>
        <w:tc>
          <w:tcPr>
            <w:tcW w:w="3603" w:type="pct"/>
            <w:gridSpan w:val="3"/>
            <w:vAlign w:val="center"/>
          </w:tcPr>
          <w:p w14:paraId="36A38E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64CC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45DBEF4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tc>
        <w:tc>
          <w:tcPr>
            <w:tcW w:w="3603" w:type="pct"/>
            <w:gridSpan w:val="3"/>
            <w:vAlign w:val="center"/>
          </w:tcPr>
          <w:p w14:paraId="4AC9A89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F29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3F8DD2C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570" w:type="pct"/>
            <w:vAlign w:val="center"/>
          </w:tcPr>
          <w:p w14:paraId="6C88C99C">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7E7BD28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686" w:type="pct"/>
            <w:vAlign w:val="center"/>
          </w:tcPr>
          <w:p w14:paraId="6612C75B">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C6D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1F6C20B2">
            <w:pPr>
              <w:pageBreakBefore w:val="0"/>
              <w:kinsoku/>
              <w:wordWrap/>
              <w:overflowPunct/>
              <w:topLinePunct w:val="0"/>
              <w:bidi w:val="0"/>
              <w:spacing w:beforeAutospacing="0" w:afterAutospacing="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法人营业执照注册号</w:t>
            </w:r>
          </w:p>
        </w:tc>
        <w:tc>
          <w:tcPr>
            <w:tcW w:w="1570" w:type="pct"/>
            <w:vAlign w:val="center"/>
          </w:tcPr>
          <w:p w14:paraId="705FEEE4">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1AA0A82C">
            <w:pPr>
              <w:pageBreakBefore w:val="0"/>
              <w:kinsoku/>
              <w:wordWrap/>
              <w:overflowPunct/>
              <w:topLinePunct w:val="0"/>
              <w:bidi w:val="0"/>
              <w:spacing w:beforeAutospacing="0" w:afterAutospacing="0"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注册于（国家或地区）</w:t>
            </w:r>
          </w:p>
        </w:tc>
        <w:tc>
          <w:tcPr>
            <w:tcW w:w="686" w:type="pct"/>
            <w:vAlign w:val="center"/>
          </w:tcPr>
          <w:p w14:paraId="435A804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0EBE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24CDF1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w:t>
            </w:r>
          </w:p>
        </w:tc>
        <w:tc>
          <w:tcPr>
            <w:tcW w:w="1570" w:type="pct"/>
            <w:vAlign w:val="center"/>
          </w:tcPr>
          <w:p w14:paraId="22997B72">
            <w:pPr>
              <w:pageBreakBefore w:val="0"/>
              <w:kinsoku/>
              <w:wordWrap/>
              <w:overflowPunct/>
              <w:topLinePunct w:val="0"/>
              <w:bidi w:val="0"/>
              <w:spacing w:beforeAutospacing="0" w:afterAutospacing="0" w:line="360" w:lineRule="auto"/>
              <w:ind w:right="105"/>
              <w:rPr>
                <w:rFonts w:hint="eastAsia" w:ascii="宋体" w:hAnsi="宋体" w:eastAsia="宋体" w:cs="宋体"/>
                <w:sz w:val="24"/>
                <w:szCs w:val="24"/>
                <w:highlight w:val="none"/>
              </w:rPr>
            </w:pPr>
          </w:p>
        </w:tc>
        <w:tc>
          <w:tcPr>
            <w:tcW w:w="1346" w:type="pct"/>
            <w:vAlign w:val="center"/>
          </w:tcPr>
          <w:p w14:paraId="568B4CD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授权代表人性别</w:t>
            </w:r>
          </w:p>
        </w:tc>
        <w:tc>
          <w:tcPr>
            <w:tcW w:w="686" w:type="pct"/>
            <w:vAlign w:val="center"/>
          </w:tcPr>
          <w:p w14:paraId="000F8BFA">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r w14:paraId="3B92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396" w:type="pct"/>
            <w:vAlign w:val="center"/>
          </w:tcPr>
          <w:p w14:paraId="0FD04494">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授权代表人身份证号</w:t>
            </w:r>
          </w:p>
        </w:tc>
        <w:tc>
          <w:tcPr>
            <w:tcW w:w="1570" w:type="pct"/>
            <w:vAlign w:val="center"/>
          </w:tcPr>
          <w:p w14:paraId="69327A9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c>
          <w:tcPr>
            <w:tcW w:w="1346" w:type="pct"/>
            <w:vAlign w:val="center"/>
          </w:tcPr>
          <w:p w14:paraId="51553D7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授权代表人职务</w:t>
            </w:r>
          </w:p>
        </w:tc>
        <w:tc>
          <w:tcPr>
            <w:tcW w:w="686" w:type="pct"/>
            <w:vAlign w:val="center"/>
          </w:tcPr>
          <w:p w14:paraId="0FE608A9">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tc>
      </w:tr>
    </w:tbl>
    <w:p w14:paraId="229FE56E">
      <w:pPr>
        <w:pageBreakBefore w:val="0"/>
        <w:kinsoku/>
        <w:wordWrap/>
        <w:overflowPunct/>
        <w:topLinePunct w:val="0"/>
        <w:bidi w:val="0"/>
        <w:spacing w:beforeAutospacing="0" w:afterAutospacing="0" w:line="360" w:lineRule="auto"/>
        <w:ind w:left="2" w:firstLine="460" w:firstLineChars="192"/>
        <w:rPr>
          <w:rFonts w:hint="eastAsia" w:ascii="宋体" w:hAnsi="宋体" w:eastAsia="宋体" w:cs="宋体"/>
          <w:color w:val="000000"/>
          <w:sz w:val="24"/>
          <w:szCs w:val="24"/>
          <w:highlight w:val="none"/>
        </w:rPr>
      </w:pPr>
    </w:p>
    <w:p w14:paraId="15BF7AB5">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兹委托（            ）全权代表我企业（公司）参与</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sz w:val="24"/>
          <w:szCs w:val="24"/>
          <w:highlight w:val="none"/>
        </w:rPr>
        <w:t>（</w:t>
      </w:r>
      <w:r>
        <w:rPr>
          <w:rFonts w:hint="eastAsia" w:cs="宋体"/>
          <w:sz w:val="24"/>
          <w:szCs w:val="24"/>
          <w:highlight w:val="none"/>
          <w:lang w:eastAsia="zh-CN"/>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rPr>
        <w:t>）的投标活动及签订合同，作为投标人代表以本公司的名义处理一切与之有关的事宜。（            ）以我企业（公司）名义所为的行为及签署的文件，我企业（公司）均予以认可。有关法律责任均由我企业（公司）承担。特此声明。</w:t>
      </w:r>
    </w:p>
    <w:p w14:paraId="08D75B03">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cs="宋体"/>
          <w:sz w:val="24"/>
          <w:szCs w:val="24"/>
          <w:highlight w:val="none"/>
          <w:lang w:val="en-US" w:eastAsia="zh-CN"/>
        </w:rPr>
        <w:t>投标</w:t>
      </w:r>
      <w:r>
        <w:rPr>
          <w:rFonts w:hint="eastAsia" w:ascii="宋体" w:hAnsi="宋体" w:eastAsia="宋体" w:cs="宋体"/>
          <w:sz w:val="24"/>
          <w:szCs w:val="24"/>
          <w:highlight w:val="none"/>
        </w:rPr>
        <w:t>有效期：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C8F8CBB">
      <w:pPr>
        <w:pageBreakBefore w:val="0"/>
        <w:kinsoku/>
        <w:wordWrap/>
        <w:overflowPunct/>
        <w:topLinePunct w:val="0"/>
        <w:bidi w:val="0"/>
        <w:spacing w:beforeAutospacing="0" w:afterAutospacing="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签发日期：</w:t>
      </w:r>
      <w:r>
        <w:rPr>
          <w:rFonts w:hint="eastAsia" w:ascii="宋体" w:hAnsi="宋体" w:eastAsia="宋体" w:cs="宋体"/>
          <w:sz w:val="24"/>
          <w:szCs w:val="24"/>
          <w:highlight w:val="none"/>
          <w:u w:val="single"/>
        </w:rPr>
        <w:t xml:space="preserve">      年   月   日</w:t>
      </w:r>
      <w:r>
        <w:rPr>
          <w:rFonts w:hint="eastAsia" w:ascii="宋体" w:hAnsi="宋体" w:eastAsia="宋体" w:cs="宋体"/>
          <w:sz w:val="24"/>
          <w:szCs w:val="24"/>
          <w:highlight w:val="none"/>
        </w:rPr>
        <w:t>。</w:t>
      </w:r>
    </w:p>
    <w:p w14:paraId="6C1E5613">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73BAB718">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1197610</wp:posOffset>
                </wp:positionH>
                <wp:positionV relativeFrom="paragraph">
                  <wp:posOffset>146050</wp:posOffset>
                </wp:positionV>
                <wp:extent cx="3485515" cy="1979295"/>
                <wp:effectExtent l="4445" t="4445" r="15240" b="16510"/>
                <wp:wrapNone/>
                <wp:docPr id="9" name="矩形 9"/>
                <wp:cNvGraphicFramePr/>
                <a:graphic xmlns:a="http://schemas.openxmlformats.org/drawingml/2006/main">
                  <a:graphicData uri="http://schemas.microsoft.com/office/word/2010/wordprocessingShape">
                    <wps:wsp>
                      <wps:cNvSpPr/>
                      <wps:spPr>
                        <a:xfrm>
                          <a:off x="0" y="0"/>
                          <a:ext cx="3485515" cy="1979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12C794">
                            <w:pPr>
                              <w:jc w:val="center"/>
                              <w:rPr>
                                <w:rFonts w:hint="eastAsia" w:ascii="宋体" w:eastAsia="宋体"/>
                                <w:b/>
                                <w:bCs/>
                                <w:color w:val="000000"/>
                                <w:szCs w:val="21"/>
                                <w:lang w:eastAsia="zh-CN"/>
                              </w:rPr>
                            </w:pPr>
                          </w:p>
                          <w:p w14:paraId="07DBB900">
                            <w:pPr>
                              <w:jc w:val="center"/>
                              <w:rPr>
                                <w:rFonts w:hint="eastAsia" w:ascii="宋体"/>
                                <w:b/>
                                <w:bCs/>
                                <w:color w:val="000000"/>
                                <w:szCs w:val="21"/>
                              </w:rPr>
                            </w:pPr>
                            <w:r>
                              <w:rPr>
                                <w:rFonts w:hint="eastAsia" w:ascii="宋体"/>
                                <w:b/>
                                <w:bCs/>
                                <w:color w:val="000000"/>
                                <w:szCs w:val="21"/>
                              </w:rPr>
                              <w:t>法定代表人</w:t>
                            </w:r>
                            <w:r>
                              <w:rPr>
                                <w:rFonts w:hint="eastAsia" w:ascii="宋体"/>
                                <w:b/>
                                <w:bCs/>
                                <w:color w:val="000000"/>
                                <w:szCs w:val="21"/>
                                <w:lang w:val="en-US" w:eastAsia="zh-CN"/>
                              </w:rPr>
                              <w:t>及授权代表人</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w:t>
                            </w:r>
                          </w:p>
                          <w:p w14:paraId="0A00E56D">
                            <w:pPr>
                              <w:ind w:left="0" w:leftChars="0" w:firstLine="0" w:firstLineChars="0"/>
                              <w:jc w:val="center"/>
                              <w:rPr>
                                <w:rFonts w:ascii="宋体"/>
                                <w:b/>
                                <w:bCs/>
                                <w:szCs w:val="21"/>
                              </w:rPr>
                            </w:pPr>
                            <w:r>
                              <w:rPr>
                                <w:rFonts w:hint="eastAsia" w:ascii="宋体"/>
                                <w:b/>
                                <w:bCs/>
                                <w:color w:val="000000"/>
                                <w:szCs w:val="21"/>
                              </w:rPr>
                              <w:t>粘贴处</w:t>
                            </w:r>
                          </w:p>
                        </w:txbxContent>
                      </wps:txbx>
                      <wps:bodyPr upright="1"/>
                    </wps:wsp>
                  </a:graphicData>
                </a:graphic>
              </wp:anchor>
            </w:drawing>
          </mc:Choice>
          <mc:Fallback>
            <w:pict>
              <v:rect id="_x0000_s1026" o:spid="_x0000_s1026" o:spt="1" style="position:absolute;left:0pt;margin-left:94.3pt;margin-top:11.5pt;height:155.85pt;width:274.45pt;z-index:251662336;mso-width-relative:page;mso-height-relative:page;" fillcolor="#FFFFFF" filled="t" stroked="t" coordsize="21600,21600" o:gfxdata="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ocNeNgAAAAKAQAADwAAAAAAAAABACAAAAAiAAAAZHJzL2Rv&#10;d25yZXYueG1sUEsBAhQAFAAAAAgAh07iQNS1fUIBAgAAKgQAAA4AAAAAAAAAAQAgAAAAJwEAAGRy&#10;cy9lMm9Eb2MueG1sUEsFBgAAAAAGAAYAWQEAAJoFAAAAAA==&#10;">
                <v:fill on="t" focussize="0,0"/>
                <v:stroke color="#000000" joinstyle="miter"/>
                <v:imagedata o:title=""/>
                <o:lock v:ext="edit" aspectratio="f"/>
                <v:textbox>
                  <w:txbxContent>
                    <w:p w14:paraId="3412C794">
                      <w:pPr>
                        <w:jc w:val="center"/>
                        <w:rPr>
                          <w:rFonts w:hint="eastAsia" w:ascii="宋体" w:eastAsia="宋体"/>
                          <w:b/>
                          <w:bCs/>
                          <w:color w:val="000000"/>
                          <w:szCs w:val="21"/>
                          <w:lang w:eastAsia="zh-CN"/>
                        </w:rPr>
                      </w:pPr>
                    </w:p>
                    <w:p w14:paraId="07DBB900">
                      <w:pPr>
                        <w:jc w:val="center"/>
                        <w:rPr>
                          <w:rFonts w:hint="eastAsia" w:ascii="宋体"/>
                          <w:b/>
                          <w:bCs/>
                          <w:color w:val="000000"/>
                          <w:szCs w:val="21"/>
                        </w:rPr>
                      </w:pPr>
                      <w:r>
                        <w:rPr>
                          <w:rFonts w:hint="eastAsia" w:ascii="宋体"/>
                          <w:b/>
                          <w:bCs/>
                          <w:color w:val="000000"/>
                          <w:szCs w:val="21"/>
                        </w:rPr>
                        <w:t>法定代表人</w:t>
                      </w:r>
                      <w:r>
                        <w:rPr>
                          <w:rFonts w:hint="eastAsia" w:ascii="宋体"/>
                          <w:b/>
                          <w:bCs/>
                          <w:color w:val="000000"/>
                          <w:szCs w:val="21"/>
                          <w:lang w:val="en-US" w:eastAsia="zh-CN"/>
                        </w:rPr>
                        <w:t>及授权代表人</w:t>
                      </w:r>
                      <w:r>
                        <w:rPr>
                          <w:rFonts w:hint="eastAsia" w:ascii="宋体"/>
                          <w:b/>
                          <w:bCs/>
                          <w:color w:val="000000"/>
                          <w:szCs w:val="21"/>
                        </w:rPr>
                        <w:t>身份证</w:t>
                      </w:r>
                      <w:r>
                        <w:rPr>
                          <w:rFonts w:hint="eastAsia" w:ascii="宋体"/>
                          <w:b/>
                          <w:bCs/>
                          <w:color w:val="000000"/>
                          <w:szCs w:val="21"/>
                          <w:lang w:val="en-US" w:eastAsia="zh-CN"/>
                        </w:rPr>
                        <w:t>正反面</w:t>
                      </w:r>
                      <w:r>
                        <w:rPr>
                          <w:rFonts w:hint="eastAsia" w:ascii="宋体"/>
                          <w:b/>
                          <w:bCs/>
                          <w:color w:val="000000"/>
                          <w:szCs w:val="21"/>
                        </w:rPr>
                        <w:t>复印件</w:t>
                      </w:r>
                    </w:p>
                    <w:p w14:paraId="0A00E56D">
                      <w:pPr>
                        <w:ind w:left="0" w:leftChars="0" w:firstLine="0" w:firstLineChars="0"/>
                        <w:jc w:val="center"/>
                        <w:rPr>
                          <w:rFonts w:ascii="宋体"/>
                          <w:b/>
                          <w:bCs/>
                          <w:szCs w:val="21"/>
                        </w:rPr>
                      </w:pPr>
                      <w:r>
                        <w:rPr>
                          <w:rFonts w:hint="eastAsia" w:ascii="宋体"/>
                          <w:b/>
                          <w:bCs/>
                          <w:color w:val="000000"/>
                          <w:szCs w:val="21"/>
                        </w:rPr>
                        <w:t>粘贴处</w:t>
                      </w:r>
                    </w:p>
                  </w:txbxContent>
                </v:textbox>
              </v:rect>
            </w:pict>
          </mc:Fallback>
        </mc:AlternateContent>
      </w:r>
    </w:p>
    <w:p w14:paraId="76A4DAA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739596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5AF0C36">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6D4B1B52">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5416CFF1">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47CE2C57">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45D34B7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p>
    <w:p w14:paraId="06E115AD">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投标单位（</w:t>
      </w:r>
      <w:r>
        <w:rPr>
          <w:rFonts w:hint="eastAsia" w:ascii="宋体" w:hAnsi="宋体" w:eastAsia="宋体" w:cs="宋体"/>
          <w:color w:val="000000"/>
          <w:sz w:val="24"/>
          <w:szCs w:val="24"/>
          <w:highlight w:val="none"/>
        </w:rPr>
        <w:t>单位</w:t>
      </w:r>
      <w:r>
        <w:rPr>
          <w:rFonts w:hint="eastAsia" w:ascii="宋体" w:hAnsi="宋体" w:eastAsia="宋体" w:cs="宋体"/>
          <w:sz w:val="24"/>
          <w:szCs w:val="24"/>
          <w:highlight w:val="none"/>
        </w:rPr>
        <w:t>公章）：</w:t>
      </w:r>
    </w:p>
    <w:p w14:paraId="1190D51E">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p>
    <w:p w14:paraId="45963A09">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法定代表人签字或盖章：</w:t>
      </w:r>
    </w:p>
    <w:p w14:paraId="402D0C31">
      <w:pPr>
        <w:pageBreakBefore w:val="0"/>
        <w:kinsoku/>
        <w:wordWrap/>
        <w:overflowPunct/>
        <w:topLinePunct w:val="0"/>
        <w:bidi w:val="0"/>
        <w:spacing w:beforeAutospacing="0" w:afterAutospacing="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授权代表人签字或盖章：</w:t>
      </w:r>
    </w:p>
    <w:p w14:paraId="2494C64F">
      <w:pPr>
        <w:pStyle w:val="69"/>
        <w:bidi w:val="0"/>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7E346520">
      <w:pPr>
        <w:pStyle w:val="69"/>
        <w:bidi w:val="0"/>
        <w:rPr>
          <w:rFonts w:hint="default"/>
          <w:lang w:val="en-US" w:eastAsia="zh-CN"/>
        </w:rPr>
      </w:pPr>
      <w:r>
        <w:rPr>
          <w:rFonts w:hint="eastAsia"/>
          <w:lang w:val="en-US" w:eastAsia="zh-CN"/>
        </w:rPr>
        <w:t>6投标人认为需要提交的其他资料</w:t>
      </w:r>
    </w:p>
    <w:p w14:paraId="6D556DEB">
      <w:pPr>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6DAF4E08">
      <w:pPr>
        <w:pStyle w:val="4"/>
        <w:bidi w:val="0"/>
        <w:rPr>
          <w:rFonts w:hint="default"/>
          <w:lang w:val="en-US" w:eastAsia="zh-CN"/>
        </w:rPr>
      </w:pPr>
      <w:r>
        <w:rPr>
          <w:rFonts w:hint="eastAsia"/>
          <w:lang w:val="en-US" w:eastAsia="zh-CN"/>
        </w:rPr>
        <w:t>二、报价文件</w:t>
      </w:r>
    </w:p>
    <w:p w14:paraId="441592D1">
      <w:pPr>
        <w:pStyle w:val="69"/>
        <w:bidi w:val="0"/>
        <w:rPr>
          <w:rFonts w:hint="eastAsia"/>
          <w:lang w:val="en-US" w:eastAsia="zh-CN"/>
        </w:rPr>
      </w:pPr>
      <w:r>
        <w:rPr>
          <w:rFonts w:hint="eastAsia"/>
          <w:lang w:val="en-US" w:eastAsia="zh-CN"/>
        </w:rPr>
        <w:t>1响应书</w:t>
      </w:r>
    </w:p>
    <w:p w14:paraId="0272C060">
      <w:pPr>
        <w:bidi w:val="0"/>
      </w:pPr>
      <w:r>
        <w:t>致（</w:t>
      </w:r>
      <w:r>
        <w:rPr>
          <w:rFonts w:hint="eastAsia"/>
          <w:lang w:eastAsia="zh-CN"/>
        </w:rPr>
        <w:t>采购人</w:t>
      </w:r>
      <w:r>
        <w:t>）：</w:t>
      </w:r>
    </w:p>
    <w:p w14:paraId="70A2C54C">
      <w:pPr>
        <w:bidi w:val="0"/>
      </w:pPr>
      <w:r>
        <w:t>根据已收到的                             的磋商文件，我单位经考察现场并充分研究贵方的磋商文件后，我方提出以下承诺：</w:t>
      </w:r>
    </w:p>
    <w:p w14:paraId="2172C348">
      <w:pPr>
        <w:bidi w:val="0"/>
      </w:pPr>
      <w:r>
        <w:t>1、我方愿以人民币（大写）          元(¥             ) 的磋商总报价（分项报价见已标价的工程量清单），</w:t>
      </w:r>
      <w:r>
        <w:rPr>
          <w:rFonts w:hint="eastAsia"/>
          <w:lang w:val="en-US" w:eastAsia="zh-CN"/>
        </w:rPr>
        <w:t>合同履约期限</w:t>
      </w:r>
      <w:r>
        <w:t xml:space="preserve">           日历天，按上述磋商文件规定的条件和要求承包合同规定的全部工作，并承担相关的责任。</w:t>
      </w:r>
    </w:p>
    <w:p w14:paraId="4E50FD1F">
      <w:pPr>
        <w:bidi w:val="0"/>
      </w:pPr>
      <w:r>
        <w:t>2、一旦我方中标，我方保证按照所报的项目经理及项目管理班子承包上述项目；</w:t>
      </w:r>
    </w:p>
    <w:p w14:paraId="7F783CA4">
      <w:pPr>
        <w:bidi w:val="0"/>
      </w:pPr>
      <w:r>
        <w:t>3、一旦我方中标，我方保证在收到贵方发出的施工许可证后立即开工，并在我方承诺在合同约定的期限内竣工。</w:t>
      </w:r>
    </w:p>
    <w:p w14:paraId="03E8359C">
      <w:pPr>
        <w:bidi w:val="0"/>
      </w:pPr>
      <w:r>
        <w:t>4、如果我方中标，我方确保工程质量等级( 合格 )交付全部工程。</w:t>
      </w:r>
    </w:p>
    <w:p w14:paraId="0DDDC069">
      <w:pPr>
        <w:bidi w:val="0"/>
      </w:pPr>
      <w:r>
        <w:t>5、我方同意按磋商文件的规定，本响应文件的有效期为开标日后60天。</w:t>
      </w:r>
    </w:p>
    <w:p w14:paraId="05A036ED">
      <w:pPr>
        <w:bidi w:val="0"/>
      </w:pPr>
      <w:r>
        <w:t>6、如果我方中标，我方将按照磋商文件的规定，提交规定数额的银行保函作为本工程的履约保证金，并对此共同地和分别地承担责任。</w:t>
      </w:r>
    </w:p>
    <w:p w14:paraId="431C6110">
      <w:pPr>
        <w:bidi w:val="0"/>
      </w:pPr>
      <w:r>
        <w:t>7、在签署合同协议书之前，你方的成交通知书和本响应文件将构成约束我们双方的契约。</w:t>
      </w:r>
    </w:p>
    <w:p w14:paraId="6D8DFF9E">
      <w:pPr>
        <w:bidi w:val="0"/>
        <w:rPr>
          <w:rFonts w:hint="eastAsia"/>
          <w:lang w:eastAsia="zh-CN"/>
        </w:rPr>
      </w:pPr>
      <w:r>
        <w:t>8、我方理解你们将不必接受你们所收到的最低标价或者其他任何响应文件的约束。</w:t>
      </w:r>
    </w:p>
    <w:p w14:paraId="2405B1B5">
      <w:pPr>
        <w:bidi w:val="0"/>
      </w:pPr>
      <w:r>
        <w:t>供应商：                  （盖单位章）</w:t>
      </w:r>
    </w:p>
    <w:p w14:paraId="1191ECD0">
      <w:pPr>
        <w:bidi w:val="0"/>
      </w:pPr>
      <w:r>
        <w:t>法定代表人或其委托代理人：        （签字）</w:t>
      </w:r>
    </w:p>
    <w:p w14:paraId="1B81664B">
      <w:pPr>
        <w:bidi w:val="0"/>
        <w:rPr>
          <w:rFonts w:hint="default"/>
          <w:lang w:val="en-US" w:eastAsia="zh-CN"/>
        </w:rPr>
      </w:pPr>
      <w:r>
        <w:t>地址：</w:t>
      </w:r>
      <w:r>
        <w:rPr>
          <w:rFonts w:hint="eastAsia"/>
          <w:lang w:val="en-US" w:eastAsia="zh-CN"/>
        </w:rPr>
        <w:t xml:space="preserve">                                  </w:t>
      </w:r>
    </w:p>
    <w:p w14:paraId="092C0B16">
      <w:pPr>
        <w:bidi w:val="0"/>
        <w:rPr>
          <w:rFonts w:hint="eastAsia"/>
          <w:lang w:val="en-US" w:eastAsia="zh-CN"/>
        </w:rPr>
      </w:pPr>
      <w:r>
        <w:t>电话：</w:t>
      </w:r>
      <w:r>
        <w:rPr>
          <w:rFonts w:hint="eastAsia"/>
          <w:lang w:val="en-US" w:eastAsia="zh-CN"/>
        </w:rPr>
        <w:t xml:space="preserve">                        </w:t>
      </w:r>
      <w:r>
        <w:t>邮政编码：</w:t>
      </w:r>
      <w:r>
        <w:rPr>
          <w:rFonts w:hint="eastAsia"/>
          <w:lang w:val="en-US" w:eastAsia="zh-CN"/>
        </w:rPr>
        <w:t xml:space="preserve">                </w:t>
      </w:r>
    </w:p>
    <w:p w14:paraId="6A837046">
      <w:pPr>
        <w:bidi w:val="0"/>
        <w:rPr>
          <w:rFonts w:hint="eastAsia" w:ascii="宋体" w:hAnsi="宋体" w:eastAsia="宋体" w:cs="宋体"/>
          <w:b/>
          <w:bCs/>
          <w:sz w:val="24"/>
          <w:szCs w:val="24"/>
          <w:lang w:val="en-US" w:eastAsia="zh-CN"/>
        </w:rPr>
      </w:pPr>
      <w:r>
        <w:t xml:space="preserve">    年     月     日</w:t>
      </w:r>
      <w:r>
        <w:rPr>
          <w:rFonts w:hint="eastAsia" w:ascii="宋体" w:hAnsi="宋体" w:eastAsia="宋体" w:cs="宋体"/>
          <w:b/>
          <w:bCs/>
          <w:sz w:val="24"/>
          <w:szCs w:val="24"/>
          <w:lang w:val="en-US" w:eastAsia="zh-CN"/>
        </w:rPr>
        <w:br w:type="page"/>
      </w:r>
    </w:p>
    <w:p w14:paraId="670758B4">
      <w:pPr>
        <w:pStyle w:val="69"/>
        <w:bidi w:val="0"/>
        <w:rPr>
          <w:rFonts w:hint="eastAsia"/>
          <w:lang w:val="en-US" w:eastAsia="zh-CN"/>
        </w:rPr>
      </w:pPr>
      <w:r>
        <w:rPr>
          <w:rFonts w:hint="eastAsia"/>
          <w:lang w:val="en-US" w:eastAsia="zh-CN"/>
        </w:rPr>
        <w:t>2.报价一览表(首次报价表)</w:t>
      </w:r>
    </w:p>
    <w:p w14:paraId="0D71C97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p>
    <w:p w14:paraId="6A6D08F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 xml:space="preserve">  </w:t>
      </w:r>
    </w:p>
    <w:tbl>
      <w:tblPr>
        <w:tblStyle w:val="29"/>
        <w:tblW w:w="511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1"/>
        <w:gridCol w:w="1843"/>
        <w:gridCol w:w="1942"/>
        <w:gridCol w:w="1402"/>
        <w:gridCol w:w="1769"/>
        <w:gridCol w:w="1449"/>
        <w:gridCol w:w="785"/>
      </w:tblGrid>
      <w:tr w14:paraId="02A7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460575BC">
            <w:pPr>
              <w:pStyle w:val="66"/>
              <w:bidi w:val="0"/>
              <w:rPr>
                <w:rFonts w:hint="eastAsia"/>
                <w:lang w:val="en-US" w:eastAsia="zh-CN"/>
              </w:rPr>
            </w:pPr>
            <w:r>
              <w:rPr>
                <w:rFonts w:hint="eastAsia"/>
                <w:lang w:val="en-US" w:eastAsia="zh-CN"/>
              </w:rPr>
              <w:t>序号</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13B5C196">
            <w:pPr>
              <w:pStyle w:val="66"/>
              <w:bidi w:val="0"/>
              <w:rPr>
                <w:rFonts w:hint="eastAsia"/>
                <w:lang w:val="en-US" w:eastAsia="zh-CN"/>
              </w:rPr>
            </w:pPr>
            <w:r>
              <w:rPr>
                <w:rFonts w:hint="eastAsia"/>
                <w:lang w:val="en-US" w:eastAsia="zh-CN"/>
              </w:rPr>
              <w:t>供应商名称</w:t>
            </w: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7AE4C6D1">
            <w:pPr>
              <w:pStyle w:val="66"/>
              <w:bidi w:val="0"/>
              <w:rPr>
                <w:rFonts w:hint="eastAsia"/>
                <w:lang w:val="en-US" w:eastAsia="zh-CN"/>
              </w:rPr>
            </w:pPr>
            <w:r>
              <w:rPr>
                <w:rFonts w:hint="eastAsia"/>
                <w:lang w:val="en-US" w:eastAsia="zh-CN"/>
              </w:rPr>
              <w:t>报价（元）</w:t>
            </w: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434A34BB">
            <w:pPr>
              <w:pStyle w:val="66"/>
              <w:bidi w:val="0"/>
              <w:rPr>
                <w:rFonts w:hint="default"/>
                <w:lang w:val="en-US" w:eastAsia="zh-CN"/>
              </w:rPr>
            </w:pPr>
            <w:r>
              <w:rPr>
                <w:rFonts w:hint="eastAsia"/>
                <w:lang w:val="en-US" w:eastAsia="zh-CN"/>
              </w:rPr>
              <w:t>合同履约期限</w:t>
            </w: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646A4465">
            <w:pPr>
              <w:pStyle w:val="66"/>
              <w:bidi w:val="0"/>
              <w:rPr>
                <w:rFonts w:hint="default"/>
                <w:lang w:val="en-US" w:eastAsia="zh-CN"/>
              </w:rPr>
            </w:pPr>
            <w:r>
              <w:rPr>
                <w:rFonts w:hint="eastAsia"/>
                <w:lang w:val="en-US" w:eastAsia="zh-CN"/>
              </w:rPr>
              <w:t>项目负责人 /证书编号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6FECCCD">
            <w:pPr>
              <w:pStyle w:val="66"/>
              <w:bidi w:val="0"/>
              <w:rPr>
                <w:rFonts w:hint="default"/>
                <w:lang w:val="en-US" w:eastAsia="zh-CN"/>
              </w:rPr>
            </w:pPr>
            <w:r>
              <w:rPr>
                <w:rFonts w:hint="eastAsia"/>
                <w:lang w:val="en-US" w:eastAsia="zh-CN"/>
              </w:rPr>
              <w:t>保证金缴纳方式</w:t>
            </w:r>
          </w:p>
        </w:tc>
        <w:tc>
          <w:tcPr>
            <w:tcW w:w="382" w:type="pct"/>
            <w:tcBorders>
              <w:top w:val="single" w:color="000000" w:sz="4" w:space="0"/>
              <w:left w:val="single" w:color="000000" w:sz="4" w:space="0"/>
              <w:bottom w:val="single" w:color="000000" w:sz="4" w:space="0"/>
              <w:right w:val="single" w:color="auto" w:sz="4" w:space="0"/>
            </w:tcBorders>
            <w:noWrap w:val="0"/>
            <w:vAlign w:val="center"/>
          </w:tcPr>
          <w:p w14:paraId="6DA97537">
            <w:pPr>
              <w:pStyle w:val="66"/>
              <w:bidi w:val="0"/>
              <w:rPr>
                <w:rFonts w:hint="eastAsia"/>
                <w:lang w:val="en-US" w:eastAsia="zh-CN"/>
              </w:rPr>
            </w:pPr>
            <w:r>
              <w:rPr>
                <w:rFonts w:hint="eastAsia"/>
                <w:lang w:val="en-US" w:eastAsia="zh-CN"/>
              </w:rPr>
              <w:t>备注</w:t>
            </w:r>
          </w:p>
        </w:tc>
      </w:tr>
      <w:tr w14:paraId="32510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1" w:type="pct"/>
            <w:tcBorders>
              <w:top w:val="single" w:color="000000" w:sz="4" w:space="0"/>
              <w:left w:val="single" w:color="000000" w:sz="4" w:space="0"/>
              <w:bottom w:val="single" w:color="000000" w:sz="4" w:space="0"/>
              <w:right w:val="single" w:color="000000" w:sz="4" w:space="0"/>
            </w:tcBorders>
            <w:noWrap w:val="0"/>
            <w:vAlign w:val="center"/>
          </w:tcPr>
          <w:p w14:paraId="0091ABF4">
            <w:pPr>
              <w:pStyle w:val="66"/>
              <w:bidi w:val="0"/>
              <w:rPr>
                <w:rFonts w:hint="eastAsia"/>
                <w:lang w:val="en-US" w:eastAsia="zh-CN"/>
              </w:rPr>
            </w:pPr>
            <w:r>
              <w:rPr>
                <w:rFonts w:hint="eastAsia"/>
                <w:lang w:val="en-US" w:eastAsia="zh-CN"/>
              </w:rPr>
              <w:t>1</w:t>
            </w:r>
          </w:p>
        </w:tc>
        <w:tc>
          <w:tcPr>
            <w:tcW w:w="904" w:type="pct"/>
            <w:tcBorders>
              <w:top w:val="single" w:color="000000" w:sz="4" w:space="0"/>
              <w:left w:val="single" w:color="000000" w:sz="4" w:space="0"/>
              <w:bottom w:val="single" w:color="000000" w:sz="4" w:space="0"/>
              <w:right w:val="single" w:color="000000" w:sz="4" w:space="0"/>
            </w:tcBorders>
            <w:noWrap w:val="0"/>
            <w:vAlign w:val="center"/>
          </w:tcPr>
          <w:p w14:paraId="47DFA515">
            <w:pPr>
              <w:pStyle w:val="66"/>
              <w:bidi w:val="0"/>
              <w:rPr>
                <w:rFonts w:hint="eastAsia"/>
                <w:lang w:val="en-US" w:eastAsia="zh-CN"/>
              </w:rPr>
            </w:pPr>
          </w:p>
        </w:tc>
        <w:tc>
          <w:tcPr>
            <w:tcW w:w="953" w:type="pct"/>
            <w:tcBorders>
              <w:top w:val="single" w:color="000000" w:sz="4" w:space="0"/>
              <w:left w:val="single" w:color="000000" w:sz="4" w:space="0"/>
              <w:bottom w:val="single" w:color="000000" w:sz="4" w:space="0"/>
              <w:right w:val="single" w:color="000000" w:sz="4" w:space="0"/>
            </w:tcBorders>
            <w:noWrap w:val="0"/>
            <w:vAlign w:val="center"/>
          </w:tcPr>
          <w:p w14:paraId="2E83D51F">
            <w:pPr>
              <w:pStyle w:val="66"/>
              <w:bidi w:val="0"/>
              <w:rPr>
                <w:rFonts w:hint="eastAsia"/>
                <w:lang w:val="en-US" w:eastAsia="zh-CN"/>
              </w:rPr>
            </w:pPr>
          </w:p>
        </w:tc>
        <w:tc>
          <w:tcPr>
            <w:tcW w:w="688" w:type="pct"/>
            <w:tcBorders>
              <w:top w:val="single" w:color="000000" w:sz="4" w:space="0"/>
              <w:left w:val="single" w:color="000000" w:sz="4" w:space="0"/>
              <w:bottom w:val="single" w:color="000000" w:sz="4" w:space="0"/>
              <w:right w:val="single" w:color="000000" w:sz="4" w:space="0"/>
            </w:tcBorders>
            <w:noWrap w:val="0"/>
            <w:vAlign w:val="center"/>
          </w:tcPr>
          <w:p w14:paraId="06549296">
            <w:pPr>
              <w:pStyle w:val="66"/>
              <w:bidi w:val="0"/>
              <w:rPr>
                <w:rFonts w:hint="eastAsia"/>
                <w:lang w:val="en-US" w:eastAsia="zh-CN"/>
              </w:rPr>
            </w:pPr>
          </w:p>
        </w:tc>
        <w:tc>
          <w:tcPr>
            <w:tcW w:w="868" w:type="pct"/>
            <w:tcBorders>
              <w:top w:val="single" w:color="000000" w:sz="4" w:space="0"/>
              <w:left w:val="single" w:color="000000" w:sz="4" w:space="0"/>
              <w:bottom w:val="single" w:color="000000" w:sz="4" w:space="0"/>
              <w:right w:val="single" w:color="000000" w:sz="4" w:space="0"/>
            </w:tcBorders>
            <w:noWrap w:val="0"/>
            <w:vAlign w:val="center"/>
          </w:tcPr>
          <w:p w14:paraId="5BEDF3B0">
            <w:pPr>
              <w:pStyle w:val="66"/>
              <w:bidi w:val="0"/>
              <w:rPr>
                <w:rFonts w:hint="eastAsia"/>
                <w:lang w:val="en-US" w:eastAsia="zh-CN"/>
              </w:rPr>
            </w:pP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268FE346">
            <w:pPr>
              <w:pStyle w:val="66"/>
              <w:bidi w:val="0"/>
              <w:rPr>
                <w:rFonts w:hint="eastAsia"/>
                <w:lang w:val="en-US" w:eastAsia="zh-CN"/>
              </w:rPr>
            </w:pPr>
          </w:p>
        </w:tc>
        <w:tc>
          <w:tcPr>
            <w:tcW w:w="382" w:type="pct"/>
            <w:tcBorders>
              <w:top w:val="single" w:color="000000" w:sz="4" w:space="0"/>
              <w:left w:val="single" w:color="000000" w:sz="4" w:space="0"/>
              <w:bottom w:val="single" w:color="000000" w:sz="4" w:space="0"/>
              <w:right w:val="single" w:color="auto" w:sz="4" w:space="0"/>
            </w:tcBorders>
            <w:noWrap w:val="0"/>
            <w:vAlign w:val="center"/>
          </w:tcPr>
          <w:p w14:paraId="5494D36C">
            <w:pPr>
              <w:pStyle w:val="66"/>
              <w:bidi w:val="0"/>
              <w:rPr>
                <w:rFonts w:hint="eastAsia"/>
                <w:lang w:val="en-US" w:eastAsia="zh-CN"/>
              </w:rPr>
            </w:pPr>
          </w:p>
        </w:tc>
      </w:tr>
      <w:tr w14:paraId="2C63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0" w:hRule="atLeast"/>
        </w:trPr>
        <w:tc>
          <w:tcPr>
            <w:tcW w:w="5000" w:type="pct"/>
            <w:gridSpan w:val="7"/>
            <w:tcBorders>
              <w:top w:val="single" w:color="000000" w:sz="4" w:space="0"/>
              <w:left w:val="single" w:color="000000" w:sz="4" w:space="0"/>
              <w:bottom w:val="single" w:color="000000" w:sz="4" w:space="0"/>
              <w:right w:val="single" w:color="auto" w:sz="4" w:space="0"/>
            </w:tcBorders>
            <w:noWrap w:val="0"/>
            <w:vAlign w:val="center"/>
          </w:tcPr>
          <w:p w14:paraId="2219E666">
            <w:pPr>
              <w:pStyle w:val="66"/>
              <w:bidi w:val="0"/>
              <w:rPr>
                <w:rFonts w:hint="default"/>
                <w:lang w:val="en-US" w:eastAsia="zh-CN"/>
              </w:rPr>
            </w:pPr>
            <w:r>
              <w:rPr>
                <w:rFonts w:hint="eastAsia"/>
                <w:lang w:val="en-US" w:eastAsia="zh-CN"/>
              </w:rPr>
              <w:t>报价大写：</w:t>
            </w:r>
          </w:p>
        </w:tc>
      </w:tr>
    </w:tbl>
    <w:p w14:paraId="748C4E2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99A039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注：</w:t>
      </w:r>
    </w:p>
    <w:p w14:paraId="6A677C3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供应商须按要求填写所有信息。政采云填报必须与本格式一致，本表格式内容不得改动。 </w:t>
      </w:r>
    </w:p>
    <w:p w14:paraId="1E0DE72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 xml:space="preserve">2. </w:t>
      </w:r>
      <w:r>
        <w:rPr>
          <w:rFonts w:hint="eastAsia" w:ascii="宋体" w:hAnsi="宋体" w:eastAsia="宋体" w:cs="宋体"/>
          <w:color w:val="auto"/>
          <w:sz w:val="24"/>
          <w:szCs w:val="24"/>
          <w:highlight w:val="none"/>
          <w:lang w:val="en-US" w:eastAsia="zh-CN"/>
        </w:rPr>
        <w:t>总报价不得超出本项目</w:t>
      </w:r>
      <w:r>
        <w:rPr>
          <w:rFonts w:hint="eastAsia" w:cs="宋体"/>
          <w:color w:val="auto"/>
          <w:sz w:val="24"/>
          <w:szCs w:val="24"/>
          <w:highlight w:val="none"/>
          <w:lang w:val="en-US" w:eastAsia="zh-CN"/>
        </w:rPr>
        <w:t>最高限</w:t>
      </w:r>
      <w:r>
        <w:rPr>
          <w:rFonts w:hint="eastAsia" w:ascii="宋体" w:hAnsi="宋体" w:eastAsia="宋体" w:cs="宋体"/>
          <w:color w:val="auto"/>
          <w:sz w:val="24"/>
          <w:szCs w:val="24"/>
          <w:highlight w:val="none"/>
          <w:lang w:val="en-US" w:eastAsia="zh-CN"/>
        </w:rPr>
        <w:t>价，否则视作无效响应文件。</w:t>
      </w:r>
    </w:p>
    <w:p w14:paraId="118E9B44">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供应商名称（单位盖公章）：                              </w:t>
      </w:r>
    </w:p>
    <w:p w14:paraId="62366B4D">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14D452F">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法定代表人或供应商授权代表（签名或盖章）：</w:t>
      </w:r>
      <w:r>
        <w:rPr>
          <w:rFonts w:hint="eastAsia" w:ascii="宋体" w:hAnsi="宋体" w:eastAsia="宋体" w:cs="宋体"/>
          <w:color w:val="auto"/>
          <w:sz w:val="24"/>
          <w:szCs w:val="24"/>
          <w:highlight w:val="none"/>
          <w:u w:val="single"/>
        </w:rPr>
        <w:t xml:space="preserve">       </w:t>
      </w:r>
    </w:p>
    <w:p w14:paraId="352E1A7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AA6AED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FA3663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AB05DAF">
      <w:pPr>
        <w:pStyle w:val="69"/>
        <w:bidi w:val="0"/>
        <w:rPr>
          <w:rFonts w:hint="eastAsia"/>
          <w:lang w:val="en-US" w:eastAsia="zh-CN"/>
        </w:rPr>
      </w:pPr>
      <w:r>
        <w:rPr>
          <w:rFonts w:hint="eastAsia"/>
          <w:lang w:val="en-US" w:eastAsia="zh-CN"/>
        </w:rPr>
        <w:t>3. 标价的工程量清单</w:t>
      </w:r>
    </w:p>
    <w:p w14:paraId="4E48B21B">
      <w:pPr>
        <w:bidi w:val="0"/>
        <w:rPr>
          <w:rFonts w:hint="eastAsia"/>
          <w:lang w:eastAsia="zh-CN"/>
        </w:rPr>
      </w:pPr>
      <w:r>
        <w:rPr>
          <w:rFonts w:hint="eastAsia"/>
        </w:rPr>
        <w:t>项目名称：</w:t>
      </w:r>
    </w:p>
    <w:p w14:paraId="54933B1E">
      <w:pPr>
        <w:bidi w:val="0"/>
        <w:rPr>
          <w:rFonts w:hint="eastAsia"/>
          <w:lang w:eastAsia="zh-CN"/>
        </w:rPr>
      </w:pPr>
      <w:r>
        <w:rPr>
          <w:rFonts w:hint="eastAsia"/>
          <w:lang w:eastAsia="zh-CN"/>
        </w:rPr>
        <w:t>项目编号：</w:t>
      </w:r>
      <w:r>
        <w:rPr>
          <w:rFonts w:hint="eastAsia"/>
        </w:rPr>
        <w:t xml:space="preserve">  </w:t>
      </w:r>
    </w:p>
    <w:p w14:paraId="0316504B">
      <w:pPr>
        <w:bidi w:val="0"/>
        <w:rPr>
          <w:rFonts w:hint="eastAsia"/>
          <w:lang w:val="en-US" w:eastAsia="zh-CN"/>
        </w:rPr>
      </w:pPr>
      <w:r>
        <w:rPr>
          <w:rFonts w:hint="eastAsia"/>
          <w:lang w:val="en-US" w:eastAsia="zh-CN"/>
        </w:rPr>
        <w:t>.............................</w:t>
      </w:r>
    </w:p>
    <w:p w14:paraId="6EF9693B">
      <w:pPr>
        <w:bidi w:val="0"/>
        <w:rPr>
          <w:rFonts w:hint="eastAsia"/>
          <w:lang w:val="en-US" w:eastAsia="zh-CN"/>
        </w:rPr>
      </w:pPr>
      <w:r>
        <w:rPr>
          <w:rFonts w:hint="eastAsia"/>
          <w:lang w:val="en-US" w:eastAsia="zh-CN"/>
        </w:rPr>
        <w:t>.............................</w:t>
      </w:r>
    </w:p>
    <w:p w14:paraId="33384FE4">
      <w:pPr>
        <w:bidi w:val="0"/>
        <w:rPr>
          <w:rFonts w:hint="eastAsia"/>
          <w:lang w:val="en-US" w:eastAsia="zh-CN"/>
        </w:rPr>
      </w:pPr>
      <w:r>
        <w:rPr>
          <w:rFonts w:hint="eastAsia"/>
          <w:lang w:val="en-US" w:eastAsia="zh-CN"/>
        </w:rPr>
        <w:t>.............................</w:t>
      </w:r>
    </w:p>
    <w:p w14:paraId="7F140C15">
      <w:pPr>
        <w:bidi w:val="0"/>
        <w:rPr>
          <w:rFonts w:hint="eastAsia"/>
        </w:rPr>
      </w:pPr>
      <w:r>
        <w:rPr>
          <w:rFonts w:hint="eastAsia"/>
        </w:rPr>
        <w:t xml:space="preserve">注： </w:t>
      </w:r>
    </w:p>
    <w:p w14:paraId="3ABE524A">
      <w:pPr>
        <w:bidi w:val="0"/>
        <w:rPr>
          <w:rFonts w:hint="eastAsia"/>
          <w:lang w:val="en-US" w:eastAsia="zh-CN"/>
        </w:rPr>
      </w:pPr>
      <w:r>
        <w:rPr>
          <w:rFonts w:hint="eastAsia"/>
          <w:lang w:val="en-US" w:eastAsia="zh-CN"/>
        </w:rPr>
        <w:t>1.</w:t>
      </w:r>
      <w:r>
        <w:rPr>
          <w:rFonts w:hint="eastAsia"/>
        </w:rPr>
        <w:t>此表为《</w:t>
      </w:r>
      <w:r>
        <w:rPr>
          <w:rFonts w:hint="eastAsia"/>
          <w:lang w:val="en-US" w:eastAsia="zh-CN"/>
        </w:rPr>
        <w:t>报价</w:t>
      </w:r>
      <w:r>
        <w:rPr>
          <w:rFonts w:hint="eastAsia"/>
        </w:rPr>
        <w:t>一览表(首次报价表)》的报价明细表</w:t>
      </w:r>
      <w:r>
        <w:rPr>
          <w:rFonts w:hint="eastAsia"/>
          <w:lang w:eastAsia="zh-CN"/>
        </w:rPr>
        <w:t>，</w:t>
      </w:r>
      <w:r>
        <w:rPr>
          <w:rFonts w:hint="eastAsia"/>
          <w:lang w:val="en-US" w:eastAsia="zh-CN"/>
        </w:rPr>
        <w:t>具体内容及所需的表格，以磋商文件的“附件1：工程量清单”为准。</w:t>
      </w:r>
    </w:p>
    <w:p w14:paraId="25ED43D6">
      <w:pPr>
        <w:bidi w:val="0"/>
        <w:rPr>
          <w:rFonts w:hint="eastAsia"/>
          <w:lang w:val="en-US" w:eastAsia="zh-CN"/>
        </w:rPr>
      </w:pPr>
      <w:r>
        <w:rPr>
          <w:rFonts w:hint="eastAsia"/>
          <w:lang w:val="en-US" w:eastAsia="zh-CN"/>
        </w:rPr>
        <w:t>2、本项目招磋商文件中投标总价单必须由投标单位注册造价工程师签字并盖专用章</w:t>
      </w:r>
    </w:p>
    <w:p w14:paraId="67B73E4D">
      <w:pPr>
        <w:bidi w:val="0"/>
        <w:rPr>
          <w:rFonts w:hint="eastAsia"/>
        </w:rPr>
      </w:pPr>
      <w:r>
        <w:rPr>
          <w:rFonts w:hint="eastAsia"/>
        </w:rPr>
        <w:t xml:space="preserve">供应商名称（单位盖公章）：                              </w:t>
      </w:r>
    </w:p>
    <w:p w14:paraId="2E694495">
      <w:pPr>
        <w:bidi w:val="0"/>
        <w:rPr>
          <w:rFonts w:hint="eastAsia"/>
        </w:rPr>
      </w:pPr>
      <w:r>
        <w:rPr>
          <w:rFonts w:hint="eastAsia"/>
        </w:rPr>
        <w:t xml:space="preserve"> </w:t>
      </w:r>
    </w:p>
    <w:p w14:paraId="4C8212D2">
      <w:pPr>
        <w:bidi w:val="0"/>
        <w:rPr>
          <w:rFonts w:hint="eastAsia"/>
          <w:lang w:eastAsia="zh-CN"/>
        </w:rPr>
      </w:pPr>
      <w:r>
        <w:rPr>
          <w:rFonts w:hint="eastAsia"/>
        </w:rPr>
        <w:t xml:space="preserve">法定代表人或供应商授权代表（签名或盖章）：       </w:t>
      </w:r>
    </w:p>
    <w:p w14:paraId="5BFAC935">
      <w:pPr>
        <w:bidi w:val="0"/>
      </w:pPr>
      <w:r>
        <w:rPr>
          <w:rFonts w:hint="eastAsia"/>
        </w:rPr>
        <w:t>日期</w:t>
      </w:r>
      <w:r>
        <w:rPr>
          <w:rFonts w:hint="eastAsia"/>
          <w:lang w:eastAsia="zh-CN"/>
        </w:rPr>
        <w:t>：</w:t>
      </w:r>
      <w:r>
        <w:rPr>
          <w:rFonts w:hint="eastAsia"/>
        </w:rPr>
        <w:t xml:space="preserve">         </w:t>
      </w:r>
      <w:r>
        <w:rPr>
          <w:rFonts w:hint="eastAsia"/>
          <w:lang w:val="en-US" w:eastAsia="zh-CN"/>
        </w:rPr>
        <w:t xml:space="preserve">   </w:t>
      </w:r>
      <w:r>
        <w:rPr>
          <w:rFonts w:hint="eastAsia"/>
        </w:rPr>
        <w:t xml:space="preserve"> </w:t>
      </w:r>
    </w:p>
    <w:p w14:paraId="60EDB416">
      <w:pPr>
        <w:rPr>
          <w:rFonts w:hint="eastAsia"/>
        </w:rPr>
      </w:pPr>
      <w:r>
        <w:rPr>
          <w:rFonts w:hint="eastAsia"/>
        </w:rPr>
        <w:t xml:space="preserve"> </w:t>
      </w:r>
    </w:p>
    <w:p w14:paraId="6FC1AE1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61E3E4B7">
      <w:pPr>
        <w:pStyle w:val="69"/>
        <w:bidi w:val="0"/>
        <w:rPr>
          <w:rFonts w:hint="eastAsia"/>
          <w:lang w:val="en-US" w:eastAsia="zh-CN"/>
        </w:rPr>
      </w:pPr>
      <w:r>
        <w:rPr>
          <w:rFonts w:hint="eastAsia"/>
          <w:lang w:val="en-US" w:eastAsia="zh-CN"/>
        </w:rPr>
        <w:t>投标总价单</w:t>
      </w:r>
    </w:p>
    <w:p w14:paraId="59B1DF4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投标总价：</w:t>
      </w:r>
      <w:r>
        <w:rPr>
          <w:rFonts w:hint="eastAsia"/>
          <w:sz w:val="28"/>
          <w:szCs w:val="28"/>
          <w:u w:val="single"/>
          <w:lang w:val="en-US" w:eastAsia="zh-CN"/>
        </w:rPr>
        <w:t xml:space="preserve">                                              </w:t>
      </w:r>
    </w:p>
    <w:p w14:paraId="5E4E4B7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采购人：</w:t>
      </w:r>
      <w:r>
        <w:rPr>
          <w:rFonts w:hint="eastAsia"/>
          <w:sz w:val="28"/>
          <w:szCs w:val="28"/>
          <w:u w:val="single"/>
          <w:lang w:val="en-US" w:eastAsia="zh-CN"/>
        </w:rPr>
        <w:t xml:space="preserve">                                                 </w:t>
      </w:r>
    </w:p>
    <w:p w14:paraId="2F11F27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工程名称：</w:t>
      </w:r>
      <w:r>
        <w:rPr>
          <w:rFonts w:hint="eastAsia"/>
          <w:sz w:val="28"/>
          <w:szCs w:val="28"/>
          <w:u w:val="single"/>
          <w:lang w:val="en-US" w:eastAsia="zh-CN"/>
        </w:rPr>
        <w:t xml:space="preserve">                                               </w:t>
      </w:r>
    </w:p>
    <w:p w14:paraId="4E818C1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投标总价：（小写）</w:t>
      </w:r>
      <w:r>
        <w:rPr>
          <w:rFonts w:hint="eastAsia"/>
          <w:sz w:val="28"/>
          <w:szCs w:val="28"/>
          <w:u w:val="single"/>
          <w:lang w:val="en-US" w:eastAsia="zh-CN"/>
        </w:rPr>
        <w:t xml:space="preserve">                                        </w:t>
      </w:r>
    </w:p>
    <w:p w14:paraId="52EE99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28"/>
          <w:u w:val="single"/>
          <w:lang w:val="en-US" w:eastAsia="zh-CN"/>
        </w:rPr>
      </w:pPr>
      <w:r>
        <w:rPr>
          <w:rFonts w:hint="eastAsia"/>
          <w:sz w:val="28"/>
          <w:szCs w:val="28"/>
          <w:lang w:val="en-US" w:eastAsia="zh-CN"/>
        </w:rPr>
        <w:t xml:space="preserve">          （大写） </w:t>
      </w:r>
      <w:r>
        <w:rPr>
          <w:rFonts w:hint="eastAsia"/>
          <w:sz w:val="28"/>
          <w:szCs w:val="28"/>
          <w:u w:val="single"/>
          <w:lang w:val="en-US" w:eastAsia="zh-CN"/>
        </w:rPr>
        <w:t xml:space="preserve">                                        </w:t>
      </w:r>
    </w:p>
    <w:p w14:paraId="24DC313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投标人：</w:t>
      </w:r>
      <w:r>
        <w:rPr>
          <w:rFonts w:hint="eastAsia"/>
          <w:sz w:val="28"/>
          <w:szCs w:val="28"/>
          <w:u w:val="single"/>
          <w:lang w:val="en-US" w:eastAsia="zh-CN"/>
        </w:rPr>
        <w:t xml:space="preserve">                                                 </w:t>
      </w:r>
    </w:p>
    <w:p w14:paraId="602E9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lang w:val="en-US" w:eastAsia="zh-CN"/>
        </w:rPr>
      </w:pPr>
      <w:r>
        <w:rPr>
          <w:rFonts w:hint="eastAsia"/>
          <w:sz w:val="28"/>
          <w:szCs w:val="28"/>
          <w:lang w:val="en-US" w:eastAsia="zh-CN"/>
        </w:rPr>
        <w:t>（单位盖章）</w:t>
      </w:r>
    </w:p>
    <w:p w14:paraId="36C963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法定代表人：</w:t>
      </w:r>
      <w:r>
        <w:rPr>
          <w:rFonts w:hint="eastAsia"/>
          <w:sz w:val="28"/>
          <w:szCs w:val="28"/>
          <w:u w:val="single"/>
          <w:lang w:val="en-US" w:eastAsia="zh-CN"/>
        </w:rPr>
        <w:t xml:space="preserve">                                             </w:t>
      </w:r>
    </w:p>
    <w:p w14:paraId="0B4E256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8"/>
          <w:szCs w:val="28"/>
          <w:lang w:val="en-US" w:eastAsia="zh-CN"/>
        </w:rPr>
      </w:pPr>
      <w:r>
        <w:rPr>
          <w:rFonts w:hint="eastAsia"/>
          <w:sz w:val="28"/>
          <w:szCs w:val="28"/>
          <w:lang w:val="en-US" w:eastAsia="zh-CN"/>
        </w:rPr>
        <w:t>（盖章）</w:t>
      </w:r>
    </w:p>
    <w:p w14:paraId="7D59B8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sz w:val="28"/>
          <w:szCs w:val="28"/>
          <w:u w:val="single"/>
          <w:lang w:val="en-US" w:eastAsia="zh-CN"/>
        </w:rPr>
      </w:pPr>
      <w:r>
        <w:rPr>
          <w:rFonts w:hint="eastAsia"/>
          <w:sz w:val="28"/>
          <w:szCs w:val="28"/>
          <w:lang w:val="en-US" w:eastAsia="zh-CN"/>
        </w:rPr>
        <w:t>编制人：</w:t>
      </w:r>
      <w:r>
        <w:rPr>
          <w:rFonts w:hint="eastAsia"/>
          <w:sz w:val="28"/>
          <w:szCs w:val="28"/>
          <w:u w:val="single"/>
          <w:lang w:val="en-US" w:eastAsia="zh-CN"/>
        </w:rPr>
        <w:t xml:space="preserve">                                                  </w:t>
      </w:r>
    </w:p>
    <w:p w14:paraId="33395A60">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p>
    <w:p w14:paraId="0B483FE9">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eastAsia"/>
          <w:sz w:val="28"/>
          <w:szCs w:val="28"/>
          <w:lang w:val="en-US" w:eastAsia="zh-CN"/>
        </w:rPr>
      </w:pPr>
      <w:r>
        <w:rPr>
          <w:rFonts w:hint="eastAsia"/>
          <w:sz w:val="28"/>
          <w:szCs w:val="28"/>
          <w:lang w:val="en-US" w:eastAsia="zh-CN"/>
        </w:rPr>
        <w:t>（注册造价师盖专业章）</w:t>
      </w:r>
    </w:p>
    <w:p w14:paraId="5D19DE9B">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auto"/>
        <w:rPr>
          <w:rFonts w:hint="default"/>
          <w:sz w:val="28"/>
          <w:szCs w:val="28"/>
          <w:lang w:val="en-US" w:eastAsia="zh-CN"/>
        </w:rPr>
      </w:pPr>
      <w:r>
        <w:rPr>
          <w:rFonts w:hint="eastAsia"/>
          <w:sz w:val="28"/>
          <w:szCs w:val="28"/>
          <w:lang w:val="en-US" w:eastAsia="zh-CN"/>
        </w:rPr>
        <w:t>时间：   年   月    日</w:t>
      </w:r>
    </w:p>
    <w:p w14:paraId="13E37420">
      <w:pPr>
        <w:rPr>
          <w:rFonts w:hint="eastAsia" w:ascii="宋体" w:hAnsi="宋体" w:cs="宋体"/>
          <w:b/>
          <w:color w:val="000000"/>
          <w:sz w:val="24"/>
          <w:szCs w:val="24"/>
          <w:highlight w:val="none"/>
          <w:lang w:val="en-US" w:eastAsia="zh-CN"/>
        </w:rPr>
      </w:pPr>
      <w:r>
        <w:rPr>
          <w:rFonts w:hint="eastAsia" w:ascii="宋体" w:hAnsi="宋体" w:cs="宋体"/>
          <w:b/>
          <w:color w:val="000000"/>
          <w:sz w:val="24"/>
          <w:szCs w:val="24"/>
          <w:highlight w:val="none"/>
          <w:lang w:val="en-US" w:eastAsia="zh-CN"/>
        </w:rPr>
        <w:br w:type="page"/>
      </w:r>
    </w:p>
    <w:p w14:paraId="720BC44B">
      <w:pPr>
        <w:pStyle w:val="4"/>
        <w:bidi w:val="0"/>
        <w:rPr>
          <w:rFonts w:hint="default"/>
          <w:lang w:val="en-US" w:eastAsia="zh-CN"/>
        </w:rPr>
      </w:pPr>
      <w:r>
        <w:rPr>
          <w:rFonts w:hint="eastAsia"/>
          <w:lang w:val="en-US" w:eastAsia="zh-CN"/>
        </w:rPr>
        <w:t>三、商务技术响应文件</w:t>
      </w:r>
    </w:p>
    <w:p w14:paraId="59B3A922">
      <w:pPr>
        <w:pStyle w:val="69"/>
        <w:bidi w:val="0"/>
        <w:rPr>
          <w:rFonts w:hint="eastAsia"/>
          <w:lang w:val="en-US" w:eastAsia="zh-CN"/>
        </w:rPr>
      </w:pPr>
      <w:r>
        <w:rPr>
          <w:rFonts w:hint="eastAsia"/>
          <w:lang w:val="en-US" w:eastAsia="zh-CN"/>
        </w:rPr>
        <w:t>1、企业近三年类似项目情况表</w:t>
      </w:r>
    </w:p>
    <w:tbl>
      <w:tblPr>
        <w:tblStyle w:val="64"/>
        <w:tblW w:w="9077"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7"/>
        <w:gridCol w:w="6350"/>
      </w:tblGrid>
      <w:tr w14:paraId="2ECD9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2727" w:type="dxa"/>
            <w:noWrap w:val="0"/>
            <w:vAlign w:val="center"/>
          </w:tcPr>
          <w:p w14:paraId="05B3547D">
            <w:pPr>
              <w:pStyle w:val="66"/>
              <w:bidi w:val="0"/>
              <w:jc w:val="center"/>
            </w:pPr>
            <w:r>
              <w:t>项目名称</w:t>
            </w:r>
          </w:p>
        </w:tc>
        <w:tc>
          <w:tcPr>
            <w:tcW w:w="6350" w:type="dxa"/>
            <w:noWrap w:val="0"/>
            <w:vAlign w:val="center"/>
          </w:tcPr>
          <w:p w14:paraId="107F62D0">
            <w:pPr>
              <w:pStyle w:val="66"/>
              <w:bidi w:val="0"/>
              <w:jc w:val="center"/>
            </w:pPr>
          </w:p>
        </w:tc>
      </w:tr>
      <w:tr w14:paraId="4C746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2727" w:type="dxa"/>
            <w:noWrap w:val="0"/>
            <w:vAlign w:val="center"/>
          </w:tcPr>
          <w:p w14:paraId="7A928370">
            <w:pPr>
              <w:pStyle w:val="66"/>
              <w:bidi w:val="0"/>
              <w:jc w:val="center"/>
            </w:pPr>
            <w:r>
              <w:t>项目所在地</w:t>
            </w:r>
          </w:p>
        </w:tc>
        <w:tc>
          <w:tcPr>
            <w:tcW w:w="6350" w:type="dxa"/>
            <w:noWrap w:val="0"/>
            <w:vAlign w:val="center"/>
          </w:tcPr>
          <w:p w14:paraId="38F6B2C5">
            <w:pPr>
              <w:pStyle w:val="66"/>
              <w:bidi w:val="0"/>
              <w:jc w:val="center"/>
            </w:pPr>
          </w:p>
        </w:tc>
      </w:tr>
      <w:tr w14:paraId="4E377E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27" w:type="dxa"/>
            <w:noWrap w:val="0"/>
            <w:vAlign w:val="center"/>
          </w:tcPr>
          <w:p w14:paraId="54023194">
            <w:pPr>
              <w:pStyle w:val="66"/>
              <w:bidi w:val="0"/>
              <w:jc w:val="center"/>
            </w:pPr>
            <w:r>
              <w:t>发包人名称</w:t>
            </w:r>
          </w:p>
        </w:tc>
        <w:tc>
          <w:tcPr>
            <w:tcW w:w="6350" w:type="dxa"/>
            <w:noWrap w:val="0"/>
            <w:vAlign w:val="center"/>
          </w:tcPr>
          <w:p w14:paraId="245A4A9A">
            <w:pPr>
              <w:pStyle w:val="66"/>
              <w:bidi w:val="0"/>
              <w:jc w:val="center"/>
            </w:pPr>
          </w:p>
        </w:tc>
      </w:tr>
      <w:tr w14:paraId="300AA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6505E09D">
            <w:pPr>
              <w:pStyle w:val="66"/>
              <w:bidi w:val="0"/>
              <w:jc w:val="center"/>
            </w:pPr>
            <w:r>
              <w:t>发包人地址</w:t>
            </w:r>
          </w:p>
        </w:tc>
        <w:tc>
          <w:tcPr>
            <w:tcW w:w="6350" w:type="dxa"/>
            <w:noWrap w:val="0"/>
            <w:vAlign w:val="center"/>
          </w:tcPr>
          <w:p w14:paraId="0F81BD37">
            <w:pPr>
              <w:pStyle w:val="66"/>
              <w:bidi w:val="0"/>
              <w:jc w:val="center"/>
            </w:pPr>
          </w:p>
        </w:tc>
      </w:tr>
      <w:tr w14:paraId="54D8F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727" w:type="dxa"/>
            <w:noWrap w:val="0"/>
            <w:vAlign w:val="center"/>
          </w:tcPr>
          <w:p w14:paraId="3D753EAD">
            <w:pPr>
              <w:pStyle w:val="66"/>
              <w:bidi w:val="0"/>
              <w:jc w:val="center"/>
            </w:pPr>
            <w:r>
              <w:t>发包人联系人及电话</w:t>
            </w:r>
          </w:p>
        </w:tc>
        <w:tc>
          <w:tcPr>
            <w:tcW w:w="6350" w:type="dxa"/>
            <w:noWrap w:val="0"/>
            <w:vAlign w:val="center"/>
          </w:tcPr>
          <w:p w14:paraId="1271E3C0">
            <w:pPr>
              <w:pStyle w:val="66"/>
              <w:bidi w:val="0"/>
              <w:jc w:val="center"/>
            </w:pPr>
          </w:p>
        </w:tc>
      </w:tr>
      <w:tr w14:paraId="61B45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5FB8CDF0">
            <w:pPr>
              <w:pStyle w:val="66"/>
              <w:bidi w:val="0"/>
              <w:jc w:val="center"/>
            </w:pPr>
            <w:r>
              <w:t>合同价格</w:t>
            </w:r>
          </w:p>
        </w:tc>
        <w:tc>
          <w:tcPr>
            <w:tcW w:w="6350" w:type="dxa"/>
            <w:noWrap w:val="0"/>
            <w:vAlign w:val="center"/>
          </w:tcPr>
          <w:p w14:paraId="04B6777F">
            <w:pPr>
              <w:pStyle w:val="66"/>
              <w:bidi w:val="0"/>
              <w:jc w:val="center"/>
            </w:pPr>
          </w:p>
        </w:tc>
      </w:tr>
      <w:tr w14:paraId="4971C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10D992AF">
            <w:pPr>
              <w:pStyle w:val="66"/>
              <w:bidi w:val="0"/>
              <w:jc w:val="center"/>
            </w:pPr>
            <w:r>
              <w:t>开工日期</w:t>
            </w:r>
          </w:p>
        </w:tc>
        <w:tc>
          <w:tcPr>
            <w:tcW w:w="6350" w:type="dxa"/>
            <w:noWrap w:val="0"/>
            <w:vAlign w:val="center"/>
          </w:tcPr>
          <w:p w14:paraId="209BE56E">
            <w:pPr>
              <w:pStyle w:val="66"/>
              <w:bidi w:val="0"/>
              <w:jc w:val="center"/>
            </w:pPr>
          </w:p>
        </w:tc>
      </w:tr>
      <w:tr w14:paraId="49D2A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35436BF9">
            <w:pPr>
              <w:pStyle w:val="66"/>
              <w:bidi w:val="0"/>
              <w:jc w:val="center"/>
            </w:pPr>
            <w:r>
              <w:t>竣工日期</w:t>
            </w:r>
          </w:p>
        </w:tc>
        <w:tc>
          <w:tcPr>
            <w:tcW w:w="6350" w:type="dxa"/>
            <w:noWrap w:val="0"/>
            <w:vAlign w:val="center"/>
          </w:tcPr>
          <w:p w14:paraId="00C66070">
            <w:pPr>
              <w:pStyle w:val="66"/>
              <w:bidi w:val="0"/>
              <w:jc w:val="center"/>
            </w:pPr>
          </w:p>
        </w:tc>
      </w:tr>
      <w:tr w14:paraId="03E02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1C6A3634">
            <w:pPr>
              <w:pStyle w:val="66"/>
              <w:bidi w:val="0"/>
              <w:jc w:val="center"/>
            </w:pPr>
            <w:r>
              <w:t>承担的工作</w:t>
            </w:r>
          </w:p>
        </w:tc>
        <w:tc>
          <w:tcPr>
            <w:tcW w:w="6350" w:type="dxa"/>
            <w:noWrap w:val="0"/>
            <w:vAlign w:val="center"/>
          </w:tcPr>
          <w:p w14:paraId="3C9E8B60">
            <w:pPr>
              <w:pStyle w:val="66"/>
              <w:bidi w:val="0"/>
              <w:jc w:val="center"/>
            </w:pPr>
          </w:p>
        </w:tc>
      </w:tr>
      <w:tr w14:paraId="64CB0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3C8A2769">
            <w:pPr>
              <w:pStyle w:val="66"/>
              <w:bidi w:val="0"/>
              <w:jc w:val="center"/>
            </w:pPr>
            <w:r>
              <w:t>工程质量</w:t>
            </w:r>
          </w:p>
        </w:tc>
        <w:tc>
          <w:tcPr>
            <w:tcW w:w="6350" w:type="dxa"/>
            <w:noWrap w:val="0"/>
            <w:vAlign w:val="center"/>
          </w:tcPr>
          <w:p w14:paraId="5495349A">
            <w:pPr>
              <w:pStyle w:val="66"/>
              <w:bidi w:val="0"/>
              <w:jc w:val="center"/>
            </w:pPr>
          </w:p>
        </w:tc>
      </w:tr>
      <w:tr w14:paraId="694D2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0A1E5C0E">
            <w:pPr>
              <w:pStyle w:val="66"/>
              <w:bidi w:val="0"/>
              <w:jc w:val="center"/>
            </w:pPr>
            <w:r>
              <w:t>项目经理</w:t>
            </w:r>
          </w:p>
        </w:tc>
        <w:tc>
          <w:tcPr>
            <w:tcW w:w="6350" w:type="dxa"/>
            <w:noWrap w:val="0"/>
            <w:vAlign w:val="center"/>
          </w:tcPr>
          <w:p w14:paraId="38948B16">
            <w:pPr>
              <w:pStyle w:val="66"/>
              <w:bidi w:val="0"/>
              <w:jc w:val="center"/>
            </w:pPr>
          </w:p>
        </w:tc>
      </w:tr>
      <w:tr w14:paraId="7F110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27" w:type="dxa"/>
            <w:noWrap w:val="0"/>
            <w:vAlign w:val="center"/>
          </w:tcPr>
          <w:p w14:paraId="6CA50FCC">
            <w:pPr>
              <w:pStyle w:val="66"/>
              <w:bidi w:val="0"/>
              <w:jc w:val="center"/>
            </w:pPr>
            <w:r>
              <w:t>技术负责人</w:t>
            </w:r>
          </w:p>
        </w:tc>
        <w:tc>
          <w:tcPr>
            <w:tcW w:w="6350" w:type="dxa"/>
            <w:noWrap w:val="0"/>
            <w:vAlign w:val="center"/>
          </w:tcPr>
          <w:p w14:paraId="0C69C4F3">
            <w:pPr>
              <w:pStyle w:val="66"/>
              <w:bidi w:val="0"/>
              <w:jc w:val="center"/>
            </w:pPr>
          </w:p>
        </w:tc>
      </w:tr>
      <w:tr w14:paraId="3FA64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2727" w:type="dxa"/>
            <w:noWrap w:val="0"/>
            <w:vAlign w:val="center"/>
          </w:tcPr>
          <w:p w14:paraId="2C5687A5">
            <w:pPr>
              <w:pStyle w:val="66"/>
              <w:bidi w:val="0"/>
              <w:jc w:val="center"/>
            </w:pPr>
            <w:r>
              <w:t>总监理工程师及电话</w:t>
            </w:r>
          </w:p>
        </w:tc>
        <w:tc>
          <w:tcPr>
            <w:tcW w:w="6350" w:type="dxa"/>
            <w:noWrap w:val="0"/>
            <w:vAlign w:val="center"/>
          </w:tcPr>
          <w:p w14:paraId="77A796B4">
            <w:pPr>
              <w:pStyle w:val="66"/>
              <w:bidi w:val="0"/>
              <w:jc w:val="center"/>
            </w:pPr>
          </w:p>
        </w:tc>
      </w:tr>
      <w:tr w14:paraId="32A66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2727" w:type="dxa"/>
            <w:noWrap w:val="0"/>
            <w:vAlign w:val="center"/>
          </w:tcPr>
          <w:p w14:paraId="06505554">
            <w:pPr>
              <w:pStyle w:val="66"/>
              <w:bidi w:val="0"/>
              <w:jc w:val="center"/>
            </w:pPr>
            <w:r>
              <w:t>项目描述</w:t>
            </w:r>
          </w:p>
        </w:tc>
        <w:tc>
          <w:tcPr>
            <w:tcW w:w="6350" w:type="dxa"/>
            <w:noWrap w:val="0"/>
            <w:vAlign w:val="center"/>
          </w:tcPr>
          <w:p w14:paraId="0D91CA4C">
            <w:pPr>
              <w:pStyle w:val="66"/>
              <w:bidi w:val="0"/>
              <w:jc w:val="center"/>
            </w:pPr>
          </w:p>
        </w:tc>
      </w:tr>
      <w:tr w14:paraId="0D262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27" w:type="dxa"/>
            <w:noWrap w:val="0"/>
            <w:vAlign w:val="center"/>
          </w:tcPr>
          <w:p w14:paraId="54370754">
            <w:pPr>
              <w:pStyle w:val="66"/>
              <w:bidi w:val="0"/>
              <w:jc w:val="center"/>
            </w:pPr>
            <w:r>
              <w:t>备注</w:t>
            </w:r>
          </w:p>
        </w:tc>
        <w:tc>
          <w:tcPr>
            <w:tcW w:w="6350" w:type="dxa"/>
            <w:noWrap w:val="0"/>
            <w:vAlign w:val="center"/>
          </w:tcPr>
          <w:p w14:paraId="13E639BF">
            <w:pPr>
              <w:pStyle w:val="66"/>
              <w:bidi w:val="0"/>
              <w:jc w:val="center"/>
            </w:pPr>
          </w:p>
        </w:tc>
      </w:tr>
    </w:tbl>
    <w:p w14:paraId="32E4FDB5">
      <w:pPr>
        <w:bidi w:val="0"/>
      </w:pPr>
      <w:r>
        <w:t>备注：1、类似项目指</w:t>
      </w:r>
      <w:r>
        <w:rPr>
          <w:u w:val="single"/>
        </w:rPr>
        <w:t xml:space="preserve">                     </w:t>
      </w:r>
      <w:r>
        <w:t>工程。</w:t>
      </w:r>
    </w:p>
    <w:p w14:paraId="5FB99BDD">
      <w:pPr>
        <w:bidi w:val="0"/>
      </w:pPr>
      <w:r>
        <w:t>2、</w:t>
      </w:r>
      <w:r>
        <w:rPr>
          <w:rFonts w:hint="eastAsia"/>
          <w:lang w:val="en-US" w:eastAsia="zh-CN"/>
        </w:rPr>
        <w:t>依据评标办法将相关材料附在</w:t>
      </w:r>
      <w:r>
        <w:t>本表后，每张表格只填写一个项目，并标明序号。</w:t>
      </w:r>
    </w:p>
    <w:p w14:paraId="175651B9">
      <w:pPr>
        <w:pageBreakBefore w:val="0"/>
        <w:kinsoku/>
        <w:overflowPunct/>
        <w:topLinePunct w:val="0"/>
        <w:bidi w:val="0"/>
        <w:spacing w:line="360" w:lineRule="auto"/>
        <w:rPr>
          <w:sz w:val="24"/>
          <w:szCs w:val="24"/>
          <w:highlight w:val="none"/>
        </w:rPr>
        <w:sectPr>
          <w:headerReference r:id="rId10" w:type="default"/>
          <w:footerReference r:id="rId11" w:type="default"/>
          <w:pgSz w:w="11906" w:h="16839"/>
          <w:pgMar w:top="1440" w:right="1080" w:bottom="1440" w:left="1080" w:header="0" w:footer="850" w:gutter="0"/>
          <w:pgNumType w:fmt="decimal"/>
          <w:cols w:space="720" w:num="1"/>
        </w:sectPr>
      </w:pPr>
    </w:p>
    <w:p w14:paraId="0E7FC307">
      <w:pPr>
        <w:pStyle w:val="69"/>
        <w:bidi w:val="0"/>
        <w:rPr>
          <w:rFonts w:hint="eastAsia"/>
          <w:lang w:val="en-US" w:eastAsia="zh-CN"/>
        </w:rPr>
      </w:pPr>
      <w:r>
        <w:rPr>
          <w:rFonts w:hint="eastAsia"/>
          <w:lang w:val="en-US" w:eastAsia="zh-CN"/>
        </w:rPr>
        <w:t>2项目经理简历表</w:t>
      </w:r>
    </w:p>
    <w:p w14:paraId="0F310645">
      <w:pPr>
        <w:bidi w:val="0"/>
      </w:pPr>
      <w:r>
        <w:t>项目经理应附建造师执业资格证书、注册证书、安全生产考核合格证书、 身份证、学历证。类似项目限于以</w:t>
      </w:r>
      <w:r>
        <w:rPr>
          <w:rFonts w:hint="eastAsia"/>
          <w:lang w:val="en-US" w:eastAsia="zh-CN"/>
        </w:rPr>
        <w:t>项目</w:t>
      </w:r>
      <w:r>
        <w:t>经理身份参与的项目。</w:t>
      </w:r>
    </w:p>
    <w:tbl>
      <w:tblPr>
        <w:tblStyle w:val="64"/>
        <w:tblW w:w="500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81"/>
        <w:gridCol w:w="194"/>
        <w:gridCol w:w="951"/>
        <w:gridCol w:w="1054"/>
        <w:gridCol w:w="698"/>
        <w:gridCol w:w="468"/>
        <w:gridCol w:w="1480"/>
        <w:gridCol w:w="2198"/>
      </w:tblGrid>
      <w:tr w14:paraId="1EEF3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87" w:type="pct"/>
            <w:gridSpan w:val="2"/>
            <w:noWrap w:val="0"/>
            <w:vAlign w:val="center"/>
          </w:tcPr>
          <w:p w14:paraId="64ECBB45">
            <w:pPr>
              <w:pStyle w:val="66"/>
              <w:bidi w:val="0"/>
              <w:jc w:val="center"/>
            </w:pPr>
            <w:r>
              <w:t>姓  名</w:t>
            </w:r>
          </w:p>
        </w:tc>
        <w:tc>
          <w:tcPr>
            <w:tcW w:w="571" w:type="pct"/>
            <w:noWrap w:val="0"/>
            <w:vAlign w:val="center"/>
          </w:tcPr>
          <w:p w14:paraId="62DB47F8">
            <w:pPr>
              <w:pStyle w:val="66"/>
              <w:bidi w:val="0"/>
              <w:jc w:val="center"/>
            </w:pPr>
          </w:p>
        </w:tc>
        <w:tc>
          <w:tcPr>
            <w:tcW w:w="633" w:type="pct"/>
            <w:noWrap w:val="0"/>
            <w:vAlign w:val="center"/>
          </w:tcPr>
          <w:p w14:paraId="500F7E40">
            <w:pPr>
              <w:pStyle w:val="66"/>
              <w:bidi w:val="0"/>
              <w:jc w:val="center"/>
            </w:pPr>
            <w:r>
              <w:t>年  龄</w:t>
            </w:r>
          </w:p>
        </w:tc>
        <w:tc>
          <w:tcPr>
            <w:tcW w:w="700" w:type="pct"/>
            <w:gridSpan w:val="2"/>
            <w:noWrap w:val="0"/>
            <w:vAlign w:val="center"/>
          </w:tcPr>
          <w:p w14:paraId="714195D1">
            <w:pPr>
              <w:pStyle w:val="66"/>
              <w:bidi w:val="0"/>
              <w:jc w:val="center"/>
            </w:pPr>
          </w:p>
        </w:tc>
        <w:tc>
          <w:tcPr>
            <w:tcW w:w="889" w:type="pct"/>
            <w:noWrap w:val="0"/>
            <w:vAlign w:val="center"/>
          </w:tcPr>
          <w:p w14:paraId="4B9CBE28">
            <w:pPr>
              <w:pStyle w:val="66"/>
              <w:bidi w:val="0"/>
              <w:jc w:val="center"/>
            </w:pPr>
            <w:r>
              <w:t>学历</w:t>
            </w:r>
          </w:p>
        </w:tc>
        <w:tc>
          <w:tcPr>
            <w:tcW w:w="1318" w:type="pct"/>
            <w:noWrap w:val="0"/>
            <w:vAlign w:val="center"/>
          </w:tcPr>
          <w:p w14:paraId="4D4C1EAC">
            <w:pPr>
              <w:pStyle w:val="66"/>
              <w:bidi w:val="0"/>
              <w:jc w:val="center"/>
            </w:pPr>
          </w:p>
        </w:tc>
      </w:tr>
      <w:tr w14:paraId="03C7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87" w:type="pct"/>
            <w:gridSpan w:val="2"/>
            <w:noWrap w:val="0"/>
            <w:vAlign w:val="center"/>
          </w:tcPr>
          <w:p w14:paraId="1E56A0B2">
            <w:pPr>
              <w:pStyle w:val="66"/>
              <w:bidi w:val="0"/>
              <w:jc w:val="center"/>
            </w:pPr>
            <w:r>
              <w:t>职  称</w:t>
            </w:r>
          </w:p>
        </w:tc>
        <w:tc>
          <w:tcPr>
            <w:tcW w:w="571" w:type="pct"/>
            <w:noWrap w:val="0"/>
            <w:vAlign w:val="center"/>
          </w:tcPr>
          <w:p w14:paraId="3C514783">
            <w:pPr>
              <w:pStyle w:val="66"/>
              <w:bidi w:val="0"/>
              <w:jc w:val="center"/>
            </w:pPr>
          </w:p>
        </w:tc>
        <w:tc>
          <w:tcPr>
            <w:tcW w:w="633" w:type="pct"/>
            <w:noWrap w:val="0"/>
            <w:vAlign w:val="center"/>
          </w:tcPr>
          <w:p w14:paraId="3B56CB3D">
            <w:pPr>
              <w:pStyle w:val="66"/>
              <w:bidi w:val="0"/>
              <w:jc w:val="center"/>
            </w:pPr>
            <w:r>
              <w:t>职  务</w:t>
            </w:r>
          </w:p>
        </w:tc>
        <w:tc>
          <w:tcPr>
            <w:tcW w:w="700" w:type="pct"/>
            <w:gridSpan w:val="2"/>
            <w:noWrap w:val="0"/>
            <w:vAlign w:val="center"/>
          </w:tcPr>
          <w:p w14:paraId="2D435020">
            <w:pPr>
              <w:pStyle w:val="66"/>
              <w:bidi w:val="0"/>
              <w:jc w:val="center"/>
            </w:pPr>
          </w:p>
        </w:tc>
        <w:tc>
          <w:tcPr>
            <w:tcW w:w="889" w:type="pct"/>
            <w:noWrap w:val="0"/>
            <w:vAlign w:val="center"/>
          </w:tcPr>
          <w:p w14:paraId="71121309">
            <w:pPr>
              <w:pStyle w:val="66"/>
              <w:bidi w:val="0"/>
              <w:jc w:val="center"/>
            </w:pPr>
            <w:r>
              <w:t>拟在本工程</w:t>
            </w:r>
          </w:p>
          <w:p w14:paraId="2F20FFAB">
            <w:pPr>
              <w:pStyle w:val="66"/>
              <w:bidi w:val="0"/>
              <w:jc w:val="center"/>
            </w:pPr>
            <w:r>
              <w:t>任职</w:t>
            </w:r>
          </w:p>
        </w:tc>
        <w:tc>
          <w:tcPr>
            <w:tcW w:w="1318" w:type="pct"/>
            <w:noWrap w:val="0"/>
            <w:vAlign w:val="center"/>
          </w:tcPr>
          <w:p w14:paraId="2BF26345">
            <w:pPr>
              <w:pStyle w:val="66"/>
              <w:bidi w:val="0"/>
              <w:jc w:val="center"/>
            </w:pPr>
            <w:r>
              <w:t>项目经理</w:t>
            </w:r>
          </w:p>
        </w:tc>
      </w:tr>
      <w:tr w14:paraId="0C08C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1" w:type="pct"/>
            <w:gridSpan w:val="4"/>
            <w:noWrap w:val="0"/>
            <w:vAlign w:val="center"/>
          </w:tcPr>
          <w:p w14:paraId="45AA1CC3">
            <w:pPr>
              <w:pStyle w:val="66"/>
              <w:bidi w:val="0"/>
              <w:jc w:val="center"/>
            </w:pPr>
            <w:r>
              <w:t>注册建造师执业资格等级</w:t>
            </w:r>
          </w:p>
        </w:tc>
        <w:tc>
          <w:tcPr>
            <w:tcW w:w="700" w:type="pct"/>
            <w:gridSpan w:val="2"/>
            <w:noWrap w:val="0"/>
            <w:vAlign w:val="center"/>
          </w:tcPr>
          <w:p w14:paraId="1606A7A0">
            <w:pPr>
              <w:pStyle w:val="66"/>
              <w:bidi w:val="0"/>
              <w:jc w:val="center"/>
            </w:pPr>
            <w:r>
              <w:rPr>
                <w:rFonts w:hint="eastAsia"/>
                <w:lang w:val="en-US" w:eastAsia="zh-CN"/>
              </w:rPr>
              <w:t xml:space="preserve">  </w:t>
            </w:r>
            <w:r>
              <w:t>级</w:t>
            </w:r>
          </w:p>
        </w:tc>
        <w:tc>
          <w:tcPr>
            <w:tcW w:w="889" w:type="pct"/>
            <w:noWrap w:val="0"/>
            <w:vAlign w:val="center"/>
          </w:tcPr>
          <w:p w14:paraId="48D6233B">
            <w:pPr>
              <w:pStyle w:val="66"/>
              <w:bidi w:val="0"/>
              <w:jc w:val="center"/>
            </w:pPr>
            <w:r>
              <w:t>建造师专业</w:t>
            </w:r>
          </w:p>
        </w:tc>
        <w:tc>
          <w:tcPr>
            <w:tcW w:w="1318" w:type="pct"/>
            <w:noWrap w:val="0"/>
            <w:vAlign w:val="center"/>
          </w:tcPr>
          <w:p w14:paraId="54D4F5E5">
            <w:pPr>
              <w:pStyle w:val="66"/>
              <w:bidi w:val="0"/>
              <w:jc w:val="center"/>
            </w:pPr>
          </w:p>
        </w:tc>
      </w:tr>
      <w:tr w14:paraId="28C7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091" w:type="pct"/>
            <w:gridSpan w:val="4"/>
            <w:noWrap w:val="0"/>
            <w:vAlign w:val="center"/>
          </w:tcPr>
          <w:p w14:paraId="48A4BDAA">
            <w:pPr>
              <w:pStyle w:val="66"/>
              <w:bidi w:val="0"/>
              <w:jc w:val="center"/>
            </w:pPr>
            <w:r>
              <w:t>安全生产考核合格证书</w:t>
            </w:r>
          </w:p>
        </w:tc>
        <w:tc>
          <w:tcPr>
            <w:tcW w:w="2908" w:type="pct"/>
            <w:gridSpan w:val="4"/>
            <w:noWrap w:val="0"/>
            <w:vAlign w:val="center"/>
          </w:tcPr>
          <w:p w14:paraId="449E1040">
            <w:pPr>
              <w:pStyle w:val="66"/>
              <w:bidi w:val="0"/>
              <w:jc w:val="center"/>
            </w:pPr>
          </w:p>
        </w:tc>
      </w:tr>
      <w:tr w14:paraId="75735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0" w:type="pct"/>
            <w:noWrap w:val="0"/>
            <w:vAlign w:val="center"/>
          </w:tcPr>
          <w:p w14:paraId="16B3FF18">
            <w:pPr>
              <w:pStyle w:val="66"/>
              <w:bidi w:val="0"/>
              <w:jc w:val="center"/>
            </w:pPr>
            <w:r>
              <w:t>毕业学校</w:t>
            </w:r>
          </w:p>
        </w:tc>
        <w:tc>
          <w:tcPr>
            <w:tcW w:w="4229" w:type="pct"/>
            <w:gridSpan w:val="7"/>
            <w:noWrap w:val="0"/>
            <w:vAlign w:val="center"/>
          </w:tcPr>
          <w:p w14:paraId="1CD4C797">
            <w:pPr>
              <w:pStyle w:val="66"/>
              <w:bidi w:val="0"/>
              <w:jc w:val="center"/>
            </w:pPr>
            <w:r>
              <w:t>年毕业于                  学校            专业</w:t>
            </w:r>
          </w:p>
        </w:tc>
      </w:tr>
      <w:tr w14:paraId="2BA6E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noWrap w:val="0"/>
            <w:vAlign w:val="center"/>
          </w:tcPr>
          <w:p w14:paraId="15ABA1C1">
            <w:pPr>
              <w:pStyle w:val="66"/>
              <w:bidi w:val="0"/>
              <w:jc w:val="center"/>
            </w:pPr>
            <w:r>
              <w:t>主要工作经历</w:t>
            </w:r>
          </w:p>
        </w:tc>
      </w:tr>
      <w:tr w14:paraId="5A9DD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70" w:type="pct"/>
            <w:noWrap w:val="0"/>
            <w:vAlign w:val="center"/>
          </w:tcPr>
          <w:p w14:paraId="316171DA">
            <w:pPr>
              <w:pStyle w:val="66"/>
              <w:bidi w:val="0"/>
              <w:jc w:val="center"/>
            </w:pPr>
            <w:r>
              <w:t>时  间</w:t>
            </w:r>
          </w:p>
        </w:tc>
        <w:tc>
          <w:tcPr>
            <w:tcW w:w="1740" w:type="pct"/>
            <w:gridSpan w:val="4"/>
            <w:noWrap w:val="0"/>
            <w:vAlign w:val="center"/>
          </w:tcPr>
          <w:p w14:paraId="4FB5FEEF">
            <w:pPr>
              <w:pStyle w:val="66"/>
              <w:bidi w:val="0"/>
              <w:jc w:val="center"/>
            </w:pPr>
            <w:r>
              <w:t>参加过的类似项目名称</w:t>
            </w:r>
          </w:p>
        </w:tc>
        <w:tc>
          <w:tcPr>
            <w:tcW w:w="1170" w:type="pct"/>
            <w:gridSpan w:val="2"/>
            <w:noWrap w:val="0"/>
            <w:vAlign w:val="center"/>
          </w:tcPr>
          <w:p w14:paraId="2F71D058">
            <w:pPr>
              <w:pStyle w:val="66"/>
              <w:bidi w:val="0"/>
              <w:jc w:val="center"/>
            </w:pPr>
            <w:r>
              <w:t>工程概况说明</w:t>
            </w:r>
          </w:p>
        </w:tc>
        <w:tc>
          <w:tcPr>
            <w:tcW w:w="1318" w:type="pct"/>
            <w:noWrap w:val="0"/>
            <w:vAlign w:val="center"/>
          </w:tcPr>
          <w:p w14:paraId="549DF180">
            <w:pPr>
              <w:pStyle w:val="66"/>
              <w:bidi w:val="0"/>
              <w:jc w:val="center"/>
            </w:pPr>
            <w:r>
              <w:t>发包人及联系电话</w:t>
            </w:r>
          </w:p>
        </w:tc>
      </w:tr>
      <w:tr w14:paraId="1DCF46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12D7F64D">
            <w:pPr>
              <w:pStyle w:val="66"/>
              <w:bidi w:val="0"/>
              <w:jc w:val="center"/>
            </w:pPr>
          </w:p>
        </w:tc>
        <w:tc>
          <w:tcPr>
            <w:tcW w:w="1740" w:type="pct"/>
            <w:gridSpan w:val="4"/>
            <w:noWrap w:val="0"/>
            <w:vAlign w:val="center"/>
          </w:tcPr>
          <w:p w14:paraId="7998A47F">
            <w:pPr>
              <w:pStyle w:val="66"/>
              <w:bidi w:val="0"/>
              <w:jc w:val="center"/>
            </w:pPr>
          </w:p>
        </w:tc>
        <w:tc>
          <w:tcPr>
            <w:tcW w:w="1170" w:type="pct"/>
            <w:gridSpan w:val="2"/>
            <w:noWrap w:val="0"/>
            <w:vAlign w:val="center"/>
          </w:tcPr>
          <w:p w14:paraId="4A94BCCB">
            <w:pPr>
              <w:pStyle w:val="66"/>
              <w:bidi w:val="0"/>
              <w:jc w:val="center"/>
            </w:pPr>
          </w:p>
        </w:tc>
        <w:tc>
          <w:tcPr>
            <w:tcW w:w="1318" w:type="pct"/>
            <w:noWrap w:val="0"/>
            <w:vAlign w:val="center"/>
          </w:tcPr>
          <w:p w14:paraId="49C14719">
            <w:pPr>
              <w:pStyle w:val="66"/>
              <w:bidi w:val="0"/>
              <w:jc w:val="center"/>
            </w:pPr>
          </w:p>
        </w:tc>
      </w:tr>
      <w:tr w14:paraId="77DCC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4E0C11FD">
            <w:pPr>
              <w:pStyle w:val="66"/>
              <w:bidi w:val="0"/>
              <w:jc w:val="center"/>
            </w:pPr>
          </w:p>
        </w:tc>
        <w:tc>
          <w:tcPr>
            <w:tcW w:w="1740" w:type="pct"/>
            <w:gridSpan w:val="4"/>
            <w:noWrap w:val="0"/>
            <w:vAlign w:val="center"/>
          </w:tcPr>
          <w:p w14:paraId="7D0B55DB">
            <w:pPr>
              <w:pStyle w:val="66"/>
              <w:bidi w:val="0"/>
              <w:jc w:val="center"/>
            </w:pPr>
          </w:p>
        </w:tc>
        <w:tc>
          <w:tcPr>
            <w:tcW w:w="1170" w:type="pct"/>
            <w:gridSpan w:val="2"/>
            <w:noWrap w:val="0"/>
            <w:vAlign w:val="center"/>
          </w:tcPr>
          <w:p w14:paraId="5AD87AE6">
            <w:pPr>
              <w:pStyle w:val="66"/>
              <w:bidi w:val="0"/>
              <w:jc w:val="center"/>
            </w:pPr>
          </w:p>
        </w:tc>
        <w:tc>
          <w:tcPr>
            <w:tcW w:w="1318" w:type="pct"/>
            <w:noWrap w:val="0"/>
            <w:vAlign w:val="center"/>
          </w:tcPr>
          <w:p w14:paraId="0CAECB30">
            <w:pPr>
              <w:pStyle w:val="66"/>
              <w:bidi w:val="0"/>
              <w:jc w:val="center"/>
            </w:pPr>
          </w:p>
        </w:tc>
      </w:tr>
      <w:tr w14:paraId="5B8F2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70" w:type="pct"/>
            <w:noWrap w:val="0"/>
            <w:vAlign w:val="center"/>
          </w:tcPr>
          <w:p w14:paraId="2E358520">
            <w:pPr>
              <w:pStyle w:val="66"/>
              <w:bidi w:val="0"/>
              <w:jc w:val="center"/>
            </w:pPr>
          </w:p>
        </w:tc>
        <w:tc>
          <w:tcPr>
            <w:tcW w:w="1740" w:type="pct"/>
            <w:gridSpan w:val="4"/>
            <w:noWrap w:val="0"/>
            <w:vAlign w:val="center"/>
          </w:tcPr>
          <w:p w14:paraId="070A829D">
            <w:pPr>
              <w:pStyle w:val="66"/>
              <w:bidi w:val="0"/>
              <w:jc w:val="center"/>
            </w:pPr>
          </w:p>
        </w:tc>
        <w:tc>
          <w:tcPr>
            <w:tcW w:w="1170" w:type="pct"/>
            <w:gridSpan w:val="2"/>
            <w:noWrap w:val="0"/>
            <w:vAlign w:val="center"/>
          </w:tcPr>
          <w:p w14:paraId="153C459C">
            <w:pPr>
              <w:pStyle w:val="66"/>
              <w:bidi w:val="0"/>
              <w:jc w:val="center"/>
            </w:pPr>
          </w:p>
        </w:tc>
        <w:tc>
          <w:tcPr>
            <w:tcW w:w="1318" w:type="pct"/>
            <w:noWrap w:val="0"/>
            <w:vAlign w:val="center"/>
          </w:tcPr>
          <w:p w14:paraId="3260C0F0">
            <w:pPr>
              <w:pStyle w:val="66"/>
              <w:bidi w:val="0"/>
              <w:jc w:val="center"/>
            </w:pPr>
          </w:p>
        </w:tc>
      </w:tr>
      <w:tr w14:paraId="04A80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770" w:type="pct"/>
            <w:noWrap w:val="0"/>
            <w:vAlign w:val="center"/>
          </w:tcPr>
          <w:p w14:paraId="37873F1E">
            <w:pPr>
              <w:pStyle w:val="66"/>
              <w:bidi w:val="0"/>
              <w:jc w:val="center"/>
            </w:pPr>
          </w:p>
        </w:tc>
        <w:tc>
          <w:tcPr>
            <w:tcW w:w="1740" w:type="pct"/>
            <w:gridSpan w:val="4"/>
            <w:noWrap w:val="0"/>
            <w:vAlign w:val="center"/>
          </w:tcPr>
          <w:p w14:paraId="20D04B88">
            <w:pPr>
              <w:pStyle w:val="66"/>
              <w:bidi w:val="0"/>
              <w:jc w:val="center"/>
            </w:pPr>
          </w:p>
        </w:tc>
        <w:tc>
          <w:tcPr>
            <w:tcW w:w="1170" w:type="pct"/>
            <w:gridSpan w:val="2"/>
            <w:noWrap w:val="0"/>
            <w:vAlign w:val="center"/>
          </w:tcPr>
          <w:p w14:paraId="3E5D4ECE">
            <w:pPr>
              <w:pStyle w:val="66"/>
              <w:bidi w:val="0"/>
              <w:jc w:val="center"/>
            </w:pPr>
          </w:p>
        </w:tc>
        <w:tc>
          <w:tcPr>
            <w:tcW w:w="1318" w:type="pct"/>
            <w:noWrap w:val="0"/>
            <w:vAlign w:val="center"/>
          </w:tcPr>
          <w:p w14:paraId="5BFFBA6A">
            <w:pPr>
              <w:pStyle w:val="66"/>
              <w:bidi w:val="0"/>
              <w:jc w:val="center"/>
            </w:pPr>
          </w:p>
        </w:tc>
      </w:tr>
    </w:tbl>
    <w:p w14:paraId="07545F89">
      <w:pPr>
        <w:bidi w:val="0"/>
      </w:pPr>
      <w:r>
        <w:t>注：项目经理应附建造师执业资格证书、注册证书、安全生产考核合格证书、 身份证、学历证书、</w:t>
      </w:r>
      <w:r>
        <w:rPr>
          <w:rFonts w:hint="eastAsia"/>
          <w:lang w:val="en-US" w:eastAsia="zh-CN"/>
        </w:rPr>
        <w:t>近三个月任意一个月</w:t>
      </w:r>
      <w:r>
        <w:t>的社保证明等复印件以及未担任其他在施建设工程项目项目经理的承诺。</w:t>
      </w:r>
    </w:p>
    <w:p w14:paraId="61345494">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9A12486">
      <w:pPr>
        <w:pStyle w:val="69"/>
        <w:bidi w:val="0"/>
        <w:rPr>
          <w:rFonts w:hint="eastAsia"/>
          <w:lang w:val="en-US" w:eastAsia="zh-CN"/>
        </w:rPr>
      </w:pPr>
      <w:r>
        <w:rPr>
          <w:rFonts w:hint="eastAsia"/>
          <w:lang w:val="en-US" w:eastAsia="zh-CN"/>
        </w:rPr>
        <w:t>3.项目管理团队</w:t>
      </w:r>
    </w:p>
    <w:p w14:paraId="6C95E638">
      <w:pPr>
        <w:pStyle w:val="66"/>
        <w:bidi w:val="0"/>
      </w:pPr>
      <w:r>
        <w:rPr>
          <w:rFonts w:hint="eastAsia"/>
          <w:lang w:val="en-US" w:eastAsia="zh-CN"/>
        </w:rPr>
        <w:t>拟投入项目组成人员简历表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2E41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vAlign w:val="center"/>
          </w:tcPr>
          <w:p w14:paraId="7D0BCB3E">
            <w:pPr>
              <w:pStyle w:val="66"/>
              <w:bidi w:val="0"/>
            </w:pPr>
            <w:r>
              <w:rPr>
                <w:rFonts w:hint="eastAsia"/>
              </w:rPr>
              <w:t>姓名</w:t>
            </w:r>
          </w:p>
        </w:tc>
        <w:tc>
          <w:tcPr>
            <w:tcW w:w="1175" w:type="dxa"/>
            <w:vAlign w:val="center"/>
          </w:tcPr>
          <w:p w14:paraId="4E3CD269">
            <w:pPr>
              <w:pStyle w:val="66"/>
              <w:bidi w:val="0"/>
            </w:pPr>
            <w:r>
              <w:rPr>
                <w:rFonts w:hint="eastAsia"/>
              </w:rPr>
              <w:t>身份证号码</w:t>
            </w:r>
          </w:p>
        </w:tc>
        <w:tc>
          <w:tcPr>
            <w:tcW w:w="1147" w:type="dxa"/>
            <w:vAlign w:val="center"/>
          </w:tcPr>
          <w:p w14:paraId="4BCCD38C">
            <w:pPr>
              <w:pStyle w:val="66"/>
              <w:bidi w:val="0"/>
            </w:pPr>
            <w:r>
              <w:rPr>
                <w:rFonts w:hint="eastAsia"/>
              </w:rPr>
              <w:t>性别</w:t>
            </w:r>
          </w:p>
        </w:tc>
        <w:tc>
          <w:tcPr>
            <w:tcW w:w="1176" w:type="dxa"/>
            <w:vAlign w:val="center"/>
          </w:tcPr>
          <w:p w14:paraId="5884D488">
            <w:pPr>
              <w:pStyle w:val="66"/>
              <w:bidi w:val="0"/>
            </w:pPr>
            <w:r>
              <w:rPr>
                <w:rFonts w:hint="eastAsia"/>
              </w:rPr>
              <w:t>职称</w:t>
            </w:r>
          </w:p>
        </w:tc>
        <w:tc>
          <w:tcPr>
            <w:tcW w:w="1176" w:type="dxa"/>
            <w:vAlign w:val="center"/>
          </w:tcPr>
          <w:p w14:paraId="74C23D1E">
            <w:pPr>
              <w:pStyle w:val="66"/>
              <w:bidi w:val="0"/>
            </w:pPr>
            <w:r>
              <w:rPr>
                <w:rFonts w:hint="eastAsia"/>
              </w:rPr>
              <w:t>学历</w:t>
            </w:r>
          </w:p>
        </w:tc>
        <w:tc>
          <w:tcPr>
            <w:tcW w:w="1150" w:type="dxa"/>
            <w:vAlign w:val="center"/>
          </w:tcPr>
          <w:p w14:paraId="66EECC64">
            <w:pPr>
              <w:pStyle w:val="66"/>
              <w:bidi w:val="0"/>
            </w:pPr>
            <w:r>
              <w:rPr>
                <w:rFonts w:hint="eastAsia"/>
              </w:rPr>
              <w:t>专业</w:t>
            </w:r>
          </w:p>
        </w:tc>
        <w:tc>
          <w:tcPr>
            <w:tcW w:w="1176" w:type="dxa"/>
            <w:vAlign w:val="center"/>
          </w:tcPr>
          <w:p w14:paraId="5D83FCA8">
            <w:pPr>
              <w:pStyle w:val="66"/>
              <w:bidi w:val="0"/>
            </w:pPr>
            <w:r>
              <w:rPr>
                <w:rFonts w:hint="eastAsia"/>
              </w:rPr>
              <w:t>从事工作年限</w:t>
            </w:r>
          </w:p>
        </w:tc>
        <w:tc>
          <w:tcPr>
            <w:tcW w:w="1144" w:type="dxa"/>
          </w:tcPr>
          <w:p w14:paraId="35A7AF08">
            <w:pPr>
              <w:pStyle w:val="66"/>
              <w:bidi w:val="0"/>
            </w:pPr>
            <w:r>
              <w:rPr>
                <w:rFonts w:hint="eastAsia"/>
              </w:rPr>
              <w:t>备注</w:t>
            </w:r>
          </w:p>
        </w:tc>
      </w:tr>
      <w:tr w14:paraId="21B4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0ADFA1D9">
            <w:pPr>
              <w:pStyle w:val="66"/>
              <w:bidi w:val="0"/>
            </w:pPr>
          </w:p>
        </w:tc>
        <w:tc>
          <w:tcPr>
            <w:tcW w:w="1175" w:type="dxa"/>
          </w:tcPr>
          <w:p w14:paraId="7962A630">
            <w:pPr>
              <w:pStyle w:val="66"/>
              <w:bidi w:val="0"/>
            </w:pPr>
          </w:p>
        </w:tc>
        <w:tc>
          <w:tcPr>
            <w:tcW w:w="1147" w:type="dxa"/>
          </w:tcPr>
          <w:p w14:paraId="0B72E00A">
            <w:pPr>
              <w:pStyle w:val="66"/>
              <w:bidi w:val="0"/>
            </w:pPr>
          </w:p>
        </w:tc>
        <w:tc>
          <w:tcPr>
            <w:tcW w:w="1176" w:type="dxa"/>
          </w:tcPr>
          <w:p w14:paraId="3FC702DB">
            <w:pPr>
              <w:pStyle w:val="66"/>
              <w:bidi w:val="0"/>
            </w:pPr>
          </w:p>
        </w:tc>
        <w:tc>
          <w:tcPr>
            <w:tcW w:w="1176" w:type="dxa"/>
          </w:tcPr>
          <w:p w14:paraId="1E110965">
            <w:pPr>
              <w:pStyle w:val="66"/>
              <w:bidi w:val="0"/>
            </w:pPr>
          </w:p>
        </w:tc>
        <w:tc>
          <w:tcPr>
            <w:tcW w:w="1150" w:type="dxa"/>
          </w:tcPr>
          <w:p w14:paraId="0AC77052">
            <w:pPr>
              <w:pStyle w:val="66"/>
              <w:bidi w:val="0"/>
            </w:pPr>
          </w:p>
        </w:tc>
        <w:tc>
          <w:tcPr>
            <w:tcW w:w="1176" w:type="dxa"/>
          </w:tcPr>
          <w:p w14:paraId="514C6EF4">
            <w:pPr>
              <w:pStyle w:val="66"/>
              <w:bidi w:val="0"/>
            </w:pPr>
          </w:p>
        </w:tc>
        <w:tc>
          <w:tcPr>
            <w:tcW w:w="1144" w:type="dxa"/>
          </w:tcPr>
          <w:p w14:paraId="36087E10">
            <w:pPr>
              <w:pStyle w:val="66"/>
              <w:bidi w:val="0"/>
            </w:pPr>
          </w:p>
        </w:tc>
      </w:tr>
      <w:tr w14:paraId="5138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5F084DE9">
            <w:pPr>
              <w:pStyle w:val="66"/>
              <w:bidi w:val="0"/>
            </w:pPr>
          </w:p>
        </w:tc>
        <w:tc>
          <w:tcPr>
            <w:tcW w:w="1175" w:type="dxa"/>
          </w:tcPr>
          <w:p w14:paraId="2CBF20E8">
            <w:pPr>
              <w:pStyle w:val="66"/>
              <w:bidi w:val="0"/>
            </w:pPr>
          </w:p>
        </w:tc>
        <w:tc>
          <w:tcPr>
            <w:tcW w:w="1147" w:type="dxa"/>
          </w:tcPr>
          <w:p w14:paraId="59832D65">
            <w:pPr>
              <w:pStyle w:val="66"/>
              <w:bidi w:val="0"/>
            </w:pPr>
          </w:p>
        </w:tc>
        <w:tc>
          <w:tcPr>
            <w:tcW w:w="1176" w:type="dxa"/>
          </w:tcPr>
          <w:p w14:paraId="699B4963">
            <w:pPr>
              <w:pStyle w:val="66"/>
              <w:bidi w:val="0"/>
            </w:pPr>
          </w:p>
        </w:tc>
        <w:tc>
          <w:tcPr>
            <w:tcW w:w="1176" w:type="dxa"/>
          </w:tcPr>
          <w:p w14:paraId="5FFCC35D">
            <w:pPr>
              <w:pStyle w:val="66"/>
              <w:bidi w:val="0"/>
            </w:pPr>
          </w:p>
        </w:tc>
        <w:tc>
          <w:tcPr>
            <w:tcW w:w="1150" w:type="dxa"/>
          </w:tcPr>
          <w:p w14:paraId="45666648">
            <w:pPr>
              <w:pStyle w:val="66"/>
              <w:bidi w:val="0"/>
            </w:pPr>
          </w:p>
        </w:tc>
        <w:tc>
          <w:tcPr>
            <w:tcW w:w="1176" w:type="dxa"/>
          </w:tcPr>
          <w:p w14:paraId="49795393">
            <w:pPr>
              <w:pStyle w:val="66"/>
              <w:bidi w:val="0"/>
            </w:pPr>
          </w:p>
        </w:tc>
        <w:tc>
          <w:tcPr>
            <w:tcW w:w="1144" w:type="dxa"/>
          </w:tcPr>
          <w:p w14:paraId="4D879699">
            <w:pPr>
              <w:pStyle w:val="66"/>
              <w:bidi w:val="0"/>
            </w:pPr>
          </w:p>
        </w:tc>
      </w:tr>
      <w:tr w14:paraId="0DD1D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BB76410">
            <w:pPr>
              <w:pStyle w:val="66"/>
              <w:bidi w:val="0"/>
            </w:pPr>
          </w:p>
        </w:tc>
        <w:tc>
          <w:tcPr>
            <w:tcW w:w="1175" w:type="dxa"/>
          </w:tcPr>
          <w:p w14:paraId="473031BF">
            <w:pPr>
              <w:pStyle w:val="66"/>
              <w:bidi w:val="0"/>
            </w:pPr>
          </w:p>
        </w:tc>
        <w:tc>
          <w:tcPr>
            <w:tcW w:w="1147" w:type="dxa"/>
          </w:tcPr>
          <w:p w14:paraId="03C370F3">
            <w:pPr>
              <w:pStyle w:val="66"/>
              <w:bidi w:val="0"/>
            </w:pPr>
          </w:p>
        </w:tc>
        <w:tc>
          <w:tcPr>
            <w:tcW w:w="1176" w:type="dxa"/>
          </w:tcPr>
          <w:p w14:paraId="6226994D">
            <w:pPr>
              <w:pStyle w:val="66"/>
              <w:bidi w:val="0"/>
            </w:pPr>
          </w:p>
        </w:tc>
        <w:tc>
          <w:tcPr>
            <w:tcW w:w="1176" w:type="dxa"/>
          </w:tcPr>
          <w:p w14:paraId="7779B2BA">
            <w:pPr>
              <w:pStyle w:val="66"/>
              <w:bidi w:val="0"/>
            </w:pPr>
          </w:p>
        </w:tc>
        <w:tc>
          <w:tcPr>
            <w:tcW w:w="1150" w:type="dxa"/>
          </w:tcPr>
          <w:p w14:paraId="0C0BE7C9">
            <w:pPr>
              <w:pStyle w:val="66"/>
              <w:bidi w:val="0"/>
            </w:pPr>
          </w:p>
        </w:tc>
        <w:tc>
          <w:tcPr>
            <w:tcW w:w="1176" w:type="dxa"/>
          </w:tcPr>
          <w:p w14:paraId="2A1F7496">
            <w:pPr>
              <w:pStyle w:val="66"/>
              <w:bidi w:val="0"/>
            </w:pPr>
          </w:p>
        </w:tc>
        <w:tc>
          <w:tcPr>
            <w:tcW w:w="1144" w:type="dxa"/>
          </w:tcPr>
          <w:p w14:paraId="576DB844">
            <w:pPr>
              <w:pStyle w:val="66"/>
              <w:bidi w:val="0"/>
            </w:pPr>
          </w:p>
        </w:tc>
      </w:tr>
      <w:tr w14:paraId="6845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173" w:type="dxa"/>
          </w:tcPr>
          <w:p w14:paraId="11057249">
            <w:pPr>
              <w:pStyle w:val="66"/>
              <w:bidi w:val="0"/>
            </w:pPr>
          </w:p>
        </w:tc>
        <w:tc>
          <w:tcPr>
            <w:tcW w:w="1175" w:type="dxa"/>
          </w:tcPr>
          <w:p w14:paraId="5E55738C">
            <w:pPr>
              <w:pStyle w:val="66"/>
              <w:bidi w:val="0"/>
            </w:pPr>
          </w:p>
        </w:tc>
        <w:tc>
          <w:tcPr>
            <w:tcW w:w="1147" w:type="dxa"/>
          </w:tcPr>
          <w:p w14:paraId="13FA03B4">
            <w:pPr>
              <w:pStyle w:val="66"/>
              <w:bidi w:val="0"/>
            </w:pPr>
          </w:p>
        </w:tc>
        <w:tc>
          <w:tcPr>
            <w:tcW w:w="1176" w:type="dxa"/>
          </w:tcPr>
          <w:p w14:paraId="41CB7545">
            <w:pPr>
              <w:pStyle w:val="66"/>
              <w:bidi w:val="0"/>
            </w:pPr>
          </w:p>
        </w:tc>
        <w:tc>
          <w:tcPr>
            <w:tcW w:w="1176" w:type="dxa"/>
          </w:tcPr>
          <w:p w14:paraId="4ED0BE28">
            <w:pPr>
              <w:pStyle w:val="66"/>
              <w:bidi w:val="0"/>
            </w:pPr>
          </w:p>
        </w:tc>
        <w:tc>
          <w:tcPr>
            <w:tcW w:w="1150" w:type="dxa"/>
          </w:tcPr>
          <w:p w14:paraId="3CDB6EEE">
            <w:pPr>
              <w:pStyle w:val="66"/>
              <w:bidi w:val="0"/>
            </w:pPr>
          </w:p>
        </w:tc>
        <w:tc>
          <w:tcPr>
            <w:tcW w:w="1176" w:type="dxa"/>
          </w:tcPr>
          <w:p w14:paraId="31F238A6">
            <w:pPr>
              <w:pStyle w:val="66"/>
              <w:bidi w:val="0"/>
            </w:pPr>
          </w:p>
        </w:tc>
        <w:tc>
          <w:tcPr>
            <w:tcW w:w="1144" w:type="dxa"/>
          </w:tcPr>
          <w:p w14:paraId="53866756">
            <w:pPr>
              <w:pStyle w:val="66"/>
              <w:bidi w:val="0"/>
            </w:pPr>
          </w:p>
        </w:tc>
      </w:tr>
      <w:tr w14:paraId="7061D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95773B8">
            <w:pPr>
              <w:pStyle w:val="66"/>
              <w:bidi w:val="0"/>
            </w:pPr>
          </w:p>
        </w:tc>
        <w:tc>
          <w:tcPr>
            <w:tcW w:w="1175" w:type="dxa"/>
          </w:tcPr>
          <w:p w14:paraId="7EDF36AD">
            <w:pPr>
              <w:pStyle w:val="66"/>
              <w:bidi w:val="0"/>
            </w:pPr>
          </w:p>
        </w:tc>
        <w:tc>
          <w:tcPr>
            <w:tcW w:w="1147" w:type="dxa"/>
          </w:tcPr>
          <w:p w14:paraId="2E2DBFB3">
            <w:pPr>
              <w:pStyle w:val="66"/>
              <w:bidi w:val="0"/>
            </w:pPr>
          </w:p>
        </w:tc>
        <w:tc>
          <w:tcPr>
            <w:tcW w:w="1176" w:type="dxa"/>
          </w:tcPr>
          <w:p w14:paraId="1C78D5DF">
            <w:pPr>
              <w:pStyle w:val="66"/>
              <w:bidi w:val="0"/>
            </w:pPr>
          </w:p>
        </w:tc>
        <w:tc>
          <w:tcPr>
            <w:tcW w:w="1176" w:type="dxa"/>
          </w:tcPr>
          <w:p w14:paraId="77348A32">
            <w:pPr>
              <w:pStyle w:val="66"/>
              <w:bidi w:val="0"/>
            </w:pPr>
          </w:p>
        </w:tc>
        <w:tc>
          <w:tcPr>
            <w:tcW w:w="1150" w:type="dxa"/>
          </w:tcPr>
          <w:p w14:paraId="1E6DA20D">
            <w:pPr>
              <w:pStyle w:val="66"/>
              <w:bidi w:val="0"/>
            </w:pPr>
          </w:p>
        </w:tc>
        <w:tc>
          <w:tcPr>
            <w:tcW w:w="1176" w:type="dxa"/>
          </w:tcPr>
          <w:p w14:paraId="728F9074">
            <w:pPr>
              <w:pStyle w:val="66"/>
              <w:bidi w:val="0"/>
            </w:pPr>
          </w:p>
        </w:tc>
        <w:tc>
          <w:tcPr>
            <w:tcW w:w="1144" w:type="dxa"/>
          </w:tcPr>
          <w:p w14:paraId="6E12B517">
            <w:pPr>
              <w:pStyle w:val="66"/>
              <w:bidi w:val="0"/>
            </w:pPr>
          </w:p>
        </w:tc>
      </w:tr>
      <w:tr w14:paraId="11DF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tcPr>
          <w:p w14:paraId="3782F339">
            <w:pPr>
              <w:pStyle w:val="66"/>
              <w:bidi w:val="0"/>
            </w:pPr>
          </w:p>
        </w:tc>
        <w:tc>
          <w:tcPr>
            <w:tcW w:w="1175" w:type="dxa"/>
          </w:tcPr>
          <w:p w14:paraId="679BE5CC">
            <w:pPr>
              <w:pStyle w:val="66"/>
              <w:bidi w:val="0"/>
            </w:pPr>
          </w:p>
        </w:tc>
        <w:tc>
          <w:tcPr>
            <w:tcW w:w="1147" w:type="dxa"/>
          </w:tcPr>
          <w:p w14:paraId="7D5EE514">
            <w:pPr>
              <w:pStyle w:val="66"/>
              <w:bidi w:val="0"/>
            </w:pPr>
          </w:p>
        </w:tc>
        <w:tc>
          <w:tcPr>
            <w:tcW w:w="1176" w:type="dxa"/>
          </w:tcPr>
          <w:p w14:paraId="6EFC1589">
            <w:pPr>
              <w:pStyle w:val="66"/>
              <w:bidi w:val="0"/>
            </w:pPr>
          </w:p>
        </w:tc>
        <w:tc>
          <w:tcPr>
            <w:tcW w:w="1176" w:type="dxa"/>
          </w:tcPr>
          <w:p w14:paraId="518E438B">
            <w:pPr>
              <w:pStyle w:val="66"/>
              <w:bidi w:val="0"/>
            </w:pPr>
          </w:p>
        </w:tc>
        <w:tc>
          <w:tcPr>
            <w:tcW w:w="1150" w:type="dxa"/>
          </w:tcPr>
          <w:p w14:paraId="0852FCB8">
            <w:pPr>
              <w:pStyle w:val="66"/>
              <w:bidi w:val="0"/>
            </w:pPr>
          </w:p>
        </w:tc>
        <w:tc>
          <w:tcPr>
            <w:tcW w:w="1176" w:type="dxa"/>
          </w:tcPr>
          <w:p w14:paraId="0E790724">
            <w:pPr>
              <w:pStyle w:val="66"/>
              <w:bidi w:val="0"/>
            </w:pPr>
          </w:p>
        </w:tc>
        <w:tc>
          <w:tcPr>
            <w:tcW w:w="1144" w:type="dxa"/>
          </w:tcPr>
          <w:p w14:paraId="05A2C45C">
            <w:pPr>
              <w:pStyle w:val="66"/>
              <w:bidi w:val="0"/>
            </w:pPr>
          </w:p>
        </w:tc>
      </w:tr>
      <w:tr w14:paraId="27DB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tcPr>
          <w:p w14:paraId="0DE7E545">
            <w:pPr>
              <w:pStyle w:val="66"/>
              <w:bidi w:val="0"/>
            </w:pPr>
          </w:p>
        </w:tc>
        <w:tc>
          <w:tcPr>
            <w:tcW w:w="1175" w:type="dxa"/>
          </w:tcPr>
          <w:p w14:paraId="48988031">
            <w:pPr>
              <w:pStyle w:val="66"/>
              <w:bidi w:val="0"/>
            </w:pPr>
          </w:p>
        </w:tc>
        <w:tc>
          <w:tcPr>
            <w:tcW w:w="1147" w:type="dxa"/>
          </w:tcPr>
          <w:p w14:paraId="279B5DE7">
            <w:pPr>
              <w:pStyle w:val="66"/>
              <w:bidi w:val="0"/>
            </w:pPr>
          </w:p>
        </w:tc>
        <w:tc>
          <w:tcPr>
            <w:tcW w:w="1176" w:type="dxa"/>
          </w:tcPr>
          <w:p w14:paraId="3DC3507B">
            <w:pPr>
              <w:pStyle w:val="66"/>
              <w:bidi w:val="0"/>
            </w:pPr>
          </w:p>
        </w:tc>
        <w:tc>
          <w:tcPr>
            <w:tcW w:w="1176" w:type="dxa"/>
          </w:tcPr>
          <w:p w14:paraId="67B4AA0E">
            <w:pPr>
              <w:pStyle w:val="66"/>
              <w:bidi w:val="0"/>
            </w:pPr>
          </w:p>
        </w:tc>
        <w:tc>
          <w:tcPr>
            <w:tcW w:w="1150" w:type="dxa"/>
          </w:tcPr>
          <w:p w14:paraId="4B0A2EC9">
            <w:pPr>
              <w:pStyle w:val="66"/>
              <w:bidi w:val="0"/>
            </w:pPr>
          </w:p>
        </w:tc>
        <w:tc>
          <w:tcPr>
            <w:tcW w:w="1176" w:type="dxa"/>
          </w:tcPr>
          <w:p w14:paraId="4381078F">
            <w:pPr>
              <w:pStyle w:val="66"/>
              <w:bidi w:val="0"/>
            </w:pPr>
          </w:p>
        </w:tc>
        <w:tc>
          <w:tcPr>
            <w:tcW w:w="1144" w:type="dxa"/>
          </w:tcPr>
          <w:p w14:paraId="14D53D12">
            <w:pPr>
              <w:pStyle w:val="66"/>
              <w:bidi w:val="0"/>
            </w:pPr>
          </w:p>
        </w:tc>
      </w:tr>
    </w:tbl>
    <w:p w14:paraId="36B4ABE2">
      <w:pPr>
        <w:pageBreakBefore w:val="0"/>
        <w:kinsoku/>
        <w:overflowPunct/>
        <w:topLinePunct w:val="0"/>
        <w:bidi w:val="0"/>
        <w:spacing w:line="360" w:lineRule="auto"/>
        <w:rPr>
          <w:rFonts w:hint="eastAsia" w:asciiTheme="minorEastAsia" w:hAnsiTheme="minorEastAsia" w:eastAsiaTheme="minorEastAsia" w:cstheme="minorEastAsia"/>
          <w:sz w:val="28"/>
          <w:szCs w:val="28"/>
          <w:highlight w:val="none"/>
        </w:rPr>
      </w:pPr>
    </w:p>
    <w:p w14:paraId="7AC379A1">
      <w:pPr>
        <w:pageBreakBefore w:val="0"/>
        <w:kinsoku/>
        <w:overflowPunct/>
        <w:topLinePunct w:val="0"/>
        <w:bidi w:val="0"/>
        <w:spacing w:line="360" w:lineRule="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注：后附相关证件（书）</w:t>
      </w:r>
    </w:p>
    <w:p w14:paraId="7FB8F016">
      <w:pPr>
        <w:rPr>
          <w:rFonts w:hint="eastAsia" w:ascii="宋体" w:hAnsi="宋体" w:eastAsia="宋体" w:cs="宋体"/>
          <w:i w:val="0"/>
          <w:iCs w:val="0"/>
          <w:caps w:val="0"/>
          <w:spacing w:val="0"/>
          <w:kern w:val="0"/>
          <w:sz w:val="24"/>
          <w:szCs w:val="24"/>
          <w:highlight w:val="none"/>
          <w:lang w:val="en-US" w:eastAsia="zh-CN" w:bidi="ar"/>
        </w:rPr>
      </w:pPr>
      <w:r>
        <w:rPr>
          <w:rFonts w:hint="eastAsia" w:ascii="宋体" w:hAnsi="宋体" w:eastAsia="宋体" w:cs="宋体"/>
          <w:i w:val="0"/>
          <w:iCs w:val="0"/>
          <w:caps w:val="0"/>
          <w:spacing w:val="0"/>
          <w:kern w:val="0"/>
          <w:sz w:val="24"/>
          <w:szCs w:val="24"/>
          <w:highlight w:val="none"/>
          <w:lang w:val="en-US" w:eastAsia="zh-CN" w:bidi="ar"/>
        </w:rPr>
        <w:br w:type="page"/>
      </w:r>
    </w:p>
    <w:p w14:paraId="57F8935C">
      <w:pPr>
        <w:pStyle w:val="69"/>
        <w:bidi w:val="0"/>
        <w:rPr>
          <w:rFonts w:hint="eastAsia"/>
          <w:lang w:val="en-US" w:eastAsia="zh-CN"/>
        </w:rPr>
      </w:pPr>
      <w:r>
        <w:rPr>
          <w:rFonts w:hint="eastAsia" w:ascii="宋体" w:hAnsi="宋体" w:cs="宋体"/>
          <w:b/>
          <w:bCs/>
          <w:szCs w:val="24"/>
          <w:lang w:val="en-US" w:eastAsia="zh-CN"/>
        </w:rPr>
        <w:t>4、施工组织设计或施工方案</w:t>
      </w:r>
    </w:p>
    <w:p w14:paraId="191E74F6">
      <w:pPr>
        <w:pStyle w:val="69"/>
        <w:bidi w:val="0"/>
        <w:rPr>
          <w:rFonts w:hint="eastAsia"/>
          <w:lang w:val="en-US" w:eastAsia="zh-CN"/>
        </w:rPr>
      </w:pPr>
      <w:r>
        <w:rPr>
          <w:rFonts w:hint="eastAsia"/>
          <w:lang w:val="en-US" w:eastAsia="zh-CN"/>
        </w:rPr>
        <w:t>5、施工进度计划</w:t>
      </w:r>
    </w:p>
    <w:p w14:paraId="7D7E8B28">
      <w:pPr>
        <w:pStyle w:val="69"/>
        <w:bidi w:val="0"/>
        <w:rPr>
          <w:rFonts w:hint="eastAsia"/>
          <w:lang w:val="en-US" w:eastAsia="zh-CN"/>
        </w:rPr>
      </w:pPr>
      <w:r>
        <w:rPr>
          <w:rFonts w:hint="eastAsia"/>
          <w:lang w:val="en-US" w:eastAsia="zh-CN"/>
        </w:rPr>
        <w:t>6、劳动力需用量计划</w:t>
      </w:r>
    </w:p>
    <w:p w14:paraId="0DF7678D">
      <w:pPr>
        <w:pStyle w:val="69"/>
        <w:bidi w:val="0"/>
        <w:rPr>
          <w:rFonts w:hint="default"/>
          <w:lang w:val="en-US" w:eastAsia="zh-CN"/>
        </w:rPr>
      </w:pPr>
      <w:r>
        <w:rPr>
          <w:rFonts w:hint="eastAsia"/>
          <w:lang w:val="en-US" w:eastAsia="zh-CN"/>
        </w:rPr>
        <w:t>7、材料需用量计划</w:t>
      </w:r>
    </w:p>
    <w:p w14:paraId="279774D1">
      <w:pPr>
        <w:pStyle w:val="69"/>
        <w:bidi w:val="0"/>
        <w:rPr>
          <w:rFonts w:hint="default"/>
          <w:lang w:val="en-US" w:eastAsia="zh-CN"/>
        </w:rPr>
      </w:pPr>
      <w:r>
        <w:rPr>
          <w:rFonts w:hint="eastAsia"/>
          <w:lang w:val="en-US" w:eastAsia="zh-CN"/>
        </w:rPr>
        <w:t>8、机械设备需用量计划</w:t>
      </w:r>
    </w:p>
    <w:p w14:paraId="20AE1C89">
      <w:pPr>
        <w:pStyle w:val="69"/>
        <w:bidi w:val="0"/>
        <w:rPr>
          <w:rFonts w:hint="eastAsia"/>
          <w:lang w:val="en-US" w:eastAsia="zh-CN"/>
        </w:rPr>
      </w:pPr>
      <w:r>
        <w:rPr>
          <w:rFonts w:hint="eastAsia"/>
          <w:lang w:val="en-US" w:eastAsia="zh-CN"/>
        </w:rPr>
        <w:t>9、质量保证措施</w:t>
      </w:r>
    </w:p>
    <w:p w14:paraId="13212408">
      <w:pPr>
        <w:pStyle w:val="69"/>
        <w:bidi w:val="0"/>
        <w:rPr>
          <w:rFonts w:hint="eastAsia"/>
          <w:lang w:val="en-US" w:eastAsia="zh-CN"/>
        </w:rPr>
      </w:pPr>
      <w:r>
        <w:rPr>
          <w:rFonts w:hint="eastAsia"/>
          <w:lang w:val="en-US" w:eastAsia="zh-CN"/>
        </w:rPr>
        <w:t>10工期保证措施</w:t>
      </w:r>
    </w:p>
    <w:p w14:paraId="0C477048">
      <w:pPr>
        <w:pStyle w:val="69"/>
        <w:bidi w:val="0"/>
        <w:rPr>
          <w:rFonts w:hint="default"/>
          <w:lang w:val="en-US" w:eastAsia="zh-CN"/>
        </w:rPr>
      </w:pPr>
      <w:r>
        <w:rPr>
          <w:rFonts w:hint="eastAsia"/>
          <w:lang w:val="en-US" w:eastAsia="zh-CN"/>
        </w:rPr>
        <w:t>11</w:t>
      </w:r>
      <w:r>
        <w:rPr>
          <w:rFonts w:hint="default"/>
          <w:lang w:val="en-US" w:eastAsia="zh-CN"/>
        </w:rPr>
        <w:t>安全文明保证措施</w:t>
      </w:r>
    </w:p>
    <w:p w14:paraId="506F4C02">
      <w:pPr>
        <w:pStyle w:val="69"/>
        <w:bidi w:val="0"/>
        <w:rPr>
          <w:rFonts w:hint="default"/>
          <w:lang w:val="en-US" w:eastAsia="zh-CN"/>
        </w:rPr>
      </w:pPr>
      <w:r>
        <w:rPr>
          <w:rFonts w:hint="eastAsia"/>
          <w:lang w:val="en-US" w:eastAsia="zh-CN"/>
        </w:rPr>
        <w:t>12</w:t>
      </w:r>
      <w:r>
        <w:rPr>
          <w:rFonts w:hint="default"/>
          <w:lang w:val="en-US" w:eastAsia="zh-CN"/>
        </w:rPr>
        <w:t>现场文明施工措施</w:t>
      </w:r>
    </w:p>
    <w:p w14:paraId="3C4E99A5">
      <w:pPr>
        <w:pStyle w:val="69"/>
        <w:bidi w:val="0"/>
        <w:rPr>
          <w:rFonts w:hint="eastAsia"/>
          <w:lang w:val="en-US" w:eastAsia="zh-CN"/>
        </w:rPr>
      </w:pPr>
    </w:p>
    <w:p w14:paraId="488030D4">
      <w:pPr>
        <w:pStyle w:val="69"/>
        <w:bidi w:val="0"/>
        <w:rPr>
          <w:rFonts w:hint="default"/>
          <w:lang w:val="en-US" w:eastAsia="zh-CN"/>
        </w:rPr>
      </w:pPr>
    </w:p>
    <w:p w14:paraId="5862E0FF">
      <w:pPr>
        <w:bidi w:val="0"/>
        <w:rPr>
          <w:rFonts w:hint="eastAsia"/>
          <w:lang w:val="en-US" w:eastAsia="zh-CN"/>
        </w:rPr>
      </w:pPr>
      <w:r>
        <w:rPr>
          <w:rFonts w:hint="eastAsia"/>
          <w:lang w:val="en-US" w:eastAsia="zh-CN"/>
        </w:rPr>
        <w:t>注：根据磋商须知第七部分评审标准“技术部分”评审内容提供相应证明材料。</w:t>
      </w:r>
    </w:p>
    <w:p w14:paraId="5752F69E">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74C1DEC">
      <w:pPr>
        <w:pStyle w:val="69"/>
        <w:bidi w:val="0"/>
        <w:rPr>
          <w:rFonts w:hint="eastAsia"/>
          <w:lang w:val="en-US" w:eastAsia="zh-CN"/>
        </w:rPr>
      </w:pPr>
      <w:r>
        <w:rPr>
          <w:rFonts w:hint="eastAsia"/>
          <w:lang w:val="en-US" w:eastAsia="zh-CN"/>
        </w:rPr>
        <w:t>13、商务偏离表</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1704"/>
        <w:gridCol w:w="1705"/>
        <w:gridCol w:w="1705"/>
        <w:gridCol w:w="1705"/>
      </w:tblGrid>
      <w:tr w14:paraId="3AC4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646F2F63">
            <w:pPr>
              <w:pStyle w:val="66"/>
              <w:bidi w:val="0"/>
              <w:rPr>
                <w:rFonts w:hint="eastAsia"/>
                <w:lang w:val="en-US" w:eastAsia="zh-CN"/>
              </w:rPr>
            </w:pPr>
            <w:r>
              <w:rPr>
                <w:rFonts w:hint="eastAsia"/>
              </w:rPr>
              <w:t>序号</w:t>
            </w:r>
          </w:p>
        </w:tc>
        <w:tc>
          <w:tcPr>
            <w:tcW w:w="1813" w:type="dxa"/>
            <w:vAlign w:val="center"/>
          </w:tcPr>
          <w:p w14:paraId="2903A1EE">
            <w:pPr>
              <w:pStyle w:val="66"/>
              <w:bidi w:val="0"/>
              <w:rPr>
                <w:rFonts w:hint="eastAsia"/>
                <w:lang w:val="en-US" w:eastAsia="zh-CN"/>
              </w:rPr>
            </w:pPr>
            <w:r>
              <w:rPr>
                <w:rFonts w:hint="eastAsia"/>
              </w:rPr>
              <w:t>招标</w:t>
            </w:r>
            <w:r>
              <w:rPr>
                <w:rFonts w:hint="eastAsia"/>
                <w:lang w:val="en-US" w:eastAsia="zh-CN"/>
              </w:rPr>
              <w:t>要求</w:t>
            </w:r>
          </w:p>
        </w:tc>
        <w:tc>
          <w:tcPr>
            <w:tcW w:w="1813" w:type="dxa"/>
            <w:vAlign w:val="center"/>
          </w:tcPr>
          <w:p w14:paraId="195D3DCE">
            <w:pPr>
              <w:pStyle w:val="66"/>
              <w:bidi w:val="0"/>
              <w:rPr>
                <w:rFonts w:hint="eastAsia"/>
                <w:lang w:val="en-US" w:eastAsia="zh-CN"/>
              </w:rPr>
            </w:pPr>
            <w:r>
              <w:rPr>
                <w:rFonts w:hint="default"/>
                <w:lang w:val="en-US" w:eastAsia="zh-CN"/>
              </w:rPr>
              <w:t>供应商的响应内容</w:t>
            </w:r>
          </w:p>
        </w:tc>
        <w:tc>
          <w:tcPr>
            <w:tcW w:w="1813" w:type="dxa"/>
            <w:vAlign w:val="center"/>
          </w:tcPr>
          <w:p w14:paraId="2401B39B">
            <w:pPr>
              <w:pStyle w:val="66"/>
              <w:bidi w:val="0"/>
              <w:rPr>
                <w:rFonts w:hint="eastAsia"/>
                <w:lang w:val="en-US" w:eastAsia="zh-CN"/>
              </w:rPr>
            </w:pPr>
            <w:r>
              <w:rPr>
                <w:rFonts w:hint="eastAsia"/>
              </w:rPr>
              <w:t>偏离</w:t>
            </w:r>
          </w:p>
        </w:tc>
        <w:tc>
          <w:tcPr>
            <w:tcW w:w="1813" w:type="dxa"/>
            <w:vAlign w:val="center"/>
          </w:tcPr>
          <w:p w14:paraId="063879DC">
            <w:pPr>
              <w:pStyle w:val="66"/>
              <w:bidi w:val="0"/>
              <w:rPr>
                <w:rFonts w:hint="eastAsia"/>
                <w:lang w:val="en-US" w:eastAsia="zh-CN"/>
              </w:rPr>
            </w:pPr>
            <w:r>
              <w:rPr>
                <w:rFonts w:hint="eastAsia"/>
              </w:rPr>
              <w:t>说明</w:t>
            </w:r>
          </w:p>
        </w:tc>
      </w:tr>
      <w:tr w14:paraId="5B4B8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2F6DA0CA">
            <w:pPr>
              <w:pStyle w:val="66"/>
              <w:bidi w:val="0"/>
              <w:rPr>
                <w:rFonts w:hint="eastAsia"/>
                <w:lang w:val="en-US" w:eastAsia="zh-CN"/>
              </w:rPr>
            </w:pPr>
            <w:r>
              <w:rPr>
                <w:rFonts w:hint="eastAsia"/>
              </w:rPr>
              <w:t>1</w:t>
            </w:r>
          </w:p>
        </w:tc>
        <w:tc>
          <w:tcPr>
            <w:tcW w:w="1813" w:type="dxa"/>
            <w:vAlign w:val="center"/>
          </w:tcPr>
          <w:p w14:paraId="7205BCFB">
            <w:pPr>
              <w:pStyle w:val="66"/>
              <w:bidi w:val="0"/>
              <w:rPr>
                <w:rFonts w:hint="eastAsia"/>
                <w:lang w:val="en-US" w:eastAsia="zh-CN"/>
              </w:rPr>
            </w:pPr>
          </w:p>
        </w:tc>
        <w:tc>
          <w:tcPr>
            <w:tcW w:w="1813" w:type="dxa"/>
            <w:vAlign w:val="center"/>
          </w:tcPr>
          <w:p w14:paraId="00867A81">
            <w:pPr>
              <w:pStyle w:val="66"/>
              <w:bidi w:val="0"/>
              <w:rPr>
                <w:rFonts w:hint="eastAsia"/>
                <w:lang w:val="en-US" w:eastAsia="zh-CN"/>
              </w:rPr>
            </w:pPr>
          </w:p>
        </w:tc>
        <w:tc>
          <w:tcPr>
            <w:tcW w:w="1813" w:type="dxa"/>
            <w:vAlign w:val="center"/>
          </w:tcPr>
          <w:p w14:paraId="544E1C89">
            <w:pPr>
              <w:pStyle w:val="66"/>
              <w:bidi w:val="0"/>
              <w:rPr>
                <w:rFonts w:hint="eastAsia"/>
                <w:lang w:val="en-US" w:eastAsia="zh-CN"/>
              </w:rPr>
            </w:pPr>
          </w:p>
        </w:tc>
        <w:tc>
          <w:tcPr>
            <w:tcW w:w="1813" w:type="dxa"/>
            <w:vAlign w:val="center"/>
          </w:tcPr>
          <w:p w14:paraId="16217831">
            <w:pPr>
              <w:pStyle w:val="66"/>
              <w:bidi w:val="0"/>
              <w:rPr>
                <w:rFonts w:hint="eastAsia"/>
                <w:lang w:val="en-US" w:eastAsia="zh-CN"/>
              </w:rPr>
            </w:pPr>
          </w:p>
        </w:tc>
      </w:tr>
      <w:tr w14:paraId="41040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4ACD8C18">
            <w:pPr>
              <w:pStyle w:val="66"/>
              <w:bidi w:val="0"/>
              <w:rPr>
                <w:rFonts w:hint="eastAsia"/>
                <w:lang w:val="en-US" w:eastAsia="zh-CN"/>
              </w:rPr>
            </w:pPr>
            <w:r>
              <w:rPr>
                <w:rFonts w:hint="eastAsia"/>
              </w:rPr>
              <w:t>2</w:t>
            </w:r>
          </w:p>
        </w:tc>
        <w:tc>
          <w:tcPr>
            <w:tcW w:w="1813" w:type="dxa"/>
            <w:vAlign w:val="center"/>
          </w:tcPr>
          <w:p w14:paraId="50DF3D6D">
            <w:pPr>
              <w:pStyle w:val="66"/>
              <w:bidi w:val="0"/>
              <w:rPr>
                <w:rFonts w:hint="eastAsia"/>
                <w:lang w:val="en-US" w:eastAsia="zh-CN"/>
              </w:rPr>
            </w:pPr>
          </w:p>
        </w:tc>
        <w:tc>
          <w:tcPr>
            <w:tcW w:w="1813" w:type="dxa"/>
            <w:vAlign w:val="center"/>
          </w:tcPr>
          <w:p w14:paraId="62AB3508">
            <w:pPr>
              <w:pStyle w:val="66"/>
              <w:bidi w:val="0"/>
              <w:rPr>
                <w:rFonts w:hint="eastAsia"/>
                <w:lang w:val="en-US" w:eastAsia="zh-CN"/>
              </w:rPr>
            </w:pPr>
          </w:p>
        </w:tc>
        <w:tc>
          <w:tcPr>
            <w:tcW w:w="1813" w:type="dxa"/>
            <w:vAlign w:val="center"/>
          </w:tcPr>
          <w:p w14:paraId="44C5FDD8">
            <w:pPr>
              <w:pStyle w:val="66"/>
              <w:bidi w:val="0"/>
              <w:rPr>
                <w:rFonts w:hint="eastAsia"/>
                <w:lang w:val="en-US" w:eastAsia="zh-CN"/>
              </w:rPr>
            </w:pPr>
          </w:p>
        </w:tc>
        <w:tc>
          <w:tcPr>
            <w:tcW w:w="1813" w:type="dxa"/>
            <w:vAlign w:val="center"/>
          </w:tcPr>
          <w:p w14:paraId="53415927">
            <w:pPr>
              <w:pStyle w:val="66"/>
              <w:bidi w:val="0"/>
              <w:rPr>
                <w:rFonts w:hint="eastAsia"/>
                <w:lang w:val="en-US" w:eastAsia="zh-CN"/>
              </w:rPr>
            </w:pPr>
          </w:p>
        </w:tc>
      </w:tr>
      <w:tr w14:paraId="5854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107354D7">
            <w:pPr>
              <w:pStyle w:val="66"/>
              <w:bidi w:val="0"/>
              <w:rPr>
                <w:rFonts w:hint="eastAsia"/>
                <w:lang w:val="en-US" w:eastAsia="zh-CN"/>
              </w:rPr>
            </w:pPr>
            <w:r>
              <w:rPr>
                <w:rFonts w:hint="eastAsia"/>
              </w:rPr>
              <w:t>3</w:t>
            </w:r>
          </w:p>
        </w:tc>
        <w:tc>
          <w:tcPr>
            <w:tcW w:w="1813" w:type="dxa"/>
            <w:vAlign w:val="center"/>
          </w:tcPr>
          <w:p w14:paraId="5A03B314">
            <w:pPr>
              <w:pStyle w:val="66"/>
              <w:bidi w:val="0"/>
              <w:rPr>
                <w:rFonts w:hint="eastAsia"/>
                <w:lang w:val="en-US" w:eastAsia="zh-CN"/>
              </w:rPr>
            </w:pPr>
          </w:p>
        </w:tc>
        <w:tc>
          <w:tcPr>
            <w:tcW w:w="1813" w:type="dxa"/>
            <w:vAlign w:val="center"/>
          </w:tcPr>
          <w:p w14:paraId="49748F14">
            <w:pPr>
              <w:pStyle w:val="66"/>
              <w:bidi w:val="0"/>
              <w:rPr>
                <w:rFonts w:hint="eastAsia"/>
                <w:lang w:val="en-US" w:eastAsia="zh-CN"/>
              </w:rPr>
            </w:pPr>
          </w:p>
        </w:tc>
        <w:tc>
          <w:tcPr>
            <w:tcW w:w="1813" w:type="dxa"/>
            <w:vAlign w:val="center"/>
          </w:tcPr>
          <w:p w14:paraId="514094B8">
            <w:pPr>
              <w:pStyle w:val="66"/>
              <w:bidi w:val="0"/>
              <w:rPr>
                <w:rFonts w:hint="eastAsia"/>
                <w:lang w:val="en-US" w:eastAsia="zh-CN"/>
              </w:rPr>
            </w:pPr>
          </w:p>
        </w:tc>
        <w:tc>
          <w:tcPr>
            <w:tcW w:w="1813" w:type="dxa"/>
            <w:vAlign w:val="center"/>
          </w:tcPr>
          <w:p w14:paraId="352A44DD">
            <w:pPr>
              <w:pStyle w:val="66"/>
              <w:bidi w:val="0"/>
              <w:rPr>
                <w:rFonts w:hint="eastAsia"/>
                <w:lang w:val="en-US" w:eastAsia="zh-CN"/>
              </w:rPr>
            </w:pPr>
          </w:p>
        </w:tc>
      </w:tr>
      <w:tr w14:paraId="02AE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1045E9C1">
            <w:pPr>
              <w:pStyle w:val="66"/>
              <w:bidi w:val="0"/>
              <w:rPr>
                <w:rFonts w:hint="eastAsia"/>
                <w:lang w:val="en-US" w:eastAsia="zh-CN"/>
              </w:rPr>
            </w:pPr>
            <w:r>
              <w:rPr>
                <w:rFonts w:hint="eastAsia"/>
                <w:lang w:val="en-US" w:eastAsia="zh-CN"/>
              </w:rPr>
              <w:t>4</w:t>
            </w:r>
          </w:p>
        </w:tc>
        <w:tc>
          <w:tcPr>
            <w:tcW w:w="1813" w:type="dxa"/>
            <w:vAlign w:val="center"/>
          </w:tcPr>
          <w:p w14:paraId="25AA7D42">
            <w:pPr>
              <w:pStyle w:val="66"/>
              <w:bidi w:val="0"/>
              <w:rPr>
                <w:rFonts w:hint="eastAsia"/>
                <w:lang w:val="en-US" w:eastAsia="zh-CN"/>
              </w:rPr>
            </w:pPr>
          </w:p>
        </w:tc>
        <w:tc>
          <w:tcPr>
            <w:tcW w:w="1813" w:type="dxa"/>
            <w:vAlign w:val="center"/>
          </w:tcPr>
          <w:p w14:paraId="097162D3">
            <w:pPr>
              <w:pStyle w:val="66"/>
              <w:bidi w:val="0"/>
              <w:rPr>
                <w:rFonts w:hint="eastAsia"/>
                <w:lang w:val="en-US" w:eastAsia="zh-CN"/>
              </w:rPr>
            </w:pPr>
          </w:p>
        </w:tc>
        <w:tc>
          <w:tcPr>
            <w:tcW w:w="1813" w:type="dxa"/>
            <w:vAlign w:val="center"/>
          </w:tcPr>
          <w:p w14:paraId="7D3B0A6B">
            <w:pPr>
              <w:pStyle w:val="66"/>
              <w:bidi w:val="0"/>
              <w:rPr>
                <w:rFonts w:hint="eastAsia"/>
                <w:lang w:val="en-US" w:eastAsia="zh-CN"/>
              </w:rPr>
            </w:pPr>
          </w:p>
        </w:tc>
        <w:tc>
          <w:tcPr>
            <w:tcW w:w="1813" w:type="dxa"/>
            <w:vAlign w:val="center"/>
          </w:tcPr>
          <w:p w14:paraId="55964E36">
            <w:pPr>
              <w:pStyle w:val="66"/>
              <w:bidi w:val="0"/>
              <w:rPr>
                <w:rFonts w:hint="eastAsia"/>
                <w:lang w:val="en-US" w:eastAsia="zh-CN"/>
              </w:rPr>
            </w:pPr>
          </w:p>
        </w:tc>
      </w:tr>
      <w:tr w14:paraId="44FC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12" w:type="dxa"/>
            <w:vAlign w:val="center"/>
          </w:tcPr>
          <w:p w14:paraId="708E2205">
            <w:pPr>
              <w:pStyle w:val="66"/>
              <w:bidi w:val="0"/>
              <w:rPr>
                <w:rFonts w:hint="eastAsia"/>
                <w:lang w:val="en-US" w:eastAsia="zh-CN"/>
              </w:rPr>
            </w:pPr>
            <w:r>
              <w:rPr>
                <w:rFonts w:hint="eastAsia"/>
                <w:lang w:val="en-US" w:eastAsia="zh-CN"/>
              </w:rPr>
              <w:t>5</w:t>
            </w:r>
          </w:p>
        </w:tc>
        <w:tc>
          <w:tcPr>
            <w:tcW w:w="1813" w:type="dxa"/>
            <w:vAlign w:val="center"/>
          </w:tcPr>
          <w:p w14:paraId="52D7E461">
            <w:pPr>
              <w:pStyle w:val="66"/>
              <w:bidi w:val="0"/>
              <w:rPr>
                <w:rFonts w:hint="eastAsia"/>
                <w:lang w:val="en-US" w:eastAsia="zh-CN"/>
              </w:rPr>
            </w:pPr>
          </w:p>
        </w:tc>
        <w:tc>
          <w:tcPr>
            <w:tcW w:w="1813" w:type="dxa"/>
            <w:vAlign w:val="center"/>
          </w:tcPr>
          <w:p w14:paraId="66F815D4">
            <w:pPr>
              <w:pStyle w:val="66"/>
              <w:bidi w:val="0"/>
              <w:rPr>
                <w:rFonts w:hint="eastAsia"/>
                <w:lang w:val="en-US" w:eastAsia="zh-CN"/>
              </w:rPr>
            </w:pPr>
          </w:p>
        </w:tc>
        <w:tc>
          <w:tcPr>
            <w:tcW w:w="1813" w:type="dxa"/>
            <w:vAlign w:val="center"/>
          </w:tcPr>
          <w:p w14:paraId="39486B59">
            <w:pPr>
              <w:pStyle w:val="66"/>
              <w:bidi w:val="0"/>
              <w:rPr>
                <w:rFonts w:hint="eastAsia"/>
                <w:lang w:val="en-US" w:eastAsia="zh-CN"/>
              </w:rPr>
            </w:pPr>
          </w:p>
        </w:tc>
        <w:tc>
          <w:tcPr>
            <w:tcW w:w="1813" w:type="dxa"/>
            <w:vAlign w:val="center"/>
          </w:tcPr>
          <w:p w14:paraId="166176E6">
            <w:pPr>
              <w:pStyle w:val="66"/>
              <w:bidi w:val="0"/>
              <w:rPr>
                <w:rFonts w:hint="eastAsia"/>
                <w:lang w:val="en-US" w:eastAsia="zh-CN"/>
              </w:rPr>
            </w:pPr>
          </w:p>
        </w:tc>
      </w:tr>
      <w:tr w14:paraId="0B30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vAlign w:val="center"/>
          </w:tcPr>
          <w:p w14:paraId="406DF9C5">
            <w:pPr>
              <w:pStyle w:val="66"/>
              <w:bidi w:val="0"/>
              <w:rPr>
                <w:rFonts w:hint="eastAsia"/>
                <w:lang w:val="en-US" w:eastAsia="zh-CN"/>
              </w:rPr>
            </w:pPr>
          </w:p>
        </w:tc>
        <w:tc>
          <w:tcPr>
            <w:tcW w:w="1813" w:type="dxa"/>
            <w:vAlign w:val="center"/>
          </w:tcPr>
          <w:p w14:paraId="7B01400A">
            <w:pPr>
              <w:pStyle w:val="66"/>
              <w:bidi w:val="0"/>
              <w:rPr>
                <w:rFonts w:hint="eastAsia"/>
                <w:lang w:val="en-US" w:eastAsia="zh-CN"/>
              </w:rPr>
            </w:pPr>
          </w:p>
        </w:tc>
        <w:tc>
          <w:tcPr>
            <w:tcW w:w="1813" w:type="dxa"/>
            <w:vAlign w:val="center"/>
          </w:tcPr>
          <w:p w14:paraId="55A826D5">
            <w:pPr>
              <w:pStyle w:val="66"/>
              <w:bidi w:val="0"/>
              <w:rPr>
                <w:rFonts w:hint="eastAsia"/>
                <w:lang w:val="en-US" w:eastAsia="zh-CN"/>
              </w:rPr>
            </w:pPr>
          </w:p>
        </w:tc>
        <w:tc>
          <w:tcPr>
            <w:tcW w:w="1813" w:type="dxa"/>
            <w:vAlign w:val="center"/>
          </w:tcPr>
          <w:p w14:paraId="6A0EDE23">
            <w:pPr>
              <w:pStyle w:val="66"/>
              <w:bidi w:val="0"/>
              <w:rPr>
                <w:rFonts w:hint="eastAsia"/>
                <w:lang w:val="en-US" w:eastAsia="zh-CN"/>
              </w:rPr>
            </w:pPr>
          </w:p>
        </w:tc>
        <w:tc>
          <w:tcPr>
            <w:tcW w:w="1813" w:type="dxa"/>
            <w:vAlign w:val="center"/>
          </w:tcPr>
          <w:p w14:paraId="525593B9">
            <w:pPr>
              <w:pStyle w:val="66"/>
              <w:bidi w:val="0"/>
              <w:rPr>
                <w:rFonts w:hint="eastAsia"/>
                <w:lang w:val="en-US" w:eastAsia="zh-CN"/>
              </w:rPr>
            </w:pPr>
          </w:p>
        </w:tc>
      </w:tr>
    </w:tbl>
    <w:p w14:paraId="3035EC43">
      <w:pPr>
        <w:bidi w:val="0"/>
        <w:ind w:left="0" w:leftChars="0" w:firstLine="0" w:firstLineChars="0"/>
        <w:rPr>
          <w:rFonts w:hint="eastAsia"/>
          <w:lang w:val="en-US" w:eastAsia="zh-CN"/>
        </w:rPr>
      </w:pPr>
    </w:p>
    <w:p w14:paraId="21664B63">
      <w:pPr>
        <w:rPr>
          <w:rFonts w:hint="eastAsia"/>
          <w:lang w:val="en-US" w:eastAsia="zh-CN"/>
        </w:rPr>
      </w:pPr>
      <w:r>
        <w:rPr>
          <w:rFonts w:hint="eastAsia"/>
          <w:lang w:val="en-US" w:eastAsia="zh-CN"/>
        </w:rPr>
        <w:t>注1.“供应商的响应内容”栏填写供应商对磋商文件提出的商务条款作出的明确响应，并列明具体响应数值或内容。2.“响应情况”栏应据实填写“响应”、“正偏离”或“负偏离”。3“说明”栏可填写偏离情况的具体说明及索引。4.对磋商文件中的所有商务要求，除本表所列明的所有偏离外，均视作供应商已对之理解和响应。</w:t>
      </w:r>
    </w:p>
    <w:p w14:paraId="56D0AD9D">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0AF675EA">
      <w:pPr>
        <w:pStyle w:val="69"/>
        <w:bidi w:val="0"/>
        <w:rPr>
          <w:rFonts w:hint="eastAsia" w:eastAsia="宋体" w:cs="Times New Roman"/>
          <w:lang w:val="en-US" w:eastAsia="zh-CN"/>
        </w:rPr>
      </w:pPr>
      <w:r>
        <w:rPr>
          <w:rFonts w:hint="eastAsia" w:cs="Times New Roman"/>
          <w:lang w:val="en-US" w:eastAsia="zh-CN"/>
        </w:rPr>
        <w:t>14、</w:t>
      </w:r>
      <w:r>
        <w:rPr>
          <w:rFonts w:hint="eastAsia" w:eastAsia="宋体" w:cs="Times New Roman"/>
          <w:lang w:val="en-US" w:eastAsia="zh-CN"/>
        </w:rPr>
        <w:t>供应商认为需要提供的其他资料</w:t>
      </w:r>
    </w:p>
    <w:p w14:paraId="785341A0">
      <w:pPr>
        <w:bidi w:val="0"/>
      </w:pPr>
      <w:r>
        <w:rPr>
          <w:rFonts w:hint="eastAsia"/>
          <w:lang w:val="en-US" w:eastAsia="zh-CN"/>
        </w:rPr>
        <w:t xml:space="preserve"> </w:t>
      </w:r>
    </w:p>
    <w:p w14:paraId="09479524">
      <w:pPr>
        <w:bidi w:val="0"/>
      </w:pPr>
      <w:r>
        <w:rPr>
          <w:rFonts w:hint="eastAsia"/>
          <w:lang w:val="en-US" w:eastAsia="zh-CN"/>
        </w:rPr>
        <w:t>供应商认为需要提供的其他证明文件或图片、文字说明及承诺等其他资料。</w:t>
      </w:r>
    </w:p>
    <w:p w14:paraId="11060A27">
      <w:pPr>
        <w:bidi w:val="0"/>
        <w:rPr>
          <w:rFonts w:hint="eastAsia"/>
          <w:lang w:val="en-US" w:eastAsia="zh-CN"/>
        </w:rPr>
      </w:pPr>
      <w:r>
        <w:rPr>
          <w:rFonts w:hint="eastAsia"/>
          <w:lang w:val="en-US" w:eastAsia="zh-CN"/>
        </w:rPr>
        <w:t xml:space="preserve">注：本项内容由供应商根据本磋商文件的内容自行决定。 </w:t>
      </w:r>
    </w:p>
    <w:p w14:paraId="7891205C">
      <w:pPr>
        <w:bidi w:val="0"/>
        <w:rPr>
          <w:rFonts w:hint="eastAsia"/>
          <w:lang w:val="en-US" w:eastAsia="zh-CN"/>
        </w:rPr>
      </w:pPr>
    </w:p>
    <w:p w14:paraId="7505AD5D">
      <w:pPr>
        <w:bidi w:val="0"/>
        <w:rPr>
          <w:rFonts w:hint="eastAsia"/>
          <w:lang w:val="en-US" w:eastAsia="zh-CN"/>
        </w:rPr>
      </w:pPr>
    </w:p>
    <w:p w14:paraId="4266337F">
      <w:pPr>
        <w:bidi w:val="0"/>
        <w:rPr>
          <w:rFonts w:hint="eastAsia"/>
          <w:lang w:val="en-US" w:eastAsia="zh-CN"/>
        </w:rPr>
      </w:pPr>
    </w:p>
    <w:p w14:paraId="51794B55">
      <w:pPr>
        <w:bidi w:val="0"/>
        <w:rPr>
          <w:rFonts w:hint="eastAsia"/>
          <w:lang w:val="en-US" w:eastAsia="zh-CN"/>
        </w:rPr>
      </w:pPr>
    </w:p>
    <w:p w14:paraId="1F4758C1">
      <w:pPr>
        <w:bidi w:val="0"/>
      </w:pPr>
      <w:r>
        <w:rPr>
          <w:rFonts w:hint="eastAsia"/>
          <w:lang w:val="en-US" w:eastAsia="zh-CN"/>
        </w:rPr>
        <w:t xml:space="preserve">供应商法定代表人（或法定代表人授权代表）签字或签章： </w:t>
      </w:r>
    </w:p>
    <w:p w14:paraId="33D8CBAA">
      <w:pPr>
        <w:bidi w:val="0"/>
      </w:pPr>
      <w:r>
        <w:rPr>
          <w:rFonts w:hint="eastAsia"/>
          <w:lang w:val="en-US" w:eastAsia="zh-CN"/>
        </w:rPr>
        <w:t xml:space="preserve">供应商名称（盖公章）： </w:t>
      </w:r>
    </w:p>
    <w:p w14:paraId="1D2A5D55">
      <w:pPr>
        <w:pageBreakBefore w:val="0"/>
        <w:kinsoku/>
        <w:overflowPunct/>
        <w:topLinePunct w:val="0"/>
        <w:bidi w:val="0"/>
        <w:spacing w:line="360" w:lineRule="auto"/>
        <w:rPr>
          <w:rFonts w:hint="eastAsia"/>
          <w:lang w:val="en-US" w:eastAsia="zh-CN"/>
        </w:rPr>
      </w:pPr>
      <w:r>
        <w:rPr>
          <w:rFonts w:hint="eastAsia"/>
          <w:lang w:val="en-US" w:eastAsia="zh-CN"/>
        </w:rPr>
        <w:t>日期： 年 月 日</w:t>
      </w:r>
    </w:p>
    <w:p w14:paraId="5CA2CA76">
      <w:pPr>
        <w:pageBreakBefore w:val="0"/>
        <w:kinsoku/>
        <w:overflowPunct/>
        <w:topLinePunct w:val="0"/>
        <w:bidi w:val="0"/>
        <w:spacing w:line="360" w:lineRule="auto"/>
        <w:rPr>
          <w:rFonts w:hint="eastAsia"/>
          <w:lang w:val="en-US" w:eastAsia="zh-CN"/>
        </w:rPr>
      </w:pPr>
    </w:p>
    <w:p w14:paraId="0FD26C8F">
      <w:pPr>
        <w:rPr>
          <w:i w:val="0"/>
          <w:iCs w:val="0"/>
          <w:color w:val="auto"/>
          <w:highlight w:val="none"/>
        </w:rPr>
      </w:pPr>
    </w:p>
    <w:sectPr>
      <w:headerReference r:id="rId12" w:type="default"/>
      <w:footerReference r:id="rId13"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Helvetica">
    <w:altName w:val="Arial"/>
    <w:panose1 w:val="020B0604020202020204"/>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FE5E8">
    <w:pPr>
      <w:spacing w:line="229" w:lineRule="auto"/>
      <w:ind w:left="4329"/>
      <w:rPr>
        <w:rFonts w:ascii="宋体" w:hAnsi="宋体" w:eastAsia="宋体" w:cs="宋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6D6A">
    <w:pPr>
      <w:spacing w:line="229" w:lineRule="auto"/>
      <w:ind w:left="4329"/>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C09C7">
                          <w:pPr>
                            <w:pStyle w:val="18"/>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64C09C7">
                    <w:pPr>
                      <w:pStyle w:val="1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A1D2">
    <w:pPr>
      <w:pStyle w:val="18"/>
      <w:rPr>
        <w:rFonts w:ascii="Times New Roman" w:hAnsi="Times New Roman" w:eastAsia="仿宋_GB2312"/>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07413">
                          <w:pPr>
                            <w:pStyle w:val="1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DA07413">
                    <w:pPr>
                      <w:pStyle w:val="1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B801A">
    <w:pPr>
      <w:spacing w:line="176" w:lineRule="auto"/>
      <w:ind w:left="47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181D79">
                          <w:pPr>
                            <w:pStyle w:val="18"/>
                          </w:pPr>
                          <w:r>
                            <w:t xml:space="preserve">— </w:t>
                          </w:r>
                          <w:r>
                            <w:fldChar w:fldCharType="begin"/>
                          </w:r>
                          <w:r>
                            <w:instrText xml:space="preserve"> PAGE  \* MERGEFORMAT </w:instrText>
                          </w:r>
                          <w:r>
                            <w:fldChar w:fldCharType="separate"/>
                          </w:r>
                          <w:r>
                            <w:t>134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C181D79">
                    <w:pPr>
                      <w:pStyle w:val="18"/>
                    </w:pPr>
                    <w:r>
                      <w:t xml:space="preserve">— </w:t>
                    </w:r>
                    <w:r>
                      <w:fldChar w:fldCharType="begin"/>
                    </w:r>
                    <w:r>
                      <w:instrText xml:space="preserve"> PAGE  \* MERGEFORMAT </w:instrText>
                    </w:r>
                    <w:r>
                      <w:fldChar w:fldCharType="separate"/>
                    </w:r>
                    <w:r>
                      <w:t>134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8D296">
                          <w:pPr>
                            <w:pStyle w:val="18"/>
                          </w:pPr>
                          <w:r>
                            <w:t xml:space="preserve">— </w:t>
                          </w:r>
                          <w:r>
                            <w:fldChar w:fldCharType="begin"/>
                          </w:r>
                          <w:r>
                            <w:instrText xml:space="preserve"> PAGE  \* MERGEFORMAT </w:instrText>
                          </w:r>
                          <w:r>
                            <w:fldChar w:fldCharType="separate"/>
                          </w:r>
                          <w:r>
                            <w:t>168</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98D296">
                    <w:pPr>
                      <w:pStyle w:val="18"/>
                    </w:pPr>
                    <w:r>
                      <w:t xml:space="preserve">— </w:t>
                    </w:r>
                    <w:r>
                      <w:fldChar w:fldCharType="begin"/>
                    </w:r>
                    <w:r>
                      <w:instrText xml:space="preserve"> PAGE  \* MERGEFORMAT </w:instrText>
                    </w:r>
                    <w:r>
                      <w:fldChar w:fldCharType="separate"/>
                    </w:r>
                    <w:r>
                      <w:t>168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tabs>
        <w:tab w:val="left" w:pos="3120"/>
      </w:tabs>
      <w:spacing w:line="240" w:lineRule="auto"/>
      <w:jc w:val="right"/>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2E60">
    <w:pPr>
      <w:spacing w:before="48" w:line="219" w:lineRule="auto"/>
      <w:ind w:left="5230"/>
      <w:rPr>
        <w:rFonts w:ascii="宋体" w:hAnsi="宋体" w:eastAsia="宋体" w:cs="宋体"/>
        <w:sz w:val="18"/>
        <w:szCs w:val="18"/>
      </w:rPr>
    </w:pPr>
    <w:r>
      <mc:AlternateContent>
        <mc:Choice Requires="wps">
          <w:drawing>
            <wp:anchor distT="0" distB="0" distL="114300" distR="114300" simplePos="0" relativeHeight="251663360" behindDoc="0" locked="0" layoutInCell="0" allowOverlap="1">
              <wp:simplePos x="0" y="0"/>
              <wp:positionH relativeFrom="page">
                <wp:posOffset>1122680</wp:posOffset>
              </wp:positionH>
              <wp:positionV relativeFrom="page">
                <wp:posOffset>701040</wp:posOffset>
              </wp:positionV>
              <wp:extent cx="5505450"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505450" cy="9525"/>
                      </a:xfrm>
                      <a:custGeom>
                        <a:avLst/>
                        <a:gdLst/>
                        <a:ahLst/>
                        <a:cxnLst/>
                        <a:pathLst>
                          <a:path w="8670" h="15">
                            <a:moveTo>
                              <a:pt x="0" y="7"/>
                            </a:moveTo>
                            <a:lnTo>
                              <a:pt x="8670" y="7"/>
                            </a:lnTo>
                          </a:path>
                        </a:pathLst>
                      </a:custGeom>
                      <a:noFill/>
                      <a:ln w="9525" cap="flat" cmpd="sng">
                        <a:solidFill>
                          <a:srgbClr val="000000"/>
                        </a:solidFill>
                        <a:prstDash val="solid"/>
                        <a:miter lim="1000000"/>
                        <a:headEnd type="none" w="med" len="med"/>
                        <a:tailEnd type="none" w="med" len="med"/>
                      </a:ln>
                    </wps:spPr>
                    <wps:bodyPr upright="1"/>
                  </wps:wsp>
                </a:graphicData>
              </a:graphic>
            </wp:anchor>
          </w:drawing>
        </mc:Choice>
        <mc:Fallback>
          <w:pict>
            <v:shape id="_x0000_s1026" o:spid="_x0000_s1026" o:spt="100" style="position:absolute;left:0pt;margin-left:88.4pt;margin-top:55.2pt;height:0.75pt;width:433.5pt;mso-position-horizontal-relative:page;mso-position-vertical-relative:page;z-index:251663360;mso-width-relative:page;mso-height-relative:page;" filled="f" stroked="t" coordsize="8670,15" o:allowincell="f" o:gfxdata="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&#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Ul172AAAAAwBAAAPAAAAAAAAAAEAIAAAACIAAABk&#10;cnMvZG93bnJldi54bWxQSwECFAAUAAAACACHTuJAjZ9iNj8CAACmBAAADgAAAAAAAAABACAAAAAn&#10;AQAAZHJzL2Uyb0RvYy54bWxQSwUGAAAAAAYABgBZAQAA2AUAAAAA&#10;" path="m0,7l8670,7e">
              <v:fill on="f" focussize="0,0"/>
              <v:stroke color="#000000" miterlimit="10" joinstyle="miter"/>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7F894">
    <w:pPr>
      <w:pStyle w:val="12"/>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976630</wp:posOffset>
              </wp:positionH>
              <wp:positionV relativeFrom="page">
                <wp:posOffset>449580</wp:posOffset>
              </wp:positionV>
              <wp:extent cx="1360805" cy="16002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360805" cy="160020"/>
                      </a:xfrm>
                      <a:prstGeom prst="rect">
                        <a:avLst/>
                      </a:prstGeom>
                      <a:noFill/>
                      <a:ln>
                        <a:noFill/>
                      </a:ln>
                    </wps:spPr>
                    <wps:txbx>
                      <w:txbxContent>
                        <w:p w14:paraId="22ABD36B"/>
                      </w:txbxContent>
                    </wps:txbx>
                    <wps:bodyPr lIns="0" tIns="0" rIns="0" bIns="0" upright="1"/>
                  </wps:wsp>
                </a:graphicData>
              </a:graphic>
            </wp:anchor>
          </w:drawing>
        </mc:Choice>
        <mc:Fallback>
          <w:pict>
            <v:shape id="_x0000_s1026" o:spid="_x0000_s1026" o:spt="202" type="#_x0000_t202" style="position:absolute;left:0pt;margin-left:76.9pt;margin-top:35.4pt;height:12.6pt;width:107.15pt;mso-position-horizontal-relative:page;mso-position-vertical-relative:page;z-index:-251656192;mso-width-relative:page;mso-height-relative:page;" filled="f" stroked="f" coordsize="21600,21600" o:gfxdata="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dqHs52AAAAAkBAAAPAAAAAAAAAAEAIAAAACIAAABkcnMvZG93bnJldi54bWxQSwEC&#10;FAAUAAAACACHTuJAeuJOH7sBAAB0AwAADgAAAAAAAAABACAAAAAnAQAAZHJzL2Uyb0RvYy54bWxQ&#10;SwUGAAAAAAYABgBZAQAAVAUAAAAA&#10;">
              <v:fill on="f" focussize="0,0"/>
              <v:stroke on="f"/>
              <v:imagedata o:title=""/>
              <o:lock v:ext="edit" aspectratio="f"/>
              <v:textbox inset="0mm,0mm,0mm,0mm">
                <w:txbxContent>
                  <w:p w14:paraId="22ABD36B"/>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14:paraId="2A887990"/>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5168;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KrmlA2AAAAAoBAAAPAAAAAAAAAAEAIAAAACIAAABkcnMvZG93bnJldi54bWxQSwEC&#10;FAAUAAAACACHTuJAImIbF7sBAAB0AwAADgAAAAAAAAABACAAAAAnAQAAZHJzL2Uyb0RvYy54bWxQ&#10;SwUGAAAAAAYABgBZAQAAVAUAAAAA&#10;">
              <v:fill on="f" focussize="0,0"/>
              <v:stroke on="f"/>
              <v:imagedata o:title=""/>
              <o:lock v:ext="edit" aspectratio="f"/>
              <v:textbox inset="0mm,0mm,0mm,0mm">
                <w:txbxContent>
                  <w:p w14:paraId="2A887990"/>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rFonts w:hint="eastAsia"/>
        <w:sz w:val="24"/>
        <w:szCs w:val="24"/>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1D7DC"/>
    <w:multiLevelType w:val="singleLevel"/>
    <w:tmpl w:val="B7C1D7DC"/>
    <w:lvl w:ilvl="0" w:tentative="0">
      <w:start w:val="1"/>
      <w:numFmt w:val="decimal"/>
      <w:suff w:val="nothing"/>
      <w:lvlText w:val="%1."/>
      <w:lvlJc w:val="left"/>
      <w:pPr>
        <w:ind w:left="425" w:hanging="425"/>
      </w:pPr>
      <w:rPr>
        <w:rFonts w:hint="default"/>
      </w:rPr>
    </w:lvl>
  </w:abstractNum>
  <w:abstractNum w:abstractNumId="1">
    <w:nsid w:val="00BBCC96"/>
    <w:multiLevelType w:val="singleLevel"/>
    <w:tmpl w:val="00BBCC96"/>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3MjI1MWEzZDkyMTk3NTA1OTJjNmE2ZTRjNTk2ZGU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61381"/>
    <w:rsid w:val="011A5E25"/>
    <w:rsid w:val="012A118F"/>
    <w:rsid w:val="012A6BDB"/>
    <w:rsid w:val="014F6641"/>
    <w:rsid w:val="01521C8D"/>
    <w:rsid w:val="0168325F"/>
    <w:rsid w:val="01A544B3"/>
    <w:rsid w:val="01AE3368"/>
    <w:rsid w:val="01BA61B0"/>
    <w:rsid w:val="01D17056"/>
    <w:rsid w:val="01F86CD9"/>
    <w:rsid w:val="021D673F"/>
    <w:rsid w:val="024E4B4B"/>
    <w:rsid w:val="02581525"/>
    <w:rsid w:val="025B2DC4"/>
    <w:rsid w:val="02C72207"/>
    <w:rsid w:val="02ED6112"/>
    <w:rsid w:val="02F94AB6"/>
    <w:rsid w:val="0317318F"/>
    <w:rsid w:val="035937A7"/>
    <w:rsid w:val="0387014A"/>
    <w:rsid w:val="03BB6210"/>
    <w:rsid w:val="03D64DF8"/>
    <w:rsid w:val="03D66BA6"/>
    <w:rsid w:val="040556DD"/>
    <w:rsid w:val="04212517"/>
    <w:rsid w:val="04730898"/>
    <w:rsid w:val="04842AA6"/>
    <w:rsid w:val="048C3708"/>
    <w:rsid w:val="049802FF"/>
    <w:rsid w:val="04A3117E"/>
    <w:rsid w:val="04B0389B"/>
    <w:rsid w:val="04BF588C"/>
    <w:rsid w:val="04DA4474"/>
    <w:rsid w:val="04F76DD4"/>
    <w:rsid w:val="04FA2D68"/>
    <w:rsid w:val="05114316"/>
    <w:rsid w:val="05214D81"/>
    <w:rsid w:val="053B7608"/>
    <w:rsid w:val="054B2562"/>
    <w:rsid w:val="056805A2"/>
    <w:rsid w:val="056F2E0E"/>
    <w:rsid w:val="057743B8"/>
    <w:rsid w:val="05810D93"/>
    <w:rsid w:val="059565ED"/>
    <w:rsid w:val="05B44CC5"/>
    <w:rsid w:val="05DB04A3"/>
    <w:rsid w:val="05E530D0"/>
    <w:rsid w:val="06140B37"/>
    <w:rsid w:val="06500E91"/>
    <w:rsid w:val="069C40D7"/>
    <w:rsid w:val="06A15634"/>
    <w:rsid w:val="06A411DD"/>
    <w:rsid w:val="06B74FBC"/>
    <w:rsid w:val="06C07699"/>
    <w:rsid w:val="06F37A6F"/>
    <w:rsid w:val="070E75E1"/>
    <w:rsid w:val="07577FFE"/>
    <w:rsid w:val="076B1CFB"/>
    <w:rsid w:val="07753061"/>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7924AD"/>
    <w:rsid w:val="09B07E99"/>
    <w:rsid w:val="09BD6E87"/>
    <w:rsid w:val="09C120A6"/>
    <w:rsid w:val="09FC4E8C"/>
    <w:rsid w:val="0A257C17"/>
    <w:rsid w:val="0A314B36"/>
    <w:rsid w:val="0A73514E"/>
    <w:rsid w:val="0A7F7F97"/>
    <w:rsid w:val="0AA479FE"/>
    <w:rsid w:val="0ABF65E6"/>
    <w:rsid w:val="0ACC485F"/>
    <w:rsid w:val="0ADA3F4C"/>
    <w:rsid w:val="0B057D70"/>
    <w:rsid w:val="0B0E131B"/>
    <w:rsid w:val="0B116715"/>
    <w:rsid w:val="0B48482D"/>
    <w:rsid w:val="0B5A00BC"/>
    <w:rsid w:val="0B732363"/>
    <w:rsid w:val="0B7F5D75"/>
    <w:rsid w:val="0B9C6927"/>
    <w:rsid w:val="0BA53A2D"/>
    <w:rsid w:val="0BBF61BC"/>
    <w:rsid w:val="0BCB5C52"/>
    <w:rsid w:val="0BE300B2"/>
    <w:rsid w:val="0BE629C1"/>
    <w:rsid w:val="0BEF6A57"/>
    <w:rsid w:val="0BF71DAF"/>
    <w:rsid w:val="0C01678A"/>
    <w:rsid w:val="0C085D6A"/>
    <w:rsid w:val="0C142961"/>
    <w:rsid w:val="0C193AD3"/>
    <w:rsid w:val="0C475EF7"/>
    <w:rsid w:val="0C7B29E0"/>
    <w:rsid w:val="0C7D22B4"/>
    <w:rsid w:val="0C913FB2"/>
    <w:rsid w:val="0CA80F95"/>
    <w:rsid w:val="0D1424ED"/>
    <w:rsid w:val="0D5D3E94"/>
    <w:rsid w:val="0D8238FA"/>
    <w:rsid w:val="0D8C18C1"/>
    <w:rsid w:val="0DB74CD5"/>
    <w:rsid w:val="0E0013EF"/>
    <w:rsid w:val="0E0D58BA"/>
    <w:rsid w:val="0E2B3F92"/>
    <w:rsid w:val="0E75278D"/>
    <w:rsid w:val="0E8611C8"/>
    <w:rsid w:val="0E8B67DF"/>
    <w:rsid w:val="0E90419B"/>
    <w:rsid w:val="0E9B1118"/>
    <w:rsid w:val="0EB75826"/>
    <w:rsid w:val="0EC37B54"/>
    <w:rsid w:val="0ED10695"/>
    <w:rsid w:val="0ED32660"/>
    <w:rsid w:val="0EDB7766"/>
    <w:rsid w:val="0EEA79A9"/>
    <w:rsid w:val="0EEF3211"/>
    <w:rsid w:val="0EF3685E"/>
    <w:rsid w:val="0EFB1BB6"/>
    <w:rsid w:val="0F113188"/>
    <w:rsid w:val="0F29227F"/>
    <w:rsid w:val="0F3F7CF5"/>
    <w:rsid w:val="0F4F5A5E"/>
    <w:rsid w:val="0F6634D4"/>
    <w:rsid w:val="0F670FFA"/>
    <w:rsid w:val="0F694D72"/>
    <w:rsid w:val="0F6C4862"/>
    <w:rsid w:val="0F7200CA"/>
    <w:rsid w:val="0F760751"/>
    <w:rsid w:val="0F7F4595"/>
    <w:rsid w:val="0FB35FED"/>
    <w:rsid w:val="0FF07241"/>
    <w:rsid w:val="101E3DAE"/>
    <w:rsid w:val="10390BE8"/>
    <w:rsid w:val="10637A13"/>
    <w:rsid w:val="107E2A9F"/>
    <w:rsid w:val="108979E3"/>
    <w:rsid w:val="10A36062"/>
    <w:rsid w:val="10A5627E"/>
    <w:rsid w:val="10B93AD7"/>
    <w:rsid w:val="10BD35C7"/>
    <w:rsid w:val="10C009C2"/>
    <w:rsid w:val="1160463D"/>
    <w:rsid w:val="11CE5360"/>
    <w:rsid w:val="11E626AA"/>
    <w:rsid w:val="1218364A"/>
    <w:rsid w:val="12241424"/>
    <w:rsid w:val="122F22A3"/>
    <w:rsid w:val="12404081"/>
    <w:rsid w:val="12505D75"/>
    <w:rsid w:val="126A32DB"/>
    <w:rsid w:val="12AA36D7"/>
    <w:rsid w:val="12B16E0A"/>
    <w:rsid w:val="12BB58E4"/>
    <w:rsid w:val="12C0739F"/>
    <w:rsid w:val="12F9465F"/>
    <w:rsid w:val="12FC7CAB"/>
    <w:rsid w:val="130F79DE"/>
    <w:rsid w:val="1319085D"/>
    <w:rsid w:val="136602E1"/>
    <w:rsid w:val="13931986"/>
    <w:rsid w:val="13A73607"/>
    <w:rsid w:val="13AC7923"/>
    <w:rsid w:val="13D03611"/>
    <w:rsid w:val="13F54E26"/>
    <w:rsid w:val="13FB7F63"/>
    <w:rsid w:val="14221993"/>
    <w:rsid w:val="1422618B"/>
    <w:rsid w:val="14733F9D"/>
    <w:rsid w:val="147C10A3"/>
    <w:rsid w:val="14C447F8"/>
    <w:rsid w:val="14D514F5"/>
    <w:rsid w:val="14D548B3"/>
    <w:rsid w:val="15115C90"/>
    <w:rsid w:val="151B4D60"/>
    <w:rsid w:val="152534E9"/>
    <w:rsid w:val="15657B9D"/>
    <w:rsid w:val="15853E70"/>
    <w:rsid w:val="15862B82"/>
    <w:rsid w:val="15AF7257"/>
    <w:rsid w:val="15E52C78"/>
    <w:rsid w:val="162E0AC3"/>
    <w:rsid w:val="163C5D9C"/>
    <w:rsid w:val="163D4862"/>
    <w:rsid w:val="164E4CC1"/>
    <w:rsid w:val="165247B2"/>
    <w:rsid w:val="16556050"/>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884203"/>
    <w:rsid w:val="17AF1790"/>
    <w:rsid w:val="17B2302E"/>
    <w:rsid w:val="17F83137"/>
    <w:rsid w:val="17FF44C5"/>
    <w:rsid w:val="183D6D9C"/>
    <w:rsid w:val="183F0D66"/>
    <w:rsid w:val="184D2180"/>
    <w:rsid w:val="18553F11"/>
    <w:rsid w:val="186407CC"/>
    <w:rsid w:val="18644328"/>
    <w:rsid w:val="18934C0E"/>
    <w:rsid w:val="189B3AC2"/>
    <w:rsid w:val="18A707E9"/>
    <w:rsid w:val="18B21538"/>
    <w:rsid w:val="18D70F9E"/>
    <w:rsid w:val="18E67433"/>
    <w:rsid w:val="190478B9"/>
    <w:rsid w:val="19063631"/>
    <w:rsid w:val="191775ED"/>
    <w:rsid w:val="19392391"/>
    <w:rsid w:val="194523AC"/>
    <w:rsid w:val="19501BAE"/>
    <w:rsid w:val="196934AD"/>
    <w:rsid w:val="197762DD"/>
    <w:rsid w:val="197E58BE"/>
    <w:rsid w:val="199D21E8"/>
    <w:rsid w:val="19A277FE"/>
    <w:rsid w:val="19E45129"/>
    <w:rsid w:val="1A172451"/>
    <w:rsid w:val="1A240213"/>
    <w:rsid w:val="1A5B175B"/>
    <w:rsid w:val="1A705206"/>
    <w:rsid w:val="1A8D2B13"/>
    <w:rsid w:val="1AC92B69"/>
    <w:rsid w:val="1ADF238C"/>
    <w:rsid w:val="1AEB0D31"/>
    <w:rsid w:val="1AF92BB3"/>
    <w:rsid w:val="1B0E4A1F"/>
    <w:rsid w:val="1B3C158C"/>
    <w:rsid w:val="1B574618"/>
    <w:rsid w:val="1B684130"/>
    <w:rsid w:val="1B697EA8"/>
    <w:rsid w:val="1B7A3E63"/>
    <w:rsid w:val="1BC7354C"/>
    <w:rsid w:val="1BCA303C"/>
    <w:rsid w:val="1C033E58"/>
    <w:rsid w:val="1C071B9A"/>
    <w:rsid w:val="1C0C0F5F"/>
    <w:rsid w:val="1C0F6CA1"/>
    <w:rsid w:val="1C387FA6"/>
    <w:rsid w:val="1C4C3A51"/>
    <w:rsid w:val="1C766D20"/>
    <w:rsid w:val="1C9D24FF"/>
    <w:rsid w:val="1CA05B4B"/>
    <w:rsid w:val="1CAB69CA"/>
    <w:rsid w:val="1CBC0BD7"/>
    <w:rsid w:val="1CC90D78"/>
    <w:rsid w:val="1CEE68B6"/>
    <w:rsid w:val="1D320E99"/>
    <w:rsid w:val="1DA56929"/>
    <w:rsid w:val="1DAB47A7"/>
    <w:rsid w:val="1DBE44DB"/>
    <w:rsid w:val="1DDC5D1E"/>
    <w:rsid w:val="1DE0493E"/>
    <w:rsid w:val="1DFB74DD"/>
    <w:rsid w:val="1E0839A8"/>
    <w:rsid w:val="1E0C793C"/>
    <w:rsid w:val="1E252D30"/>
    <w:rsid w:val="1E293FBC"/>
    <w:rsid w:val="1E2A6014"/>
    <w:rsid w:val="1E311151"/>
    <w:rsid w:val="1E3D3153"/>
    <w:rsid w:val="1E5866DD"/>
    <w:rsid w:val="1E5E7A6C"/>
    <w:rsid w:val="1E914811"/>
    <w:rsid w:val="1EC04283"/>
    <w:rsid w:val="1EE77A61"/>
    <w:rsid w:val="1EEE7042"/>
    <w:rsid w:val="1EF328AA"/>
    <w:rsid w:val="1EF53F2C"/>
    <w:rsid w:val="1F2111C5"/>
    <w:rsid w:val="1F4C5B16"/>
    <w:rsid w:val="1F5164BE"/>
    <w:rsid w:val="1F9A4AD4"/>
    <w:rsid w:val="1FA63478"/>
    <w:rsid w:val="1FB042F7"/>
    <w:rsid w:val="1FBF278C"/>
    <w:rsid w:val="1FEA5A5B"/>
    <w:rsid w:val="1FFE5062"/>
    <w:rsid w:val="20126D60"/>
    <w:rsid w:val="20311090"/>
    <w:rsid w:val="20346E0E"/>
    <w:rsid w:val="204F3443"/>
    <w:rsid w:val="205E01F7"/>
    <w:rsid w:val="20B9542D"/>
    <w:rsid w:val="20D02EA3"/>
    <w:rsid w:val="211014F1"/>
    <w:rsid w:val="21254871"/>
    <w:rsid w:val="212C5BFF"/>
    <w:rsid w:val="213056EF"/>
    <w:rsid w:val="215A09BE"/>
    <w:rsid w:val="216B497A"/>
    <w:rsid w:val="21937A2C"/>
    <w:rsid w:val="21992A01"/>
    <w:rsid w:val="21A8155E"/>
    <w:rsid w:val="21C85928"/>
    <w:rsid w:val="21E40288"/>
    <w:rsid w:val="220426D8"/>
    <w:rsid w:val="22124DF5"/>
    <w:rsid w:val="222608A0"/>
    <w:rsid w:val="224F1BA5"/>
    <w:rsid w:val="2279096F"/>
    <w:rsid w:val="2288155B"/>
    <w:rsid w:val="228D1E28"/>
    <w:rsid w:val="228D6B72"/>
    <w:rsid w:val="229323DA"/>
    <w:rsid w:val="22B20386"/>
    <w:rsid w:val="22CE1AC1"/>
    <w:rsid w:val="22F547E2"/>
    <w:rsid w:val="230E1A60"/>
    <w:rsid w:val="23377209"/>
    <w:rsid w:val="233D2B25"/>
    <w:rsid w:val="235A6A54"/>
    <w:rsid w:val="23711FEF"/>
    <w:rsid w:val="238E0DF3"/>
    <w:rsid w:val="239F090A"/>
    <w:rsid w:val="23B56380"/>
    <w:rsid w:val="23C6058D"/>
    <w:rsid w:val="23C72304"/>
    <w:rsid w:val="23F46EA8"/>
    <w:rsid w:val="241F37F9"/>
    <w:rsid w:val="245E4322"/>
    <w:rsid w:val="24653902"/>
    <w:rsid w:val="247D50F0"/>
    <w:rsid w:val="24AF254A"/>
    <w:rsid w:val="24AF2DCF"/>
    <w:rsid w:val="24AF7273"/>
    <w:rsid w:val="24C525F3"/>
    <w:rsid w:val="24C90335"/>
    <w:rsid w:val="24CA19B7"/>
    <w:rsid w:val="25096983"/>
    <w:rsid w:val="25107333"/>
    <w:rsid w:val="25270BB7"/>
    <w:rsid w:val="255B6AB3"/>
    <w:rsid w:val="255D6CCF"/>
    <w:rsid w:val="25853B30"/>
    <w:rsid w:val="25950217"/>
    <w:rsid w:val="25A20B86"/>
    <w:rsid w:val="25B74631"/>
    <w:rsid w:val="25BD32CA"/>
    <w:rsid w:val="25C40AFC"/>
    <w:rsid w:val="25CE197B"/>
    <w:rsid w:val="25D725DE"/>
    <w:rsid w:val="25E847EB"/>
    <w:rsid w:val="25EE7927"/>
    <w:rsid w:val="25EF3DCB"/>
    <w:rsid w:val="26124C74"/>
    <w:rsid w:val="2628108B"/>
    <w:rsid w:val="26526108"/>
    <w:rsid w:val="265E3193"/>
    <w:rsid w:val="26667E05"/>
    <w:rsid w:val="26771661"/>
    <w:rsid w:val="268F4C66"/>
    <w:rsid w:val="26976211"/>
    <w:rsid w:val="26B4291F"/>
    <w:rsid w:val="27157820"/>
    <w:rsid w:val="271B0BF0"/>
    <w:rsid w:val="271C2272"/>
    <w:rsid w:val="272F1FA5"/>
    <w:rsid w:val="273A72C8"/>
    <w:rsid w:val="2767173F"/>
    <w:rsid w:val="27AE55C0"/>
    <w:rsid w:val="27BB320F"/>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AD1D1C"/>
    <w:rsid w:val="28B22E8E"/>
    <w:rsid w:val="28C02B57"/>
    <w:rsid w:val="28D41056"/>
    <w:rsid w:val="28DC7F0B"/>
    <w:rsid w:val="28F416F8"/>
    <w:rsid w:val="28F811E9"/>
    <w:rsid w:val="29001E4B"/>
    <w:rsid w:val="295978DD"/>
    <w:rsid w:val="298F1421"/>
    <w:rsid w:val="29927937"/>
    <w:rsid w:val="29BF3AB4"/>
    <w:rsid w:val="29C91AA7"/>
    <w:rsid w:val="29CE019B"/>
    <w:rsid w:val="29D11A3A"/>
    <w:rsid w:val="29D62BAC"/>
    <w:rsid w:val="2A1262DA"/>
    <w:rsid w:val="2A23065A"/>
    <w:rsid w:val="2A24600D"/>
    <w:rsid w:val="2A32072A"/>
    <w:rsid w:val="2A391AB9"/>
    <w:rsid w:val="2A4B359A"/>
    <w:rsid w:val="2A976EE2"/>
    <w:rsid w:val="2ABB0720"/>
    <w:rsid w:val="2ACA0377"/>
    <w:rsid w:val="2ADE440E"/>
    <w:rsid w:val="2AFB4FC0"/>
    <w:rsid w:val="2B147E30"/>
    <w:rsid w:val="2B6F32B8"/>
    <w:rsid w:val="2B786611"/>
    <w:rsid w:val="2B9601FE"/>
    <w:rsid w:val="2BD25682"/>
    <w:rsid w:val="2BE27F2E"/>
    <w:rsid w:val="2C155C0E"/>
    <w:rsid w:val="2C414C55"/>
    <w:rsid w:val="2C475FE3"/>
    <w:rsid w:val="2C4C5A92"/>
    <w:rsid w:val="2C83526D"/>
    <w:rsid w:val="2CAB47C4"/>
    <w:rsid w:val="2CC33AC9"/>
    <w:rsid w:val="2CC633AC"/>
    <w:rsid w:val="2CD05FD9"/>
    <w:rsid w:val="2CD23AFF"/>
    <w:rsid w:val="2CDE6947"/>
    <w:rsid w:val="2CEF7A50"/>
    <w:rsid w:val="2D3227EF"/>
    <w:rsid w:val="2D3E2F42"/>
    <w:rsid w:val="2D71156A"/>
    <w:rsid w:val="2DE27D71"/>
    <w:rsid w:val="2DEE4968"/>
    <w:rsid w:val="2DF80D85"/>
    <w:rsid w:val="2E310CF9"/>
    <w:rsid w:val="2E3F6F72"/>
    <w:rsid w:val="2E6764C9"/>
    <w:rsid w:val="2E7555D3"/>
    <w:rsid w:val="2EB536D8"/>
    <w:rsid w:val="2EB712DA"/>
    <w:rsid w:val="2ECA005F"/>
    <w:rsid w:val="2ECB2EFB"/>
    <w:rsid w:val="2ECD316E"/>
    <w:rsid w:val="2EDA313F"/>
    <w:rsid w:val="2F065CE2"/>
    <w:rsid w:val="2F0E760F"/>
    <w:rsid w:val="2F1C6FCF"/>
    <w:rsid w:val="2F5C3519"/>
    <w:rsid w:val="2F5C7FF7"/>
    <w:rsid w:val="2F5E167A"/>
    <w:rsid w:val="2F880DEC"/>
    <w:rsid w:val="2F886E61"/>
    <w:rsid w:val="2FD3152B"/>
    <w:rsid w:val="300F6E18"/>
    <w:rsid w:val="3034062C"/>
    <w:rsid w:val="30536D05"/>
    <w:rsid w:val="305B3E0B"/>
    <w:rsid w:val="305F1B4D"/>
    <w:rsid w:val="30705B08"/>
    <w:rsid w:val="30AC639E"/>
    <w:rsid w:val="30AF3584"/>
    <w:rsid w:val="30E56588"/>
    <w:rsid w:val="30E91417"/>
    <w:rsid w:val="31293F09"/>
    <w:rsid w:val="31350B00"/>
    <w:rsid w:val="3159659D"/>
    <w:rsid w:val="315C608D"/>
    <w:rsid w:val="3194582D"/>
    <w:rsid w:val="31A83080"/>
    <w:rsid w:val="31B41A25"/>
    <w:rsid w:val="31BC6B2B"/>
    <w:rsid w:val="320504D2"/>
    <w:rsid w:val="32513718"/>
    <w:rsid w:val="326A47D9"/>
    <w:rsid w:val="32B048E2"/>
    <w:rsid w:val="32B1065A"/>
    <w:rsid w:val="32E4458C"/>
    <w:rsid w:val="33174961"/>
    <w:rsid w:val="33242BDA"/>
    <w:rsid w:val="332D26D2"/>
    <w:rsid w:val="33443C83"/>
    <w:rsid w:val="33705E1F"/>
    <w:rsid w:val="33745910"/>
    <w:rsid w:val="33953AD8"/>
    <w:rsid w:val="33997124"/>
    <w:rsid w:val="33CC574C"/>
    <w:rsid w:val="34256C0A"/>
    <w:rsid w:val="345968B4"/>
    <w:rsid w:val="348D41C6"/>
    <w:rsid w:val="34910AB6"/>
    <w:rsid w:val="35156C7E"/>
    <w:rsid w:val="35352E7D"/>
    <w:rsid w:val="3538471B"/>
    <w:rsid w:val="3566572C"/>
    <w:rsid w:val="3571636E"/>
    <w:rsid w:val="358362DE"/>
    <w:rsid w:val="35843E04"/>
    <w:rsid w:val="3589141A"/>
    <w:rsid w:val="358F4AB7"/>
    <w:rsid w:val="35BE10C4"/>
    <w:rsid w:val="35C506A4"/>
    <w:rsid w:val="35C8047F"/>
    <w:rsid w:val="35CF5D2A"/>
    <w:rsid w:val="35F04FF6"/>
    <w:rsid w:val="36021D61"/>
    <w:rsid w:val="36213401"/>
    <w:rsid w:val="36392E40"/>
    <w:rsid w:val="36794FEB"/>
    <w:rsid w:val="3687595A"/>
    <w:rsid w:val="368816D2"/>
    <w:rsid w:val="368D6CE8"/>
    <w:rsid w:val="369E0EF6"/>
    <w:rsid w:val="36AC716F"/>
    <w:rsid w:val="36AF6C5F"/>
    <w:rsid w:val="36D6243D"/>
    <w:rsid w:val="36D87F64"/>
    <w:rsid w:val="36E42DAC"/>
    <w:rsid w:val="36F32FEF"/>
    <w:rsid w:val="371A057C"/>
    <w:rsid w:val="373B4810"/>
    <w:rsid w:val="373B6744"/>
    <w:rsid w:val="373D24BC"/>
    <w:rsid w:val="37444515"/>
    <w:rsid w:val="37490E61"/>
    <w:rsid w:val="375F68D7"/>
    <w:rsid w:val="3762206F"/>
    <w:rsid w:val="37695060"/>
    <w:rsid w:val="377D0B0B"/>
    <w:rsid w:val="37865C12"/>
    <w:rsid w:val="37991DE9"/>
    <w:rsid w:val="37A662B4"/>
    <w:rsid w:val="37A83DDA"/>
    <w:rsid w:val="37B24C58"/>
    <w:rsid w:val="37BE35FD"/>
    <w:rsid w:val="37C14E9C"/>
    <w:rsid w:val="37C956E6"/>
    <w:rsid w:val="37D72911"/>
    <w:rsid w:val="37DF17C6"/>
    <w:rsid w:val="381D3A0B"/>
    <w:rsid w:val="3825542A"/>
    <w:rsid w:val="38451629"/>
    <w:rsid w:val="38AF451F"/>
    <w:rsid w:val="38C5276A"/>
    <w:rsid w:val="38DE382B"/>
    <w:rsid w:val="392C27E9"/>
    <w:rsid w:val="394C69E7"/>
    <w:rsid w:val="39F41558"/>
    <w:rsid w:val="3A1C0AAF"/>
    <w:rsid w:val="3A234EC8"/>
    <w:rsid w:val="3A2636DC"/>
    <w:rsid w:val="3A6B5230"/>
    <w:rsid w:val="3A766061"/>
    <w:rsid w:val="3A916DA7"/>
    <w:rsid w:val="3AA36ADA"/>
    <w:rsid w:val="3B0F23C2"/>
    <w:rsid w:val="3B60677A"/>
    <w:rsid w:val="3B862684"/>
    <w:rsid w:val="3B8B7C9A"/>
    <w:rsid w:val="3B8E4123"/>
    <w:rsid w:val="3BAC19BF"/>
    <w:rsid w:val="3BD038FF"/>
    <w:rsid w:val="3BD11425"/>
    <w:rsid w:val="3BDD7DCA"/>
    <w:rsid w:val="3BEB698B"/>
    <w:rsid w:val="3BF55114"/>
    <w:rsid w:val="3C371BD0"/>
    <w:rsid w:val="3CA8662A"/>
    <w:rsid w:val="3CAA23A2"/>
    <w:rsid w:val="3CB72D11"/>
    <w:rsid w:val="3CBA010B"/>
    <w:rsid w:val="3CE533DA"/>
    <w:rsid w:val="3D0870C9"/>
    <w:rsid w:val="3D390965"/>
    <w:rsid w:val="3D4A5E08"/>
    <w:rsid w:val="3D5B019B"/>
    <w:rsid w:val="3D69400B"/>
    <w:rsid w:val="3D7724B9"/>
    <w:rsid w:val="3D8C7CFA"/>
    <w:rsid w:val="3D8E75CE"/>
    <w:rsid w:val="3DA2472E"/>
    <w:rsid w:val="3DC56D68"/>
    <w:rsid w:val="3E10092B"/>
    <w:rsid w:val="3E18333B"/>
    <w:rsid w:val="3E261EFC"/>
    <w:rsid w:val="3E3E7246"/>
    <w:rsid w:val="3E4B1963"/>
    <w:rsid w:val="3E75253C"/>
    <w:rsid w:val="3E774506"/>
    <w:rsid w:val="3E7C7D6E"/>
    <w:rsid w:val="3E8135D7"/>
    <w:rsid w:val="3E8978EB"/>
    <w:rsid w:val="3EB94B1E"/>
    <w:rsid w:val="3ECD05CA"/>
    <w:rsid w:val="3EE26BC7"/>
    <w:rsid w:val="3EEC127F"/>
    <w:rsid w:val="3EF1250A"/>
    <w:rsid w:val="3EFE4C27"/>
    <w:rsid w:val="3F4940F4"/>
    <w:rsid w:val="3F830C89"/>
    <w:rsid w:val="3F9133A5"/>
    <w:rsid w:val="3FA806EF"/>
    <w:rsid w:val="3FB11C9A"/>
    <w:rsid w:val="3FCE0156"/>
    <w:rsid w:val="3FE54EAF"/>
    <w:rsid w:val="401B1A9A"/>
    <w:rsid w:val="404159F5"/>
    <w:rsid w:val="40580367"/>
    <w:rsid w:val="405A7C3B"/>
    <w:rsid w:val="406B009A"/>
    <w:rsid w:val="40833636"/>
    <w:rsid w:val="40890521"/>
    <w:rsid w:val="408D0011"/>
    <w:rsid w:val="40D43E92"/>
    <w:rsid w:val="412546ED"/>
    <w:rsid w:val="41456B3D"/>
    <w:rsid w:val="418F600A"/>
    <w:rsid w:val="41911D83"/>
    <w:rsid w:val="41933E73"/>
    <w:rsid w:val="41C21F3C"/>
    <w:rsid w:val="41C652D3"/>
    <w:rsid w:val="41CA2B9F"/>
    <w:rsid w:val="41E023C2"/>
    <w:rsid w:val="41EA1493"/>
    <w:rsid w:val="41FF6CEC"/>
    <w:rsid w:val="421D7172"/>
    <w:rsid w:val="422B7AE1"/>
    <w:rsid w:val="42786A9F"/>
    <w:rsid w:val="427C033D"/>
    <w:rsid w:val="428E1E1E"/>
    <w:rsid w:val="429733C9"/>
    <w:rsid w:val="42A87384"/>
    <w:rsid w:val="42E63A08"/>
    <w:rsid w:val="42E90FF2"/>
    <w:rsid w:val="43056584"/>
    <w:rsid w:val="431762B8"/>
    <w:rsid w:val="432664FB"/>
    <w:rsid w:val="432A5FEB"/>
    <w:rsid w:val="434370AD"/>
    <w:rsid w:val="43544E16"/>
    <w:rsid w:val="437454B8"/>
    <w:rsid w:val="438020AF"/>
    <w:rsid w:val="43866F99"/>
    <w:rsid w:val="43AD4526"/>
    <w:rsid w:val="43B27D8E"/>
    <w:rsid w:val="43DD4E0B"/>
    <w:rsid w:val="43EC32A0"/>
    <w:rsid w:val="43FE2FD4"/>
    <w:rsid w:val="43FF1225"/>
    <w:rsid w:val="441B5933"/>
    <w:rsid w:val="444C01E3"/>
    <w:rsid w:val="44507CD3"/>
    <w:rsid w:val="44623562"/>
    <w:rsid w:val="447137A5"/>
    <w:rsid w:val="449000D0"/>
    <w:rsid w:val="44C24001"/>
    <w:rsid w:val="44DA57EF"/>
    <w:rsid w:val="44DC50C3"/>
    <w:rsid w:val="44E4041B"/>
    <w:rsid w:val="4508235C"/>
    <w:rsid w:val="450D7972"/>
    <w:rsid w:val="450F56AA"/>
    <w:rsid w:val="45126D36"/>
    <w:rsid w:val="452623BD"/>
    <w:rsid w:val="452B4BB5"/>
    <w:rsid w:val="452B604A"/>
    <w:rsid w:val="453B44DF"/>
    <w:rsid w:val="45603F46"/>
    <w:rsid w:val="45660E30"/>
    <w:rsid w:val="457B0D80"/>
    <w:rsid w:val="46144D30"/>
    <w:rsid w:val="461B7E6D"/>
    <w:rsid w:val="46477F15"/>
    <w:rsid w:val="46511AE0"/>
    <w:rsid w:val="465B57DC"/>
    <w:rsid w:val="469C3B23"/>
    <w:rsid w:val="469F260E"/>
    <w:rsid w:val="46CC1167"/>
    <w:rsid w:val="47392CA0"/>
    <w:rsid w:val="473E02B7"/>
    <w:rsid w:val="47460F19"/>
    <w:rsid w:val="47632D59"/>
    <w:rsid w:val="47857C94"/>
    <w:rsid w:val="47863A0C"/>
    <w:rsid w:val="478B4B7E"/>
    <w:rsid w:val="47B73BC5"/>
    <w:rsid w:val="47B73EFD"/>
    <w:rsid w:val="47E00AF1"/>
    <w:rsid w:val="47EC5378"/>
    <w:rsid w:val="47FE35A2"/>
    <w:rsid w:val="4832149E"/>
    <w:rsid w:val="483416BA"/>
    <w:rsid w:val="48396CD0"/>
    <w:rsid w:val="483B65A4"/>
    <w:rsid w:val="483E7E42"/>
    <w:rsid w:val="48660E58"/>
    <w:rsid w:val="48741AB6"/>
    <w:rsid w:val="488241D3"/>
    <w:rsid w:val="48961A2D"/>
    <w:rsid w:val="489B34E7"/>
    <w:rsid w:val="48B85E47"/>
    <w:rsid w:val="48CB5B7A"/>
    <w:rsid w:val="48EC00C7"/>
    <w:rsid w:val="48EE2BC9"/>
    <w:rsid w:val="491C4628"/>
    <w:rsid w:val="49743D8F"/>
    <w:rsid w:val="49B06B1E"/>
    <w:rsid w:val="49B72A97"/>
    <w:rsid w:val="49E54A1A"/>
    <w:rsid w:val="49E8275C"/>
    <w:rsid w:val="4A0B36CD"/>
    <w:rsid w:val="4A504741"/>
    <w:rsid w:val="4A52668E"/>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C5CC3"/>
    <w:rsid w:val="4CC50B32"/>
    <w:rsid w:val="4CC72AFC"/>
    <w:rsid w:val="4CFB4554"/>
    <w:rsid w:val="4D043409"/>
    <w:rsid w:val="4D31441A"/>
    <w:rsid w:val="4D3A5B11"/>
    <w:rsid w:val="4D3D691B"/>
    <w:rsid w:val="4DD74FC1"/>
    <w:rsid w:val="4DFC0584"/>
    <w:rsid w:val="4E0631B0"/>
    <w:rsid w:val="4E0B07C7"/>
    <w:rsid w:val="4E2A50F1"/>
    <w:rsid w:val="4E2D2E33"/>
    <w:rsid w:val="4E342F84"/>
    <w:rsid w:val="4E395334"/>
    <w:rsid w:val="4E4F7A0A"/>
    <w:rsid w:val="4E656129"/>
    <w:rsid w:val="4E8A5B90"/>
    <w:rsid w:val="4EA76741"/>
    <w:rsid w:val="4EAF3848"/>
    <w:rsid w:val="4ED92673"/>
    <w:rsid w:val="4EEC684A"/>
    <w:rsid w:val="4F3855EC"/>
    <w:rsid w:val="4F391364"/>
    <w:rsid w:val="4F585C8E"/>
    <w:rsid w:val="4F5A7C58"/>
    <w:rsid w:val="4F7F321A"/>
    <w:rsid w:val="4F895E47"/>
    <w:rsid w:val="4F90367A"/>
    <w:rsid w:val="4F9D5D96"/>
    <w:rsid w:val="4FB76E58"/>
    <w:rsid w:val="4FF9121F"/>
    <w:rsid w:val="4FF97471"/>
    <w:rsid w:val="50033E4B"/>
    <w:rsid w:val="50062B38"/>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14601"/>
    <w:rsid w:val="521560B8"/>
    <w:rsid w:val="522E2CD6"/>
    <w:rsid w:val="52775DEE"/>
    <w:rsid w:val="52783198"/>
    <w:rsid w:val="5290573F"/>
    <w:rsid w:val="52B15DE1"/>
    <w:rsid w:val="52D95337"/>
    <w:rsid w:val="52DD4E28"/>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41D74A6"/>
    <w:rsid w:val="54422A68"/>
    <w:rsid w:val="544E11C2"/>
    <w:rsid w:val="5463310B"/>
    <w:rsid w:val="54662BFB"/>
    <w:rsid w:val="54A51975"/>
    <w:rsid w:val="54E67898"/>
    <w:rsid w:val="54F71AA5"/>
    <w:rsid w:val="551E7032"/>
    <w:rsid w:val="55392A77"/>
    <w:rsid w:val="555E38D2"/>
    <w:rsid w:val="55A439DB"/>
    <w:rsid w:val="55AE2AAB"/>
    <w:rsid w:val="55CA0F67"/>
    <w:rsid w:val="560E70A6"/>
    <w:rsid w:val="563805C7"/>
    <w:rsid w:val="565076BF"/>
    <w:rsid w:val="567D13ED"/>
    <w:rsid w:val="56BD287A"/>
    <w:rsid w:val="56D57BC4"/>
    <w:rsid w:val="56DB78D0"/>
    <w:rsid w:val="56ED7603"/>
    <w:rsid w:val="56F3629C"/>
    <w:rsid w:val="56F72230"/>
    <w:rsid w:val="56FC7846"/>
    <w:rsid w:val="5719555B"/>
    <w:rsid w:val="57212E09"/>
    <w:rsid w:val="572C6290"/>
    <w:rsid w:val="57603931"/>
    <w:rsid w:val="57741E27"/>
    <w:rsid w:val="57833AC4"/>
    <w:rsid w:val="57A23F4A"/>
    <w:rsid w:val="57B343A9"/>
    <w:rsid w:val="57C57C38"/>
    <w:rsid w:val="57CC7219"/>
    <w:rsid w:val="57D1482F"/>
    <w:rsid w:val="57ED10AC"/>
    <w:rsid w:val="583B6311"/>
    <w:rsid w:val="583C7C96"/>
    <w:rsid w:val="5875340D"/>
    <w:rsid w:val="588C69A8"/>
    <w:rsid w:val="58931AE5"/>
    <w:rsid w:val="58BA19B2"/>
    <w:rsid w:val="58CD149A"/>
    <w:rsid w:val="58F72073"/>
    <w:rsid w:val="58FC3B2E"/>
    <w:rsid w:val="590D1897"/>
    <w:rsid w:val="5919023C"/>
    <w:rsid w:val="59284923"/>
    <w:rsid w:val="593432C8"/>
    <w:rsid w:val="593B28A8"/>
    <w:rsid w:val="5943175D"/>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4412E8"/>
    <w:rsid w:val="5A584D94"/>
    <w:rsid w:val="5A602C61"/>
    <w:rsid w:val="5A7871E4"/>
    <w:rsid w:val="5AA601F5"/>
    <w:rsid w:val="5AB9459A"/>
    <w:rsid w:val="5AC05B82"/>
    <w:rsid w:val="5ACE32A8"/>
    <w:rsid w:val="5AD22074"/>
    <w:rsid w:val="5AE35967"/>
    <w:rsid w:val="5AEB20AC"/>
    <w:rsid w:val="5B1A029B"/>
    <w:rsid w:val="5B2829B8"/>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CDA23D8"/>
    <w:rsid w:val="5D153410"/>
    <w:rsid w:val="5D1F428F"/>
    <w:rsid w:val="5D235B2D"/>
    <w:rsid w:val="5D5201C0"/>
    <w:rsid w:val="5D7A14C5"/>
    <w:rsid w:val="5D885B92"/>
    <w:rsid w:val="5D8C2353"/>
    <w:rsid w:val="5D93100C"/>
    <w:rsid w:val="5DEB15DF"/>
    <w:rsid w:val="5E135D11"/>
    <w:rsid w:val="5E6F08FE"/>
    <w:rsid w:val="5E7D126D"/>
    <w:rsid w:val="5E7F3237"/>
    <w:rsid w:val="5E9B59CB"/>
    <w:rsid w:val="5EB10F16"/>
    <w:rsid w:val="5ECE6AE2"/>
    <w:rsid w:val="5EF57055"/>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F732A1"/>
    <w:rsid w:val="60114363"/>
    <w:rsid w:val="60257C1D"/>
    <w:rsid w:val="602B6AA7"/>
    <w:rsid w:val="60433DF0"/>
    <w:rsid w:val="604C539B"/>
    <w:rsid w:val="6065645C"/>
    <w:rsid w:val="60681AA9"/>
    <w:rsid w:val="608A5EC3"/>
    <w:rsid w:val="609F196E"/>
    <w:rsid w:val="60A26D69"/>
    <w:rsid w:val="60B62814"/>
    <w:rsid w:val="60DC59A2"/>
    <w:rsid w:val="60E23123"/>
    <w:rsid w:val="61045C75"/>
    <w:rsid w:val="610C4B2A"/>
    <w:rsid w:val="61306A6A"/>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212B0F"/>
    <w:rsid w:val="632A1297"/>
    <w:rsid w:val="63700E68"/>
    <w:rsid w:val="63732C3E"/>
    <w:rsid w:val="63BC2837"/>
    <w:rsid w:val="640B10C9"/>
    <w:rsid w:val="640D6BEF"/>
    <w:rsid w:val="64340620"/>
    <w:rsid w:val="64356146"/>
    <w:rsid w:val="643979E4"/>
    <w:rsid w:val="64686B51"/>
    <w:rsid w:val="646D1D84"/>
    <w:rsid w:val="647A41FA"/>
    <w:rsid w:val="64A62BA0"/>
    <w:rsid w:val="64C23E7D"/>
    <w:rsid w:val="65000502"/>
    <w:rsid w:val="65110961"/>
    <w:rsid w:val="651A39E8"/>
    <w:rsid w:val="654E5711"/>
    <w:rsid w:val="65554CF2"/>
    <w:rsid w:val="65907AD8"/>
    <w:rsid w:val="65984BDE"/>
    <w:rsid w:val="65B23EF2"/>
    <w:rsid w:val="6618187B"/>
    <w:rsid w:val="662D17CA"/>
    <w:rsid w:val="664B39FF"/>
    <w:rsid w:val="664F7923"/>
    <w:rsid w:val="6659611C"/>
    <w:rsid w:val="667747F4"/>
    <w:rsid w:val="667E2026"/>
    <w:rsid w:val="66C37A39"/>
    <w:rsid w:val="66CF2882"/>
    <w:rsid w:val="66E71979"/>
    <w:rsid w:val="66EA1469"/>
    <w:rsid w:val="670544F5"/>
    <w:rsid w:val="670C5884"/>
    <w:rsid w:val="673B7F17"/>
    <w:rsid w:val="673D3C8F"/>
    <w:rsid w:val="6759039D"/>
    <w:rsid w:val="67A818B0"/>
    <w:rsid w:val="67B850C4"/>
    <w:rsid w:val="67BF46A4"/>
    <w:rsid w:val="67E802BB"/>
    <w:rsid w:val="6804655B"/>
    <w:rsid w:val="6828049B"/>
    <w:rsid w:val="68525518"/>
    <w:rsid w:val="68733C9B"/>
    <w:rsid w:val="688A2F04"/>
    <w:rsid w:val="68907DEF"/>
    <w:rsid w:val="68BA5D49"/>
    <w:rsid w:val="68C32258"/>
    <w:rsid w:val="68C36416"/>
    <w:rsid w:val="690600B1"/>
    <w:rsid w:val="69112CDD"/>
    <w:rsid w:val="69194288"/>
    <w:rsid w:val="69221092"/>
    <w:rsid w:val="69280027"/>
    <w:rsid w:val="69354EFB"/>
    <w:rsid w:val="6937396B"/>
    <w:rsid w:val="696B4AA2"/>
    <w:rsid w:val="697119CE"/>
    <w:rsid w:val="697414BE"/>
    <w:rsid w:val="69BD0841"/>
    <w:rsid w:val="69C04704"/>
    <w:rsid w:val="69C75B99"/>
    <w:rsid w:val="69E9754E"/>
    <w:rsid w:val="69F50851"/>
    <w:rsid w:val="6A211646"/>
    <w:rsid w:val="6A3550F2"/>
    <w:rsid w:val="6A570BC4"/>
    <w:rsid w:val="6A627569"/>
    <w:rsid w:val="6A6D6639"/>
    <w:rsid w:val="6A841BD5"/>
    <w:rsid w:val="6A9C2A7B"/>
    <w:rsid w:val="6AB11AD1"/>
    <w:rsid w:val="6AB53B3C"/>
    <w:rsid w:val="6AF24D91"/>
    <w:rsid w:val="6B036F9E"/>
    <w:rsid w:val="6B1B6095"/>
    <w:rsid w:val="6B321631"/>
    <w:rsid w:val="6B562347"/>
    <w:rsid w:val="6B801FAA"/>
    <w:rsid w:val="6B821888"/>
    <w:rsid w:val="6B824366"/>
    <w:rsid w:val="6B9D1512"/>
    <w:rsid w:val="6BD149A6"/>
    <w:rsid w:val="6BD6020E"/>
    <w:rsid w:val="6C041279"/>
    <w:rsid w:val="6C270A6A"/>
    <w:rsid w:val="6C3F4006"/>
    <w:rsid w:val="6C4E249B"/>
    <w:rsid w:val="6C4E4249"/>
    <w:rsid w:val="6C7E41A5"/>
    <w:rsid w:val="6C841DBF"/>
    <w:rsid w:val="6C8C6B1F"/>
    <w:rsid w:val="6C8D3707"/>
    <w:rsid w:val="6CA83959"/>
    <w:rsid w:val="6CF748E0"/>
    <w:rsid w:val="6D0668D1"/>
    <w:rsid w:val="6D147240"/>
    <w:rsid w:val="6D2C27DC"/>
    <w:rsid w:val="6D2F7BD6"/>
    <w:rsid w:val="6D604233"/>
    <w:rsid w:val="6D785A21"/>
    <w:rsid w:val="6D7E0B5E"/>
    <w:rsid w:val="6D920165"/>
    <w:rsid w:val="6DAF51BB"/>
    <w:rsid w:val="6DD8026E"/>
    <w:rsid w:val="6DDB7D5E"/>
    <w:rsid w:val="6E005A16"/>
    <w:rsid w:val="6E1F649C"/>
    <w:rsid w:val="6E427DDD"/>
    <w:rsid w:val="6E4753F3"/>
    <w:rsid w:val="6E4C47B8"/>
    <w:rsid w:val="6E7066F8"/>
    <w:rsid w:val="6E8E4DD0"/>
    <w:rsid w:val="6EA6036C"/>
    <w:rsid w:val="6EA939B8"/>
    <w:rsid w:val="6EDC1FE0"/>
    <w:rsid w:val="6EF015E7"/>
    <w:rsid w:val="6F07701B"/>
    <w:rsid w:val="6F0B4673"/>
    <w:rsid w:val="6F0F4163"/>
    <w:rsid w:val="6F2A4AF9"/>
    <w:rsid w:val="6F4162E7"/>
    <w:rsid w:val="6F651FD5"/>
    <w:rsid w:val="6F795A80"/>
    <w:rsid w:val="6F863CF9"/>
    <w:rsid w:val="6F9208F0"/>
    <w:rsid w:val="6F944668"/>
    <w:rsid w:val="6FAA3E8C"/>
    <w:rsid w:val="6FB940CF"/>
    <w:rsid w:val="6FE54EC4"/>
    <w:rsid w:val="6FE729EA"/>
    <w:rsid w:val="6FEF0E67"/>
    <w:rsid w:val="7012394F"/>
    <w:rsid w:val="7020414E"/>
    <w:rsid w:val="70585696"/>
    <w:rsid w:val="70A332E1"/>
    <w:rsid w:val="70AB1C6A"/>
    <w:rsid w:val="70BB28C7"/>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1FE04BF"/>
    <w:rsid w:val="724F4877"/>
    <w:rsid w:val="72AA0ADE"/>
    <w:rsid w:val="72C9533D"/>
    <w:rsid w:val="72D54D7C"/>
    <w:rsid w:val="72D57472"/>
    <w:rsid w:val="72EF7CA5"/>
    <w:rsid w:val="72FD42D3"/>
    <w:rsid w:val="73261A7B"/>
    <w:rsid w:val="73267CCD"/>
    <w:rsid w:val="733107D8"/>
    <w:rsid w:val="737B21A7"/>
    <w:rsid w:val="737C169B"/>
    <w:rsid w:val="738D4B62"/>
    <w:rsid w:val="73C41CC8"/>
    <w:rsid w:val="73C84053"/>
    <w:rsid w:val="73E536E4"/>
    <w:rsid w:val="73F92CEC"/>
    <w:rsid w:val="73FE47A6"/>
    <w:rsid w:val="73FE6554"/>
    <w:rsid w:val="740B2A1F"/>
    <w:rsid w:val="743B3304"/>
    <w:rsid w:val="745D6531"/>
    <w:rsid w:val="74600FBD"/>
    <w:rsid w:val="74676DE0"/>
    <w:rsid w:val="74812BCF"/>
    <w:rsid w:val="749D3FBF"/>
    <w:rsid w:val="749E5660"/>
    <w:rsid w:val="74AE3AD6"/>
    <w:rsid w:val="74DD362F"/>
    <w:rsid w:val="750E6C6B"/>
    <w:rsid w:val="751E11CC"/>
    <w:rsid w:val="753B10E2"/>
    <w:rsid w:val="75952EE8"/>
    <w:rsid w:val="75CA033B"/>
    <w:rsid w:val="75D91027"/>
    <w:rsid w:val="75E83018"/>
    <w:rsid w:val="75E85738"/>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06971"/>
    <w:rsid w:val="777C4360"/>
    <w:rsid w:val="777E63ED"/>
    <w:rsid w:val="77882D05"/>
    <w:rsid w:val="77950F7E"/>
    <w:rsid w:val="77955421"/>
    <w:rsid w:val="77BC29AE"/>
    <w:rsid w:val="77C43611"/>
    <w:rsid w:val="77D203C7"/>
    <w:rsid w:val="77D45F4A"/>
    <w:rsid w:val="77E37F3B"/>
    <w:rsid w:val="77FA7033"/>
    <w:rsid w:val="780F19B8"/>
    <w:rsid w:val="7819395D"/>
    <w:rsid w:val="782E6CB4"/>
    <w:rsid w:val="7840538D"/>
    <w:rsid w:val="785C1A9B"/>
    <w:rsid w:val="786D1EFA"/>
    <w:rsid w:val="78746DE5"/>
    <w:rsid w:val="78760DAF"/>
    <w:rsid w:val="788A2AAC"/>
    <w:rsid w:val="789A3CEC"/>
    <w:rsid w:val="78A376CA"/>
    <w:rsid w:val="78EA5EF2"/>
    <w:rsid w:val="78EF0B61"/>
    <w:rsid w:val="791A5BDE"/>
    <w:rsid w:val="791B3704"/>
    <w:rsid w:val="7924080B"/>
    <w:rsid w:val="7956298E"/>
    <w:rsid w:val="795A422D"/>
    <w:rsid w:val="795F5CE7"/>
    <w:rsid w:val="797B5EDA"/>
    <w:rsid w:val="79823784"/>
    <w:rsid w:val="799314ED"/>
    <w:rsid w:val="79A100AE"/>
    <w:rsid w:val="79BA191D"/>
    <w:rsid w:val="79C1605A"/>
    <w:rsid w:val="79D12015"/>
    <w:rsid w:val="79E306C6"/>
    <w:rsid w:val="79ED6E4F"/>
    <w:rsid w:val="79F3642F"/>
    <w:rsid w:val="79F857F4"/>
    <w:rsid w:val="7A275176"/>
    <w:rsid w:val="7A320D06"/>
    <w:rsid w:val="7A3D6F22"/>
    <w:rsid w:val="7A520562"/>
    <w:rsid w:val="7A5C3FD5"/>
    <w:rsid w:val="7ACF29F8"/>
    <w:rsid w:val="7AD149C3"/>
    <w:rsid w:val="7AE2097E"/>
    <w:rsid w:val="7B0A68E9"/>
    <w:rsid w:val="7B0D52CF"/>
    <w:rsid w:val="7B227779"/>
    <w:rsid w:val="7B354F51"/>
    <w:rsid w:val="7B3B1E3C"/>
    <w:rsid w:val="7B811F45"/>
    <w:rsid w:val="7B887F83"/>
    <w:rsid w:val="7BAB5214"/>
    <w:rsid w:val="7BC71922"/>
    <w:rsid w:val="7BD057ED"/>
    <w:rsid w:val="7BDA6D21"/>
    <w:rsid w:val="7BDA78A7"/>
    <w:rsid w:val="7C0C5586"/>
    <w:rsid w:val="7C10151B"/>
    <w:rsid w:val="7C240B22"/>
    <w:rsid w:val="7C392A74"/>
    <w:rsid w:val="7C694787"/>
    <w:rsid w:val="7C8F0691"/>
    <w:rsid w:val="7CAB4D9F"/>
    <w:rsid w:val="7CBE4AD3"/>
    <w:rsid w:val="7CBF5669"/>
    <w:rsid w:val="7CC55E61"/>
    <w:rsid w:val="7CD460A4"/>
    <w:rsid w:val="7CFE5817"/>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7A2C7B"/>
    <w:rsid w:val="7E801D18"/>
    <w:rsid w:val="7E90249F"/>
    <w:rsid w:val="7EAD4DFF"/>
    <w:rsid w:val="7EBC14E6"/>
    <w:rsid w:val="7EED306E"/>
    <w:rsid w:val="7F032C71"/>
    <w:rsid w:val="7F08472B"/>
    <w:rsid w:val="7F0D7F93"/>
    <w:rsid w:val="7F21759B"/>
    <w:rsid w:val="7F2826CD"/>
    <w:rsid w:val="7F3C6183"/>
    <w:rsid w:val="7F511C2E"/>
    <w:rsid w:val="7F7122D0"/>
    <w:rsid w:val="7F8567C3"/>
    <w:rsid w:val="7F86582B"/>
    <w:rsid w:val="7F930498"/>
    <w:rsid w:val="7FA77AA0"/>
    <w:rsid w:val="7FC00B62"/>
    <w:rsid w:val="7FE72592"/>
    <w:rsid w:val="7FF16F6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8"/>
    <w:qFormat/>
    <w:uiPriority w:val="9"/>
    <w:pPr>
      <w:keepNext/>
      <w:keepLines/>
      <w:spacing w:line="360" w:lineRule="auto"/>
      <w:jc w:val="center"/>
      <w:outlineLvl w:val="0"/>
    </w:pPr>
    <w:rPr>
      <w:rFonts w:ascii="宋体" w:hAnsi="宋体" w:eastAsia="黑体"/>
      <w:b/>
      <w:bCs/>
      <w:kern w:val="44"/>
      <w:sz w:val="44"/>
      <w:szCs w:val="44"/>
    </w:rPr>
  </w:style>
  <w:style w:type="paragraph" w:styleId="4">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宋小四正文"/>
    <w:basedOn w:val="1"/>
    <w:qFormat/>
    <w:uiPriority w:val="0"/>
    <w:pPr>
      <w:spacing w:line="360" w:lineRule="auto"/>
      <w:ind w:firstLine="1446" w:firstLineChars="200"/>
    </w:pPr>
    <w:rPr>
      <w:rFonts w:ascii="Calibri" w:hAnsi="Calibri"/>
      <w:snapToGrid w:val="0"/>
      <w:lang w:eastAsia="en-US"/>
    </w:rPr>
  </w:style>
  <w:style w:type="paragraph" w:styleId="7">
    <w:name w:val="toc 7"/>
    <w:basedOn w:val="1"/>
    <w:next w:val="1"/>
    <w:autoRedefine/>
    <w:unhideWhenUsed/>
    <w:qFormat/>
    <w:uiPriority w:val="39"/>
    <w:pPr>
      <w:ind w:left="1440"/>
    </w:pPr>
    <w:rPr>
      <w:rFonts w:asciiTheme="minorHAnsi" w:eastAsiaTheme="minorHAnsi"/>
      <w:sz w:val="18"/>
      <w:szCs w:val="18"/>
    </w:rPr>
  </w:style>
  <w:style w:type="paragraph" w:styleId="8">
    <w:name w:val="Normal Indent"/>
    <w:basedOn w:val="1"/>
    <w:next w:val="1"/>
    <w:unhideWhenUsed/>
    <w:qFormat/>
    <w:uiPriority w:val="0"/>
    <w:pPr>
      <w:ind w:firstLine="420" w:firstLineChars="200"/>
    </w:pPr>
    <w:rPr>
      <w:rFonts w:ascii="Calibri" w:hAnsi="Calibri"/>
      <w:szCs w:val="22"/>
    </w:rPr>
  </w:style>
  <w:style w:type="paragraph" w:styleId="9">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7"/>
    <w:qFormat/>
    <w:uiPriority w:val="0"/>
    <w:pPr>
      <w:spacing w:line="240" w:lineRule="auto"/>
    </w:pPr>
    <w:rPr>
      <w:rFonts w:asciiTheme="minorHAnsi" w:hAnsiTheme="minorHAnsi" w:eastAsiaTheme="minorEastAsia"/>
      <w:sz w:val="21"/>
      <w:szCs w:val="24"/>
    </w:rPr>
  </w:style>
  <w:style w:type="paragraph" w:styleId="11">
    <w:name w:val="Body Text 3"/>
    <w:basedOn w:val="1"/>
    <w:link w:val="43"/>
    <w:semiHidden/>
    <w:unhideWhenUsed/>
    <w:qFormat/>
    <w:uiPriority w:val="99"/>
    <w:pPr>
      <w:spacing w:after="120"/>
    </w:pPr>
    <w:rPr>
      <w:sz w:val="16"/>
      <w:szCs w:val="16"/>
    </w:rPr>
  </w:style>
  <w:style w:type="paragraph" w:styleId="12">
    <w:name w:val="Body Text"/>
    <w:basedOn w:val="1"/>
    <w:link w:val="42"/>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next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7"/>
    <w:unhideWhenUsed/>
    <w:qFormat/>
    <w:uiPriority w:val="99"/>
    <w:pPr>
      <w:tabs>
        <w:tab w:val="center" w:pos="4153"/>
        <w:tab w:val="right" w:pos="8306"/>
      </w:tabs>
      <w:snapToGrid w:val="0"/>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Body Text 2"/>
    <w:basedOn w:val="1"/>
    <w:next w:val="12"/>
    <w:qFormat/>
    <w:uiPriority w:val="0"/>
    <w:pPr>
      <w:spacing w:line="480" w:lineRule="auto"/>
    </w:pPr>
    <w:rPr>
      <w:rFonts w:ascii="Calibri" w:hAnsi="Calibri"/>
      <w:sz w:val="21"/>
    </w:rPr>
  </w:style>
  <w:style w:type="paragraph" w:styleId="27">
    <w:name w:val="Normal (Web)"/>
    <w:basedOn w:val="1"/>
    <w:qFormat/>
    <w:uiPriority w:val="0"/>
    <w:pPr>
      <w:widowControl/>
      <w:spacing w:before="100" w:beforeAutospacing="1" w:after="100" w:afterAutospacing="1" w:line="240" w:lineRule="auto"/>
    </w:pPr>
    <w:rPr>
      <w:rFonts w:cs="宋体"/>
      <w:kern w:val="0"/>
      <w:szCs w:val="20"/>
    </w:rPr>
  </w:style>
  <w:style w:type="paragraph" w:styleId="28">
    <w:name w:val="annotation subject"/>
    <w:basedOn w:val="10"/>
    <w:next w:val="10"/>
    <w:link w:val="52"/>
    <w:semiHidden/>
    <w:unhideWhenUsed/>
    <w:qFormat/>
    <w:uiPriority w:val="99"/>
    <w:pPr>
      <w:spacing w:line="360" w:lineRule="auto"/>
    </w:pPr>
    <w:rPr>
      <w:rFonts w:ascii="宋体" w:hAnsi="宋体" w:eastAsia="宋体"/>
      <w:b/>
      <w:bCs/>
      <w:sz w:val="24"/>
      <w:szCs w:val="2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0"/>
    <w:rPr>
      <w:b/>
      <w:bCs/>
    </w:rPr>
  </w:style>
  <w:style w:type="character" w:styleId="33">
    <w:name w:val="Hyperlink"/>
    <w:basedOn w:val="31"/>
    <w:unhideWhenUsed/>
    <w:qFormat/>
    <w:uiPriority w:val="99"/>
    <w:rPr>
      <w:color w:val="0563C1" w:themeColor="hyperlink"/>
      <w:u w:val="single"/>
      <w14:textFill>
        <w14:solidFill>
          <w14:schemeClr w14:val="hlink"/>
        </w14:solidFill>
      </w14:textFill>
    </w:rPr>
  </w:style>
  <w:style w:type="character" w:styleId="34">
    <w:name w:val="annotation reference"/>
    <w:basedOn w:val="31"/>
    <w:semiHidden/>
    <w:unhideWhenUsed/>
    <w:qFormat/>
    <w:uiPriority w:val="99"/>
    <w:rPr>
      <w:sz w:val="21"/>
      <w:szCs w:val="21"/>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1"/>
    <w:link w:val="19"/>
    <w:qFormat/>
    <w:uiPriority w:val="99"/>
    <w:rPr>
      <w:rFonts w:eastAsia="宋体"/>
      <w:sz w:val="18"/>
      <w:szCs w:val="18"/>
    </w:rPr>
  </w:style>
  <w:style w:type="character" w:customStyle="1" w:styleId="37">
    <w:name w:val="页脚 字符"/>
    <w:basedOn w:val="31"/>
    <w:link w:val="18"/>
    <w:qFormat/>
    <w:uiPriority w:val="99"/>
    <w:rPr>
      <w:rFonts w:eastAsia="宋体"/>
      <w:sz w:val="18"/>
      <w:szCs w:val="18"/>
    </w:rPr>
  </w:style>
  <w:style w:type="character" w:customStyle="1" w:styleId="38">
    <w:name w:val="标题 1 字符"/>
    <w:basedOn w:val="31"/>
    <w:link w:val="3"/>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1"/>
    <w:link w:val="4"/>
    <w:qFormat/>
    <w:uiPriority w:val="9"/>
    <w:rPr>
      <w:rFonts w:eastAsia="宋体" w:asciiTheme="majorHAnsi" w:hAnsiTheme="majorHAnsi" w:cstheme="majorBidi"/>
      <w:b/>
      <w:bCs/>
      <w:sz w:val="32"/>
      <w:szCs w:val="32"/>
    </w:rPr>
  </w:style>
  <w:style w:type="character" w:customStyle="1" w:styleId="41">
    <w:name w:val="未处理的提及1"/>
    <w:basedOn w:val="31"/>
    <w:semiHidden/>
    <w:unhideWhenUsed/>
    <w:qFormat/>
    <w:uiPriority w:val="99"/>
    <w:rPr>
      <w:color w:val="605E5C"/>
      <w:shd w:val="clear" w:color="auto" w:fill="E1DFDD"/>
    </w:rPr>
  </w:style>
  <w:style w:type="character" w:customStyle="1" w:styleId="42">
    <w:name w:val="正文文本 字符"/>
    <w:basedOn w:val="31"/>
    <w:link w:val="12"/>
    <w:qFormat/>
    <w:uiPriority w:val="99"/>
    <w:rPr>
      <w:rFonts w:ascii="Times New Roman" w:hAnsi="Times New Roman" w:eastAsia="宋体" w:cs="Times New Roman"/>
      <w:kern w:val="0"/>
      <w:sz w:val="20"/>
      <w:szCs w:val="20"/>
    </w:rPr>
  </w:style>
  <w:style w:type="character" w:customStyle="1" w:styleId="43">
    <w:name w:val="正文文本 3 字符"/>
    <w:basedOn w:val="31"/>
    <w:link w:val="11"/>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1"/>
    <w:link w:val="10"/>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1"/>
    <w:link w:val="5"/>
    <w:autoRedefine/>
    <w:qFormat/>
    <w:uiPriority w:val="9"/>
    <w:rPr>
      <w:rFonts w:ascii="宋体" w:hAnsi="宋体" w:eastAsia="宋体"/>
      <w:b/>
      <w:bCs/>
      <w:sz w:val="32"/>
      <w:szCs w:val="32"/>
    </w:rPr>
  </w:style>
  <w:style w:type="character" w:customStyle="1" w:styleId="50">
    <w:name w:val="标题 4 字符"/>
    <w:basedOn w:val="31"/>
    <w:link w:val="6"/>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8"/>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table" w:customStyle="1" w:styleId="64">
    <w:name w:val="Table Normal"/>
    <w:semiHidden/>
    <w:unhideWhenUsed/>
    <w:qFormat/>
    <w:uiPriority w:val="0"/>
    <w:tblPr>
      <w:tblCellMar>
        <w:top w:w="0" w:type="dxa"/>
        <w:left w:w="0" w:type="dxa"/>
        <w:bottom w:w="0" w:type="dxa"/>
        <w:right w:w="0" w:type="dxa"/>
      </w:tblCellMar>
    </w:tblPr>
  </w:style>
  <w:style w:type="paragraph" w:customStyle="1" w:styleId="65">
    <w:name w:val="Table Text"/>
    <w:basedOn w:val="1"/>
    <w:semiHidden/>
    <w:qFormat/>
    <w:uiPriority w:val="0"/>
    <w:rPr>
      <w:rFonts w:ascii="宋体" w:hAnsi="宋体" w:eastAsia="宋体" w:cs="宋体"/>
      <w:sz w:val="24"/>
      <w:szCs w:val="24"/>
      <w:lang w:val="en-US" w:eastAsia="en-US" w:bidi="ar-SA"/>
    </w:rPr>
  </w:style>
  <w:style w:type="paragraph" w:customStyle="1" w:styleId="66">
    <w:name w:val="表格"/>
    <w:basedOn w:val="1"/>
    <w:qFormat/>
    <w:uiPriority w:val="0"/>
    <w:pPr>
      <w:widowControl/>
      <w:ind w:firstLine="0" w:firstLineChars="0"/>
      <w:jc w:val="center"/>
    </w:pPr>
    <w:rPr>
      <w:rFonts w:cs="Times New Roman"/>
      <w:color w:val="auto"/>
      <w:kern w:val="2"/>
      <w:lang w:val="en-US" w:bidi="ar-SA"/>
    </w:rPr>
  </w:style>
  <w:style w:type="paragraph" w:customStyle="1" w:styleId="67">
    <w:name w:val="BodyText1I2"/>
    <w:basedOn w:val="68"/>
    <w:next w:val="68"/>
    <w:qFormat/>
    <w:uiPriority w:val="0"/>
    <w:pPr>
      <w:ind w:firstLine="420" w:firstLineChars="200"/>
    </w:pPr>
    <w:rPr>
      <w:szCs w:val="24"/>
    </w:rPr>
  </w:style>
  <w:style w:type="paragraph" w:customStyle="1" w:styleId="68">
    <w:name w:val="BodyTextIndent"/>
    <w:basedOn w:val="1"/>
    <w:qFormat/>
    <w:uiPriority w:val="0"/>
    <w:pPr>
      <w:spacing w:after="120"/>
      <w:ind w:left="420" w:leftChars="200"/>
    </w:pPr>
    <w:rPr>
      <w:szCs w:val="22"/>
    </w:rPr>
  </w:style>
  <w:style w:type="paragraph" w:customStyle="1" w:styleId="69">
    <w:name w:val="正文标题"/>
    <w:basedOn w:val="1"/>
    <w:qFormat/>
    <w:uiPriority w:val="0"/>
    <w:pPr>
      <w:widowControl/>
      <w:ind w:firstLine="0" w:firstLineChars="0"/>
      <w:jc w:val="center"/>
    </w:pPr>
    <w:rPr>
      <w:rFonts w:ascii="华文中宋" w:hAnsi="华文中宋" w:eastAsia="宋体" w:cs="Times New Roman"/>
      <w:b/>
      <w:color w:val="auto"/>
      <w:kern w:val="2"/>
      <w:sz w:val="32"/>
      <w:szCs w:val="44"/>
      <w:lang w:val="en-US" w:bidi="ar-SA"/>
    </w:rPr>
  </w:style>
  <w:style w:type="paragraph" w:customStyle="1" w:styleId="70">
    <w:name w:val="Default Text"/>
    <w:basedOn w:val="71"/>
    <w:qFormat/>
    <w:uiPriority w:val="99"/>
    <w:pPr>
      <w:widowControl w:val="0"/>
      <w:autoSpaceDE w:val="0"/>
      <w:autoSpaceDN w:val="0"/>
      <w:adjustRightInd w:val="0"/>
    </w:pPr>
    <w:rPr>
      <w:rFonts w:ascii="Times New Roman" w:hAnsi="Times New Roman" w:eastAsia="宋体" w:cs="Times New Roman"/>
      <w:color w:val="000000"/>
      <w:kern w:val="0"/>
      <w:sz w:val="24"/>
      <w:szCs w:val="20"/>
      <w:lang w:val="en-US" w:eastAsia="zh-CN" w:bidi="ar-SA"/>
    </w:rPr>
  </w:style>
  <w:style w:type="paragraph" w:customStyle="1" w:styleId="71">
    <w:name w:val="正文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样式 标题 2 + Times New Roman 四号 非加粗 段前: 5 磅 段后: 0 磅 行距: 固定值 20..."/>
    <w:basedOn w:val="4"/>
    <w:qFormat/>
    <w:uiPriority w:val="0"/>
    <w:pPr>
      <w:keepNext/>
      <w:keepLines/>
      <w:widowControl w:val="0"/>
      <w:tabs>
        <w:tab w:val="left" w:pos="576"/>
        <w:tab w:val="left" w:pos="1296"/>
      </w:tabs>
      <w:spacing w:beforeAutospacing="0" w:after="0" w:afterAutospacing="0" w:line="400" w:lineRule="exact"/>
      <w:jc w:val="center"/>
    </w:pPr>
    <w:rPr>
      <w:rFonts w:ascii="Times New Roman" w:hAnsi="Times New Roman"/>
      <w:b w:val="0"/>
      <w:kern w:val="2"/>
      <w:sz w:val="28"/>
      <w:szCs w:val="20"/>
    </w:rPr>
  </w:style>
  <w:style w:type="paragraph" w:customStyle="1" w:styleId="73">
    <w:name w:val="Blockquote"/>
    <w:basedOn w:val="1"/>
    <w:qFormat/>
    <w:uiPriority w:val="0"/>
    <w:pPr>
      <w:widowControl w:val="0"/>
      <w:autoSpaceDE w:val="0"/>
      <w:autoSpaceDN w:val="0"/>
      <w:adjustRightInd w:val="0"/>
      <w:spacing w:before="100" w:after="100"/>
      <w:ind w:left="360" w:right="360"/>
    </w:pPr>
    <w:rPr>
      <w:rFonts w:ascii="Times New Roman" w:hAnsi="Times New Roman" w:cs="Times New Roman"/>
      <w:szCs w:val="20"/>
    </w:rPr>
  </w:style>
  <w:style w:type="paragraph" w:customStyle="1" w:styleId="74">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5.wmf"/><Relationship Id="rId23" Type="http://schemas.openxmlformats.org/officeDocument/2006/relationships/oleObject" Target="embeddings/oleObject5.bin"/><Relationship Id="rId22" Type="http://schemas.openxmlformats.org/officeDocument/2006/relationships/image" Target="media/image4.wmf"/><Relationship Id="rId21" Type="http://schemas.openxmlformats.org/officeDocument/2006/relationships/oleObject" Target="embeddings/oleObject4.bin"/><Relationship Id="rId20" Type="http://schemas.openxmlformats.org/officeDocument/2006/relationships/image" Target="media/image3.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2.wmf"/><Relationship Id="rId17" Type="http://schemas.openxmlformats.org/officeDocument/2006/relationships/oleObject" Target="embeddings/oleObject2.bin"/><Relationship Id="rId16" Type="http://schemas.openxmlformats.org/officeDocument/2006/relationships/image" Target="media/image1.w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176</Pages>
  <Words>5174</Words>
  <Characters>5828</Characters>
  <Lines>294</Lines>
  <Paragraphs>82</Paragraphs>
  <TotalTime>4</TotalTime>
  <ScaleCrop>false</ScaleCrop>
  <LinksUpToDate>false</LinksUpToDate>
  <CharactersWithSpaces>6138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Dimples</cp:lastModifiedBy>
  <cp:lastPrinted>2024-12-28T09:36:00Z</cp:lastPrinted>
  <dcterms:modified xsi:type="dcterms:W3CDTF">2026-05-25T11:47:30Z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25D7F69C96764A5A8647F49EEBABB87E_13</vt:lpwstr>
  </property>
  <property fmtid="{D5CDD505-2E9C-101B-9397-08002B2CF9AE}" pid="4" name="KSOTemplateDocerSaveRecord">
    <vt:lpwstr>eyJoZGlkIjoiNGQ4ZDQ2ZmNlNzYyODBmMmRjMDlhZTFjMDYyMGJmMzgiLCJ1c2VySWQiOiIxMTIxOTUyNjM1In0=</vt:lpwstr>
  </property>
</Properties>
</file>