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69A2E9">
      <w:pPr>
        <w:spacing w:after="156" w:afterLines="50"/>
        <w:ind w:left="-850" w:leftChars="-405" w:right="-625"/>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 xml:space="preserve"> </w:t>
      </w:r>
    </w:p>
    <w:p w14:paraId="20CD7448">
      <w:pPr>
        <w:ind w:left="0" w:leftChars="0" w:right="0"/>
        <w:jc w:val="center"/>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2026年阿图什市机关事业单位基本养老保险保值增值定期存款项目</w:t>
      </w:r>
    </w:p>
    <w:p w14:paraId="2B7CD58B">
      <w:pPr>
        <w:ind w:left="0" w:leftChars="0" w:right="0"/>
        <w:jc w:val="center"/>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（第二期）（二次）</w:t>
      </w:r>
    </w:p>
    <w:p w14:paraId="4C57483B">
      <w:pPr>
        <w:pStyle w:val="40"/>
        <w:rPr>
          <w:rFonts w:hint="eastAsia" w:ascii="仿宋" w:hAnsi="仿宋" w:eastAsia="仿宋" w:cs="仿宋"/>
          <w:sz w:val="32"/>
          <w:szCs w:val="32"/>
        </w:rPr>
      </w:pPr>
    </w:p>
    <w:p w14:paraId="1864E12F">
      <w:pPr>
        <w:spacing w:after="156" w:afterLines="50"/>
        <w:ind w:left="-850" w:leftChars="-405" w:right="-625" w:firstLine="4480" w:firstLineChars="1400"/>
        <w:rPr>
          <w:rFonts w:hint="default" w:ascii="仿宋" w:hAnsi="仿宋" w:eastAsia="仿宋" w:cs="仿宋"/>
          <w:b/>
          <w:bCs w:val="0"/>
          <w:sz w:val="32"/>
          <w:szCs w:val="32"/>
          <w:highlight w:val="none"/>
          <w:lang w:val="en-US"/>
        </w:rPr>
      </w:pPr>
      <w:r>
        <w:rPr>
          <w:rFonts w:hint="eastAsia" w:ascii="仿宋" w:hAnsi="仿宋" w:eastAsia="仿宋" w:cs="仿宋"/>
          <w:b/>
          <w:bCs w:val="0"/>
          <w:sz w:val="32"/>
          <w:szCs w:val="32"/>
          <w:highlight w:val="none"/>
        </w:rPr>
        <w:t>项目编号：</w:t>
      </w:r>
      <w:r>
        <w:rPr>
          <w:rFonts w:hint="eastAsia" w:ascii="仿宋" w:hAnsi="仿宋" w:eastAsia="仿宋" w:cs="仿宋"/>
          <w:b/>
          <w:bCs w:val="0"/>
          <w:sz w:val="32"/>
          <w:szCs w:val="32"/>
          <w:highlight w:val="none"/>
          <w:lang w:val="en-US" w:eastAsia="zh-CN"/>
        </w:rPr>
        <w:t>ATSJYZX-CG-2026037</w:t>
      </w:r>
    </w:p>
    <w:p w14:paraId="0BABD76D">
      <w:pPr>
        <w:jc w:val="center"/>
        <w:rPr>
          <w:rFonts w:hint="eastAsia" w:ascii="仿宋" w:hAnsi="仿宋" w:eastAsia="仿宋" w:cs="仿宋"/>
          <w:b/>
          <w:sz w:val="24"/>
          <w:szCs w:val="24"/>
          <w:highlight w:val="none"/>
          <w:lang w:val="en-US" w:eastAsia="zh-CN"/>
        </w:rPr>
      </w:pPr>
    </w:p>
    <w:p w14:paraId="6522497B">
      <w:pPr>
        <w:jc w:val="center"/>
        <w:rPr>
          <w:rFonts w:hint="eastAsia" w:ascii="仿宋" w:hAnsi="仿宋" w:eastAsia="仿宋" w:cs="仿宋"/>
          <w:b/>
          <w:sz w:val="24"/>
          <w:szCs w:val="24"/>
          <w:highlight w:val="none"/>
          <w:lang w:val="en-US" w:eastAsia="zh-CN"/>
        </w:rPr>
      </w:pPr>
    </w:p>
    <w:p w14:paraId="54447EC2">
      <w:pPr>
        <w:jc w:val="center"/>
        <w:rPr>
          <w:rFonts w:hint="eastAsia" w:ascii="仿宋" w:hAnsi="仿宋" w:eastAsia="仿宋" w:cs="仿宋"/>
          <w:b/>
          <w:sz w:val="24"/>
          <w:szCs w:val="24"/>
          <w:highlight w:val="none"/>
          <w:lang w:val="en-US" w:eastAsia="zh-CN"/>
        </w:rPr>
      </w:pPr>
    </w:p>
    <w:p w14:paraId="2790C75D">
      <w:pPr>
        <w:jc w:val="center"/>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竞</w:t>
      </w:r>
    </w:p>
    <w:p w14:paraId="6BEAFC18">
      <w:pPr>
        <w:jc w:val="center"/>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争</w:t>
      </w:r>
    </w:p>
    <w:p w14:paraId="005F237A">
      <w:pPr>
        <w:jc w:val="center"/>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性</w:t>
      </w:r>
    </w:p>
    <w:p w14:paraId="4DA8DFAB">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磋</w:t>
      </w:r>
    </w:p>
    <w:p w14:paraId="69731076">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商</w:t>
      </w:r>
    </w:p>
    <w:p w14:paraId="6EEF6A8E">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文</w:t>
      </w:r>
    </w:p>
    <w:p w14:paraId="65A44502">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件</w:t>
      </w:r>
    </w:p>
    <w:p w14:paraId="40AB2EA0">
      <w:pPr>
        <w:rPr>
          <w:rFonts w:hint="eastAsia" w:ascii="仿宋" w:hAnsi="仿宋" w:eastAsia="仿宋" w:cs="仿宋"/>
          <w:sz w:val="24"/>
          <w:szCs w:val="24"/>
          <w:highlight w:val="none"/>
        </w:rPr>
      </w:pPr>
    </w:p>
    <w:p w14:paraId="28890605">
      <w:pPr>
        <w:keepNext w:val="0"/>
        <w:keepLines w:val="0"/>
        <w:pageBreakBefore w:val="0"/>
        <w:widowControl/>
        <w:kinsoku/>
        <w:wordWrap/>
        <w:overflowPunct/>
        <w:topLinePunct w:val="0"/>
        <w:autoSpaceDE w:val="0"/>
        <w:autoSpaceDN w:val="0"/>
        <w:bidi w:val="0"/>
        <w:adjustRightInd/>
        <w:snapToGrid/>
        <w:spacing w:line="740" w:lineRule="exact"/>
        <w:ind w:right="-26" w:firstLine="548" w:firstLineChars="196"/>
        <w:textAlignment w:val="bottom"/>
        <w:outlineLvl w:val="9"/>
        <w:rPr>
          <w:rFonts w:hint="eastAsia" w:ascii="仿宋" w:hAnsi="仿宋" w:eastAsia="仿宋" w:cs="仿宋"/>
          <w:b/>
          <w:color w:val="auto"/>
          <w:sz w:val="28"/>
          <w:szCs w:val="28"/>
          <w:highlight w:val="none"/>
          <w:lang w:eastAsia="zh-CN"/>
        </w:rPr>
      </w:pPr>
      <w:bookmarkStart w:id="0" w:name="_Toc8779"/>
    </w:p>
    <w:p w14:paraId="435901FB">
      <w:pPr>
        <w:keepNext w:val="0"/>
        <w:keepLines w:val="0"/>
        <w:pageBreakBefore w:val="0"/>
        <w:widowControl/>
        <w:kinsoku/>
        <w:wordWrap/>
        <w:overflowPunct/>
        <w:topLinePunct w:val="0"/>
        <w:autoSpaceDE w:val="0"/>
        <w:autoSpaceDN w:val="0"/>
        <w:bidi w:val="0"/>
        <w:adjustRightInd/>
        <w:snapToGrid/>
        <w:spacing w:line="740" w:lineRule="exact"/>
        <w:ind w:right="-26" w:firstLine="548" w:firstLineChars="196"/>
        <w:textAlignment w:val="bottom"/>
        <w:outlineLvl w:val="9"/>
        <w:rPr>
          <w:rFonts w:hint="eastAsia" w:ascii="仿宋" w:hAnsi="仿宋" w:eastAsia="仿宋" w:cs="仿宋"/>
          <w:b/>
          <w:color w:val="auto"/>
          <w:sz w:val="28"/>
          <w:szCs w:val="28"/>
          <w:highlight w:val="none"/>
          <w:lang w:eastAsia="zh-CN"/>
        </w:rPr>
      </w:pPr>
    </w:p>
    <w:p w14:paraId="3BEABBB9">
      <w:pPr>
        <w:keepNext w:val="0"/>
        <w:keepLines w:val="0"/>
        <w:pageBreakBefore w:val="0"/>
        <w:widowControl/>
        <w:kinsoku/>
        <w:wordWrap/>
        <w:overflowPunct/>
        <w:topLinePunct w:val="0"/>
        <w:autoSpaceDE w:val="0"/>
        <w:autoSpaceDN w:val="0"/>
        <w:bidi w:val="0"/>
        <w:adjustRightInd/>
        <w:snapToGrid/>
        <w:spacing w:line="740" w:lineRule="exact"/>
        <w:ind w:right="-26" w:firstLine="548" w:firstLineChars="196"/>
        <w:textAlignment w:val="bottom"/>
        <w:outlineLvl w:val="9"/>
        <w:rPr>
          <w:rFonts w:hint="eastAsia" w:ascii="仿宋" w:hAnsi="仿宋" w:eastAsia="仿宋" w:cs="仿宋"/>
          <w:b/>
          <w:color w:val="auto"/>
          <w:sz w:val="28"/>
          <w:szCs w:val="28"/>
          <w:highlight w:val="none"/>
          <w:u w:val="none"/>
          <w:lang w:val="en-US" w:eastAsia="zh-CN"/>
        </w:rPr>
      </w:pPr>
      <w:r>
        <w:rPr>
          <w:rFonts w:hint="eastAsia" w:ascii="仿宋" w:hAnsi="仿宋" w:eastAsia="仿宋" w:cs="仿宋"/>
          <w:b/>
          <w:color w:val="auto"/>
          <w:sz w:val="28"/>
          <w:szCs w:val="28"/>
          <w:highlight w:val="none"/>
          <w:lang w:eastAsia="zh-CN"/>
        </w:rPr>
        <w:t>采购单位</w:t>
      </w:r>
      <w:r>
        <w:rPr>
          <w:rFonts w:hint="eastAsia" w:ascii="仿宋" w:hAnsi="仿宋" w:eastAsia="仿宋" w:cs="仿宋"/>
          <w:b/>
          <w:color w:val="auto"/>
          <w:sz w:val="28"/>
          <w:szCs w:val="28"/>
          <w:highlight w:val="none"/>
        </w:rPr>
        <w:t>：</w:t>
      </w:r>
      <w:bookmarkEnd w:id="0"/>
      <w:r>
        <w:rPr>
          <w:rFonts w:hint="eastAsia" w:ascii="仿宋" w:hAnsi="仿宋" w:eastAsia="仿宋" w:cs="仿宋"/>
          <w:b/>
          <w:color w:val="auto"/>
          <w:sz w:val="28"/>
          <w:szCs w:val="28"/>
          <w:highlight w:val="none"/>
          <w:u w:val="none"/>
          <w:lang w:eastAsia="zh-CN"/>
        </w:rPr>
        <w:t>阿图什市财政局</w:t>
      </w:r>
    </w:p>
    <w:p w14:paraId="4402FBF8">
      <w:pPr>
        <w:keepNext w:val="0"/>
        <w:keepLines w:val="0"/>
        <w:pageBreakBefore w:val="0"/>
        <w:widowControl/>
        <w:kinsoku/>
        <w:wordWrap/>
        <w:overflowPunct/>
        <w:topLinePunct w:val="0"/>
        <w:autoSpaceDE w:val="0"/>
        <w:autoSpaceDN w:val="0"/>
        <w:bidi w:val="0"/>
        <w:adjustRightInd/>
        <w:snapToGrid/>
        <w:spacing w:line="740" w:lineRule="exact"/>
        <w:ind w:right="-26" w:firstLine="560" w:firstLineChars="200"/>
        <w:textAlignment w:val="bottom"/>
        <w:rPr>
          <w:rFonts w:hint="eastAsia" w:ascii="仿宋" w:hAnsi="仿宋" w:eastAsia="仿宋" w:cs="仿宋"/>
          <w:b/>
          <w:color w:val="auto"/>
          <w:sz w:val="28"/>
          <w:szCs w:val="28"/>
          <w:highlight w:val="none"/>
          <w:u w:val="none"/>
          <w:lang w:val="en-US" w:eastAsia="zh-CN"/>
        </w:rPr>
      </w:pPr>
      <w:r>
        <w:rPr>
          <w:rFonts w:hint="eastAsia" w:ascii="仿宋" w:hAnsi="仿宋" w:eastAsia="仿宋" w:cs="仿宋"/>
          <w:b/>
          <w:color w:val="auto"/>
          <w:sz w:val="28"/>
          <w:szCs w:val="28"/>
          <w:highlight w:val="none"/>
          <w:u w:val="none"/>
          <w:lang w:val="en-US" w:eastAsia="zh-CN"/>
        </w:rPr>
        <w:t>联 系 人：张女士         联系电话：18199720299</w:t>
      </w:r>
    </w:p>
    <w:p w14:paraId="7847D8E1">
      <w:pPr>
        <w:keepNext w:val="0"/>
        <w:keepLines w:val="0"/>
        <w:pageBreakBefore w:val="0"/>
        <w:widowControl/>
        <w:kinsoku/>
        <w:wordWrap/>
        <w:overflowPunct/>
        <w:topLinePunct w:val="0"/>
        <w:autoSpaceDE w:val="0"/>
        <w:autoSpaceDN w:val="0"/>
        <w:bidi w:val="0"/>
        <w:adjustRightInd/>
        <w:snapToGrid/>
        <w:spacing w:line="740" w:lineRule="exact"/>
        <w:ind w:right="-26" w:firstLine="548" w:firstLineChars="196"/>
        <w:textAlignment w:val="bottom"/>
        <w:rPr>
          <w:rFonts w:hint="eastAsia" w:ascii="仿宋" w:hAnsi="仿宋" w:eastAsia="仿宋" w:cs="仿宋"/>
          <w:b/>
          <w:color w:val="auto"/>
          <w:sz w:val="28"/>
          <w:szCs w:val="28"/>
          <w:highlight w:val="none"/>
          <w:u w:val="none"/>
          <w:lang w:val="en-US" w:eastAsia="zh-CN"/>
        </w:rPr>
      </w:pPr>
      <w:r>
        <w:rPr>
          <w:rFonts w:hint="eastAsia" w:ascii="仿宋" w:hAnsi="仿宋" w:eastAsia="仿宋" w:cs="仿宋"/>
          <w:b/>
          <w:color w:val="auto"/>
          <w:sz w:val="28"/>
          <w:szCs w:val="28"/>
          <w:highlight w:val="none"/>
          <w:u w:val="none"/>
          <w:lang w:eastAsia="zh-CN"/>
        </w:rPr>
        <w:t>代理机构：</w:t>
      </w:r>
      <w:r>
        <w:rPr>
          <w:rFonts w:hint="eastAsia" w:ascii="仿宋" w:hAnsi="仿宋" w:eastAsia="仿宋" w:cs="仿宋"/>
          <w:b/>
          <w:color w:val="auto"/>
          <w:sz w:val="28"/>
          <w:szCs w:val="28"/>
          <w:highlight w:val="none"/>
          <w:u w:val="none"/>
          <w:lang w:val="en-US" w:eastAsia="zh-CN"/>
        </w:rPr>
        <w:t>新疆融联通达工程项目管理有限公司</w:t>
      </w:r>
    </w:p>
    <w:p w14:paraId="00AD71C2">
      <w:pPr>
        <w:ind w:firstLine="560" w:firstLineChars="200"/>
        <w:rPr>
          <w:rFonts w:hint="eastAsia" w:ascii="仿宋" w:hAnsi="仿宋" w:eastAsia="仿宋" w:cs="仿宋"/>
          <w:b/>
          <w:sz w:val="28"/>
          <w:szCs w:val="28"/>
          <w:highlight w:val="none"/>
          <w:u w:val="none"/>
          <w:lang w:val="en-US"/>
        </w:rPr>
      </w:pPr>
      <w:r>
        <w:rPr>
          <w:rFonts w:hint="eastAsia" w:ascii="仿宋" w:hAnsi="仿宋" w:eastAsia="仿宋" w:cs="仿宋"/>
          <w:b/>
          <w:color w:val="auto"/>
          <w:sz w:val="28"/>
          <w:szCs w:val="28"/>
          <w:highlight w:val="none"/>
          <w:u w:val="none"/>
          <w:lang w:eastAsia="zh-CN"/>
        </w:rPr>
        <w:t>联</w:t>
      </w:r>
      <w:r>
        <w:rPr>
          <w:rFonts w:hint="eastAsia" w:ascii="仿宋" w:hAnsi="仿宋" w:eastAsia="仿宋" w:cs="仿宋"/>
          <w:b/>
          <w:color w:val="auto"/>
          <w:sz w:val="28"/>
          <w:szCs w:val="28"/>
          <w:highlight w:val="none"/>
          <w:u w:val="none"/>
          <w:lang w:val="en-US" w:eastAsia="zh-CN"/>
        </w:rPr>
        <w:t xml:space="preserve"> </w:t>
      </w:r>
      <w:r>
        <w:rPr>
          <w:rFonts w:hint="eastAsia" w:ascii="仿宋" w:hAnsi="仿宋" w:eastAsia="仿宋" w:cs="仿宋"/>
          <w:b/>
          <w:color w:val="auto"/>
          <w:sz w:val="28"/>
          <w:szCs w:val="28"/>
          <w:highlight w:val="none"/>
          <w:u w:val="none"/>
          <w:lang w:eastAsia="zh-CN"/>
        </w:rPr>
        <w:t>系</w:t>
      </w:r>
      <w:r>
        <w:rPr>
          <w:rFonts w:hint="eastAsia" w:ascii="仿宋" w:hAnsi="仿宋" w:eastAsia="仿宋" w:cs="仿宋"/>
          <w:b/>
          <w:color w:val="auto"/>
          <w:sz w:val="28"/>
          <w:szCs w:val="28"/>
          <w:highlight w:val="none"/>
          <w:u w:val="none"/>
          <w:lang w:val="en-US" w:eastAsia="zh-CN"/>
        </w:rPr>
        <w:t xml:space="preserve"> </w:t>
      </w:r>
      <w:r>
        <w:rPr>
          <w:rFonts w:hint="eastAsia" w:ascii="仿宋" w:hAnsi="仿宋" w:eastAsia="仿宋" w:cs="仿宋"/>
          <w:b/>
          <w:color w:val="auto"/>
          <w:sz w:val="28"/>
          <w:szCs w:val="28"/>
          <w:highlight w:val="none"/>
          <w:u w:val="none"/>
          <w:lang w:eastAsia="zh-CN"/>
        </w:rPr>
        <w:t>人：</w:t>
      </w:r>
      <w:r>
        <w:rPr>
          <w:rFonts w:hint="eastAsia" w:ascii="仿宋" w:hAnsi="仿宋" w:eastAsia="仿宋" w:cs="仿宋"/>
          <w:b/>
          <w:color w:val="auto"/>
          <w:sz w:val="28"/>
          <w:szCs w:val="28"/>
          <w:highlight w:val="none"/>
          <w:u w:val="none"/>
          <w:lang w:val="en-US" w:eastAsia="zh-CN"/>
        </w:rPr>
        <w:t xml:space="preserve">黄女士         </w:t>
      </w:r>
      <w:r>
        <w:rPr>
          <w:rFonts w:hint="eastAsia" w:ascii="仿宋" w:hAnsi="仿宋" w:eastAsia="仿宋" w:cs="仿宋"/>
          <w:b/>
          <w:color w:val="auto"/>
          <w:sz w:val="28"/>
          <w:szCs w:val="28"/>
          <w:highlight w:val="none"/>
          <w:u w:val="none"/>
          <w:lang w:eastAsia="zh-CN"/>
        </w:rPr>
        <w:t xml:space="preserve">联系电话: </w:t>
      </w:r>
      <w:r>
        <w:rPr>
          <w:rFonts w:hint="eastAsia" w:ascii="仿宋" w:hAnsi="仿宋" w:eastAsia="仿宋" w:cs="仿宋"/>
          <w:b/>
          <w:color w:val="auto"/>
          <w:sz w:val="28"/>
          <w:szCs w:val="28"/>
          <w:highlight w:val="none"/>
          <w:u w:val="none"/>
          <w:lang w:val="en-US" w:eastAsia="zh-CN"/>
        </w:rPr>
        <w:t>17609081174</w:t>
      </w:r>
    </w:p>
    <w:p w14:paraId="241A669B">
      <w:pPr>
        <w:jc w:val="center"/>
        <w:rPr>
          <w:rFonts w:hint="eastAsia" w:ascii="仿宋" w:hAnsi="仿宋" w:eastAsia="仿宋" w:cs="仿宋"/>
          <w:b/>
          <w:sz w:val="28"/>
          <w:szCs w:val="28"/>
          <w:highlight w:val="none"/>
        </w:rPr>
      </w:pPr>
    </w:p>
    <w:p w14:paraId="021DF58E">
      <w:pPr>
        <w:jc w:val="center"/>
        <w:rPr>
          <w:rFonts w:hint="eastAsia" w:ascii="仿宋" w:hAnsi="仿宋" w:eastAsia="仿宋" w:cs="仿宋"/>
          <w:b/>
          <w:sz w:val="24"/>
          <w:szCs w:val="24"/>
          <w:highlight w:val="none"/>
        </w:rPr>
      </w:pPr>
    </w:p>
    <w:p w14:paraId="75513F6D">
      <w:pPr>
        <w:jc w:val="center"/>
        <w:rPr>
          <w:rFonts w:hint="eastAsia" w:ascii="仿宋" w:hAnsi="仿宋" w:eastAsia="仿宋" w:cs="仿宋"/>
          <w:b/>
          <w:sz w:val="24"/>
          <w:szCs w:val="24"/>
          <w:highlight w:val="none"/>
        </w:rPr>
      </w:pPr>
    </w:p>
    <w:p w14:paraId="1698D06A">
      <w:pPr>
        <w:jc w:val="center"/>
        <w:rPr>
          <w:rFonts w:hint="eastAsia" w:ascii="仿宋" w:hAnsi="仿宋" w:eastAsia="仿宋" w:cs="仿宋"/>
          <w:b/>
          <w:sz w:val="24"/>
          <w:szCs w:val="24"/>
          <w:highlight w:val="none"/>
        </w:rPr>
      </w:pPr>
    </w:p>
    <w:p w14:paraId="130ECE00">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目  录</w:t>
      </w:r>
    </w:p>
    <w:p w14:paraId="2425BC93">
      <w:pPr>
        <w:pStyle w:val="17"/>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"1-3"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_Toc18783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第一章</w:t>
      </w:r>
      <w:r>
        <w:rPr>
          <w:rFonts w:hint="eastAsia" w:ascii="仿宋" w:hAnsi="仿宋" w:eastAsia="仿宋" w:cs="仿宋"/>
          <w:bCs/>
          <w:sz w:val="24"/>
          <w:szCs w:val="24"/>
          <w:highlight w:val="none"/>
          <w:lang w:val="en-US" w:eastAsia="zh-CN"/>
        </w:rPr>
        <w:t>竞争性磋商</w:t>
      </w:r>
      <w:r>
        <w:rPr>
          <w:rFonts w:hint="eastAsia" w:ascii="仿宋" w:hAnsi="仿宋" w:eastAsia="仿宋" w:cs="仿宋"/>
          <w:bCs/>
          <w:sz w:val="24"/>
          <w:szCs w:val="24"/>
          <w:highlight w:val="none"/>
        </w:rPr>
        <w:t>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_Toc18783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9BC7F59">
      <w:pPr>
        <w:pStyle w:val="17"/>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_Toc20754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第二章 投标人须知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_Toc20754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9035CB6">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_Toc10192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一、投标人须知前附表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_Toc10192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4078E28">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_Toc30211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二、投标人须知</w:t>
      </w:r>
      <w:r>
        <w:rPr>
          <w:rFonts w:hint="eastAsia" w:ascii="仿宋" w:hAnsi="仿宋" w:eastAsia="仿宋" w:cs="仿宋"/>
          <w:sz w:val="24"/>
          <w:szCs w:val="24"/>
        </w:rPr>
        <w:tab/>
      </w:r>
      <w:r>
        <w:rPr>
          <w:rFonts w:hint="eastAsia" w:ascii="仿宋" w:hAnsi="仿宋" w:eastAsia="仿宋" w:cs="仿宋"/>
          <w:sz w:val="24"/>
          <w:szCs w:val="24"/>
          <w:lang w:val="en-US" w:eastAsia="zh-CN"/>
        </w:rPr>
        <w:t>9</w:t>
      </w:r>
      <w:r>
        <w:rPr>
          <w:rFonts w:hint="eastAsia" w:ascii="仿宋" w:hAnsi="仿宋" w:eastAsia="仿宋" w:cs="仿宋"/>
          <w:sz w:val="24"/>
          <w:szCs w:val="24"/>
        </w:rPr>
        <w:fldChar w:fldCharType="end"/>
      </w:r>
    </w:p>
    <w:p w14:paraId="6B9C0B06">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_Toc83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（一）总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_Toc83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1287D3A">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_Toc32281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（二）磋商文件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_Toc32281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934EE16">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_Toc31824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_Toc31824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9A7A045">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_Toc29184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（四）投标文件的制作、上传及递交要求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_Toc29184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4C8B651">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_Toc31522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（五）开 标、评标和定标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_Toc31522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8149E27">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_Toc14152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（六）合同的授予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_Toc14152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1793C1B">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_Toc13031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（七）纪律和监督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_Toc13031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D3992E8">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_Toc16961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（八）质疑与投诉</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_Toc16961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786A91D">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_Toc7938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政府采购投诉书（范本）、质疑函范本</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_Toc7938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544624E">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_Toc29698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政府采购投诉书（范本）</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_Toc29698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E339B03">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_Toc20521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投诉相关说明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_Toc20521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7954F8A">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_Toc4972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质疑函范本</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_Toc4972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87D2843">
      <w:pPr>
        <w:pStyle w:val="17"/>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_Toc18159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第三章  评标办法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_Toc18159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2A41D51">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_Toc26415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一  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_Toc26415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6448843">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_Toc32261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一般规定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_Toc32261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5020BEE">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_Toc6901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bCs/>
          <w:sz w:val="24"/>
          <w:szCs w:val="24"/>
          <w:highlight w:val="none"/>
        </w:rPr>
        <w:t>磋商组织机构的组成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_Toc6901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D3AC1EB">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_Toc1850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三</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磋商小组职责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_Toc1850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BA7AEC8">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_Toc728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四</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磋商小组义务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_Toc728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BD23860">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_Toc29099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评标程序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_Toc29099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C29D5DD">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_Toc18997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二  投标文件初审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_Toc18997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EA2A17E">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_Toc5783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资格性审查: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_Toc5783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645C2BC">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_Toc20642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符合性审查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_Toc20642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987EC16">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_Toc23329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三  投标文件的澄清和补正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_Toc23329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13189D0">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_Toc3889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八</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澄清、说明或补正的形式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_Toc3889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FC86A62">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_Toc16390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九</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错误修正的原则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_Toc16390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7A38D4F">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_Toc12135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四 比较与评价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_Toc12135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DE1C2C2">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_Toc24790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val="en-US" w:eastAsia="zh-CN"/>
        </w:rPr>
        <w:t>（十）</w:t>
      </w:r>
      <w:r>
        <w:rPr>
          <w:rFonts w:hint="eastAsia" w:ascii="仿宋" w:hAnsi="仿宋" w:eastAsia="仿宋" w:cs="仿宋"/>
          <w:bCs/>
          <w:sz w:val="24"/>
          <w:szCs w:val="24"/>
          <w:highlight w:val="none"/>
        </w:rPr>
        <w:t>评标方法和标准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_Toc24790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C5BBBF8">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_Toc32324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十一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无效投标条款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_Toc32324 \h </w:instrText>
      </w:r>
      <w:r>
        <w:rPr>
          <w:rFonts w:hint="eastAsia" w:ascii="仿宋" w:hAnsi="仿宋" w:eastAsia="仿宋" w:cs="仿宋"/>
          <w:sz w:val="24"/>
          <w:szCs w:val="24"/>
        </w:rPr>
        <w:fldChar w:fldCharType="separate"/>
      </w:r>
      <w:r>
        <w:rPr>
          <w:rFonts w:hint="eastAsia" w:ascii="仿宋" w:hAnsi="仿宋" w:eastAsia="仿宋" w:cs="仿宋"/>
          <w:sz w:val="24"/>
          <w:szCs w:val="24"/>
        </w:rPr>
        <w:t>34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949124F">
      <w:pPr>
        <w:pStyle w:val="17"/>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_Toc16248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第四章 </w:t>
      </w:r>
      <w:r>
        <w:rPr>
          <w:rFonts w:hint="eastAsia" w:ascii="仿宋" w:hAnsi="仿宋" w:eastAsia="仿宋" w:cs="仿宋"/>
          <w:sz w:val="24"/>
          <w:szCs w:val="24"/>
          <w:highlight w:val="none"/>
        </w:rPr>
        <w:t>招标项目技术要求及服务内容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_Toc16248 \h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A47D333">
      <w:pPr>
        <w:pStyle w:val="17"/>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_Toc26953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 xml:space="preserve">第五章 </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部分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_Toc26953 \h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32B7A56">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HYPERLINK \l _Toc1255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第一条  总则</w:t>
      </w:r>
      <w:r>
        <w:rPr>
          <w:rFonts w:hint="eastAsia" w:ascii="仿宋" w:hAnsi="仿宋" w:eastAsia="仿宋" w:cs="仿宋"/>
          <w:sz w:val="24"/>
          <w:szCs w:val="24"/>
        </w:rPr>
        <w:tab/>
      </w: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PAGEREF _Toc1255 \h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38</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kern w:val="2"/>
          <w:sz w:val="24"/>
          <w:szCs w:val="24"/>
          <w:highlight w:val="none"/>
          <w:lang w:val="en-US" w:eastAsia="zh-CN" w:bidi="ar-SA"/>
        </w:rPr>
        <w:fldChar w:fldCharType="end"/>
      </w:r>
    </w:p>
    <w:p w14:paraId="024F9666">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HYPERLINK \l _Toc11214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第二条 甲方权利和义务</w:t>
      </w:r>
      <w:r>
        <w:rPr>
          <w:rFonts w:hint="eastAsia" w:ascii="仿宋" w:hAnsi="仿宋" w:eastAsia="仿宋" w:cs="仿宋"/>
          <w:sz w:val="24"/>
          <w:szCs w:val="24"/>
        </w:rPr>
        <w:tab/>
      </w: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PAGEREF _Toc11214 \h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38</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kern w:val="2"/>
          <w:sz w:val="24"/>
          <w:szCs w:val="24"/>
          <w:highlight w:val="none"/>
          <w:lang w:val="en-US" w:eastAsia="zh-CN" w:bidi="ar-SA"/>
        </w:rPr>
        <w:fldChar w:fldCharType="end"/>
      </w:r>
    </w:p>
    <w:p w14:paraId="4A9A1B4D">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HYPERLINK \l _Toc15616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（一）权利</w:t>
      </w:r>
      <w:r>
        <w:rPr>
          <w:rFonts w:hint="eastAsia" w:ascii="仿宋" w:hAnsi="仿宋" w:eastAsia="仿宋" w:cs="仿宋"/>
          <w:sz w:val="24"/>
          <w:szCs w:val="24"/>
        </w:rPr>
        <w:tab/>
      </w: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PAGEREF _Toc15616 \h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38</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kern w:val="2"/>
          <w:sz w:val="24"/>
          <w:szCs w:val="24"/>
          <w:highlight w:val="none"/>
          <w:lang w:val="en-US" w:eastAsia="zh-CN" w:bidi="ar-SA"/>
        </w:rPr>
        <w:fldChar w:fldCharType="end"/>
      </w:r>
    </w:p>
    <w:p w14:paraId="2CF69F30">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HYPERLINK \l _Toc24103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（二）义务</w:t>
      </w:r>
      <w:r>
        <w:rPr>
          <w:rFonts w:hint="eastAsia" w:ascii="仿宋" w:hAnsi="仿宋" w:eastAsia="仿宋" w:cs="仿宋"/>
          <w:bCs/>
          <w:kern w:val="2"/>
          <w:sz w:val="24"/>
          <w:szCs w:val="24"/>
          <w:highlight w:val="none"/>
          <w:lang w:val="en-US" w:eastAsia="zh-CN" w:bidi="ar-SA"/>
        </w:rPr>
        <w:tab/>
      </w: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PAGEREF _Toc24103 \h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38</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kern w:val="2"/>
          <w:sz w:val="24"/>
          <w:szCs w:val="24"/>
          <w:highlight w:val="none"/>
          <w:lang w:val="en-US" w:eastAsia="zh-CN" w:bidi="ar-SA"/>
        </w:rPr>
        <w:fldChar w:fldCharType="end"/>
      </w:r>
    </w:p>
    <w:p w14:paraId="72B8EF55">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HYPERLINK \l _Toc2350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第三条  乙方权利和义务</w:t>
      </w:r>
      <w:r>
        <w:rPr>
          <w:rFonts w:hint="eastAsia" w:ascii="仿宋" w:hAnsi="仿宋" w:eastAsia="仿宋" w:cs="仿宋"/>
          <w:bCs/>
          <w:kern w:val="2"/>
          <w:sz w:val="24"/>
          <w:szCs w:val="24"/>
          <w:highlight w:val="none"/>
          <w:lang w:val="en-US" w:eastAsia="zh-CN" w:bidi="ar-SA"/>
        </w:rPr>
        <w:tab/>
      </w: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PAGEREF _Toc2350 \h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38</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kern w:val="2"/>
          <w:sz w:val="24"/>
          <w:szCs w:val="24"/>
          <w:highlight w:val="none"/>
          <w:lang w:val="en-US" w:eastAsia="zh-CN" w:bidi="ar-SA"/>
        </w:rPr>
        <w:fldChar w:fldCharType="end"/>
      </w:r>
    </w:p>
    <w:p w14:paraId="7510F835">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HYPERLINK \l _Toc30353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（一）权利</w:t>
      </w:r>
      <w:r>
        <w:rPr>
          <w:rFonts w:hint="eastAsia" w:ascii="仿宋" w:hAnsi="仿宋" w:eastAsia="仿宋" w:cs="仿宋"/>
          <w:bCs/>
          <w:kern w:val="2"/>
          <w:sz w:val="24"/>
          <w:szCs w:val="24"/>
          <w:highlight w:val="none"/>
          <w:lang w:val="en-US" w:eastAsia="zh-CN" w:bidi="ar-SA"/>
        </w:rPr>
        <w:tab/>
      </w: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PAGEREF _Toc30353 \h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38</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kern w:val="2"/>
          <w:sz w:val="24"/>
          <w:szCs w:val="24"/>
          <w:highlight w:val="none"/>
          <w:lang w:val="en-US" w:eastAsia="zh-CN" w:bidi="ar-SA"/>
        </w:rPr>
        <w:fldChar w:fldCharType="end"/>
      </w:r>
    </w:p>
    <w:p w14:paraId="4B2F8592">
      <w:pPr>
        <w:pStyle w:val="11"/>
        <w:keepNext w:val="0"/>
        <w:keepLines w:val="0"/>
        <w:pageBreakBefore w:val="0"/>
        <w:widowControl w:val="0"/>
        <w:tabs>
          <w:tab w:val="right" w:leader="dot" w:pos="9968"/>
          <w:tab w:val="clear" w:pos="9288"/>
        </w:tabs>
        <w:kinsoku/>
        <w:wordWrap/>
        <w:overflowPunct/>
        <w:topLinePunct w:val="0"/>
        <w:autoSpaceDE/>
        <w:autoSpaceDN/>
        <w:bidi w:val="0"/>
        <w:adjustRightInd/>
        <w:snapToGrid/>
        <w:spacing w:line="300" w:lineRule="exact"/>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HYPERLINK \l _Toc21812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（二）义务</w:t>
      </w:r>
      <w:r>
        <w:rPr>
          <w:rFonts w:hint="eastAsia" w:ascii="仿宋" w:hAnsi="仿宋" w:eastAsia="仿宋" w:cs="仿宋"/>
          <w:bCs/>
          <w:kern w:val="2"/>
          <w:sz w:val="24"/>
          <w:szCs w:val="24"/>
          <w:highlight w:val="none"/>
          <w:lang w:val="en-US" w:eastAsia="zh-CN" w:bidi="ar-SA"/>
        </w:rPr>
        <w:tab/>
      </w: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PAGEREF _Toc21812 \h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39</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kern w:val="2"/>
          <w:sz w:val="24"/>
          <w:szCs w:val="24"/>
          <w:highlight w:val="none"/>
          <w:lang w:val="en-US" w:eastAsia="zh-CN" w:bidi="ar-SA"/>
        </w:rPr>
        <w:fldChar w:fldCharType="end"/>
      </w:r>
    </w:p>
    <w:p w14:paraId="1B4DAF07">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HYPERLINK \l _Toc11863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第四条   违约责任</w:t>
      </w:r>
      <w:r>
        <w:rPr>
          <w:rFonts w:hint="eastAsia" w:ascii="仿宋" w:hAnsi="仿宋" w:eastAsia="仿宋" w:cs="仿宋"/>
          <w:bCs/>
          <w:kern w:val="2"/>
          <w:sz w:val="24"/>
          <w:szCs w:val="24"/>
          <w:highlight w:val="none"/>
          <w:lang w:val="en-US" w:eastAsia="zh-CN" w:bidi="ar-SA"/>
        </w:rPr>
        <w:tab/>
      </w: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PAGEREF _Toc11863 \h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39</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kern w:val="2"/>
          <w:sz w:val="24"/>
          <w:szCs w:val="24"/>
          <w:highlight w:val="none"/>
          <w:lang w:val="en-US" w:eastAsia="zh-CN" w:bidi="ar-SA"/>
        </w:rPr>
        <w:fldChar w:fldCharType="end"/>
      </w:r>
    </w:p>
    <w:p w14:paraId="04B21411">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HYPERLINK \l _Toc18296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第五条   附则</w:t>
      </w:r>
      <w:r>
        <w:rPr>
          <w:rFonts w:hint="eastAsia" w:ascii="仿宋" w:hAnsi="仿宋" w:eastAsia="仿宋" w:cs="仿宋"/>
          <w:bCs/>
          <w:kern w:val="2"/>
          <w:sz w:val="24"/>
          <w:szCs w:val="24"/>
          <w:highlight w:val="none"/>
          <w:lang w:val="en-US" w:eastAsia="zh-CN" w:bidi="ar-SA"/>
        </w:rPr>
        <w:tab/>
      </w:r>
      <w:r>
        <w:rPr>
          <w:rFonts w:hint="eastAsia" w:ascii="仿宋" w:hAnsi="仿宋" w:eastAsia="仿宋" w:cs="仿宋"/>
          <w:bCs/>
          <w:kern w:val="2"/>
          <w:sz w:val="24"/>
          <w:szCs w:val="24"/>
          <w:highlight w:val="none"/>
          <w:lang w:val="en-US" w:eastAsia="zh-CN" w:bidi="ar-SA"/>
        </w:rPr>
        <w:fldChar w:fldCharType="begin"/>
      </w:r>
      <w:r>
        <w:rPr>
          <w:rFonts w:hint="eastAsia" w:ascii="仿宋" w:hAnsi="仿宋" w:eastAsia="仿宋" w:cs="仿宋"/>
          <w:bCs/>
          <w:kern w:val="2"/>
          <w:sz w:val="24"/>
          <w:szCs w:val="24"/>
          <w:highlight w:val="none"/>
          <w:lang w:val="en-US" w:eastAsia="zh-CN" w:bidi="ar-SA"/>
        </w:rPr>
        <w:instrText xml:space="preserve"> PAGEREF _Toc18296 \h </w:instrText>
      </w:r>
      <w:r>
        <w:rPr>
          <w:rFonts w:hint="eastAsia" w:ascii="仿宋" w:hAnsi="仿宋" w:eastAsia="仿宋" w:cs="仿宋"/>
          <w:bCs/>
          <w:kern w:val="2"/>
          <w:sz w:val="24"/>
          <w:szCs w:val="24"/>
          <w:highlight w:val="none"/>
          <w:lang w:val="en-US" w:eastAsia="zh-CN" w:bidi="ar-SA"/>
        </w:rPr>
        <w:fldChar w:fldCharType="separate"/>
      </w:r>
      <w:r>
        <w:rPr>
          <w:rFonts w:hint="eastAsia" w:ascii="仿宋" w:hAnsi="仿宋" w:eastAsia="仿宋" w:cs="仿宋"/>
          <w:bCs/>
          <w:kern w:val="2"/>
          <w:sz w:val="24"/>
          <w:szCs w:val="24"/>
          <w:highlight w:val="none"/>
          <w:lang w:val="en-US" w:eastAsia="zh-CN" w:bidi="ar-SA"/>
        </w:rPr>
        <w:t>39</w:t>
      </w:r>
      <w:r>
        <w:rPr>
          <w:rFonts w:hint="eastAsia" w:ascii="仿宋" w:hAnsi="仿宋" w:eastAsia="仿宋" w:cs="仿宋"/>
          <w:bCs/>
          <w:kern w:val="2"/>
          <w:sz w:val="24"/>
          <w:szCs w:val="24"/>
          <w:highlight w:val="none"/>
          <w:lang w:val="en-US" w:eastAsia="zh-CN" w:bidi="ar-SA"/>
        </w:rPr>
        <w:fldChar w:fldCharType="end"/>
      </w:r>
      <w:r>
        <w:rPr>
          <w:rFonts w:hint="eastAsia" w:ascii="仿宋" w:hAnsi="仿宋" w:eastAsia="仿宋" w:cs="仿宋"/>
          <w:bCs/>
          <w:kern w:val="2"/>
          <w:sz w:val="24"/>
          <w:szCs w:val="24"/>
          <w:highlight w:val="none"/>
          <w:lang w:val="en-US" w:eastAsia="zh-CN" w:bidi="ar-SA"/>
        </w:rPr>
        <w:fldChar w:fldCharType="end"/>
      </w:r>
    </w:p>
    <w:p w14:paraId="5F824BDA">
      <w:pPr>
        <w:pStyle w:val="17"/>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_Toc17257 </w:instrText>
      </w:r>
      <w:r>
        <w:rPr>
          <w:rFonts w:hint="eastAsia" w:ascii="仿宋" w:hAnsi="仿宋" w:eastAsia="仿宋" w:cs="仿宋"/>
          <w:sz w:val="24"/>
          <w:szCs w:val="24"/>
        </w:rPr>
        <w:fldChar w:fldCharType="separate"/>
      </w:r>
      <w:r>
        <w:rPr>
          <w:rFonts w:hint="eastAsia" w:ascii="仿宋" w:hAnsi="仿宋" w:eastAsia="仿宋" w:cs="仿宋"/>
          <w:bCs/>
          <w:sz w:val="24"/>
          <w:szCs w:val="24"/>
        </w:rPr>
        <w:t xml:space="preserve">第六章 </w:t>
      </w:r>
      <w:r>
        <w:rPr>
          <w:rFonts w:hint="eastAsia" w:ascii="仿宋" w:hAnsi="仿宋" w:eastAsia="仿宋" w:cs="仿宋"/>
          <w:bCs/>
          <w:spacing w:val="0"/>
          <w:w w:val="100"/>
          <w:position w:val="0"/>
          <w:sz w:val="24"/>
          <w:szCs w:val="24"/>
          <w:lang w:eastAsia="zh-CN"/>
        </w:rPr>
        <w:t>响应文件</w:t>
      </w:r>
      <w:r>
        <w:rPr>
          <w:rFonts w:hint="eastAsia" w:ascii="仿宋" w:hAnsi="仿宋" w:eastAsia="仿宋" w:cs="仿宋"/>
          <w:bCs/>
          <w:spacing w:val="0"/>
          <w:w w:val="100"/>
          <w:position w:val="0"/>
          <w:sz w:val="24"/>
          <w:szCs w:val="24"/>
        </w:rPr>
        <w:t>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_Toc17257 \h </w:instrText>
      </w:r>
      <w:r>
        <w:rPr>
          <w:rFonts w:hint="eastAsia" w:ascii="仿宋" w:hAnsi="仿宋" w:eastAsia="仿宋" w:cs="仿宋"/>
          <w:sz w:val="24"/>
          <w:szCs w:val="24"/>
        </w:rPr>
        <w:fldChar w:fldCharType="separate"/>
      </w:r>
      <w:r>
        <w:rPr>
          <w:rFonts w:hint="eastAsia" w:ascii="仿宋" w:hAnsi="仿宋" w:eastAsia="仿宋" w:cs="仿宋"/>
          <w:sz w:val="24"/>
          <w:szCs w:val="24"/>
        </w:rPr>
        <w:t>40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B5EA3F8">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_Toc6851 </w:instrText>
      </w:r>
      <w:r>
        <w:rPr>
          <w:rFonts w:hint="eastAsia" w:ascii="仿宋" w:hAnsi="仿宋" w:eastAsia="仿宋" w:cs="仿宋"/>
          <w:sz w:val="24"/>
          <w:szCs w:val="24"/>
        </w:rPr>
        <w:fldChar w:fldCharType="separate"/>
      </w:r>
      <w:r>
        <w:rPr>
          <w:rFonts w:hint="eastAsia" w:ascii="仿宋" w:hAnsi="仿宋" w:eastAsia="仿宋" w:cs="仿宋"/>
          <w:bCs/>
          <w:kern w:val="2"/>
          <w:sz w:val="24"/>
          <w:szCs w:val="24"/>
          <w:highlight w:val="none"/>
          <w:lang w:val="en-US" w:eastAsia="zh-CN" w:bidi="ar-SA"/>
        </w:rPr>
        <w:t>第一部分 资格证明文件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_Toc6851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B0F5899">
      <w:pPr>
        <w:pStyle w:val="20"/>
        <w:keepNext w:val="0"/>
        <w:keepLines w:val="0"/>
        <w:pageBreakBefore w:val="0"/>
        <w:widowControl w:val="0"/>
        <w:tabs>
          <w:tab w:val="right" w:leader="dot" w:pos="9968"/>
        </w:tabs>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_Toc24188 </w:instrText>
      </w:r>
      <w:r>
        <w:rPr>
          <w:rFonts w:hint="eastAsia" w:ascii="仿宋" w:hAnsi="仿宋" w:eastAsia="仿宋" w:cs="仿宋"/>
          <w:sz w:val="24"/>
          <w:szCs w:val="24"/>
        </w:rPr>
        <w:fldChar w:fldCharType="separate"/>
      </w:r>
      <w:r>
        <w:rPr>
          <w:rFonts w:hint="eastAsia" w:ascii="仿宋" w:hAnsi="仿宋" w:eastAsia="仿宋" w:cs="仿宋"/>
          <w:bCs/>
          <w:kern w:val="2"/>
          <w:sz w:val="24"/>
          <w:szCs w:val="24"/>
          <w:highlight w:val="none"/>
          <w:lang w:val="en-US" w:eastAsia="zh-CN" w:bidi="ar-SA"/>
        </w:rPr>
        <w:t>第二部分商务及技术文件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_Toc24188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9A1B77E">
      <w:pPr>
        <w:pStyle w:val="11"/>
        <w:tabs>
          <w:tab w:val="right" w:leader="dot" w:pos="9968"/>
          <w:tab w:val="clear" w:pos="9288"/>
        </w:tabs>
        <w:rPr>
          <w:rFonts w:hint="eastAsia" w:ascii="仿宋" w:hAnsi="仿宋" w:eastAsia="仿宋" w:cs="仿宋"/>
          <w:sz w:val="24"/>
          <w:szCs w:val="24"/>
        </w:rPr>
      </w:pPr>
    </w:p>
    <w:p w14:paraId="3EBADAEC">
      <w:pPr>
        <w:spacing w:line="240" w:lineRule="auto"/>
        <w:rPr>
          <w:rFonts w:hint="eastAsia" w:ascii="仿宋" w:hAnsi="仿宋" w:eastAsia="仿宋" w:cs="仿宋"/>
          <w:b/>
          <w:bCs/>
          <w:sz w:val="24"/>
          <w:szCs w:val="24"/>
          <w:highlight w:val="none"/>
        </w:rPr>
        <w:sectPr>
          <w:headerReference r:id="rId3" w:type="default"/>
          <w:footerReference r:id="rId4" w:type="default"/>
          <w:pgSz w:w="11906" w:h="16838"/>
          <w:pgMar w:top="1157" w:right="969" w:bottom="1157" w:left="969" w:header="851" w:footer="992" w:gutter="0"/>
          <w:pgNumType w:start="1"/>
          <w:cols w:space="720" w:num="1"/>
          <w:docGrid w:type="linesAndChars" w:linePitch="312" w:charSpace="0"/>
        </w:sectPr>
      </w:pPr>
      <w:r>
        <w:rPr>
          <w:rFonts w:hint="eastAsia" w:ascii="仿宋" w:hAnsi="仿宋" w:eastAsia="仿宋" w:cs="仿宋"/>
          <w:sz w:val="24"/>
          <w:szCs w:val="24"/>
        </w:rPr>
        <w:fldChar w:fldCharType="end"/>
      </w:r>
      <w:bookmarkStart w:id="1" w:name="_Toc26892"/>
      <w:bookmarkStart w:id="2" w:name="_Toc25256"/>
      <w:bookmarkStart w:id="3" w:name="_Toc18783"/>
    </w:p>
    <w:p w14:paraId="385BFCBB">
      <w:pPr>
        <w:spacing w:line="420" w:lineRule="exact"/>
        <w:jc w:val="center"/>
        <w:outlineLvl w:val="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第一章</w:t>
      </w:r>
      <w:bookmarkEnd w:id="1"/>
      <w:r>
        <w:rPr>
          <w:rFonts w:hint="eastAsia" w:ascii="仿宋" w:hAnsi="仿宋" w:eastAsia="仿宋" w:cs="仿宋"/>
          <w:b/>
          <w:bCs/>
          <w:color w:val="auto"/>
          <w:sz w:val="24"/>
          <w:szCs w:val="24"/>
          <w:highlight w:val="none"/>
          <w:lang w:val="en-US" w:eastAsia="zh-CN"/>
        </w:rPr>
        <w:t>竞争性磋商</w:t>
      </w:r>
      <w:r>
        <w:rPr>
          <w:rFonts w:hint="eastAsia" w:ascii="仿宋" w:hAnsi="仿宋" w:eastAsia="仿宋" w:cs="仿宋"/>
          <w:b/>
          <w:bCs/>
          <w:color w:val="auto"/>
          <w:sz w:val="24"/>
          <w:szCs w:val="24"/>
          <w:highlight w:val="none"/>
        </w:rPr>
        <w:t>公告</w:t>
      </w:r>
      <w:bookmarkEnd w:id="2"/>
      <w:bookmarkEnd w:id="3"/>
    </w:p>
    <w:p w14:paraId="40A037EF">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600" w:lineRule="exact"/>
        <w:ind w:right="0"/>
        <w:jc w:val="center"/>
        <w:textAlignment w:val="auto"/>
        <w:rPr>
          <w:rFonts w:hint="eastAsia" w:ascii="仿宋" w:hAnsi="仿宋" w:eastAsia="仿宋" w:cs="仿宋"/>
          <w:b/>
          <w:bCs/>
          <w:color w:val="auto"/>
          <w:spacing w:val="-6"/>
          <w:kern w:val="0"/>
          <w:sz w:val="24"/>
          <w:szCs w:val="24"/>
          <w:highlight w:val="none"/>
          <w:u w:val="none"/>
          <w:lang w:val="en-US" w:eastAsia="zh-CN" w:bidi="ar"/>
        </w:rPr>
      </w:pPr>
      <w:bookmarkStart w:id="4" w:name="_Toc6038"/>
      <w:r>
        <w:rPr>
          <w:rFonts w:hint="eastAsia" w:ascii="仿宋" w:hAnsi="仿宋" w:eastAsia="仿宋" w:cs="仿宋"/>
          <w:b/>
          <w:bCs/>
          <w:color w:val="auto"/>
          <w:spacing w:val="-6"/>
          <w:kern w:val="0"/>
          <w:sz w:val="24"/>
          <w:szCs w:val="24"/>
          <w:highlight w:val="none"/>
          <w:u w:val="none"/>
          <w:lang w:val="en-US" w:eastAsia="zh-CN" w:bidi="ar"/>
        </w:rPr>
        <w:t>2026年阿图什市机关事业单位基本养老保险保值增值定期存款项目（第二期）（二次）</w:t>
      </w:r>
    </w:p>
    <w:p w14:paraId="556FEB6F">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600" w:lineRule="exact"/>
        <w:ind w:right="0"/>
        <w:jc w:val="center"/>
        <w:textAlignment w:val="auto"/>
        <w:rPr>
          <w:rFonts w:hint="eastAsia" w:ascii="仿宋" w:hAnsi="仿宋" w:eastAsia="仿宋" w:cs="仿宋"/>
          <w:b/>
          <w:bCs/>
          <w:color w:val="auto"/>
          <w:spacing w:val="-6"/>
          <w:kern w:val="0"/>
          <w:sz w:val="24"/>
          <w:szCs w:val="24"/>
          <w:highlight w:val="none"/>
          <w:u w:val="none"/>
          <w:lang w:val="en-US" w:eastAsia="zh-CN" w:bidi="ar"/>
        </w:rPr>
      </w:pPr>
      <w:r>
        <w:rPr>
          <w:rFonts w:hint="eastAsia" w:ascii="仿宋" w:hAnsi="仿宋" w:eastAsia="仿宋" w:cs="仿宋"/>
          <w:b/>
          <w:bCs/>
          <w:color w:val="auto"/>
          <w:spacing w:val="-6"/>
          <w:kern w:val="0"/>
          <w:sz w:val="24"/>
          <w:szCs w:val="24"/>
          <w:highlight w:val="none"/>
          <w:u w:val="none"/>
          <w:lang w:val="en-US" w:eastAsia="zh-CN" w:bidi="ar"/>
        </w:rPr>
        <w:t>竞争性磋商公告</w:t>
      </w:r>
    </w:p>
    <w:tbl>
      <w:tblPr>
        <w:tblStyle w:val="25"/>
        <w:tblpPr w:leftFromText="180" w:rightFromText="180" w:vertAnchor="page" w:horzAnchor="page" w:tblpX="1387" w:tblpY="30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8"/>
      </w:tblGrid>
      <w:tr w14:paraId="7747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9408" w:type="dxa"/>
            <w:tcBorders>
              <w:top w:val="single" w:color="auto" w:sz="4" w:space="0"/>
              <w:left w:val="single" w:color="auto" w:sz="4" w:space="0"/>
              <w:bottom w:val="single" w:color="auto" w:sz="4" w:space="0"/>
              <w:right w:val="single" w:color="auto" w:sz="4" w:space="0"/>
            </w:tcBorders>
            <w:noWrap w:val="0"/>
            <w:vAlign w:val="top"/>
          </w:tcPr>
          <w:p w14:paraId="46A5DFC0">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i w:val="0"/>
                <w:caps w:val="0"/>
                <w:color w:val="auto"/>
                <w:spacing w:val="0"/>
                <w:kern w:val="0"/>
                <w:sz w:val="24"/>
                <w:szCs w:val="24"/>
                <w:highlight w:val="none"/>
              </w:rPr>
              <w:t>项目概况</w:t>
            </w:r>
          </w:p>
          <w:p w14:paraId="59B7F562">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left="0" w:right="0"/>
              <w:textAlignment w:val="auto"/>
              <w:rPr>
                <w:rFonts w:hint="eastAsia" w:ascii="仿宋" w:hAnsi="仿宋" w:eastAsia="仿宋" w:cs="仿宋"/>
                <w:color w:val="auto"/>
                <w:sz w:val="24"/>
                <w:szCs w:val="24"/>
                <w:highlight w:val="none"/>
              </w:rPr>
            </w:pPr>
            <w:r>
              <w:rPr>
                <w:rFonts w:hint="eastAsia" w:ascii="仿宋" w:hAnsi="仿宋" w:eastAsia="仿宋" w:cs="仿宋"/>
                <w:i w:val="0"/>
                <w:caps w:val="0"/>
                <w:color w:val="auto"/>
                <w:spacing w:val="0"/>
                <w:kern w:val="0"/>
                <w:sz w:val="24"/>
                <w:szCs w:val="24"/>
                <w:highlight w:val="none"/>
                <w:lang w:eastAsia="zh-CN"/>
              </w:rPr>
              <w:t>2026年阿图什市机关事业单位基本养老保险保值增值定期存款项目（第二期）（二次）</w:t>
            </w:r>
            <w:r>
              <w:rPr>
                <w:rFonts w:hint="eastAsia" w:ascii="仿宋" w:hAnsi="仿宋" w:eastAsia="仿宋" w:cs="仿宋"/>
                <w:i w:val="0"/>
                <w:caps w:val="0"/>
                <w:color w:val="auto"/>
                <w:spacing w:val="0"/>
                <w:kern w:val="0"/>
                <w:sz w:val="24"/>
                <w:szCs w:val="24"/>
                <w:highlight w:val="none"/>
                <w:lang w:val="en-US" w:eastAsia="zh-CN"/>
              </w:rPr>
              <w:t>的潜在供应商应在政采云平台http://www.zcygov.cn/登陆，在线申请获取竞争性磋商文件（登录政府采购云平台→ 项目采购 → 获取竞争性磋商文件，如有操作性问题，可与政采云在线客服进行咨询，咨询电话：95763）。获取采购文件，并于2026年5月22日10:15（北京时间）前提交响应文件。    </w:t>
            </w:r>
          </w:p>
        </w:tc>
      </w:tr>
    </w:tbl>
    <w:p w14:paraId="70F4957D">
      <w:pPr>
        <w:pStyle w:val="22"/>
        <w:keepNext w:val="0"/>
        <w:keepLines w:val="0"/>
        <w:pageBreakBefore w:val="0"/>
        <w:widowControl/>
        <w:numPr>
          <w:ilvl w:val="0"/>
          <w:numId w:val="4"/>
        </w:numPr>
        <w:suppressLineNumbers w:val="0"/>
        <w:kinsoku/>
        <w:wordWrap/>
        <w:overflowPunct/>
        <w:topLinePunct w:val="0"/>
        <w:autoSpaceDE w:val="0"/>
        <w:autoSpaceDN/>
        <w:bidi w:val="0"/>
        <w:adjustRightInd/>
        <w:snapToGrid/>
        <w:spacing w:before="0" w:beforeAutospacing="0" w:after="0" w:afterAutospacing="0" w:line="360" w:lineRule="auto"/>
        <w:ind w:right="0" w:rightChars="0"/>
        <w:jc w:val="both"/>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b/>
          <w:bCs/>
          <w:color w:val="auto"/>
          <w:kern w:val="0"/>
          <w:sz w:val="24"/>
          <w:szCs w:val="24"/>
          <w:highlight w:val="none"/>
          <w:u w:val="none"/>
          <w:lang w:val="en-US" w:eastAsia="zh-CN" w:bidi="ar"/>
        </w:rPr>
        <w:t>项目基本情况</w:t>
      </w:r>
    </w:p>
    <w:p w14:paraId="41F0FFC8">
      <w:pPr>
        <w:pStyle w:val="2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360" w:lineRule="auto"/>
        <w:ind w:right="0" w:rightChars="0"/>
        <w:jc w:val="both"/>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 xml:space="preserve">项目编号：ATSJYZX-CG-2026037 </w:t>
      </w:r>
    </w:p>
    <w:p w14:paraId="378DA511">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spacing w:val="-6"/>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项目名称：</w:t>
      </w:r>
      <w:r>
        <w:rPr>
          <w:rFonts w:hint="eastAsia" w:ascii="仿宋" w:hAnsi="仿宋" w:eastAsia="仿宋" w:cs="仿宋"/>
          <w:color w:val="auto"/>
          <w:spacing w:val="-6"/>
          <w:kern w:val="0"/>
          <w:sz w:val="24"/>
          <w:szCs w:val="24"/>
          <w:highlight w:val="none"/>
          <w:u w:val="none"/>
          <w:lang w:val="en-US" w:eastAsia="zh-CN" w:bidi="ar"/>
        </w:rPr>
        <w:t>2026年阿图什市机关事业单位基本养老保险保值增值定期存款项目（第二期）（二次）</w:t>
      </w:r>
    </w:p>
    <w:p w14:paraId="73C85487">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采购方式：竞争性磋商</w:t>
      </w:r>
    </w:p>
    <w:p w14:paraId="7F60EC90">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i w:val="0"/>
          <w:caps w:val="0"/>
          <w:color w:val="auto"/>
          <w:spacing w:val="0"/>
          <w:kern w:val="0"/>
          <w:sz w:val="24"/>
          <w:szCs w:val="24"/>
          <w:highlight w:val="none"/>
        </w:rPr>
        <w:t>预算金额（元）</w:t>
      </w:r>
      <w:r>
        <w:rPr>
          <w:rFonts w:hint="eastAsia" w:ascii="仿宋" w:hAnsi="仿宋" w:eastAsia="仿宋" w:cs="仿宋"/>
          <w:color w:val="auto"/>
          <w:kern w:val="0"/>
          <w:sz w:val="24"/>
          <w:szCs w:val="24"/>
          <w:highlight w:val="none"/>
          <w:u w:val="none"/>
          <w:lang w:val="en-US" w:eastAsia="zh-CN" w:bidi="ar"/>
        </w:rPr>
        <w:t>：1.00</w:t>
      </w:r>
    </w:p>
    <w:p w14:paraId="23E430D2">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最高限价（元）：1.00</w:t>
      </w:r>
    </w:p>
    <w:p w14:paraId="45FE426D">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caps w:val="0"/>
          <w:color w:val="auto"/>
          <w:spacing w:val="0"/>
          <w:kern w:val="0"/>
          <w:sz w:val="24"/>
          <w:szCs w:val="24"/>
          <w:highlight w:val="none"/>
        </w:rPr>
      </w:pPr>
      <w:r>
        <w:rPr>
          <w:rFonts w:hint="eastAsia" w:ascii="仿宋" w:hAnsi="仿宋" w:eastAsia="仿宋" w:cs="仿宋"/>
          <w:i w:val="0"/>
          <w:caps w:val="0"/>
          <w:color w:val="auto"/>
          <w:spacing w:val="0"/>
          <w:kern w:val="0"/>
          <w:sz w:val="24"/>
          <w:szCs w:val="24"/>
          <w:highlight w:val="none"/>
        </w:rPr>
        <w:t>采购需求：</w:t>
      </w:r>
    </w:p>
    <w:p w14:paraId="27354A70">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caps w:val="0"/>
          <w:color w:val="auto"/>
          <w:spacing w:val="-6"/>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标项名称:</w:t>
      </w:r>
      <w:r>
        <w:rPr>
          <w:rFonts w:hint="eastAsia" w:ascii="仿宋" w:hAnsi="仿宋" w:eastAsia="仿宋" w:cs="仿宋"/>
          <w:i w:val="0"/>
          <w:caps w:val="0"/>
          <w:color w:val="auto"/>
          <w:spacing w:val="-6"/>
          <w:kern w:val="0"/>
          <w:sz w:val="24"/>
          <w:szCs w:val="24"/>
          <w:highlight w:val="none"/>
          <w:lang w:val="en-US" w:eastAsia="zh-CN"/>
        </w:rPr>
        <w:t>2026年阿图什市机关事业单位基本养老保险保值增值定期存款项目（第二期）（二次）</w:t>
      </w:r>
    </w:p>
    <w:p w14:paraId="5D9FD4DA">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数量: 1  </w:t>
      </w:r>
    </w:p>
    <w:p w14:paraId="1D118877">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i w:val="0"/>
          <w:caps w:val="0"/>
          <w:color w:val="auto"/>
          <w:spacing w:val="0"/>
          <w:kern w:val="0"/>
          <w:sz w:val="24"/>
          <w:szCs w:val="24"/>
          <w:highlight w:val="none"/>
          <w:lang w:val="en-US" w:eastAsia="zh-CN"/>
        </w:rPr>
        <w:t>预算金额（元）:</w:t>
      </w:r>
      <w:r>
        <w:rPr>
          <w:rFonts w:hint="eastAsia" w:ascii="仿宋" w:hAnsi="仿宋" w:eastAsia="仿宋" w:cs="仿宋"/>
          <w:color w:val="auto"/>
          <w:kern w:val="0"/>
          <w:sz w:val="24"/>
          <w:szCs w:val="24"/>
          <w:highlight w:val="none"/>
          <w:u w:val="none"/>
          <w:lang w:val="en-US" w:eastAsia="zh-CN" w:bidi="ar"/>
        </w:rPr>
        <w:t>1.00</w:t>
      </w:r>
    </w:p>
    <w:p w14:paraId="77CBF472">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单位：次</w:t>
      </w:r>
    </w:p>
    <w:p w14:paraId="515E206C">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default"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简要规格描述：机关事业单位基本养老保险保值增值定期存款.</w:t>
      </w:r>
    </w:p>
    <w:p w14:paraId="408AA741">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备注：具体详见竞争性磋商文件服务内容及要求</w:t>
      </w:r>
    </w:p>
    <w:p w14:paraId="0B1A8A37">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caps w:val="0"/>
          <w:color w:val="auto"/>
          <w:spacing w:val="0"/>
          <w:kern w:val="0"/>
          <w:sz w:val="24"/>
          <w:szCs w:val="24"/>
          <w:highlight w:val="none"/>
          <w:u w:val="none"/>
          <w:lang w:val="en-US" w:eastAsia="zh-CN"/>
        </w:rPr>
      </w:pPr>
      <w:r>
        <w:rPr>
          <w:rFonts w:hint="eastAsia" w:ascii="仿宋" w:hAnsi="仿宋" w:eastAsia="仿宋" w:cs="仿宋"/>
          <w:i w:val="0"/>
          <w:caps w:val="0"/>
          <w:color w:val="auto"/>
          <w:spacing w:val="0"/>
          <w:kern w:val="0"/>
          <w:sz w:val="24"/>
          <w:szCs w:val="24"/>
          <w:highlight w:val="none"/>
        </w:rPr>
        <w:t>合同履行期限：</w:t>
      </w:r>
      <w:r>
        <w:rPr>
          <w:rFonts w:hint="eastAsia" w:ascii="仿宋" w:hAnsi="仿宋" w:eastAsia="仿宋" w:cs="仿宋"/>
          <w:i w:val="0"/>
          <w:caps w:val="0"/>
          <w:color w:val="auto"/>
          <w:spacing w:val="0"/>
          <w:kern w:val="0"/>
          <w:sz w:val="24"/>
          <w:szCs w:val="24"/>
          <w:highlight w:val="none"/>
          <w:lang w:val="en-US" w:eastAsia="zh-CN"/>
        </w:rPr>
        <w:t>定期存12个月（从资金到位之日起算）</w:t>
      </w:r>
    </w:p>
    <w:p w14:paraId="46308FEA">
      <w:pPr>
        <w:pStyle w:val="9"/>
        <w:keepNext w:val="0"/>
        <w:keepLines w:val="0"/>
        <w:pageBreakBefore w:val="0"/>
        <w:tabs>
          <w:tab w:val="left" w:pos="562"/>
          <w:tab w:val="left" w:pos="3372"/>
          <w:tab w:val="left" w:pos="3653"/>
        </w:tabs>
        <w:kinsoku/>
        <w:wordWrap/>
        <w:overflowPunct/>
        <w:topLinePunct w:val="0"/>
        <w:autoSpaceDN/>
        <w:bidi w:val="0"/>
        <w:adjustRightInd/>
        <w:snapToGrid/>
        <w:spacing w:line="360" w:lineRule="auto"/>
        <w:textAlignment w:val="auto"/>
        <w:rPr>
          <w:rFonts w:hint="eastAsia" w:ascii="仿宋" w:hAnsi="仿宋" w:eastAsia="仿宋" w:cs="仿宋"/>
          <w:i w:val="0"/>
          <w:caps w:val="0"/>
          <w:color w:val="auto"/>
          <w:spacing w:val="0"/>
          <w:kern w:val="0"/>
          <w:sz w:val="24"/>
          <w:szCs w:val="24"/>
          <w:highlight w:val="none"/>
          <w:lang w:val="en-US" w:eastAsia="zh-CN" w:bidi="ar"/>
        </w:rPr>
      </w:pPr>
      <w:r>
        <w:rPr>
          <w:rFonts w:hint="eastAsia" w:ascii="仿宋" w:hAnsi="仿宋" w:eastAsia="仿宋" w:cs="仿宋"/>
          <w:i w:val="0"/>
          <w:caps w:val="0"/>
          <w:color w:val="auto"/>
          <w:spacing w:val="0"/>
          <w:kern w:val="0"/>
          <w:sz w:val="24"/>
          <w:szCs w:val="24"/>
          <w:highlight w:val="none"/>
          <w:lang w:val="en-US" w:eastAsia="zh-CN" w:bidi="ar"/>
        </w:rPr>
        <w:t>本项目（否）接受联合体投标</w:t>
      </w:r>
    </w:p>
    <w:p w14:paraId="27E3CE06">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bCs/>
          <w:i w:val="0"/>
          <w:caps w:val="0"/>
          <w:color w:val="auto"/>
          <w:spacing w:val="0"/>
          <w:kern w:val="0"/>
          <w:sz w:val="24"/>
          <w:szCs w:val="24"/>
          <w:highlight w:val="none"/>
          <w:lang w:val="en-US" w:eastAsia="zh-CN"/>
        </w:rPr>
      </w:pPr>
      <w:r>
        <w:rPr>
          <w:rFonts w:hint="eastAsia" w:ascii="仿宋" w:hAnsi="仿宋" w:eastAsia="仿宋" w:cs="仿宋"/>
          <w:b/>
          <w:bCs/>
          <w:i w:val="0"/>
          <w:caps w:val="0"/>
          <w:color w:val="auto"/>
          <w:spacing w:val="0"/>
          <w:kern w:val="0"/>
          <w:sz w:val="24"/>
          <w:szCs w:val="24"/>
          <w:highlight w:val="none"/>
          <w:lang w:val="en-US" w:eastAsia="zh-CN"/>
        </w:rPr>
        <w:t>二、申请人的资格要求：</w:t>
      </w:r>
    </w:p>
    <w:p w14:paraId="551F5DD1">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caps w:val="0"/>
          <w:color w:val="auto"/>
          <w:spacing w:val="0"/>
          <w:kern w:val="0"/>
          <w:sz w:val="24"/>
          <w:szCs w:val="24"/>
          <w:highlight w:val="none"/>
        </w:rPr>
      </w:pPr>
      <w:r>
        <w:rPr>
          <w:rFonts w:hint="eastAsia" w:ascii="仿宋" w:hAnsi="仿宋" w:eastAsia="仿宋" w:cs="仿宋"/>
          <w:i w:val="0"/>
          <w:caps w:val="0"/>
          <w:color w:val="auto"/>
          <w:spacing w:val="0"/>
          <w:kern w:val="0"/>
          <w:sz w:val="24"/>
          <w:szCs w:val="24"/>
          <w:highlight w:val="none"/>
        </w:rPr>
        <w:t>1.满足《中华人民共和国政府采购法》第二十二条规定；</w:t>
      </w:r>
    </w:p>
    <w:p w14:paraId="0DBBE849">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12" w:lineRule="auto"/>
        <w:ind w:right="0"/>
        <w:jc w:val="left"/>
        <w:textAlignment w:val="auto"/>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 xml:space="preserve">2.落实政府采购政策需满足的资格要求：本项目为非专门面向中小企业，根据《政府采购促进中小企业发展管理办法》（财库【2020】46号）及（财库[2022]19号）的规定，评标时将给予此类企业进行价格扣除10%的优惠，用优惠后的价格参与评审。 </w:t>
      </w:r>
    </w:p>
    <w:p w14:paraId="31569D5A">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rPr>
        <w:t>3.本项目的特定资格要求：</w:t>
      </w:r>
    </w:p>
    <w:p w14:paraId="1082822A">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1）具备三证合一营业执照；</w:t>
      </w:r>
    </w:p>
    <w:p w14:paraId="1A796E50">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2）法定代表人（负责人）参加提供法定代表人（负责人）证明书，委托代理人参加提供法人代表（负责人）授权委托书；投标银行为非法人机构的，提供上一级银行授权委托书。</w:t>
      </w:r>
    </w:p>
    <w:p w14:paraId="154D5B01">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3）投标企业须提供投标人（被授权人）近6个月任意1个月的社保证明；</w:t>
      </w:r>
    </w:p>
    <w:p w14:paraId="21DAC6F8">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4）未被列入信用中国网（www.creditchina.gov.cn）及中国政府采购网 (www.ccgp.gov.cn）失信被执行人名单、重大税收违法失信主体、政府采购严重违法失信行为记录名单（提供查询结果网页截图并加盖供应商公章）；</w:t>
      </w:r>
    </w:p>
    <w:p w14:paraId="54529DEB">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5）投标企业需提供中国银行业监督管理委员会有效的《中华人民共和国金融许可证》或《金融机构营业许可证》。</w:t>
      </w:r>
    </w:p>
    <w:p w14:paraId="13ACDB7E">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bCs/>
          <w:color w:val="auto"/>
          <w:kern w:val="0"/>
          <w:sz w:val="24"/>
          <w:szCs w:val="24"/>
          <w:highlight w:val="none"/>
          <w:u w:val="none"/>
          <w:lang w:val="en-US" w:eastAsia="zh-CN" w:bidi="ar"/>
        </w:rPr>
      </w:pPr>
      <w:r>
        <w:rPr>
          <w:rFonts w:hint="eastAsia" w:ascii="仿宋" w:hAnsi="仿宋" w:eastAsia="仿宋" w:cs="仿宋"/>
          <w:i w:val="0"/>
          <w:caps w:val="0"/>
          <w:color w:val="auto"/>
          <w:spacing w:val="0"/>
          <w:kern w:val="0"/>
          <w:sz w:val="24"/>
          <w:szCs w:val="24"/>
          <w:highlight w:val="none"/>
          <w:lang w:val="en-US" w:eastAsia="zh-CN"/>
        </w:rPr>
        <w:t xml:space="preserve"> </w:t>
      </w:r>
      <w:r>
        <w:rPr>
          <w:rFonts w:hint="eastAsia" w:ascii="仿宋" w:hAnsi="仿宋" w:eastAsia="仿宋" w:cs="仿宋"/>
          <w:b/>
          <w:bCs/>
          <w:color w:val="auto"/>
          <w:kern w:val="0"/>
          <w:sz w:val="24"/>
          <w:szCs w:val="24"/>
          <w:highlight w:val="none"/>
          <w:u w:val="none"/>
          <w:lang w:val="en-US" w:eastAsia="zh-CN" w:bidi="ar"/>
        </w:rPr>
        <w:t>三、获取磋商文件</w:t>
      </w:r>
    </w:p>
    <w:p w14:paraId="446E06DB">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1.时间：2026年5月12日至2026年5月21日，每天上午10:00至14:00，下午16:00至20：00（北京时间，法定节假日除外）</w:t>
      </w:r>
    </w:p>
    <w:p w14:paraId="39FC0E7E">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2.地点：供应商登陆政采云平台http://www.zcygov.cn/，在线申请获取竞争性磋商文件（登录政府采购云平台 → 项目采购 → 获取竞争性磋商文件，如有操作性问题，可与政采云在线客服进行咨询，咨询电话：95763）。</w:t>
      </w:r>
    </w:p>
    <w:p w14:paraId="76AB1000">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3.方式：（1）线上获取（登录政府采购云平台 → 项目采购 → 获取竞争性磋商文件）。本次招标不提供纸质版竞争性磋商文件。</w:t>
      </w:r>
    </w:p>
    <w:p w14:paraId="778EB0CC">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（2）供应商获取</w:t>
      </w:r>
      <w:r>
        <w:rPr>
          <w:rFonts w:hint="eastAsia" w:ascii="仿宋" w:hAnsi="仿宋" w:eastAsia="仿宋" w:cs="仿宋"/>
          <w:i w:val="0"/>
          <w:caps w:val="0"/>
          <w:color w:val="auto"/>
          <w:spacing w:val="0"/>
          <w:kern w:val="0"/>
          <w:sz w:val="24"/>
          <w:szCs w:val="24"/>
          <w:highlight w:val="none"/>
          <w:lang w:val="en-US" w:eastAsia="zh-CN"/>
        </w:rPr>
        <w:t>竞争性磋商</w:t>
      </w:r>
      <w:r>
        <w:rPr>
          <w:rFonts w:hint="eastAsia" w:ascii="仿宋" w:hAnsi="仿宋" w:eastAsia="仿宋" w:cs="仿宋"/>
          <w:color w:val="auto"/>
          <w:kern w:val="0"/>
          <w:sz w:val="24"/>
          <w:szCs w:val="24"/>
          <w:highlight w:val="none"/>
          <w:u w:val="none"/>
          <w:lang w:val="en-US" w:eastAsia="zh-CN" w:bidi="ar"/>
        </w:rPr>
        <w:t>文件前应注册成为政府采购云平台正式供应商。</w:t>
      </w:r>
    </w:p>
    <w:p w14:paraId="47BC91AE">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2"/>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4、售价（元）：0</w:t>
      </w:r>
    </w:p>
    <w:p w14:paraId="4DDE72F5">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bCs/>
          <w:color w:val="auto"/>
          <w:kern w:val="0"/>
          <w:sz w:val="24"/>
          <w:szCs w:val="24"/>
          <w:u w:val="none"/>
          <w:lang w:val="en-US" w:eastAsia="zh-CN" w:bidi="ar"/>
        </w:rPr>
      </w:pPr>
      <w:r>
        <w:rPr>
          <w:rFonts w:hint="eastAsia" w:ascii="仿宋" w:hAnsi="仿宋" w:eastAsia="仿宋" w:cs="仿宋"/>
          <w:b/>
          <w:bCs/>
          <w:color w:val="auto"/>
          <w:kern w:val="0"/>
          <w:sz w:val="24"/>
          <w:szCs w:val="24"/>
          <w:u w:val="none"/>
          <w:lang w:val="en-US" w:eastAsia="zh-CN" w:bidi="ar"/>
        </w:rPr>
        <w:t>四、响应文件提交</w:t>
      </w:r>
    </w:p>
    <w:p w14:paraId="6B77451D">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val="en-US" w:eastAsia="zh-CN" w:bidi="ar"/>
        </w:rPr>
        <w:t>截止时间：2026年5月22日 10：15 （北京时间）</w:t>
      </w:r>
    </w:p>
    <w:p w14:paraId="38DBF642">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val="en-US" w:eastAsia="zh-CN" w:bidi="ar"/>
        </w:rPr>
        <w:t>地点：政府采购云平台（</w:t>
      </w:r>
      <w:r>
        <w:rPr>
          <w:rFonts w:hint="eastAsia" w:ascii="仿宋" w:hAnsi="仿宋" w:eastAsia="仿宋" w:cs="仿宋"/>
          <w:color w:val="auto"/>
          <w:kern w:val="0"/>
          <w:sz w:val="24"/>
          <w:szCs w:val="24"/>
          <w:u w:val="none"/>
          <w:lang w:val="en-US" w:eastAsia="zh-CN" w:bidi="ar"/>
        </w:rPr>
        <w:fldChar w:fldCharType="begin"/>
      </w:r>
      <w:r>
        <w:rPr>
          <w:rFonts w:hint="eastAsia" w:ascii="仿宋" w:hAnsi="仿宋" w:eastAsia="仿宋" w:cs="仿宋"/>
          <w:color w:val="auto"/>
          <w:kern w:val="0"/>
          <w:sz w:val="24"/>
          <w:szCs w:val="24"/>
          <w:u w:val="none"/>
          <w:lang w:val="en-US" w:eastAsia="zh-CN" w:bidi="ar"/>
        </w:rPr>
        <w:instrText xml:space="preserve"> HYPERLINK "http://www.zcygov.cn/" </w:instrText>
      </w:r>
      <w:r>
        <w:rPr>
          <w:rFonts w:hint="eastAsia" w:ascii="仿宋" w:hAnsi="仿宋" w:eastAsia="仿宋" w:cs="仿宋"/>
          <w:color w:val="auto"/>
          <w:kern w:val="0"/>
          <w:sz w:val="24"/>
          <w:szCs w:val="24"/>
          <w:u w:val="none"/>
          <w:lang w:val="en-US" w:eastAsia="zh-CN" w:bidi="ar"/>
        </w:rPr>
        <w:fldChar w:fldCharType="separate"/>
      </w:r>
      <w:r>
        <w:rPr>
          <w:rFonts w:hint="eastAsia" w:ascii="仿宋" w:hAnsi="仿宋" w:eastAsia="仿宋" w:cs="仿宋"/>
          <w:color w:val="auto"/>
          <w:kern w:val="0"/>
          <w:sz w:val="24"/>
          <w:szCs w:val="24"/>
          <w:u w:val="none"/>
          <w:lang w:val="en-US" w:eastAsia="zh-CN" w:bidi="ar"/>
        </w:rPr>
        <w:t>www.zcygov.cn</w:t>
      </w:r>
      <w:r>
        <w:rPr>
          <w:rFonts w:hint="eastAsia" w:ascii="仿宋" w:hAnsi="仿宋" w:eastAsia="仿宋" w:cs="仿宋"/>
          <w:color w:val="auto"/>
          <w:kern w:val="0"/>
          <w:sz w:val="24"/>
          <w:szCs w:val="24"/>
          <w:u w:val="none"/>
          <w:lang w:val="en-US" w:eastAsia="zh-CN" w:bidi="ar"/>
        </w:rPr>
        <w:fldChar w:fldCharType="end"/>
      </w:r>
      <w:r>
        <w:rPr>
          <w:rFonts w:hint="eastAsia" w:ascii="仿宋" w:hAnsi="仿宋" w:eastAsia="仿宋" w:cs="仿宋"/>
          <w:color w:val="auto"/>
          <w:kern w:val="0"/>
          <w:sz w:val="24"/>
          <w:szCs w:val="24"/>
          <w:u w:val="none"/>
          <w:lang w:val="en-US" w:eastAsia="zh-CN" w:bidi="ar"/>
        </w:rPr>
        <w:t>）</w:t>
      </w:r>
    </w:p>
    <w:p w14:paraId="51B567E2">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bCs/>
          <w:color w:val="auto"/>
          <w:kern w:val="0"/>
          <w:sz w:val="24"/>
          <w:szCs w:val="24"/>
          <w:u w:val="none"/>
          <w:lang w:val="en-US" w:eastAsia="zh-CN" w:bidi="ar"/>
        </w:rPr>
      </w:pPr>
      <w:r>
        <w:rPr>
          <w:rFonts w:hint="eastAsia" w:ascii="仿宋" w:hAnsi="仿宋" w:eastAsia="仿宋" w:cs="仿宋"/>
          <w:b/>
          <w:bCs/>
          <w:color w:val="auto"/>
          <w:kern w:val="0"/>
          <w:sz w:val="24"/>
          <w:szCs w:val="24"/>
          <w:u w:val="none"/>
          <w:lang w:val="en-US" w:eastAsia="zh-CN" w:bidi="ar"/>
        </w:rPr>
        <w:t>五、响应文件开启</w:t>
      </w:r>
    </w:p>
    <w:p w14:paraId="704352F5">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val="en-US" w:eastAsia="zh-CN" w:bidi="ar"/>
        </w:rPr>
        <w:t>开启时间：2026年 5 月22日 10：15 （北京时间）</w:t>
      </w:r>
    </w:p>
    <w:p w14:paraId="78161C9E">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caps w:val="0"/>
          <w:color w:val="auto"/>
          <w:spacing w:val="0"/>
          <w:kern w:val="0"/>
          <w:sz w:val="24"/>
          <w:szCs w:val="24"/>
        </w:rPr>
      </w:pPr>
      <w:r>
        <w:rPr>
          <w:rFonts w:hint="eastAsia" w:ascii="仿宋" w:hAnsi="仿宋" w:eastAsia="仿宋" w:cs="仿宋"/>
          <w:i w:val="0"/>
          <w:caps w:val="0"/>
          <w:color w:val="auto"/>
          <w:spacing w:val="0"/>
          <w:kern w:val="0"/>
          <w:sz w:val="24"/>
          <w:szCs w:val="24"/>
        </w:rPr>
        <w:t>地点：在政府采购云平台（</w:t>
      </w:r>
      <w:r>
        <w:rPr>
          <w:rFonts w:hint="eastAsia" w:ascii="仿宋" w:hAnsi="仿宋" w:eastAsia="仿宋" w:cs="仿宋"/>
          <w:i w:val="0"/>
          <w:caps w:val="0"/>
          <w:color w:val="auto"/>
          <w:spacing w:val="0"/>
          <w:kern w:val="0"/>
          <w:sz w:val="24"/>
          <w:szCs w:val="24"/>
        </w:rPr>
        <w:fldChar w:fldCharType="begin"/>
      </w:r>
      <w:r>
        <w:rPr>
          <w:rFonts w:hint="eastAsia" w:ascii="仿宋" w:hAnsi="仿宋" w:eastAsia="仿宋" w:cs="仿宋"/>
          <w:i w:val="0"/>
          <w:caps w:val="0"/>
          <w:color w:val="auto"/>
          <w:spacing w:val="0"/>
          <w:kern w:val="0"/>
          <w:sz w:val="24"/>
          <w:szCs w:val="24"/>
        </w:rPr>
        <w:instrText xml:space="preserve"> HYPERLINK "http://www.zcygov.cn/" </w:instrText>
      </w:r>
      <w:r>
        <w:rPr>
          <w:rFonts w:hint="eastAsia" w:ascii="仿宋" w:hAnsi="仿宋" w:eastAsia="仿宋" w:cs="仿宋"/>
          <w:i w:val="0"/>
          <w:caps w:val="0"/>
          <w:color w:val="auto"/>
          <w:spacing w:val="0"/>
          <w:kern w:val="0"/>
          <w:sz w:val="24"/>
          <w:szCs w:val="24"/>
        </w:rPr>
        <w:fldChar w:fldCharType="separate"/>
      </w:r>
      <w:r>
        <w:rPr>
          <w:rFonts w:hint="eastAsia" w:ascii="仿宋" w:hAnsi="仿宋" w:eastAsia="仿宋" w:cs="仿宋"/>
          <w:i w:val="0"/>
          <w:caps w:val="0"/>
          <w:color w:val="auto"/>
          <w:spacing w:val="0"/>
          <w:kern w:val="0"/>
          <w:sz w:val="24"/>
          <w:szCs w:val="24"/>
        </w:rPr>
        <w:t>www.zcygov.cn</w:t>
      </w:r>
      <w:r>
        <w:rPr>
          <w:rFonts w:hint="eastAsia" w:ascii="仿宋" w:hAnsi="仿宋" w:eastAsia="仿宋" w:cs="仿宋"/>
          <w:i w:val="0"/>
          <w:caps w:val="0"/>
          <w:color w:val="auto"/>
          <w:spacing w:val="0"/>
          <w:kern w:val="0"/>
          <w:sz w:val="24"/>
          <w:szCs w:val="24"/>
        </w:rPr>
        <w:fldChar w:fldCharType="end"/>
      </w:r>
      <w:r>
        <w:rPr>
          <w:rFonts w:hint="eastAsia" w:ascii="仿宋" w:hAnsi="仿宋" w:eastAsia="仿宋" w:cs="仿宋"/>
          <w:i w:val="0"/>
          <w:caps w:val="0"/>
          <w:color w:val="auto"/>
          <w:spacing w:val="0"/>
          <w:kern w:val="0"/>
          <w:sz w:val="24"/>
          <w:szCs w:val="24"/>
        </w:rPr>
        <w:t>）上开启</w:t>
      </w:r>
      <w:r>
        <w:rPr>
          <w:rFonts w:hint="eastAsia" w:ascii="仿宋" w:hAnsi="仿宋" w:eastAsia="仿宋" w:cs="仿宋"/>
          <w:i w:val="0"/>
          <w:caps w:val="0"/>
          <w:color w:val="auto"/>
          <w:spacing w:val="0"/>
          <w:kern w:val="0"/>
          <w:sz w:val="24"/>
          <w:szCs w:val="24"/>
          <w:lang w:val="en-US" w:eastAsia="zh-CN"/>
        </w:rPr>
        <w:t>响应</w:t>
      </w:r>
      <w:r>
        <w:rPr>
          <w:rFonts w:hint="eastAsia" w:ascii="仿宋" w:hAnsi="仿宋" w:eastAsia="仿宋" w:cs="仿宋"/>
          <w:i w:val="0"/>
          <w:caps w:val="0"/>
          <w:color w:val="auto"/>
          <w:spacing w:val="0"/>
          <w:kern w:val="0"/>
          <w:sz w:val="24"/>
          <w:szCs w:val="24"/>
        </w:rPr>
        <w:t>文件</w:t>
      </w:r>
      <w:r>
        <w:rPr>
          <w:rFonts w:hint="eastAsia" w:ascii="仿宋" w:hAnsi="仿宋" w:eastAsia="仿宋" w:cs="仿宋"/>
          <w:i w:val="0"/>
          <w:caps w:val="0"/>
          <w:color w:val="auto"/>
          <w:spacing w:val="0"/>
          <w:kern w:val="0"/>
          <w:sz w:val="24"/>
          <w:szCs w:val="24"/>
          <w:lang w:eastAsia="zh-CN"/>
        </w:rPr>
        <w:t>，</w:t>
      </w:r>
      <w:r>
        <w:rPr>
          <w:rFonts w:hint="eastAsia" w:ascii="仿宋" w:hAnsi="仿宋" w:eastAsia="仿宋" w:cs="仿宋"/>
          <w:i w:val="0"/>
          <w:caps w:val="0"/>
          <w:color w:val="auto"/>
          <w:spacing w:val="0"/>
          <w:kern w:val="0"/>
          <w:sz w:val="24"/>
          <w:szCs w:val="24"/>
          <w:lang w:val="en-US" w:eastAsia="zh-CN"/>
        </w:rPr>
        <w:t>开标时间后，待采购组织机构发出解密通知后30分钟内，供应商须登录“政采云”平台，用“项目采购-开标评标”功能解密响应文件。</w:t>
      </w:r>
    </w:p>
    <w:p w14:paraId="08C6DCB9">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bCs/>
          <w:color w:val="auto"/>
          <w:kern w:val="0"/>
          <w:sz w:val="24"/>
          <w:szCs w:val="24"/>
          <w:highlight w:val="none"/>
          <w:u w:val="none"/>
          <w:lang w:val="en-US" w:eastAsia="zh-CN" w:bidi="ar"/>
        </w:rPr>
      </w:pPr>
      <w:r>
        <w:rPr>
          <w:rFonts w:hint="eastAsia" w:ascii="仿宋" w:hAnsi="仿宋" w:eastAsia="仿宋" w:cs="仿宋"/>
          <w:b/>
          <w:bCs/>
          <w:color w:val="auto"/>
          <w:kern w:val="0"/>
          <w:sz w:val="24"/>
          <w:szCs w:val="24"/>
          <w:highlight w:val="none"/>
          <w:u w:val="none"/>
          <w:lang w:val="en-US" w:eastAsia="zh-CN" w:bidi="ar"/>
        </w:rPr>
        <w:t>六、公告期限</w:t>
      </w:r>
    </w:p>
    <w:p w14:paraId="41E954F1">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自本公告发布之日3个工作日</w:t>
      </w:r>
    </w:p>
    <w:p w14:paraId="12972447">
      <w:pPr>
        <w:numPr>
          <w:ilvl w:val="0"/>
          <w:numId w:val="5"/>
        </w:numPr>
        <w:shd w:val="clear" w:color="auto" w:fill="auto"/>
        <w:spacing w:line="360" w:lineRule="auto"/>
        <w:jc w:val="left"/>
        <w:rPr>
          <w:rFonts w:hint="eastAsia" w:ascii="仿宋" w:hAnsi="仿宋" w:eastAsia="仿宋" w:cs="仿宋"/>
          <w:b/>
          <w:bCs/>
          <w:color w:val="auto"/>
          <w:kern w:val="0"/>
          <w:sz w:val="24"/>
          <w:szCs w:val="24"/>
          <w:highlight w:val="none"/>
          <w:u w:val="none"/>
          <w:lang w:val="en-US" w:eastAsia="zh-CN" w:bidi="ar"/>
        </w:rPr>
      </w:pPr>
      <w:r>
        <w:rPr>
          <w:rFonts w:hint="eastAsia" w:ascii="仿宋" w:hAnsi="仿宋" w:eastAsia="仿宋" w:cs="仿宋"/>
          <w:b/>
          <w:bCs/>
          <w:color w:val="auto"/>
          <w:kern w:val="0"/>
          <w:sz w:val="24"/>
          <w:szCs w:val="24"/>
          <w:highlight w:val="none"/>
          <w:u w:val="none"/>
          <w:lang w:val="en-US" w:eastAsia="zh-CN" w:bidi="ar"/>
        </w:rPr>
        <w:t>其他补充事宜</w:t>
      </w:r>
    </w:p>
    <w:p w14:paraId="783B3F65">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1、本项目实行网上投标，采用电子投标文件。</w:t>
      </w:r>
    </w:p>
    <w:p w14:paraId="75DB6B5F">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6CCABFF7">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3、供应商将政采云电子交易客户端下载、安装完成后，可通过账号密码或CA登录客户端进行投标文件的制作。在使用政采云投标客户端时，建议使用WIN7及以上操作系统。</w:t>
      </w:r>
    </w:p>
    <w:p w14:paraId="2DCF29B5">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4、其他事项：/</w:t>
      </w:r>
    </w:p>
    <w:p w14:paraId="20CDC1F0">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特别提示：</w:t>
      </w:r>
    </w:p>
    <w:p w14:paraId="4D15238C">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1、采购限额标准以上，200万元以下的货物和服务采购项目、400万元以下的工程采购项目，适宜由中小企业提供的，采购人应当专门面向中小企业采购。</w:t>
      </w:r>
    </w:p>
    <w:p w14:paraId="59E28D3F">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2、超过200万元的货物和服务采购项目，预留该部分采购项目预算总额的30%以上专门面向中小企业采购，其中预留给小微企业的比例不低于60%。</w:t>
      </w:r>
    </w:p>
    <w:p w14:paraId="0E8535B2">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3、超过400万元的工程采购项目中适宜由中小企业提供的，预留该部分采购项目预算总额的40%以上专门面向中小企业采购，其中预留给小微企业的比例不低于60%。</w:t>
      </w:r>
    </w:p>
    <w:p w14:paraId="0F5E7D98">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8BB7ACA">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b w:val="0"/>
          <w:bCs w:val="0"/>
          <w:color w:val="auto"/>
          <w:kern w:val="0"/>
          <w:sz w:val="24"/>
          <w:szCs w:val="24"/>
          <w:highlight w:val="none"/>
          <w:u w:val="none"/>
          <w:lang w:val="en-US" w:eastAsia="zh-CN" w:bidi="ar"/>
        </w:rPr>
      </w:pPr>
      <w:r>
        <w:rPr>
          <w:rFonts w:hint="eastAsia" w:ascii="仿宋" w:hAnsi="仿宋" w:eastAsia="仿宋" w:cs="仿宋"/>
          <w:b w:val="0"/>
          <w:bCs w:val="0"/>
          <w:color w:val="auto"/>
          <w:kern w:val="0"/>
          <w:sz w:val="24"/>
          <w:szCs w:val="24"/>
          <w:highlight w:val="none"/>
          <w:u w:val="none"/>
          <w:lang w:val="en-US" w:eastAsia="zh-CN" w:bidi="ar"/>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8AB49AB">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b/>
          <w:bCs/>
          <w:color w:val="auto"/>
          <w:kern w:val="0"/>
          <w:sz w:val="24"/>
          <w:szCs w:val="24"/>
          <w:highlight w:val="none"/>
          <w:u w:val="none"/>
          <w:lang w:val="en-US" w:eastAsia="zh-CN" w:bidi="ar"/>
        </w:rPr>
        <w:t xml:space="preserve">八、对本次采购提出询问，请按以下方式联系 </w:t>
      </w:r>
      <w:r>
        <w:rPr>
          <w:rFonts w:hint="eastAsia" w:ascii="仿宋" w:hAnsi="仿宋" w:eastAsia="仿宋" w:cs="仿宋"/>
          <w:color w:val="auto"/>
          <w:kern w:val="0"/>
          <w:sz w:val="24"/>
          <w:szCs w:val="24"/>
          <w:highlight w:val="none"/>
          <w:u w:val="none"/>
          <w:lang w:val="en-US" w:eastAsia="zh-CN" w:bidi="ar"/>
        </w:rPr>
        <w:t xml:space="preserve">        </w:t>
      </w:r>
    </w:p>
    <w:p w14:paraId="31BF3625">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2"/>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1.采购人信息</w:t>
      </w:r>
    </w:p>
    <w:p w14:paraId="357A00C4">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 xml:space="preserve">名    称： 阿图什市财政局    </w:t>
      </w:r>
    </w:p>
    <w:p w14:paraId="5C14BC2D">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FF0000"/>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地    址： 阿图什市迎宾路</w:t>
      </w:r>
    </w:p>
    <w:p w14:paraId="48787BD1">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 xml:space="preserve">项目联系人：张女士        </w:t>
      </w:r>
    </w:p>
    <w:p w14:paraId="3299ABEC">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项目联系方式：18199720299</w:t>
      </w:r>
    </w:p>
    <w:p w14:paraId="2DE9B08E">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2"/>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2.采购代理机构信息</w:t>
      </w:r>
    </w:p>
    <w:p w14:paraId="66DAFBB1">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 xml:space="preserve">名    称：新疆融联通达工程项目管理有限公司    </w:t>
      </w:r>
    </w:p>
    <w:p w14:paraId="3CDEF05A">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default"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地    址：阿图什市友谊北路23号</w:t>
      </w:r>
    </w:p>
    <w:p w14:paraId="26DD8C60">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 xml:space="preserve">联 系 人：黄女士          </w:t>
      </w:r>
    </w:p>
    <w:p w14:paraId="47DAF141">
      <w:pPr>
        <w:pStyle w:val="22"/>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rPr>
          <w:rFonts w:hint="eastAsia" w:ascii="仿宋" w:hAnsi="仿宋" w:eastAsia="仿宋" w:cs="仿宋"/>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项目联系方式：17609081174</w:t>
      </w:r>
    </w:p>
    <w:p w14:paraId="5DAA3E78">
      <w:pPr>
        <w:spacing w:line="360" w:lineRule="auto"/>
        <w:rPr>
          <w:rFonts w:hint="eastAsia" w:ascii="仿宋" w:hAnsi="仿宋" w:eastAsia="仿宋" w:cs="仿宋"/>
          <w:sz w:val="24"/>
          <w:szCs w:val="24"/>
        </w:rPr>
      </w:pPr>
    </w:p>
    <w:p w14:paraId="1814C8B3">
      <w:pPr>
        <w:spacing w:line="500" w:lineRule="exact"/>
        <w:jc w:val="center"/>
        <w:outlineLvl w:val="0"/>
        <w:rPr>
          <w:rFonts w:hint="eastAsia" w:ascii="仿宋" w:hAnsi="仿宋" w:eastAsia="仿宋" w:cs="仿宋"/>
          <w:b/>
          <w:sz w:val="24"/>
          <w:szCs w:val="24"/>
          <w:highlight w:val="none"/>
        </w:rPr>
      </w:pPr>
    </w:p>
    <w:p w14:paraId="54801AE3">
      <w:pPr>
        <w:spacing w:line="500" w:lineRule="exact"/>
        <w:jc w:val="center"/>
        <w:outlineLvl w:val="0"/>
        <w:rPr>
          <w:rFonts w:hint="eastAsia" w:ascii="仿宋" w:hAnsi="仿宋" w:eastAsia="仿宋" w:cs="仿宋"/>
          <w:b/>
          <w:sz w:val="24"/>
          <w:szCs w:val="24"/>
          <w:highlight w:val="none"/>
        </w:rPr>
      </w:pPr>
    </w:p>
    <w:p w14:paraId="1CA62DA7">
      <w:pPr>
        <w:spacing w:line="500" w:lineRule="exact"/>
        <w:jc w:val="center"/>
        <w:outlineLvl w:val="0"/>
        <w:rPr>
          <w:rFonts w:hint="eastAsia" w:ascii="仿宋" w:hAnsi="仿宋" w:eastAsia="仿宋" w:cs="仿宋"/>
          <w:b/>
          <w:sz w:val="24"/>
          <w:szCs w:val="24"/>
          <w:highlight w:val="none"/>
        </w:rPr>
      </w:pPr>
    </w:p>
    <w:p w14:paraId="27E2F22A">
      <w:pPr>
        <w:spacing w:line="500" w:lineRule="exact"/>
        <w:jc w:val="center"/>
        <w:outlineLvl w:val="0"/>
        <w:rPr>
          <w:rFonts w:hint="eastAsia" w:ascii="仿宋" w:hAnsi="仿宋" w:eastAsia="仿宋" w:cs="仿宋"/>
          <w:b/>
          <w:sz w:val="24"/>
          <w:szCs w:val="24"/>
          <w:highlight w:val="none"/>
        </w:rPr>
      </w:pPr>
    </w:p>
    <w:p w14:paraId="6B65AB0B">
      <w:pPr>
        <w:spacing w:line="500" w:lineRule="exact"/>
        <w:jc w:val="center"/>
        <w:outlineLvl w:val="0"/>
        <w:rPr>
          <w:rFonts w:hint="eastAsia" w:ascii="仿宋" w:hAnsi="仿宋" w:eastAsia="仿宋" w:cs="仿宋"/>
          <w:b/>
          <w:sz w:val="24"/>
          <w:szCs w:val="24"/>
          <w:highlight w:val="none"/>
        </w:rPr>
      </w:pPr>
    </w:p>
    <w:p w14:paraId="5E127E04">
      <w:pPr>
        <w:spacing w:line="500" w:lineRule="exact"/>
        <w:jc w:val="center"/>
        <w:outlineLvl w:val="0"/>
        <w:rPr>
          <w:rFonts w:hint="eastAsia" w:ascii="仿宋" w:hAnsi="仿宋" w:eastAsia="仿宋" w:cs="仿宋"/>
          <w:b/>
          <w:sz w:val="24"/>
          <w:szCs w:val="24"/>
          <w:highlight w:val="none"/>
        </w:rPr>
      </w:pPr>
    </w:p>
    <w:p w14:paraId="7A168A76">
      <w:pPr>
        <w:spacing w:line="500" w:lineRule="exact"/>
        <w:jc w:val="center"/>
        <w:outlineLvl w:val="0"/>
        <w:rPr>
          <w:rFonts w:hint="eastAsia" w:ascii="仿宋" w:hAnsi="仿宋" w:eastAsia="仿宋" w:cs="仿宋"/>
          <w:b/>
          <w:sz w:val="24"/>
          <w:szCs w:val="24"/>
          <w:highlight w:val="none"/>
        </w:rPr>
      </w:pPr>
    </w:p>
    <w:p w14:paraId="4D5BAF8E">
      <w:pPr>
        <w:spacing w:line="500" w:lineRule="exact"/>
        <w:jc w:val="center"/>
        <w:outlineLvl w:val="0"/>
        <w:rPr>
          <w:rFonts w:hint="eastAsia" w:ascii="仿宋" w:hAnsi="仿宋" w:eastAsia="仿宋" w:cs="仿宋"/>
          <w:b/>
          <w:sz w:val="24"/>
          <w:szCs w:val="24"/>
          <w:highlight w:val="none"/>
        </w:rPr>
      </w:pPr>
    </w:p>
    <w:p w14:paraId="22520BD1">
      <w:pPr>
        <w:spacing w:line="500" w:lineRule="exact"/>
        <w:jc w:val="center"/>
        <w:outlineLvl w:val="0"/>
        <w:rPr>
          <w:rFonts w:hint="eastAsia" w:ascii="仿宋" w:hAnsi="仿宋" w:eastAsia="仿宋" w:cs="仿宋"/>
          <w:b/>
          <w:sz w:val="24"/>
          <w:szCs w:val="24"/>
          <w:highlight w:val="none"/>
        </w:rPr>
      </w:pPr>
    </w:p>
    <w:p w14:paraId="472BDDA2">
      <w:pPr>
        <w:rPr>
          <w:rFonts w:hint="eastAsia" w:ascii="仿宋" w:hAnsi="仿宋" w:eastAsia="仿宋" w:cs="仿宋"/>
          <w:b/>
          <w:sz w:val="24"/>
          <w:szCs w:val="24"/>
          <w:highlight w:val="none"/>
        </w:rPr>
      </w:pPr>
    </w:p>
    <w:p w14:paraId="6CE043C9">
      <w:pPr>
        <w:pStyle w:val="18"/>
        <w:rPr>
          <w:rFonts w:hint="eastAsia"/>
        </w:rPr>
      </w:pPr>
    </w:p>
    <w:p w14:paraId="7D40D56C">
      <w:pPr>
        <w:spacing w:line="500" w:lineRule="exact"/>
        <w:jc w:val="center"/>
        <w:outlineLvl w:val="0"/>
        <w:rPr>
          <w:rFonts w:hint="eastAsia" w:ascii="仿宋" w:hAnsi="仿宋" w:eastAsia="仿宋" w:cs="仿宋"/>
          <w:b/>
          <w:sz w:val="24"/>
          <w:szCs w:val="24"/>
          <w:highlight w:val="none"/>
        </w:rPr>
      </w:pPr>
      <w:bookmarkStart w:id="5" w:name="_Toc20754"/>
      <w:bookmarkStart w:id="6" w:name="_Toc9601"/>
    </w:p>
    <w:p w14:paraId="1E18ECB9">
      <w:pPr>
        <w:spacing w:line="500" w:lineRule="exact"/>
        <w:jc w:val="center"/>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第二章 投标人须知</w:t>
      </w:r>
      <w:bookmarkEnd w:id="4"/>
      <w:bookmarkEnd w:id="5"/>
      <w:bookmarkEnd w:id="6"/>
    </w:p>
    <w:p w14:paraId="76E79A11">
      <w:pPr>
        <w:snapToGrid w:val="0"/>
        <w:spacing w:line="500" w:lineRule="exact"/>
        <w:jc w:val="center"/>
        <w:outlineLvl w:val="1"/>
        <w:rPr>
          <w:rFonts w:hint="eastAsia" w:ascii="仿宋" w:hAnsi="仿宋" w:eastAsia="仿宋" w:cs="仿宋"/>
          <w:b/>
          <w:sz w:val="24"/>
          <w:szCs w:val="24"/>
          <w:highlight w:val="none"/>
        </w:rPr>
      </w:pPr>
      <w:bookmarkStart w:id="7" w:name="_Toc10192"/>
      <w:bookmarkStart w:id="8" w:name="_Toc9700"/>
      <w:bookmarkStart w:id="9" w:name="_Toc26232"/>
      <w:r>
        <w:rPr>
          <w:rFonts w:hint="eastAsia" w:ascii="仿宋" w:hAnsi="仿宋" w:eastAsia="仿宋" w:cs="仿宋"/>
          <w:b/>
          <w:sz w:val="24"/>
          <w:szCs w:val="24"/>
          <w:highlight w:val="none"/>
        </w:rPr>
        <w:t>一、投标人须知前附表</w:t>
      </w:r>
      <w:bookmarkEnd w:id="7"/>
      <w:bookmarkEnd w:id="8"/>
      <w:bookmarkEnd w:id="9"/>
    </w:p>
    <w:tbl>
      <w:tblPr>
        <w:tblStyle w:val="25"/>
        <w:tblW w:w="4887"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96"/>
        <w:gridCol w:w="1547"/>
        <w:gridCol w:w="7911"/>
      </w:tblGrid>
      <w:tr w14:paraId="3830FE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249" w:type="pct"/>
            <w:vAlign w:val="center"/>
          </w:tcPr>
          <w:p w14:paraId="1C3291C5">
            <w:pPr>
              <w:pStyle w:val="12"/>
              <w:snapToGrid w:val="0"/>
              <w:spacing w:line="290" w:lineRule="exact"/>
              <w:ind w:left="-94" w:leftChars="-45" w:right="-81" w:rightChars="-39"/>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777" w:type="pct"/>
            <w:vAlign w:val="center"/>
          </w:tcPr>
          <w:p w14:paraId="7A5490DF">
            <w:pPr>
              <w:pStyle w:val="12"/>
              <w:snapToGrid w:val="0"/>
              <w:spacing w:line="29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内容</w:t>
            </w:r>
          </w:p>
        </w:tc>
        <w:tc>
          <w:tcPr>
            <w:tcW w:w="3973" w:type="pct"/>
            <w:vAlign w:val="center"/>
          </w:tcPr>
          <w:p w14:paraId="3EAFC1E9">
            <w:pPr>
              <w:pStyle w:val="12"/>
              <w:snapToGrid w:val="0"/>
              <w:spacing w:line="29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说明与要求</w:t>
            </w:r>
          </w:p>
        </w:tc>
      </w:tr>
      <w:tr w14:paraId="29BD33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249" w:type="pct"/>
            <w:vAlign w:val="center"/>
          </w:tcPr>
          <w:p w14:paraId="75C1D6C9">
            <w:pPr>
              <w:pStyle w:val="12"/>
              <w:snapToGrid w:val="0"/>
              <w:spacing w:line="2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77" w:type="pct"/>
            <w:vAlign w:val="center"/>
          </w:tcPr>
          <w:p w14:paraId="791DECDB">
            <w:pPr>
              <w:widowControl/>
              <w:spacing w:line="290" w:lineRule="exact"/>
              <w:jc w:val="left"/>
              <w:rPr>
                <w:rFonts w:hint="eastAsia" w:ascii="仿宋" w:hAnsi="仿宋" w:eastAsia="仿宋" w:cs="仿宋"/>
                <w:b/>
                <w:bCs/>
                <w:i w:val="0"/>
                <w:iCs w:val="0"/>
                <w:sz w:val="24"/>
                <w:szCs w:val="24"/>
                <w:highlight w:val="none"/>
              </w:rPr>
            </w:pPr>
            <w:r>
              <w:rPr>
                <w:rFonts w:hint="eastAsia" w:ascii="仿宋" w:hAnsi="仿宋" w:eastAsia="仿宋" w:cs="仿宋"/>
                <w:b/>
                <w:bCs/>
                <w:i w:val="0"/>
                <w:iCs w:val="0"/>
                <w:sz w:val="24"/>
                <w:szCs w:val="24"/>
                <w:highlight w:val="none"/>
              </w:rPr>
              <w:t>项目名称</w:t>
            </w:r>
          </w:p>
          <w:p w14:paraId="4926FF6B">
            <w:pPr>
              <w:widowControl/>
              <w:spacing w:line="290" w:lineRule="exact"/>
              <w:jc w:val="left"/>
              <w:rPr>
                <w:rFonts w:hint="eastAsia" w:ascii="仿宋" w:hAnsi="仿宋" w:eastAsia="仿宋" w:cs="仿宋"/>
                <w:b/>
                <w:bCs/>
                <w:i w:val="0"/>
                <w:iCs w:val="0"/>
                <w:sz w:val="24"/>
                <w:szCs w:val="24"/>
                <w:highlight w:val="none"/>
              </w:rPr>
            </w:pPr>
            <w:r>
              <w:rPr>
                <w:rFonts w:hint="eastAsia" w:ascii="仿宋" w:hAnsi="仿宋" w:eastAsia="仿宋" w:cs="仿宋"/>
                <w:b/>
                <w:bCs/>
                <w:i w:val="0"/>
                <w:iCs w:val="0"/>
                <w:sz w:val="24"/>
                <w:szCs w:val="24"/>
                <w:highlight w:val="none"/>
              </w:rPr>
              <w:t>项目编号</w:t>
            </w:r>
          </w:p>
          <w:p w14:paraId="3CF78392">
            <w:pPr>
              <w:widowControl/>
              <w:spacing w:line="290" w:lineRule="exact"/>
              <w:jc w:val="left"/>
              <w:rPr>
                <w:rFonts w:hint="eastAsia" w:ascii="仿宋" w:hAnsi="仿宋" w:eastAsia="仿宋" w:cs="仿宋"/>
                <w:b/>
                <w:bCs/>
                <w:i w:val="0"/>
                <w:iCs w:val="0"/>
                <w:sz w:val="24"/>
                <w:szCs w:val="24"/>
                <w:highlight w:val="none"/>
              </w:rPr>
            </w:pPr>
            <w:r>
              <w:rPr>
                <w:rFonts w:hint="eastAsia" w:ascii="仿宋" w:hAnsi="仿宋" w:eastAsia="仿宋" w:cs="仿宋"/>
                <w:b/>
                <w:bCs/>
                <w:i w:val="0"/>
                <w:iCs w:val="0"/>
                <w:sz w:val="24"/>
                <w:szCs w:val="24"/>
                <w:highlight w:val="none"/>
              </w:rPr>
              <w:t>采购内容</w:t>
            </w:r>
          </w:p>
          <w:p w14:paraId="54C2333D">
            <w:pPr>
              <w:widowControl/>
              <w:spacing w:line="290" w:lineRule="exact"/>
              <w:jc w:val="left"/>
              <w:rPr>
                <w:rFonts w:hint="eastAsia" w:ascii="仿宋" w:hAnsi="仿宋" w:eastAsia="仿宋" w:cs="仿宋"/>
                <w:sz w:val="24"/>
                <w:szCs w:val="24"/>
                <w:highlight w:val="none"/>
                <w:lang w:val="en-US" w:eastAsia="zh-CN"/>
              </w:rPr>
            </w:pPr>
            <w:r>
              <w:rPr>
                <w:rFonts w:hint="eastAsia" w:ascii="仿宋" w:hAnsi="仿宋" w:eastAsia="仿宋" w:cs="仿宋"/>
                <w:b/>
                <w:bCs/>
                <w:i w:val="0"/>
                <w:iCs w:val="0"/>
                <w:sz w:val="24"/>
                <w:szCs w:val="24"/>
                <w:highlight w:val="none"/>
                <w:lang w:val="en-US" w:eastAsia="zh-CN"/>
              </w:rPr>
              <w:t>服务期</w:t>
            </w:r>
          </w:p>
        </w:tc>
        <w:tc>
          <w:tcPr>
            <w:tcW w:w="3973" w:type="pct"/>
            <w:vAlign w:val="center"/>
          </w:tcPr>
          <w:p w14:paraId="31090AFE">
            <w:pPr>
              <w:widowControl/>
              <w:spacing w:line="29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2026年阿图什市机关事业单位基本养老保险保值增值定期存款项目（第二期）（二次）</w:t>
            </w:r>
          </w:p>
          <w:p w14:paraId="78ACB236">
            <w:pPr>
              <w:widowControl/>
              <w:spacing w:line="29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ATSJYZX-CG-2026</w:t>
            </w:r>
            <w:r>
              <w:rPr>
                <w:rFonts w:hint="eastAsia" w:ascii="仿宋" w:hAnsi="仿宋" w:eastAsia="仿宋" w:cs="仿宋"/>
                <w:sz w:val="24"/>
                <w:szCs w:val="24"/>
                <w:highlight w:val="none"/>
                <w:lang w:val="en-US" w:eastAsia="zh-CN"/>
              </w:rPr>
              <w:t xml:space="preserve"> </w:t>
            </w:r>
          </w:p>
          <w:p w14:paraId="1E97AB47">
            <w:pPr>
              <w:widowControl/>
              <w:spacing w:line="290" w:lineRule="exact"/>
              <w:rPr>
                <w:rFonts w:hint="eastAsia" w:ascii="仿宋" w:hAnsi="仿宋" w:eastAsia="仿宋" w:cs="仿宋"/>
                <w:color w:val="FF0000"/>
                <w:sz w:val="24"/>
                <w:szCs w:val="24"/>
                <w:highlight w:val="none"/>
                <w:lang w:eastAsia="zh-CN"/>
              </w:rPr>
            </w:pPr>
            <w:r>
              <w:rPr>
                <w:rFonts w:hint="eastAsia" w:ascii="仿宋" w:hAnsi="仿宋" w:eastAsia="仿宋" w:cs="仿宋"/>
                <w:sz w:val="24"/>
                <w:szCs w:val="24"/>
                <w:highlight w:val="none"/>
              </w:rPr>
              <w:t>采购内容：养老保险保值增值定期存款服务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（具体详见磋商文件服务内容及要求）</w:t>
            </w:r>
          </w:p>
          <w:p w14:paraId="1D13C6FA">
            <w:pPr>
              <w:widowControl/>
              <w:spacing w:line="29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服务期：定期存款12个月（从资金到位之日起算）</w:t>
            </w:r>
          </w:p>
        </w:tc>
      </w:tr>
      <w:tr w14:paraId="091372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249" w:type="pct"/>
            <w:vAlign w:val="center"/>
          </w:tcPr>
          <w:p w14:paraId="5C03103C">
            <w:pPr>
              <w:pStyle w:val="12"/>
              <w:snapToGrid w:val="0"/>
              <w:spacing w:line="2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777" w:type="pct"/>
            <w:vAlign w:val="center"/>
          </w:tcPr>
          <w:p w14:paraId="3EA5F0DC">
            <w:pPr>
              <w:widowControl/>
              <w:spacing w:line="290" w:lineRule="exact"/>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采购人</w:t>
            </w:r>
            <w:r>
              <w:rPr>
                <w:rFonts w:hint="eastAsia" w:ascii="仿宋" w:hAnsi="仿宋" w:eastAsia="仿宋" w:cs="仿宋"/>
                <w:b/>
                <w:bCs/>
                <w:sz w:val="24"/>
                <w:szCs w:val="24"/>
                <w:highlight w:val="none"/>
                <w:lang w:eastAsia="zh-CN"/>
              </w:rPr>
              <w:t>信</w:t>
            </w:r>
            <w:r>
              <w:rPr>
                <w:rFonts w:hint="eastAsia" w:ascii="仿宋" w:hAnsi="仿宋" w:eastAsia="仿宋" w:cs="仿宋"/>
                <w:b/>
                <w:bCs/>
                <w:sz w:val="24"/>
                <w:szCs w:val="24"/>
                <w:highlight w:val="none"/>
              </w:rPr>
              <w:t>息</w:t>
            </w:r>
          </w:p>
        </w:tc>
        <w:tc>
          <w:tcPr>
            <w:tcW w:w="3973" w:type="pct"/>
            <w:vAlign w:val="center"/>
          </w:tcPr>
          <w:p w14:paraId="1427680A">
            <w:pPr>
              <w:widowControl/>
              <w:spacing w:line="29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采购单位：</w:t>
            </w:r>
            <w:r>
              <w:rPr>
                <w:rFonts w:hint="eastAsia" w:ascii="仿宋" w:hAnsi="仿宋" w:eastAsia="仿宋" w:cs="仿宋"/>
                <w:kern w:val="0"/>
                <w:sz w:val="24"/>
                <w:szCs w:val="24"/>
                <w:highlight w:val="none"/>
                <w:lang w:eastAsia="zh-CN"/>
              </w:rPr>
              <w:t>阿图什市财政局</w:t>
            </w:r>
            <w:r>
              <w:rPr>
                <w:rFonts w:hint="eastAsia" w:ascii="仿宋" w:hAnsi="仿宋" w:eastAsia="仿宋" w:cs="仿宋"/>
                <w:kern w:val="0"/>
                <w:sz w:val="24"/>
                <w:szCs w:val="24"/>
                <w:highlight w:val="none"/>
              </w:rPr>
              <w:t xml:space="preserve">  </w:t>
            </w:r>
          </w:p>
          <w:p w14:paraId="0F4AD630">
            <w:pPr>
              <w:widowControl/>
              <w:spacing w:line="29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shd w:val="clear" w:color="auto" w:fill="FFFFFF"/>
              </w:rPr>
              <w:t>联 系 人：</w:t>
            </w:r>
            <w:r>
              <w:rPr>
                <w:rFonts w:hint="eastAsia" w:ascii="仿宋" w:hAnsi="仿宋" w:eastAsia="仿宋" w:cs="仿宋"/>
                <w:sz w:val="24"/>
                <w:szCs w:val="24"/>
                <w:highlight w:val="none"/>
                <w:shd w:val="clear" w:color="auto" w:fill="FFFFFF"/>
                <w:lang w:eastAsia="zh-CN"/>
              </w:rPr>
              <w:t>张女士</w:t>
            </w:r>
            <w:r>
              <w:rPr>
                <w:rFonts w:hint="eastAsia" w:ascii="仿宋" w:hAnsi="仿宋" w:eastAsia="仿宋" w:cs="仿宋"/>
                <w:sz w:val="24"/>
                <w:szCs w:val="24"/>
                <w:highlight w:val="none"/>
                <w:shd w:val="clear" w:color="auto" w:fill="FFFFFF"/>
              </w:rPr>
              <w:t xml:space="preserve">     联系电话：</w:t>
            </w:r>
            <w:r>
              <w:rPr>
                <w:rFonts w:hint="eastAsia" w:ascii="仿宋" w:hAnsi="仿宋" w:eastAsia="仿宋" w:cs="仿宋"/>
                <w:sz w:val="24"/>
                <w:szCs w:val="24"/>
                <w:highlight w:val="none"/>
                <w:shd w:val="clear" w:color="auto" w:fill="FFFFFF"/>
                <w:lang w:val="en-US" w:eastAsia="zh-CN"/>
              </w:rPr>
              <w:t>18199720299</w:t>
            </w:r>
          </w:p>
        </w:tc>
      </w:tr>
      <w:tr w14:paraId="2178F1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49" w:type="pct"/>
            <w:vAlign w:val="center"/>
          </w:tcPr>
          <w:p w14:paraId="3FB68630">
            <w:pPr>
              <w:pStyle w:val="12"/>
              <w:snapToGrid w:val="0"/>
              <w:spacing w:line="2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777" w:type="pct"/>
            <w:vAlign w:val="center"/>
          </w:tcPr>
          <w:p w14:paraId="6788B7A7">
            <w:pPr>
              <w:widowControl/>
              <w:spacing w:line="290" w:lineRule="exact"/>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采购代理机构</w:t>
            </w:r>
          </w:p>
        </w:tc>
        <w:tc>
          <w:tcPr>
            <w:tcW w:w="3973" w:type="pct"/>
            <w:vAlign w:val="center"/>
          </w:tcPr>
          <w:p w14:paraId="28262F49">
            <w:pPr>
              <w:widowControl/>
              <w:spacing w:line="290" w:lineRule="exac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名  称：</w:t>
            </w:r>
            <w:r>
              <w:rPr>
                <w:rFonts w:hint="eastAsia" w:ascii="仿宋" w:hAnsi="仿宋" w:eastAsia="仿宋" w:cs="仿宋"/>
                <w:i w:val="0"/>
                <w:iCs w:val="0"/>
                <w:caps w:val="0"/>
                <w:color w:val="000000"/>
                <w:spacing w:val="0"/>
                <w:sz w:val="24"/>
                <w:szCs w:val="24"/>
                <w:lang w:val="en-US" w:eastAsia="zh-CN"/>
              </w:rPr>
              <w:t>新疆融联通达工程项目管理有限公司</w:t>
            </w:r>
          </w:p>
          <w:p w14:paraId="5AB9AE4A">
            <w:pPr>
              <w:widowControl/>
              <w:spacing w:line="290" w:lineRule="exac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地  址：阿图什市友谊</w:t>
            </w:r>
            <w:r>
              <w:rPr>
                <w:rFonts w:hint="eastAsia" w:ascii="仿宋" w:hAnsi="仿宋" w:eastAsia="仿宋" w:cs="仿宋"/>
                <w:kern w:val="0"/>
                <w:sz w:val="24"/>
                <w:szCs w:val="24"/>
                <w:highlight w:val="none"/>
                <w:lang w:eastAsia="zh-CN"/>
              </w:rPr>
              <w:t>北路</w:t>
            </w:r>
            <w:r>
              <w:rPr>
                <w:rFonts w:hint="eastAsia" w:ascii="仿宋" w:hAnsi="仿宋" w:eastAsia="仿宋" w:cs="仿宋"/>
                <w:kern w:val="0"/>
                <w:sz w:val="24"/>
                <w:szCs w:val="24"/>
                <w:highlight w:val="none"/>
                <w:lang w:val="en-US" w:eastAsia="zh-CN"/>
              </w:rPr>
              <w:t>23号</w:t>
            </w:r>
          </w:p>
          <w:p w14:paraId="5B687AB7">
            <w:pPr>
              <w:widowControl/>
              <w:spacing w:line="290" w:lineRule="exact"/>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rPr>
              <w:t>联系人：</w:t>
            </w:r>
            <w:r>
              <w:rPr>
                <w:rFonts w:hint="eastAsia" w:ascii="仿宋" w:hAnsi="仿宋" w:eastAsia="仿宋" w:cs="仿宋"/>
                <w:kern w:val="0"/>
                <w:sz w:val="24"/>
                <w:szCs w:val="24"/>
                <w:highlight w:val="none"/>
                <w:lang w:val="en-US" w:eastAsia="zh-CN"/>
              </w:rPr>
              <w:t>黄女士</w:t>
            </w:r>
            <w:r>
              <w:rPr>
                <w:rFonts w:hint="eastAsia" w:ascii="仿宋" w:hAnsi="仿宋" w:eastAsia="仿宋" w:cs="仿宋"/>
                <w:kern w:val="0"/>
                <w:sz w:val="24"/>
                <w:szCs w:val="24"/>
                <w:highlight w:val="none"/>
              </w:rPr>
              <w:t xml:space="preserve">    </w:t>
            </w:r>
            <w:r>
              <w:rPr>
                <w:rFonts w:hint="eastAsia" w:ascii="仿宋" w:hAnsi="仿宋" w:eastAsia="仿宋" w:cs="仿宋"/>
                <w:sz w:val="24"/>
                <w:szCs w:val="24"/>
                <w:highlight w:val="none"/>
                <w:shd w:val="clear" w:color="auto" w:fill="FFFFFF"/>
              </w:rPr>
              <w:t>联系</w:t>
            </w:r>
            <w:r>
              <w:rPr>
                <w:rFonts w:hint="eastAsia" w:ascii="仿宋" w:hAnsi="仿宋" w:eastAsia="仿宋" w:cs="仿宋"/>
                <w:kern w:val="0"/>
                <w:sz w:val="24"/>
                <w:szCs w:val="24"/>
                <w:highlight w:val="none"/>
              </w:rPr>
              <w:t>电话：</w:t>
            </w:r>
            <w:r>
              <w:rPr>
                <w:rFonts w:hint="eastAsia" w:ascii="仿宋" w:hAnsi="仿宋" w:eastAsia="仿宋" w:cs="仿宋"/>
                <w:sz w:val="24"/>
                <w:szCs w:val="24"/>
                <w:highlight w:val="none"/>
                <w:lang w:val="en-US" w:eastAsia="zh-CN" w:bidi="ar"/>
              </w:rPr>
              <w:t>17609081174</w:t>
            </w:r>
          </w:p>
        </w:tc>
      </w:tr>
      <w:tr w14:paraId="246FB0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249" w:type="pct"/>
            <w:vAlign w:val="center"/>
          </w:tcPr>
          <w:p w14:paraId="16971345">
            <w:pPr>
              <w:pStyle w:val="12"/>
              <w:snapToGrid w:val="0"/>
              <w:spacing w:line="29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777" w:type="pct"/>
            <w:vAlign w:val="center"/>
          </w:tcPr>
          <w:p w14:paraId="3852E3CC">
            <w:pPr>
              <w:widowControl/>
              <w:spacing w:line="290" w:lineRule="exact"/>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最终服务地点</w:t>
            </w:r>
          </w:p>
        </w:tc>
        <w:tc>
          <w:tcPr>
            <w:tcW w:w="3973" w:type="pct"/>
            <w:vAlign w:val="center"/>
          </w:tcPr>
          <w:p w14:paraId="0AB39AD3">
            <w:pPr>
              <w:widowControl/>
              <w:spacing w:line="29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阿图什市</w:t>
            </w:r>
          </w:p>
        </w:tc>
      </w:tr>
      <w:tr w14:paraId="7A8666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49" w:type="pct"/>
            <w:vAlign w:val="center"/>
          </w:tcPr>
          <w:p w14:paraId="14D0F5B4">
            <w:pPr>
              <w:pStyle w:val="12"/>
              <w:snapToGrid w:val="0"/>
              <w:spacing w:line="29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777" w:type="pct"/>
            <w:vAlign w:val="center"/>
          </w:tcPr>
          <w:p w14:paraId="5AF127AC">
            <w:pPr>
              <w:pStyle w:val="12"/>
              <w:snapToGrid w:val="0"/>
              <w:spacing w:line="290" w:lineRule="exact"/>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资金来源 </w:t>
            </w:r>
            <w:r>
              <w:rPr>
                <w:rFonts w:hint="eastAsia" w:ascii="仿宋" w:hAnsi="仿宋" w:eastAsia="仿宋" w:cs="仿宋"/>
                <w:color w:val="auto"/>
                <w:sz w:val="24"/>
                <w:szCs w:val="24"/>
                <w:highlight w:val="none"/>
              </w:rPr>
              <w:t xml:space="preserve">                                                                                                                                                                </w:t>
            </w:r>
          </w:p>
        </w:tc>
        <w:tc>
          <w:tcPr>
            <w:tcW w:w="3973" w:type="pct"/>
            <w:vAlign w:val="center"/>
          </w:tcPr>
          <w:p w14:paraId="63B16A5F">
            <w:pPr>
              <w:pStyle w:val="12"/>
              <w:snapToGrid w:val="0"/>
              <w:spacing w:line="29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财政资金</w:t>
            </w:r>
          </w:p>
        </w:tc>
      </w:tr>
      <w:tr w14:paraId="60D7F8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249" w:type="pct"/>
            <w:vAlign w:val="center"/>
          </w:tcPr>
          <w:p w14:paraId="3CF198CF">
            <w:pPr>
              <w:pStyle w:val="12"/>
              <w:snapToGrid w:val="0"/>
              <w:spacing w:line="29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777" w:type="pct"/>
            <w:vAlign w:val="center"/>
          </w:tcPr>
          <w:p w14:paraId="4F0A157A">
            <w:pPr>
              <w:pStyle w:val="12"/>
              <w:snapToGrid w:val="0"/>
              <w:spacing w:line="290" w:lineRule="exact"/>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招标方式</w:t>
            </w:r>
          </w:p>
        </w:tc>
        <w:tc>
          <w:tcPr>
            <w:tcW w:w="3973" w:type="pct"/>
            <w:vAlign w:val="center"/>
          </w:tcPr>
          <w:p w14:paraId="618E3921">
            <w:pPr>
              <w:pStyle w:val="12"/>
              <w:snapToGrid w:val="0"/>
              <w:spacing w:line="2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竞争性磋商招标</w:t>
            </w:r>
            <w:r>
              <w:rPr>
                <w:rFonts w:hint="eastAsia" w:ascii="仿宋" w:hAnsi="仿宋" w:eastAsia="仿宋" w:cs="仿宋"/>
                <w:b/>
                <w:color w:val="auto"/>
                <w:sz w:val="24"/>
                <w:szCs w:val="24"/>
                <w:highlight w:val="none"/>
              </w:rPr>
              <w:t>(本项目采用网上电子招投标)</w:t>
            </w:r>
            <w:r>
              <w:rPr>
                <w:rFonts w:hint="eastAsia" w:ascii="仿宋" w:hAnsi="仿宋" w:eastAsia="仿宋" w:cs="仿宋"/>
                <w:color w:val="auto"/>
                <w:sz w:val="24"/>
                <w:szCs w:val="24"/>
                <w:highlight w:val="none"/>
              </w:rPr>
              <w:t xml:space="preserve">             </w:t>
            </w:r>
          </w:p>
        </w:tc>
      </w:tr>
      <w:tr w14:paraId="740A25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249" w:type="pct"/>
            <w:vAlign w:val="center"/>
          </w:tcPr>
          <w:p w14:paraId="77FAC03F">
            <w:pPr>
              <w:pStyle w:val="12"/>
              <w:snapToGrid w:val="0"/>
              <w:spacing w:line="29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777" w:type="pct"/>
            <w:vAlign w:val="center"/>
          </w:tcPr>
          <w:p w14:paraId="4E540F4B">
            <w:pPr>
              <w:pStyle w:val="12"/>
              <w:snapToGrid w:val="0"/>
              <w:spacing w:line="29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投标人资格条件及其他要求</w:t>
            </w:r>
          </w:p>
        </w:tc>
        <w:tc>
          <w:tcPr>
            <w:tcW w:w="3973" w:type="pct"/>
            <w:vAlign w:val="center"/>
          </w:tcPr>
          <w:p w14:paraId="059CC55E">
            <w:pPr>
              <w:pStyle w:val="44"/>
              <w:rPr>
                <w:rFonts w:hint="eastAsia" w:ascii="仿宋" w:hAnsi="仿宋" w:eastAsia="仿宋" w:cs="仿宋"/>
                <w:kern w:val="2"/>
                <w:sz w:val="24"/>
                <w:szCs w:val="24"/>
                <w:highlight w:val="none"/>
                <w:u w:color="000000"/>
                <w:lang w:val="en-US"/>
              </w:rPr>
            </w:pPr>
            <w:r>
              <w:rPr>
                <w:rFonts w:hint="eastAsia" w:ascii="仿宋" w:hAnsi="仿宋" w:eastAsia="仿宋" w:cs="仿宋"/>
                <w:kern w:val="2"/>
                <w:sz w:val="24"/>
                <w:szCs w:val="24"/>
                <w:highlight w:val="none"/>
                <w:u w:color="000000"/>
                <w:lang w:val="en-US"/>
              </w:rPr>
              <w:t>1.满足《中华人民共和国政府采购法》第二十二条规定；</w:t>
            </w:r>
          </w:p>
          <w:p w14:paraId="10520626">
            <w:pPr>
              <w:pStyle w:val="44"/>
              <w:rPr>
                <w:rFonts w:hint="eastAsia" w:ascii="仿宋" w:hAnsi="仿宋" w:eastAsia="仿宋" w:cs="仿宋"/>
                <w:kern w:val="2"/>
                <w:sz w:val="24"/>
                <w:szCs w:val="24"/>
                <w:highlight w:val="none"/>
                <w:u w:color="000000"/>
                <w:lang w:val="en-US"/>
              </w:rPr>
            </w:pPr>
            <w:r>
              <w:rPr>
                <w:rFonts w:hint="eastAsia" w:ascii="仿宋" w:hAnsi="仿宋" w:eastAsia="仿宋" w:cs="仿宋"/>
                <w:kern w:val="2"/>
                <w:sz w:val="24"/>
                <w:szCs w:val="24"/>
                <w:highlight w:val="none"/>
                <w:u w:color="000000"/>
                <w:lang w:val="en-US"/>
              </w:rPr>
              <w:t xml:space="preserve">2.落实政府采购政策需满足的资格要求：本项目为非专门面向中小企业，根据《政府采购促进中小企业发展管理办法》（财库【2020】46号）及（财库[2022]19号）的规定，评标时将给予此类企业进行价格扣除10%的优惠，用优惠后的价格参与评审。 </w:t>
            </w:r>
          </w:p>
          <w:p w14:paraId="7F87493A">
            <w:pPr>
              <w:pStyle w:val="44"/>
              <w:rPr>
                <w:rFonts w:hint="eastAsia" w:ascii="仿宋" w:hAnsi="仿宋" w:eastAsia="仿宋" w:cs="仿宋"/>
                <w:kern w:val="2"/>
                <w:sz w:val="24"/>
                <w:szCs w:val="24"/>
                <w:highlight w:val="none"/>
                <w:u w:color="000000"/>
                <w:lang w:val="en-US"/>
              </w:rPr>
            </w:pPr>
            <w:r>
              <w:rPr>
                <w:rFonts w:hint="eastAsia" w:ascii="仿宋" w:hAnsi="仿宋" w:eastAsia="仿宋" w:cs="仿宋"/>
                <w:kern w:val="2"/>
                <w:sz w:val="24"/>
                <w:szCs w:val="24"/>
                <w:highlight w:val="none"/>
                <w:u w:color="000000"/>
                <w:lang w:val="en-US"/>
              </w:rPr>
              <w:t>3.本项目的特定资格要求：</w:t>
            </w:r>
          </w:p>
          <w:p w14:paraId="35A4A1B4">
            <w:pPr>
              <w:pStyle w:val="44"/>
              <w:rPr>
                <w:rFonts w:hint="eastAsia" w:ascii="仿宋" w:hAnsi="仿宋" w:eastAsia="仿宋" w:cs="仿宋"/>
                <w:kern w:val="2"/>
                <w:sz w:val="24"/>
                <w:szCs w:val="24"/>
                <w:highlight w:val="none"/>
                <w:u w:color="000000"/>
                <w:lang w:val="en-US" w:eastAsia="zh-CN"/>
              </w:rPr>
            </w:pPr>
            <w:r>
              <w:rPr>
                <w:rFonts w:hint="eastAsia" w:ascii="仿宋" w:hAnsi="仿宋" w:eastAsia="仿宋" w:cs="仿宋"/>
                <w:kern w:val="2"/>
                <w:sz w:val="24"/>
                <w:szCs w:val="24"/>
                <w:highlight w:val="none"/>
                <w:u w:color="000000"/>
                <w:lang w:val="en-US" w:eastAsia="zh-CN"/>
              </w:rPr>
              <w:t>1）具备三证合一营业执照；</w:t>
            </w:r>
          </w:p>
          <w:p w14:paraId="27F60A5F">
            <w:pPr>
              <w:pStyle w:val="44"/>
              <w:rPr>
                <w:rFonts w:hint="eastAsia" w:ascii="仿宋" w:hAnsi="仿宋" w:eastAsia="仿宋" w:cs="仿宋"/>
                <w:kern w:val="2"/>
                <w:sz w:val="24"/>
                <w:szCs w:val="24"/>
                <w:highlight w:val="none"/>
                <w:u w:color="000000"/>
                <w:lang w:val="en-US" w:eastAsia="zh-CN"/>
              </w:rPr>
            </w:pPr>
            <w:r>
              <w:rPr>
                <w:rFonts w:hint="eastAsia" w:ascii="仿宋" w:hAnsi="仿宋" w:eastAsia="仿宋" w:cs="仿宋"/>
                <w:kern w:val="2"/>
                <w:sz w:val="24"/>
                <w:szCs w:val="24"/>
                <w:highlight w:val="none"/>
                <w:u w:color="000000"/>
                <w:lang w:val="en-US" w:eastAsia="zh-CN"/>
              </w:rPr>
              <w:t>2）法定代表人（负责人）参加提供法定代表人（负责人）证明书，委托代理人参加提供法人代表（负责人）授权委托书；投标银行为非法人机构的，提供上一级银行授权委托书；</w:t>
            </w:r>
          </w:p>
          <w:p w14:paraId="7B1CFBA6">
            <w:pPr>
              <w:pStyle w:val="44"/>
              <w:rPr>
                <w:rFonts w:hint="eastAsia" w:ascii="仿宋" w:hAnsi="仿宋" w:eastAsia="仿宋" w:cs="仿宋"/>
                <w:kern w:val="2"/>
                <w:sz w:val="24"/>
                <w:szCs w:val="24"/>
                <w:highlight w:val="none"/>
                <w:u w:color="000000"/>
                <w:lang w:val="en-US" w:eastAsia="zh-CN"/>
              </w:rPr>
            </w:pPr>
            <w:r>
              <w:rPr>
                <w:rFonts w:hint="eastAsia" w:ascii="仿宋" w:hAnsi="仿宋" w:eastAsia="仿宋" w:cs="仿宋"/>
                <w:kern w:val="2"/>
                <w:sz w:val="24"/>
                <w:szCs w:val="24"/>
                <w:highlight w:val="none"/>
                <w:u w:color="000000"/>
                <w:lang w:val="en-US" w:eastAsia="zh-CN"/>
              </w:rPr>
              <w:t>3）投标企业须提供投标人（被授权人）近6个月任意1个月的社保证明；</w:t>
            </w:r>
          </w:p>
          <w:p w14:paraId="3E431BD9">
            <w:pPr>
              <w:pStyle w:val="44"/>
              <w:rPr>
                <w:rFonts w:hint="eastAsia" w:ascii="仿宋" w:hAnsi="仿宋" w:eastAsia="仿宋" w:cs="仿宋"/>
                <w:kern w:val="2"/>
                <w:sz w:val="24"/>
                <w:szCs w:val="24"/>
                <w:highlight w:val="none"/>
                <w:u w:color="000000"/>
                <w:lang w:val="en-US" w:eastAsia="zh-CN"/>
              </w:rPr>
            </w:pPr>
            <w:r>
              <w:rPr>
                <w:rFonts w:hint="eastAsia" w:ascii="仿宋" w:hAnsi="仿宋" w:eastAsia="仿宋" w:cs="仿宋"/>
                <w:kern w:val="2"/>
                <w:sz w:val="24"/>
                <w:szCs w:val="24"/>
                <w:highlight w:val="none"/>
                <w:u w:color="000000"/>
                <w:lang w:val="en-US" w:eastAsia="zh-CN"/>
              </w:rPr>
              <w:t>4）未被列入信用中国网（</w:t>
            </w:r>
            <w:r>
              <w:rPr>
                <w:rFonts w:hint="eastAsia" w:ascii="仿宋" w:hAnsi="仿宋" w:eastAsia="仿宋" w:cs="仿宋"/>
                <w:kern w:val="2"/>
                <w:sz w:val="24"/>
                <w:szCs w:val="24"/>
                <w:highlight w:val="none"/>
                <w:u w:color="000000"/>
                <w:lang w:val="en-US" w:eastAsia="zh-CN"/>
              </w:rPr>
              <w:fldChar w:fldCharType="begin"/>
            </w:r>
            <w:r>
              <w:rPr>
                <w:rFonts w:hint="eastAsia" w:ascii="仿宋" w:hAnsi="仿宋" w:eastAsia="仿宋" w:cs="仿宋"/>
                <w:kern w:val="2"/>
                <w:sz w:val="24"/>
                <w:szCs w:val="24"/>
                <w:highlight w:val="none"/>
                <w:u w:color="000000"/>
                <w:lang w:val="en-US" w:eastAsia="zh-CN"/>
              </w:rPr>
              <w:instrText xml:space="preserve"> HYPERLINK "http://www.creditchina.gov.cn/" </w:instrText>
            </w:r>
            <w:r>
              <w:rPr>
                <w:rFonts w:hint="eastAsia" w:ascii="仿宋" w:hAnsi="仿宋" w:eastAsia="仿宋" w:cs="仿宋"/>
                <w:kern w:val="2"/>
                <w:sz w:val="24"/>
                <w:szCs w:val="24"/>
                <w:highlight w:val="none"/>
                <w:u w:color="000000"/>
                <w:lang w:val="en-US" w:eastAsia="zh-CN"/>
              </w:rPr>
              <w:fldChar w:fldCharType="separate"/>
            </w:r>
            <w:r>
              <w:rPr>
                <w:rFonts w:hint="eastAsia" w:ascii="仿宋" w:hAnsi="仿宋" w:eastAsia="仿宋" w:cs="仿宋"/>
                <w:kern w:val="2"/>
                <w:sz w:val="24"/>
                <w:szCs w:val="24"/>
                <w:highlight w:val="none"/>
                <w:u w:color="000000"/>
                <w:lang w:val="en-US" w:eastAsia="zh-CN"/>
              </w:rPr>
              <w:t>www.creditchina.gov.cn</w:t>
            </w:r>
            <w:r>
              <w:rPr>
                <w:rFonts w:hint="eastAsia" w:ascii="仿宋" w:hAnsi="仿宋" w:eastAsia="仿宋" w:cs="仿宋"/>
                <w:kern w:val="2"/>
                <w:sz w:val="24"/>
                <w:szCs w:val="24"/>
                <w:highlight w:val="none"/>
                <w:u w:color="000000"/>
                <w:lang w:val="en-US" w:eastAsia="zh-CN"/>
              </w:rPr>
              <w:fldChar w:fldCharType="end"/>
            </w:r>
            <w:r>
              <w:rPr>
                <w:rFonts w:hint="eastAsia" w:ascii="仿宋" w:hAnsi="仿宋" w:eastAsia="仿宋" w:cs="仿宋"/>
                <w:kern w:val="2"/>
                <w:sz w:val="24"/>
                <w:szCs w:val="24"/>
                <w:highlight w:val="none"/>
                <w:u w:color="000000"/>
                <w:lang w:val="en-US" w:eastAsia="zh-CN"/>
              </w:rPr>
              <w:t>）及中国政府采购网 (</w:t>
            </w:r>
            <w:r>
              <w:rPr>
                <w:rFonts w:hint="eastAsia" w:ascii="仿宋" w:hAnsi="仿宋" w:eastAsia="仿宋" w:cs="仿宋"/>
                <w:kern w:val="2"/>
                <w:sz w:val="24"/>
                <w:szCs w:val="24"/>
                <w:highlight w:val="none"/>
                <w:u w:color="000000"/>
                <w:lang w:val="en-US" w:eastAsia="zh-CN"/>
              </w:rPr>
              <w:fldChar w:fldCharType="begin"/>
            </w:r>
            <w:r>
              <w:rPr>
                <w:rFonts w:hint="eastAsia" w:ascii="仿宋" w:hAnsi="仿宋" w:eastAsia="仿宋" w:cs="仿宋"/>
                <w:kern w:val="2"/>
                <w:sz w:val="24"/>
                <w:szCs w:val="24"/>
                <w:highlight w:val="none"/>
                <w:u w:color="000000"/>
                <w:lang w:val="en-US" w:eastAsia="zh-CN"/>
              </w:rPr>
              <w:instrText xml:space="preserve"> HYPERLINK "http://www.ccgp.gov.cn/" </w:instrText>
            </w:r>
            <w:r>
              <w:rPr>
                <w:rFonts w:hint="eastAsia" w:ascii="仿宋" w:hAnsi="仿宋" w:eastAsia="仿宋" w:cs="仿宋"/>
                <w:kern w:val="2"/>
                <w:sz w:val="24"/>
                <w:szCs w:val="24"/>
                <w:highlight w:val="none"/>
                <w:u w:color="000000"/>
                <w:lang w:val="en-US" w:eastAsia="zh-CN"/>
              </w:rPr>
              <w:fldChar w:fldCharType="separate"/>
            </w:r>
            <w:r>
              <w:rPr>
                <w:rFonts w:hint="eastAsia" w:ascii="仿宋" w:hAnsi="仿宋" w:eastAsia="仿宋" w:cs="仿宋"/>
                <w:kern w:val="2"/>
                <w:sz w:val="24"/>
                <w:szCs w:val="24"/>
                <w:highlight w:val="none"/>
                <w:u w:color="000000"/>
                <w:lang w:val="en-US" w:eastAsia="zh-CN"/>
              </w:rPr>
              <w:t>www.ccgp.gov.cn</w:t>
            </w:r>
            <w:r>
              <w:rPr>
                <w:rFonts w:hint="eastAsia" w:ascii="仿宋" w:hAnsi="仿宋" w:eastAsia="仿宋" w:cs="仿宋"/>
                <w:kern w:val="2"/>
                <w:sz w:val="24"/>
                <w:szCs w:val="24"/>
                <w:highlight w:val="none"/>
                <w:u w:color="000000"/>
                <w:lang w:val="en-US" w:eastAsia="zh-CN"/>
              </w:rPr>
              <w:fldChar w:fldCharType="end"/>
            </w:r>
            <w:r>
              <w:rPr>
                <w:rFonts w:hint="eastAsia" w:ascii="仿宋" w:hAnsi="仿宋" w:eastAsia="仿宋" w:cs="仿宋"/>
                <w:kern w:val="2"/>
                <w:sz w:val="24"/>
                <w:szCs w:val="24"/>
                <w:highlight w:val="none"/>
                <w:u w:color="000000"/>
                <w:lang w:val="en-US" w:eastAsia="zh-CN"/>
              </w:rPr>
              <w:t>）失信被执行人名单、重大税收违法失信主体、政府采购严重违法失信行为记录名单（提供查询结果网页截图并加盖供应商公章）；</w:t>
            </w:r>
          </w:p>
          <w:p w14:paraId="3CA75F03">
            <w:pPr>
              <w:pStyle w:val="44"/>
              <w:rPr>
                <w:rFonts w:hint="eastAsia" w:ascii="仿宋" w:hAnsi="仿宋" w:eastAsia="仿宋" w:cs="仿宋"/>
                <w:kern w:val="2"/>
                <w:sz w:val="24"/>
                <w:szCs w:val="24"/>
                <w:highlight w:val="none"/>
                <w:u w:color="000000"/>
                <w:lang w:val="en-US" w:eastAsia="zh-CN"/>
              </w:rPr>
            </w:pPr>
            <w:r>
              <w:rPr>
                <w:rFonts w:hint="eastAsia" w:ascii="仿宋" w:hAnsi="仿宋" w:eastAsia="仿宋" w:cs="仿宋"/>
                <w:kern w:val="2"/>
                <w:sz w:val="24"/>
                <w:szCs w:val="24"/>
                <w:highlight w:val="none"/>
                <w:u w:color="000000"/>
                <w:lang w:val="en-US" w:eastAsia="zh-CN"/>
              </w:rPr>
              <w:t>5）投标企业需提供中国银行业监督管理委员会有效的《中华人民共和国金融许可证》或《金融机构营业许可证》。</w:t>
            </w:r>
          </w:p>
          <w:p w14:paraId="10CF89BB">
            <w:pPr>
              <w:pStyle w:val="44"/>
              <w:rPr>
                <w:rFonts w:hint="eastAsia" w:ascii="仿宋" w:hAnsi="仿宋" w:eastAsia="仿宋" w:cs="仿宋"/>
                <w:sz w:val="24"/>
                <w:szCs w:val="24"/>
                <w:highlight w:val="none"/>
              </w:rPr>
            </w:pPr>
            <w:r>
              <w:rPr>
                <w:rFonts w:hint="eastAsia" w:ascii="仿宋" w:hAnsi="仿宋" w:eastAsia="仿宋" w:cs="仿宋"/>
                <w:b w:val="0"/>
                <w:bCs w:val="0"/>
                <w:kern w:val="2"/>
                <w:sz w:val="24"/>
                <w:szCs w:val="24"/>
                <w:highlight w:val="none"/>
                <w:u w:color="000000"/>
                <w:lang w:val="en-US"/>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tc>
      </w:tr>
      <w:tr w14:paraId="3407E3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249" w:type="pct"/>
            <w:vAlign w:val="center"/>
          </w:tcPr>
          <w:p w14:paraId="239A34AC">
            <w:pPr>
              <w:pStyle w:val="12"/>
              <w:snapToGrid w:val="0"/>
              <w:spacing w:line="29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777" w:type="pct"/>
            <w:vAlign w:val="center"/>
          </w:tcPr>
          <w:p w14:paraId="6E151790">
            <w:pPr>
              <w:pStyle w:val="12"/>
              <w:snapToGrid w:val="0"/>
              <w:spacing w:line="29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供应商信用查询</w:t>
            </w:r>
          </w:p>
        </w:tc>
        <w:tc>
          <w:tcPr>
            <w:tcW w:w="3973" w:type="pct"/>
            <w:vAlign w:val="center"/>
          </w:tcPr>
          <w:p w14:paraId="5AE8F9EA">
            <w:pPr>
              <w:pStyle w:val="12"/>
              <w:snapToGrid w:val="0"/>
              <w:spacing w:line="29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1、查询渠道：信用中国（网址：http://www.creditchina.gov.cn）、中国政府采购网(网址：http://www.ccgp.gov.cn）。</w:t>
            </w:r>
          </w:p>
          <w:p w14:paraId="5DCC2E97">
            <w:pPr>
              <w:pStyle w:val="12"/>
              <w:snapToGrid w:val="0"/>
              <w:spacing w:line="29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2、截止时点：开标前。</w:t>
            </w:r>
          </w:p>
          <w:p w14:paraId="034A7176">
            <w:pPr>
              <w:pStyle w:val="12"/>
              <w:snapToGrid w:val="0"/>
              <w:spacing w:line="29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3、信用信息查询记录和证据留存的具体方式：由采购组织机构在规定查询时间内打印信用信息查询记录并归入项目档案。</w:t>
            </w:r>
          </w:p>
          <w:p w14:paraId="498CA356">
            <w:pPr>
              <w:pStyle w:val="12"/>
              <w:snapToGrid w:val="0"/>
              <w:spacing w:line="29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4B9FB2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49" w:type="pct"/>
            <w:vAlign w:val="center"/>
          </w:tcPr>
          <w:p w14:paraId="2AF8B636">
            <w:pPr>
              <w:snapToGrid w:val="0"/>
              <w:spacing w:line="29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9</w:t>
            </w:r>
          </w:p>
        </w:tc>
        <w:tc>
          <w:tcPr>
            <w:tcW w:w="777" w:type="pct"/>
            <w:vAlign w:val="center"/>
          </w:tcPr>
          <w:p w14:paraId="02805859">
            <w:pPr>
              <w:pStyle w:val="12"/>
              <w:snapToGrid w:val="0"/>
              <w:spacing w:line="29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联合体投标</w:t>
            </w:r>
          </w:p>
        </w:tc>
        <w:tc>
          <w:tcPr>
            <w:tcW w:w="3973" w:type="pct"/>
            <w:vAlign w:val="center"/>
          </w:tcPr>
          <w:p w14:paraId="6485A6FB">
            <w:pPr>
              <w:spacing w:line="29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☑不接受</w:t>
            </w:r>
          </w:p>
          <w:p w14:paraId="7BF38327">
            <w:pPr>
              <w:pStyle w:val="12"/>
              <w:snapToGrid w:val="0"/>
              <w:spacing w:line="2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□接受</w:t>
            </w:r>
          </w:p>
        </w:tc>
      </w:tr>
      <w:tr w14:paraId="385776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249" w:type="pct"/>
            <w:vAlign w:val="center"/>
          </w:tcPr>
          <w:p w14:paraId="612181E8">
            <w:pPr>
              <w:snapToGrid w:val="0"/>
              <w:spacing w:line="29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777" w:type="pct"/>
            <w:vAlign w:val="center"/>
          </w:tcPr>
          <w:p w14:paraId="17075FB4">
            <w:pPr>
              <w:snapToGrid w:val="0"/>
              <w:spacing w:line="29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招标代理费</w:t>
            </w:r>
          </w:p>
        </w:tc>
        <w:tc>
          <w:tcPr>
            <w:tcW w:w="3973" w:type="pct"/>
            <w:vAlign w:val="center"/>
          </w:tcPr>
          <w:p w14:paraId="21DD837C">
            <w:pPr>
              <w:snapToGrid w:val="0"/>
              <w:spacing w:line="290" w:lineRule="exact"/>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本项目代理服务费：10000.00元，中标单位在拿取中标通知书时缴纳。</w:t>
            </w:r>
          </w:p>
        </w:tc>
      </w:tr>
      <w:tr w14:paraId="167B09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49" w:type="pct"/>
            <w:vMerge w:val="restart"/>
            <w:vAlign w:val="center"/>
          </w:tcPr>
          <w:p w14:paraId="499F14E0">
            <w:pPr>
              <w:pStyle w:val="12"/>
              <w:snapToGrid w:val="0"/>
              <w:spacing w:line="29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p>
        </w:tc>
        <w:tc>
          <w:tcPr>
            <w:tcW w:w="777" w:type="pct"/>
            <w:vAlign w:val="center"/>
          </w:tcPr>
          <w:p w14:paraId="33A2A545">
            <w:pPr>
              <w:snapToGrid w:val="0"/>
              <w:spacing w:line="290" w:lineRule="exact"/>
              <w:jc w:val="left"/>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预算价</w:t>
            </w:r>
          </w:p>
        </w:tc>
        <w:tc>
          <w:tcPr>
            <w:tcW w:w="3973" w:type="pct"/>
            <w:vAlign w:val="center"/>
          </w:tcPr>
          <w:p w14:paraId="533E6D05">
            <w:pPr>
              <w:snapToGrid w:val="0"/>
              <w:spacing w:line="290" w:lineRule="exact"/>
              <w:rPr>
                <w:rFonts w:hint="eastAsia" w:ascii="仿宋" w:hAnsi="仿宋" w:eastAsia="仿宋" w:cs="仿宋"/>
                <w:sz w:val="24"/>
                <w:szCs w:val="24"/>
                <w:highlight w:val="none"/>
              </w:rPr>
            </w:pPr>
            <w:r>
              <w:rPr>
                <w:rFonts w:hint="eastAsia" w:ascii="仿宋" w:hAnsi="仿宋" w:eastAsia="仿宋" w:cs="仿宋"/>
                <w:color w:val="auto"/>
                <w:kern w:val="2"/>
                <w:sz w:val="24"/>
                <w:szCs w:val="24"/>
                <w:highlight w:val="none"/>
                <w:u w:color="000000"/>
                <w:lang w:val="en-US" w:eastAsia="zh-CN" w:bidi="ar-SA"/>
              </w:rPr>
              <w:t>本次招标预算价：1元</w:t>
            </w:r>
          </w:p>
        </w:tc>
      </w:tr>
      <w:tr w14:paraId="70C823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49" w:type="pct"/>
            <w:vMerge w:val="continue"/>
            <w:vAlign w:val="center"/>
          </w:tcPr>
          <w:p w14:paraId="0DD90B7D">
            <w:pPr>
              <w:pStyle w:val="12"/>
              <w:snapToGrid w:val="0"/>
              <w:spacing w:line="290" w:lineRule="exact"/>
              <w:jc w:val="center"/>
              <w:rPr>
                <w:rFonts w:hint="eastAsia" w:ascii="仿宋" w:hAnsi="仿宋" w:eastAsia="仿宋" w:cs="仿宋"/>
                <w:color w:val="auto"/>
                <w:sz w:val="24"/>
                <w:szCs w:val="24"/>
                <w:highlight w:val="none"/>
              </w:rPr>
            </w:pPr>
          </w:p>
        </w:tc>
        <w:tc>
          <w:tcPr>
            <w:tcW w:w="777" w:type="pct"/>
            <w:vAlign w:val="center"/>
          </w:tcPr>
          <w:p w14:paraId="55ACFA54">
            <w:pPr>
              <w:snapToGrid w:val="0"/>
              <w:spacing w:line="290" w:lineRule="exact"/>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报价</w:t>
            </w:r>
          </w:p>
        </w:tc>
        <w:tc>
          <w:tcPr>
            <w:tcW w:w="3973" w:type="pct"/>
            <w:vAlign w:val="center"/>
          </w:tcPr>
          <w:p w14:paraId="73C76202">
            <w:pPr>
              <w:snapToGrid w:val="0"/>
              <w:spacing w:line="290" w:lineRule="exact"/>
              <w:rPr>
                <w:rFonts w:hint="eastAsia" w:ascii="仿宋" w:hAnsi="仿宋" w:eastAsia="仿宋" w:cs="仿宋"/>
                <w:b/>
                <w:bCs/>
                <w:color w:val="auto"/>
                <w:kern w:val="2"/>
                <w:sz w:val="24"/>
                <w:szCs w:val="24"/>
                <w:highlight w:val="none"/>
                <w:u w:color="000000"/>
                <w:lang w:val="en-US" w:eastAsia="zh-CN" w:bidi="ar-SA"/>
              </w:rPr>
            </w:pPr>
            <w:r>
              <w:rPr>
                <w:rFonts w:hint="eastAsia" w:ascii="仿宋" w:hAnsi="仿宋" w:eastAsia="仿宋" w:cs="仿宋"/>
                <w:b/>
                <w:bCs/>
                <w:color w:val="FF0000"/>
                <w:sz w:val="24"/>
                <w:szCs w:val="24"/>
                <w:highlight w:val="none"/>
                <w:lang w:val="en-US" w:eastAsia="zh-CN"/>
              </w:rPr>
              <w:t>报价为银行执行年利率报价</w:t>
            </w:r>
          </w:p>
        </w:tc>
      </w:tr>
      <w:tr w14:paraId="27DEA2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49" w:type="pct"/>
            <w:vAlign w:val="center"/>
          </w:tcPr>
          <w:p w14:paraId="7193F992">
            <w:pPr>
              <w:snapToGrid w:val="0"/>
              <w:spacing w:line="29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p>
        </w:tc>
        <w:tc>
          <w:tcPr>
            <w:tcW w:w="777" w:type="pct"/>
            <w:vAlign w:val="center"/>
          </w:tcPr>
          <w:p w14:paraId="3C37604B">
            <w:pPr>
              <w:pStyle w:val="12"/>
              <w:snapToGrid w:val="0"/>
              <w:spacing w:line="29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投标有效期</w:t>
            </w:r>
          </w:p>
        </w:tc>
        <w:tc>
          <w:tcPr>
            <w:tcW w:w="3973" w:type="pct"/>
            <w:vAlign w:val="center"/>
          </w:tcPr>
          <w:p w14:paraId="7E193D05">
            <w:pPr>
              <w:pStyle w:val="12"/>
              <w:snapToGrid w:val="0"/>
              <w:spacing w:line="2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投标有效期为</w:t>
            </w:r>
            <w:r>
              <w:rPr>
                <w:rFonts w:hint="eastAsia" w:ascii="仿宋" w:hAnsi="仿宋" w:eastAsia="仿宋" w:cs="仿宋"/>
                <w:color w:val="auto"/>
                <w:sz w:val="24"/>
                <w:szCs w:val="24"/>
                <w:highlight w:val="none"/>
                <w:u w:val="single"/>
              </w:rPr>
              <w:t xml:space="preserve"> 60 </w:t>
            </w:r>
            <w:r>
              <w:rPr>
                <w:rFonts w:hint="eastAsia" w:ascii="仿宋" w:hAnsi="仿宋" w:eastAsia="仿宋" w:cs="仿宋"/>
                <w:color w:val="auto"/>
                <w:sz w:val="24"/>
                <w:szCs w:val="24"/>
                <w:highlight w:val="none"/>
              </w:rPr>
              <w:t>日历天（从投标截止之日算起）。在此期限内，凡符合本采购文件要求的投标文件均保持有效。</w:t>
            </w:r>
          </w:p>
        </w:tc>
      </w:tr>
      <w:tr w14:paraId="19D7F2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5" w:hRule="atLeast"/>
          <w:jc w:val="center"/>
        </w:trPr>
        <w:tc>
          <w:tcPr>
            <w:tcW w:w="249" w:type="pct"/>
            <w:vAlign w:val="center"/>
          </w:tcPr>
          <w:p w14:paraId="012D8410">
            <w:pPr>
              <w:pStyle w:val="12"/>
              <w:snapToGrid w:val="0"/>
              <w:spacing w:line="29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p>
        </w:tc>
        <w:tc>
          <w:tcPr>
            <w:tcW w:w="777" w:type="pct"/>
            <w:tcBorders>
              <w:bottom w:val="single" w:color="auto" w:sz="4" w:space="0"/>
            </w:tcBorders>
            <w:vAlign w:val="center"/>
          </w:tcPr>
          <w:p w14:paraId="5D0F618F">
            <w:pPr>
              <w:snapToGrid w:val="0"/>
              <w:spacing w:line="29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投标保证金</w:t>
            </w:r>
          </w:p>
        </w:tc>
        <w:tc>
          <w:tcPr>
            <w:tcW w:w="3973" w:type="pct"/>
            <w:tcBorders>
              <w:bottom w:val="single" w:color="auto" w:sz="4" w:space="0"/>
            </w:tcBorders>
            <w:vAlign w:val="center"/>
          </w:tcPr>
          <w:p w14:paraId="13C73579">
            <w:pPr>
              <w:tabs>
                <w:tab w:val="left" w:pos="1662"/>
              </w:tabs>
              <w:bidi w:val="0"/>
              <w:jc w:val="both"/>
              <w:rPr>
                <w:rFonts w:hint="eastAsia" w:ascii="仿宋" w:hAnsi="仿宋" w:eastAsia="仿宋" w:cs="仿宋"/>
                <w:kern w:val="2"/>
                <w:sz w:val="24"/>
                <w:szCs w:val="24"/>
                <w:lang w:val="en-US" w:eastAsia="zh-CN" w:bidi="ar-SA"/>
              </w:rPr>
            </w:pPr>
            <w:r>
              <w:rPr>
                <w:rFonts w:hint="eastAsia" w:ascii="仿宋" w:hAnsi="仿宋" w:eastAsia="仿宋" w:cs="仿宋"/>
                <w:b w:val="0"/>
                <w:bCs w:val="0"/>
                <w:color w:val="auto"/>
                <w:sz w:val="21"/>
                <w:szCs w:val="21"/>
                <w:lang w:val="en-US" w:eastAsia="zh-CN"/>
              </w:rPr>
              <w:t>无</w:t>
            </w:r>
          </w:p>
        </w:tc>
      </w:tr>
      <w:tr w14:paraId="476042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4" w:hRule="atLeast"/>
          <w:jc w:val="center"/>
        </w:trPr>
        <w:tc>
          <w:tcPr>
            <w:tcW w:w="249" w:type="pct"/>
            <w:vAlign w:val="center"/>
          </w:tcPr>
          <w:p w14:paraId="36F7DCDE">
            <w:pPr>
              <w:snapToGrid w:val="0"/>
              <w:spacing w:line="29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p>
        </w:tc>
        <w:tc>
          <w:tcPr>
            <w:tcW w:w="777" w:type="pct"/>
            <w:vAlign w:val="center"/>
          </w:tcPr>
          <w:p w14:paraId="6728B101">
            <w:pPr>
              <w:pStyle w:val="12"/>
              <w:snapToGrid w:val="0"/>
              <w:spacing w:line="29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投标文件形式</w:t>
            </w:r>
          </w:p>
        </w:tc>
        <w:tc>
          <w:tcPr>
            <w:tcW w:w="3973" w:type="pct"/>
            <w:vAlign w:val="center"/>
          </w:tcPr>
          <w:p w14:paraId="1E974A9E">
            <w:pPr>
              <w:pStyle w:val="12"/>
              <w:snapToGrid w:val="0"/>
              <w:spacing w:line="2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电子投标文件包括“电子加密投标文件”和“备份投标文件”，在投标文件编制完成后同时生成。</w:t>
            </w:r>
          </w:p>
          <w:p w14:paraId="23A8A69D">
            <w:pPr>
              <w:pStyle w:val="12"/>
              <w:snapToGrid w:val="0"/>
              <w:spacing w:line="2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1、“电子加密投标文件” 是指通过“政采云电子交易客户端”完成投标文件编制后生成并加密的数据电文形式的投标文件。</w:t>
            </w:r>
          </w:p>
          <w:p w14:paraId="6EFC4358">
            <w:pPr>
              <w:pStyle w:val="12"/>
              <w:snapToGrid w:val="0"/>
              <w:spacing w:line="2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2、“备份投标文件”是指与“电子加密投标文件”同时生成的数据电文形式的电子文件（备份标书，用于供应商标书解密异常时应急使用），其他方式编制的备份投标文件视为无效备份投标文件。</w:t>
            </w:r>
          </w:p>
        </w:tc>
      </w:tr>
      <w:tr w14:paraId="5D26DF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49" w:type="pct"/>
            <w:vAlign w:val="center"/>
          </w:tcPr>
          <w:p w14:paraId="5D41FFA2">
            <w:pPr>
              <w:snapToGrid w:val="0"/>
              <w:spacing w:line="290" w:lineRule="exact"/>
              <w:ind w:left="-77" w:leftChars="-37" w:right="-94" w:rightChars="-45"/>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p>
        </w:tc>
        <w:tc>
          <w:tcPr>
            <w:tcW w:w="777" w:type="pct"/>
            <w:vAlign w:val="center"/>
          </w:tcPr>
          <w:p w14:paraId="2406CA57">
            <w:pPr>
              <w:pStyle w:val="12"/>
              <w:snapToGrid w:val="0"/>
              <w:spacing w:line="29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投标文件份数及要求</w:t>
            </w:r>
          </w:p>
        </w:tc>
        <w:tc>
          <w:tcPr>
            <w:tcW w:w="3973" w:type="pct"/>
            <w:vAlign w:val="center"/>
          </w:tcPr>
          <w:p w14:paraId="705204D0">
            <w:pPr>
              <w:pStyle w:val="12"/>
              <w:snapToGrid w:val="0"/>
              <w:spacing w:line="29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1、一份电子加密标书（“.jmbs”格式），一份备份标书文件（“.bfbs”格式）。</w:t>
            </w:r>
          </w:p>
          <w:p w14:paraId="5E6A51EB">
            <w:pPr>
              <w:pStyle w:val="12"/>
              <w:snapToGrid w:val="0"/>
              <w:spacing w:line="29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2、每份电子投标文件应包括资格证明文件和商务及技术文件两部分。</w:t>
            </w:r>
          </w:p>
        </w:tc>
      </w:tr>
      <w:tr w14:paraId="355181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249" w:type="pct"/>
            <w:vMerge w:val="restart"/>
            <w:vAlign w:val="center"/>
          </w:tcPr>
          <w:p w14:paraId="16B51DF6">
            <w:pPr>
              <w:snapToGrid w:val="0"/>
              <w:spacing w:line="290" w:lineRule="exact"/>
              <w:ind w:left="-77" w:leftChars="-37" w:right="-94" w:rightChars="-45"/>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777" w:type="pct"/>
            <w:vMerge w:val="restart"/>
            <w:vAlign w:val="center"/>
          </w:tcPr>
          <w:p w14:paraId="4CE430F7">
            <w:pPr>
              <w:pStyle w:val="12"/>
              <w:snapToGrid w:val="0"/>
              <w:spacing w:line="29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zh-CN"/>
              </w:rPr>
              <w:t>投标文件的上传和递交</w:t>
            </w:r>
          </w:p>
        </w:tc>
        <w:tc>
          <w:tcPr>
            <w:tcW w:w="3973" w:type="pct"/>
            <w:vAlign w:val="center"/>
          </w:tcPr>
          <w:p w14:paraId="51F32680">
            <w:pPr>
              <w:pStyle w:val="12"/>
              <w:snapToGrid w:val="0"/>
              <w:spacing w:line="290" w:lineRule="exact"/>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1.电子加密投标文件：投标文件制作完成并生成加密标书，在投标截止时间前，供应商需将加密的投标文件上传至政采云平台，</w:t>
            </w:r>
            <w:r>
              <w:rPr>
                <w:rFonts w:hint="eastAsia" w:ascii="仿宋" w:hAnsi="仿宋" w:eastAsia="仿宋" w:cs="仿宋"/>
                <w:b w:val="0"/>
                <w:bCs w:val="0"/>
                <w:color w:val="auto"/>
                <w:sz w:val="24"/>
                <w:szCs w:val="24"/>
                <w:highlight w:val="none"/>
                <w:u w:val="single"/>
              </w:rPr>
              <w:t>在开标时间开始后，待采购组织机构发出解密通知后30分钟内解密投标文件。</w:t>
            </w:r>
          </w:p>
          <w:p w14:paraId="3B3E3C32">
            <w:pPr>
              <w:pStyle w:val="12"/>
              <w:snapToGrid w:val="0"/>
              <w:spacing w:line="29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a.供应商未能在投标截止时间前成功上传电子加密投标文件的投标无效。</w:t>
            </w:r>
          </w:p>
          <w:p w14:paraId="4AB8E415">
            <w:pPr>
              <w:pStyle w:val="12"/>
              <w:snapToGrid w:val="0"/>
              <w:spacing w:line="29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b.供应商成功上传电子加密投标文件后，可自行打印投标文件接收回执。</w:t>
            </w:r>
          </w:p>
        </w:tc>
      </w:tr>
      <w:tr w14:paraId="480421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249" w:type="pct"/>
            <w:vMerge w:val="continue"/>
            <w:vAlign w:val="center"/>
          </w:tcPr>
          <w:p w14:paraId="63EF29D9">
            <w:pPr>
              <w:widowControl/>
              <w:snapToGrid w:val="0"/>
              <w:spacing w:line="290" w:lineRule="exact"/>
              <w:ind w:firstLine="100" w:firstLineChars="42"/>
              <w:jc w:val="left"/>
              <w:rPr>
                <w:rFonts w:hint="eastAsia" w:ascii="仿宋" w:hAnsi="仿宋" w:eastAsia="仿宋" w:cs="仿宋"/>
                <w:sz w:val="24"/>
                <w:szCs w:val="24"/>
                <w:highlight w:val="none"/>
              </w:rPr>
            </w:pPr>
          </w:p>
        </w:tc>
        <w:tc>
          <w:tcPr>
            <w:tcW w:w="777" w:type="pct"/>
            <w:vMerge w:val="continue"/>
            <w:vAlign w:val="center"/>
          </w:tcPr>
          <w:p w14:paraId="609B23D4">
            <w:pPr>
              <w:pStyle w:val="12"/>
              <w:snapToGrid w:val="0"/>
              <w:spacing w:line="290" w:lineRule="exact"/>
              <w:rPr>
                <w:rFonts w:hint="eastAsia" w:ascii="仿宋" w:hAnsi="仿宋" w:eastAsia="仿宋" w:cs="仿宋"/>
                <w:b/>
                <w:bCs/>
                <w:color w:val="auto"/>
                <w:sz w:val="24"/>
                <w:szCs w:val="24"/>
                <w:highlight w:val="none"/>
              </w:rPr>
            </w:pPr>
          </w:p>
        </w:tc>
        <w:tc>
          <w:tcPr>
            <w:tcW w:w="3973" w:type="pct"/>
            <w:vAlign w:val="center"/>
          </w:tcPr>
          <w:p w14:paraId="44F5C3FB">
            <w:pPr>
              <w:pStyle w:val="12"/>
              <w:snapToGrid w:val="0"/>
              <w:spacing w:line="36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2.备份投标文件：供应商在投标截止时间前将加密的投标文件上传至政府采购云平台，还可以在投标截止时间前以电子邮件方式提供备份投标文件1份（接收人邮箱：19246091@qq.com，接收人：黄女士 联系电话：17609081174）“备份投标文件”由供应商自愿提供，采购文件不作强制性要求；如不提供或未按要求提供的，当电子投标文件无法解密时，将导致无备份投标文件而失去投标资格。</w:t>
            </w:r>
          </w:p>
          <w:p w14:paraId="6D39B193">
            <w:pPr>
              <w:pStyle w:val="12"/>
              <w:snapToGrid w:val="0"/>
              <w:spacing w:line="36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14:paraId="1C9C4533">
            <w:pPr>
              <w:pStyle w:val="12"/>
              <w:snapToGrid w:val="0"/>
              <w:spacing w:line="2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14:paraId="5B37A9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249" w:type="pct"/>
            <w:vAlign w:val="center"/>
          </w:tcPr>
          <w:p w14:paraId="679AA835">
            <w:pPr>
              <w:snapToGrid w:val="0"/>
              <w:spacing w:line="290" w:lineRule="exact"/>
              <w:ind w:left="-77" w:leftChars="-37" w:right="-94" w:rightChars="-45"/>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w:t>
            </w:r>
          </w:p>
        </w:tc>
        <w:tc>
          <w:tcPr>
            <w:tcW w:w="777" w:type="pct"/>
            <w:vAlign w:val="center"/>
          </w:tcPr>
          <w:p w14:paraId="178C5314">
            <w:pPr>
              <w:snapToGrid w:val="0"/>
              <w:spacing w:line="29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投标截止时间及地点</w:t>
            </w:r>
          </w:p>
        </w:tc>
        <w:tc>
          <w:tcPr>
            <w:tcW w:w="3973" w:type="pct"/>
            <w:vAlign w:val="center"/>
          </w:tcPr>
          <w:p w14:paraId="76408802">
            <w:pPr>
              <w:snapToGrid w:val="0"/>
              <w:spacing w:line="290" w:lineRule="exact"/>
              <w:ind w:firstLine="21" w:firstLineChars="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投标截止时</w:t>
            </w:r>
            <w:r>
              <w:rPr>
                <w:rFonts w:hint="eastAsia" w:ascii="仿宋" w:hAnsi="仿宋" w:eastAsia="仿宋" w:cs="仿宋"/>
                <w:b w:val="0"/>
                <w:bCs w:val="0"/>
                <w:color w:val="auto"/>
                <w:sz w:val="24"/>
                <w:szCs w:val="24"/>
                <w:highlight w:val="none"/>
              </w:rPr>
              <w:t>间</w:t>
            </w:r>
            <w:r>
              <w:rPr>
                <w:rFonts w:hint="eastAsia" w:ascii="仿宋" w:hAnsi="仿宋" w:eastAsia="仿宋" w:cs="仿宋"/>
                <w:b/>
                <w:bCs/>
                <w:color w:val="auto"/>
                <w:sz w:val="24"/>
                <w:szCs w:val="24"/>
                <w:highlight w:val="none"/>
              </w:rPr>
              <w:t>：202</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22</w:t>
            </w:r>
            <w:r>
              <w:rPr>
                <w:rFonts w:hint="eastAsia" w:ascii="仿宋" w:hAnsi="仿宋" w:eastAsia="仿宋" w:cs="仿宋"/>
                <w:b/>
                <w:bCs/>
                <w:color w:val="auto"/>
                <w:sz w:val="24"/>
                <w:szCs w:val="24"/>
                <w:highlight w:val="none"/>
              </w:rPr>
              <w:t>日1</w:t>
            </w:r>
            <w:r>
              <w:rPr>
                <w:rFonts w:hint="eastAsia" w:ascii="仿宋" w:hAnsi="仿宋" w:eastAsia="仿宋" w:cs="仿宋"/>
                <w:b/>
                <w:bCs/>
                <w:color w:val="auto"/>
                <w:sz w:val="24"/>
                <w:szCs w:val="24"/>
                <w:highlight w:val="none"/>
                <w:lang w:val="en-US" w:eastAsia="zh-CN"/>
              </w:rPr>
              <w:t>0</w:t>
            </w:r>
            <w:r>
              <w:rPr>
                <w:rFonts w:hint="eastAsia" w:ascii="仿宋" w:hAnsi="仿宋" w:eastAsia="仿宋" w:cs="仿宋"/>
                <w:b/>
                <w:bCs/>
                <w:color w:val="auto"/>
                <w:sz w:val="24"/>
                <w:szCs w:val="24"/>
                <w:highlight w:val="none"/>
              </w:rPr>
              <w:t>时</w:t>
            </w:r>
            <w:r>
              <w:rPr>
                <w:rFonts w:hint="eastAsia" w:ascii="仿宋" w:hAnsi="仿宋" w:eastAsia="仿宋" w:cs="仿宋"/>
                <w:b/>
                <w:bCs/>
                <w:color w:val="auto"/>
                <w:sz w:val="24"/>
                <w:szCs w:val="24"/>
                <w:highlight w:val="none"/>
                <w:lang w:val="en-US" w:eastAsia="zh-CN"/>
              </w:rPr>
              <w:t>15</w:t>
            </w:r>
            <w:r>
              <w:rPr>
                <w:rFonts w:hint="eastAsia" w:ascii="仿宋" w:hAnsi="仿宋" w:eastAsia="仿宋" w:cs="仿宋"/>
                <w:b/>
                <w:bCs/>
                <w:color w:val="auto"/>
                <w:sz w:val="24"/>
                <w:szCs w:val="24"/>
                <w:highlight w:val="none"/>
              </w:rPr>
              <w:t>分（北京时间）</w:t>
            </w:r>
          </w:p>
          <w:p w14:paraId="6C78F8D8">
            <w:pPr>
              <w:snapToGrid w:val="0"/>
              <w:spacing w:line="290" w:lineRule="exact"/>
              <w:ind w:firstLine="21" w:firstLineChars="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投标地点：新疆政府采购云平台（www.zcygov.cn）</w:t>
            </w:r>
          </w:p>
        </w:tc>
      </w:tr>
      <w:tr w14:paraId="5A0336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49" w:type="pct"/>
            <w:vAlign w:val="center"/>
          </w:tcPr>
          <w:p w14:paraId="0138BE6E">
            <w:pPr>
              <w:pStyle w:val="12"/>
              <w:snapToGrid w:val="0"/>
              <w:spacing w:line="290" w:lineRule="exact"/>
              <w:ind w:left="-77" w:leftChars="-37" w:right="-94" w:rightChars="-45"/>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777" w:type="pct"/>
            <w:vAlign w:val="center"/>
          </w:tcPr>
          <w:p w14:paraId="7162D351">
            <w:pPr>
              <w:snapToGrid w:val="0"/>
              <w:spacing w:line="290" w:lineRule="exact"/>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开标时间及地点</w:t>
            </w:r>
          </w:p>
        </w:tc>
        <w:tc>
          <w:tcPr>
            <w:tcW w:w="3973" w:type="pct"/>
            <w:vAlign w:val="center"/>
          </w:tcPr>
          <w:p w14:paraId="3EAE0DD0">
            <w:pPr>
              <w:snapToGrid w:val="0"/>
              <w:spacing w:line="290" w:lineRule="exact"/>
              <w:ind w:firstLine="21" w:firstLineChars="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开标时间：同投标截止时间</w:t>
            </w:r>
          </w:p>
          <w:p w14:paraId="199818F1">
            <w:pPr>
              <w:snapToGrid w:val="0"/>
              <w:spacing w:line="290" w:lineRule="exact"/>
              <w:ind w:firstLine="21" w:firstLineChars="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开标地点：在新疆政府采购云平台（www.zcygov.cn）上开启投标文件</w:t>
            </w:r>
          </w:p>
        </w:tc>
      </w:tr>
      <w:tr w14:paraId="7448F9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49" w:type="pct"/>
            <w:vAlign w:val="center"/>
          </w:tcPr>
          <w:p w14:paraId="0272CC3E">
            <w:pPr>
              <w:pStyle w:val="12"/>
              <w:snapToGrid w:val="0"/>
              <w:spacing w:line="290" w:lineRule="exact"/>
              <w:ind w:left="-77" w:leftChars="-37" w:right="-94" w:rightChars="-45"/>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777" w:type="pct"/>
            <w:vAlign w:val="center"/>
          </w:tcPr>
          <w:p w14:paraId="7F0DCF02">
            <w:pPr>
              <w:pStyle w:val="12"/>
              <w:snapToGrid w:val="0"/>
              <w:spacing w:line="29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评标委员会的组建</w:t>
            </w:r>
          </w:p>
        </w:tc>
        <w:tc>
          <w:tcPr>
            <w:tcW w:w="3973" w:type="pct"/>
          </w:tcPr>
          <w:p w14:paraId="027A286C">
            <w:pPr>
              <w:pStyle w:val="12"/>
              <w:snapToGrid w:val="0"/>
              <w:spacing w:line="29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评标委员会由招标人依法组建；</w:t>
            </w:r>
            <w:r>
              <w:rPr>
                <w:rFonts w:hint="eastAsia" w:ascii="仿宋" w:hAnsi="仿宋" w:eastAsia="仿宋" w:cs="仿宋"/>
                <w:color w:val="auto"/>
                <w:sz w:val="24"/>
                <w:szCs w:val="24"/>
                <w:highlight w:val="none"/>
                <w:lang w:val="en-US" w:eastAsia="zh-CN"/>
              </w:rPr>
              <w:t>采购人代表1人，评审专家2人，共3人。</w:t>
            </w:r>
          </w:p>
          <w:p w14:paraId="5E5436DE">
            <w:pPr>
              <w:pStyle w:val="12"/>
              <w:snapToGrid w:val="0"/>
              <w:spacing w:line="2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eastAsia="zh-CN"/>
              </w:rPr>
              <w:t>评标专家确定方式：专家评委由招标人在开标前从政采云专家库中随机抽取</w:t>
            </w:r>
          </w:p>
        </w:tc>
      </w:tr>
      <w:tr w14:paraId="6AAF68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49" w:type="pct"/>
            <w:vAlign w:val="center"/>
          </w:tcPr>
          <w:p w14:paraId="499EAA4F">
            <w:pPr>
              <w:pStyle w:val="12"/>
              <w:snapToGrid w:val="0"/>
              <w:spacing w:line="290" w:lineRule="exact"/>
              <w:ind w:left="-77" w:leftChars="-37" w:right="-94" w:rightChars="-4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p>
        </w:tc>
        <w:tc>
          <w:tcPr>
            <w:tcW w:w="777" w:type="pct"/>
            <w:vAlign w:val="center"/>
          </w:tcPr>
          <w:p w14:paraId="3EF4C559">
            <w:pPr>
              <w:pStyle w:val="12"/>
              <w:snapToGrid w:val="0"/>
              <w:spacing w:line="29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是否授权评标委员会确定中标候选人</w:t>
            </w:r>
          </w:p>
        </w:tc>
        <w:tc>
          <w:tcPr>
            <w:tcW w:w="3973" w:type="pct"/>
            <w:vAlign w:val="center"/>
          </w:tcPr>
          <w:p w14:paraId="26E744D5">
            <w:pPr>
              <w:pStyle w:val="12"/>
              <w:snapToGrid w:val="0"/>
              <w:spacing w:line="290" w:lineRule="exact"/>
              <w:rPr>
                <w:rFonts w:hint="eastAsia" w:ascii="仿宋" w:hAnsi="仿宋" w:eastAsia="仿宋" w:cs="仿宋"/>
                <w:color w:val="auto"/>
                <w:sz w:val="24"/>
                <w:szCs w:val="24"/>
                <w:highlight w:val="none"/>
              </w:rPr>
            </w:pPr>
            <w:r>
              <w:rPr>
                <w:rFonts w:hint="eastAsia" w:ascii="仿宋" w:hAnsi="仿宋" w:eastAsia="仿宋" w:cs="仿宋"/>
                <w:color w:val="FF0000"/>
                <w:sz w:val="24"/>
                <w:szCs w:val="24"/>
                <w:highlight w:val="none"/>
              </w:rPr>
              <w:t>是，评标委员会推荐</w:t>
            </w:r>
            <w:r>
              <w:rPr>
                <w:rFonts w:hint="eastAsia" w:ascii="仿宋" w:hAnsi="仿宋" w:eastAsia="仿宋" w:cs="仿宋"/>
                <w:color w:val="FF0000"/>
                <w:sz w:val="24"/>
                <w:szCs w:val="24"/>
                <w:highlight w:val="none"/>
                <w:lang w:val="en-US" w:eastAsia="zh-CN"/>
              </w:rPr>
              <w:t>1</w:t>
            </w:r>
            <w:r>
              <w:rPr>
                <w:rFonts w:hint="eastAsia" w:ascii="仿宋" w:hAnsi="仿宋" w:eastAsia="仿宋" w:cs="仿宋"/>
                <w:color w:val="FF0000"/>
                <w:sz w:val="24"/>
                <w:szCs w:val="24"/>
                <w:highlight w:val="none"/>
              </w:rPr>
              <w:t>名成交候选人</w:t>
            </w:r>
            <w:r>
              <w:rPr>
                <w:rFonts w:hint="eastAsia" w:ascii="仿宋" w:hAnsi="仿宋" w:eastAsia="仿宋" w:cs="仿宋"/>
                <w:color w:val="auto"/>
                <w:sz w:val="24"/>
                <w:szCs w:val="24"/>
                <w:highlight w:val="none"/>
              </w:rPr>
              <w:t>。</w:t>
            </w:r>
          </w:p>
        </w:tc>
      </w:tr>
      <w:tr w14:paraId="4A3976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49" w:type="pct"/>
            <w:vAlign w:val="center"/>
          </w:tcPr>
          <w:p w14:paraId="7A86018B">
            <w:pPr>
              <w:snapToGrid w:val="0"/>
              <w:spacing w:line="290" w:lineRule="exact"/>
              <w:ind w:left="-77" w:leftChars="-37" w:right="-94" w:rightChars="-45"/>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1</w:t>
            </w:r>
          </w:p>
        </w:tc>
        <w:tc>
          <w:tcPr>
            <w:tcW w:w="777" w:type="pct"/>
            <w:vAlign w:val="center"/>
          </w:tcPr>
          <w:p w14:paraId="4822EFEF">
            <w:pPr>
              <w:pStyle w:val="12"/>
              <w:snapToGrid w:val="0"/>
              <w:spacing w:line="29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中标候选人公示媒介</w:t>
            </w:r>
          </w:p>
        </w:tc>
        <w:tc>
          <w:tcPr>
            <w:tcW w:w="3973" w:type="pct"/>
            <w:vAlign w:val="center"/>
          </w:tcPr>
          <w:p w14:paraId="43189FF2">
            <w:pPr>
              <w:pStyle w:val="12"/>
              <w:snapToGrid w:val="0"/>
              <w:spacing w:line="2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克州公共资源交易中心网、新疆政府采购网，公示期为一个工作日。</w:t>
            </w:r>
          </w:p>
        </w:tc>
      </w:tr>
      <w:tr w14:paraId="71EF86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49" w:type="pct"/>
            <w:vMerge w:val="restart"/>
            <w:vAlign w:val="center"/>
          </w:tcPr>
          <w:p w14:paraId="79338402">
            <w:pPr>
              <w:spacing w:line="360" w:lineRule="auto"/>
              <w:jc w:val="center"/>
              <w:rPr>
                <w:rFonts w:hint="eastAsia" w:ascii="仿宋" w:hAnsi="仿宋" w:eastAsia="仿宋" w:cs="仿宋"/>
                <w:sz w:val="24"/>
                <w:szCs w:val="24"/>
                <w:highlight w:val="none"/>
                <w:lang w:val="en-US"/>
              </w:rPr>
            </w:pPr>
            <w:r>
              <w:rPr>
                <w:rFonts w:hint="eastAsia" w:ascii="仿宋" w:hAnsi="仿宋" w:eastAsia="仿宋" w:cs="仿宋"/>
                <w:color w:val="000000" w:themeColor="text1"/>
                <w:sz w:val="24"/>
                <w:szCs w:val="24"/>
                <w:lang w:val="en-US" w:eastAsia="zh-CN"/>
                <w14:textFill>
                  <w14:solidFill>
                    <w14:schemeClr w14:val="tx1"/>
                  </w14:solidFill>
                </w14:textFill>
              </w:rPr>
              <w:t>22</w:t>
            </w:r>
          </w:p>
        </w:tc>
        <w:tc>
          <w:tcPr>
            <w:tcW w:w="777" w:type="pct"/>
            <w:vMerge w:val="restart"/>
            <w:vAlign w:val="center"/>
          </w:tcPr>
          <w:p w14:paraId="17D4D54E">
            <w:pPr>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themeColor="text1"/>
                <w:sz w:val="24"/>
                <w:szCs w:val="24"/>
                <w:lang w:eastAsia="zh-CN"/>
                <w14:textFill>
                  <w14:solidFill>
                    <w14:schemeClr w14:val="tx1"/>
                  </w14:solidFill>
                </w14:textFill>
              </w:rPr>
              <w:t>中小微企业政策文件（本政策仅限于综合评分法）</w:t>
            </w:r>
          </w:p>
        </w:tc>
        <w:tc>
          <w:tcPr>
            <w:tcW w:w="3973" w:type="pct"/>
            <w:vAlign w:val="top"/>
          </w:tcPr>
          <w:p w14:paraId="034915F3">
            <w:pPr>
              <w:widowControl/>
              <w:spacing w:line="440" w:lineRule="exact"/>
              <w:rPr>
                <w:rFonts w:hint="eastAsia" w:ascii="仿宋" w:hAnsi="仿宋" w:eastAsia="仿宋" w:cs="仿宋"/>
                <w:sz w:val="24"/>
                <w:szCs w:val="24"/>
                <w:highlight w:val="none"/>
                <w:lang w:val="en-US" w:eastAsia="zh-CN"/>
              </w:rPr>
            </w:pPr>
            <w:r>
              <w:rPr>
                <w:rFonts w:hint="eastAsia" w:ascii="仿宋" w:hAnsi="仿宋" w:eastAsia="仿宋" w:cs="仿宋"/>
                <w:color w:val="000000" w:themeColor="text1"/>
                <w:sz w:val="24"/>
                <w:szCs w:val="24"/>
                <w:lang w:val="zh-CN" w:eastAsia="zh-CN"/>
                <w14:textFill>
                  <w14:solidFill>
                    <w14:schemeClr w14:val="tx1"/>
                  </w14:solidFill>
                </w14:textFill>
              </w:rPr>
              <w:t>（1）根据财政部《政府采购促进中小企业发展管理办法》（财库[2020]46号）、《关于进一步加大政府采购支持中小企业力度的通知》(财库[2022]19号)、新财购（2022）22号文件《关于落实好政府采购支持中小企业发展的通知》，投标人及其所投产品的制造商均属于《工业和信息化部、国家统计局、国家发展和改革委员会、财政部关于印发中小企业划型标准规定的通知》（工信部联企业[2011]300号）中规定的小型、微型企业标准的，按文件格式提供《中小企业声明函》。</w:t>
            </w:r>
          </w:p>
        </w:tc>
      </w:tr>
      <w:tr w14:paraId="4A798C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49" w:type="pct"/>
            <w:vMerge w:val="continue"/>
            <w:vAlign w:val="center"/>
          </w:tcPr>
          <w:p w14:paraId="657CA5E2">
            <w:pPr>
              <w:spacing w:line="360" w:lineRule="auto"/>
              <w:jc w:val="center"/>
              <w:rPr>
                <w:rFonts w:hint="eastAsia" w:ascii="仿宋" w:hAnsi="仿宋" w:eastAsia="仿宋" w:cs="仿宋"/>
                <w:color w:val="000000" w:themeColor="text1"/>
                <w:sz w:val="24"/>
                <w:szCs w:val="24"/>
                <w:lang w:eastAsia="zh-CN"/>
                <w14:textFill>
                  <w14:solidFill>
                    <w14:schemeClr w14:val="tx1"/>
                  </w14:solidFill>
                </w14:textFill>
              </w:rPr>
            </w:pPr>
          </w:p>
        </w:tc>
        <w:tc>
          <w:tcPr>
            <w:tcW w:w="777" w:type="pct"/>
            <w:vMerge w:val="continue"/>
            <w:vAlign w:val="center"/>
          </w:tcPr>
          <w:p w14:paraId="0C5B194D">
            <w:pPr>
              <w:spacing w:line="360" w:lineRule="auto"/>
              <w:rPr>
                <w:rFonts w:hint="eastAsia" w:ascii="仿宋" w:hAnsi="仿宋" w:eastAsia="仿宋" w:cs="仿宋"/>
                <w:b/>
                <w:bCs/>
                <w:color w:val="000000" w:themeColor="text1"/>
                <w:sz w:val="24"/>
                <w:szCs w:val="24"/>
                <w:lang w:eastAsia="zh-CN"/>
                <w14:textFill>
                  <w14:solidFill>
                    <w14:schemeClr w14:val="tx1"/>
                  </w14:solidFill>
                </w14:textFill>
              </w:rPr>
            </w:pPr>
          </w:p>
        </w:tc>
        <w:tc>
          <w:tcPr>
            <w:tcW w:w="3973" w:type="pct"/>
            <w:vAlign w:val="top"/>
          </w:tcPr>
          <w:p w14:paraId="44F2C34F">
            <w:pPr>
              <w:widowControl/>
              <w:spacing w:line="440" w:lineRule="exact"/>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22D7D1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49" w:type="pct"/>
            <w:vMerge w:val="continue"/>
            <w:vAlign w:val="center"/>
          </w:tcPr>
          <w:p w14:paraId="1DCAE65D">
            <w:pPr>
              <w:spacing w:line="360" w:lineRule="auto"/>
              <w:jc w:val="center"/>
              <w:rPr>
                <w:rFonts w:hint="eastAsia" w:ascii="仿宋" w:hAnsi="仿宋" w:eastAsia="仿宋" w:cs="仿宋"/>
                <w:color w:val="000000" w:themeColor="text1"/>
                <w:sz w:val="24"/>
                <w:szCs w:val="24"/>
                <w:lang w:eastAsia="zh-CN"/>
                <w14:textFill>
                  <w14:solidFill>
                    <w14:schemeClr w14:val="tx1"/>
                  </w14:solidFill>
                </w14:textFill>
              </w:rPr>
            </w:pPr>
          </w:p>
        </w:tc>
        <w:tc>
          <w:tcPr>
            <w:tcW w:w="777" w:type="pct"/>
            <w:vMerge w:val="continue"/>
            <w:vAlign w:val="center"/>
          </w:tcPr>
          <w:p w14:paraId="55EC20B4">
            <w:pPr>
              <w:spacing w:line="360" w:lineRule="auto"/>
              <w:rPr>
                <w:rFonts w:hint="eastAsia" w:ascii="仿宋" w:hAnsi="仿宋" w:eastAsia="仿宋" w:cs="仿宋"/>
                <w:b/>
                <w:bCs/>
                <w:color w:val="000000" w:themeColor="text1"/>
                <w:sz w:val="24"/>
                <w:szCs w:val="24"/>
                <w:lang w:eastAsia="zh-CN"/>
                <w14:textFill>
                  <w14:solidFill>
                    <w14:schemeClr w14:val="tx1"/>
                  </w14:solidFill>
                </w14:textFill>
              </w:rPr>
            </w:pPr>
          </w:p>
        </w:tc>
        <w:tc>
          <w:tcPr>
            <w:tcW w:w="3973" w:type="pct"/>
            <w:vAlign w:val="top"/>
          </w:tcPr>
          <w:p w14:paraId="610C06A3">
            <w:pPr>
              <w:widowControl/>
              <w:spacing w:line="440" w:lineRule="exact"/>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14:paraId="7B8610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49" w:type="pct"/>
            <w:vMerge w:val="restart"/>
            <w:vAlign w:val="center"/>
          </w:tcPr>
          <w:p w14:paraId="6302BC67">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23</w:t>
            </w:r>
          </w:p>
        </w:tc>
        <w:tc>
          <w:tcPr>
            <w:tcW w:w="777" w:type="pct"/>
            <w:vMerge w:val="restart"/>
            <w:vAlign w:val="center"/>
          </w:tcPr>
          <w:p w14:paraId="0DE98A92">
            <w:pPr>
              <w:spacing w:line="360" w:lineRule="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中小微企业政策文件说明</w:t>
            </w:r>
          </w:p>
        </w:tc>
        <w:tc>
          <w:tcPr>
            <w:tcW w:w="3973" w:type="pct"/>
            <w:vAlign w:val="top"/>
          </w:tcPr>
          <w:p w14:paraId="59879A7A">
            <w:pPr>
              <w:widowControl/>
              <w:spacing w:line="440" w:lineRule="exac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支持中小企业发展：给予小型和微型企业产品的价格10%-20%的扣除，用扣除后的价格参与评审，本项目具体扣除比例为10%。用扣除后的价格参与评审。残疾人福利性单位视同小型、微型企业，享受同等价格扣除，但同时属于残疾人福利性单位和小微企业的，不重复价格扣除。</w:t>
            </w:r>
          </w:p>
        </w:tc>
      </w:tr>
      <w:tr w14:paraId="7350BC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0" w:hRule="atLeast"/>
          <w:jc w:val="center"/>
        </w:trPr>
        <w:tc>
          <w:tcPr>
            <w:tcW w:w="249" w:type="pct"/>
            <w:vMerge w:val="continue"/>
            <w:vAlign w:val="center"/>
          </w:tcPr>
          <w:p w14:paraId="61A0D66A">
            <w:pPr>
              <w:spacing w:line="360" w:lineRule="auto"/>
              <w:jc w:val="center"/>
              <w:rPr>
                <w:rFonts w:hint="eastAsia" w:ascii="仿宋" w:hAnsi="仿宋" w:eastAsia="仿宋" w:cs="仿宋"/>
                <w:color w:val="000000" w:themeColor="text1"/>
                <w:sz w:val="24"/>
                <w:szCs w:val="24"/>
                <w:lang w:eastAsia="zh-CN"/>
                <w14:textFill>
                  <w14:solidFill>
                    <w14:schemeClr w14:val="tx1"/>
                  </w14:solidFill>
                </w14:textFill>
              </w:rPr>
            </w:pPr>
          </w:p>
        </w:tc>
        <w:tc>
          <w:tcPr>
            <w:tcW w:w="777" w:type="pct"/>
            <w:vMerge w:val="continue"/>
            <w:vAlign w:val="center"/>
          </w:tcPr>
          <w:p w14:paraId="264B18D3">
            <w:pPr>
              <w:spacing w:line="360" w:lineRule="auto"/>
              <w:rPr>
                <w:rFonts w:hint="eastAsia" w:ascii="仿宋" w:hAnsi="仿宋" w:eastAsia="仿宋" w:cs="仿宋"/>
                <w:b/>
                <w:bCs/>
                <w:color w:val="000000" w:themeColor="text1"/>
                <w:sz w:val="24"/>
                <w:szCs w:val="24"/>
                <w:lang w:eastAsia="zh-CN"/>
                <w14:textFill>
                  <w14:solidFill>
                    <w14:schemeClr w14:val="tx1"/>
                  </w14:solidFill>
                </w14:textFill>
              </w:rPr>
            </w:pPr>
          </w:p>
        </w:tc>
        <w:tc>
          <w:tcPr>
            <w:tcW w:w="3973" w:type="pct"/>
            <w:vAlign w:val="top"/>
          </w:tcPr>
          <w:p w14:paraId="4BC403F0">
            <w:pPr>
              <w:widowControl/>
              <w:spacing w:line="440" w:lineRule="exac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（2）不符合上述适用情形的投标人无需提供上述声明函件。</w:t>
            </w:r>
          </w:p>
        </w:tc>
      </w:tr>
      <w:tr w14:paraId="5CBE0A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0" w:hRule="atLeast"/>
          <w:jc w:val="center"/>
        </w:trPr>
        <w:tc>
          <w:tcPr>
            <w:tcW w:w="249" w:type="pct"/>
            <w:vAlign w:val="center"/>
          </w:tcPr>
          <w:p w14:paraId="0F966C26">
            <w:pPr>
              <w:snapToGrid w:val="0"/>
              <w:spacing w:line="29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w:t>
            </w:r>
          </w:p>
        </w:tc>
        <w:tc>
          <w:tcPr>
            <w:tcW w:w="777" w:type="pct"/>
            <w:vAlign w:val="center"/>
          </w:tcPr>
          <w:p w14:paraId="016A411F">
            <w:pPr>
              <w:snapToGrid w:val="0"/>
              <w:spacing w:line="290" w:lineRule="exact"/>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评标办法</w:t>
            </w:r>
          </w:p>
        </w:tc>
        <w:tc>
          <w:tcPr>
            <w:tcW w:w="3973" w:type="pct"/>
          </w:tcPr>
          <w:p w14:paraId="6C353C62">
            <w:pPr>
              <w:snapToGrid w:val="0"/>
              <w:spacing w:line="29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综合评分法</w:t>
            </w:r>
          </w:p>
        </w:tc>
      </w:tr>
      <w:tr w14:paraId="7AE7FE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49" w:type="pct"/>
            <w:vMerge w:val="restart"/>
            <w:vAlign w:val="center"/>
          </w:tcPr>
          <w:p w14:paraId="4ADC7CF9">
            <w:pPr>
              <w:snapToGrid w:val="0"/>
              <w:spacing w:line="29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25</w:t>
            </w:r>
          </w:p>
        </w:tc>
        <w:tc>
          <w:tcPr>
            <w:tcW w:w="777" w:type="pct"/>
            <w:vMerge w:val="restart"/>
            <w:vAlign w:val="center"/>
          </w:tcPr>
          <w:p w14:paraId="797B3D2B">
            <w:pPr>
              <w:snapToGrid w:val="0"/>
              <w:spacing w:line="290" w:lineRule="exact"/>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重要说明</w:t>
            </w:r>
          </w:p>
        </w:tc>
        <w:tc>
          <w:tcPr>
            <w:tcW w:w="3973" w:type="pct"/>
          </w:tcPr>
          <w:p w14:paraId="1C7AF798">
            <w:pPr>
              <w:snapToGrid w:val="0"/>
              <w:spacing w:line="290" w:lineRule="exact"/>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1.本项目采用全流程不见面电子开评标，投标供应商需要使用CA加密设备，供应商可通过新疆数字证书认证中心官网（https://www.xjca.com.cn/）或下载“新疆政务通”APP自行进行申领。</w:t>
            </w:r>
          </w:p>
          <w:p w14:paraId="107CB8C3">
            <w:pPr>
              <w:snapToGrid w:val="0"/>
              <w:spacing w:line="290" w:lineRule="exact"/>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2.本项目实行网上投标，采用加密电子投标文件(供应商须使用CA加密设备通过政采云电子投标客户端制作投标文件)。若供应商参与投标，自行承担投标一切费用。</w:t>
            </w:r>
          </w:p>
          <w:p w14:paraId="4C391BE7">
            <w:pPr>
              <w:snapToGrid w:val="0"/>
              <w:spacing w:line="290" w:lineRule="exact"/>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14:paraId="3D966025">
            <w:pPr>
              <w:snapToGrid w:val="0"/>
              <w:spacing w:line="290" w:lineRule="exact"/>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ascii="仿宋" w:hAnsi="仿宋" w:eastAsia="仿宋" w:cs="仿宋"/>
                <w:b w:val="0"/>
                <w:bCs w:val="0"/>
                <w:sz w:val="24"/>
                <w:szCs w:val="24"/>
                <w:highlight w:val="none"/>
                <w:lang w:eastAsia="zh-CN"/>
              </w:rPr>
              <w:t>95763</w:t>
            </w:r>
            <w:r>
              <w:rPr>
                <w:rFonts w:hint="eastAsia" w:ascii="仿宋" w:hAnsi="仿宋" w:eastAsia="仿宋" w:cs="仿宋"/>
                <w:b w:val="0"/>
                <w:bCs w:val="0"/>
                <w:sz w:val="24"/>
                <w:szCs w:val="24"/>
                <w:highlight w:val="none"/>
              </w:rPr>
              <w:t>进行咨询。</w:t>
            </w:r>
          </w:p>
          <w:p w14:paraId="413F18FA">
            <w:pPr>
              <w:snapToGrid w:val="0"/>
              <w:spacing w:line="290" w:lineRule="exact"/>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5.供应商在开标时须使用制作加密电子投标文件所使用的CA锁及电脑，电脑须提前配置好浏览器（建议使用谷歌浏览器），以便开标时解锁。</w:t>
            </w:r>
          </w:p>
          <w:p w14:paraId="42BFAA9C">
            <w:pPr>
              <w:snapToGrid w:val="0"/>
              <w:spacing w:line="290" w:lineRule="exact"/>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14:paraId="5B35E612">
            <w:pPr>
              <w:snapToGrid w:val="0"/>
              <w:spacing w:line="290" w:lineRule="exact"/>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7.为了保证开评标顺利进行，政采云线上开标功能完全实现，供应商开标所使用的电脑设备须具有视频及语音功能。</w:t>
            </w:r>
          </w:p>
        </w:tc>
      </w:tr>
      <w:tr w14:paraId="5A7EED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249" w:type="pct"/>
            <w:vMerge w:val="continue"/>
            <w:vAlign w:val="center"/>
          </w:tcPr>
          <w:p w14:paraId="42782522">
            <w:pPr>
              <w:snapToGrid w:val="0"/>
              <w:spacing w:line="290" w:lineRule="exact"/>
              <w:rPr>
                <w:rFonts w:hint="eastAsia" w:ascii="仿宋" w:hAnsi="仿宋" w:eastAsia="仿宋" w:cs="仿宋"/>
                <w:b/>
                <w:sz w:val="24"/>
                <w:szCs w:val="24"/>
                <w:highlight w:val="none"/>
              </w:rPr>
            </w:pPr>
          </w:p>
        </w:tc>
        <w:tc>
          <w:tcPr>
            <w:tcW w:w="777" w:type="pct"/>
            <w:vMerge w:val="continue"/>
            <w:vAlign w:val="center"/>
          </w:tcPr>
          <w:p w14:paraId="50BD32CB">
            <w:pPr>
              <w:snapToGrid w:val="0"/>
              <w:spacing w:line="290" w:lineRule="exact"/>
              <w:rPr>
                <w:rFonts w:hint="eastAsia" w:ascii="仿宋" w:hAnsi="仿宋" w:eastAsia="仿宋" w:cs="仿宋"/>
                <w:b w:val="0"/>
                <w:bCs w:val="0"/>
                <w:sz w:val="24"/>
                <w:szCs w:val="24"/>
                <w:highlight w:val="none"/>
              </w:rPr>
            </w:pPr>
          </w:p>
        </w:tc>
        <w:tc>
          <w:tcPr>
            <w:tcW w:w="3973" w:type="pct"/>
          </w:tcPr>
          <w:p w14:paraId="6F43EF65">
            <w:pPr>
              <w:snapToGrid w:val="0"/>
              <w:spacing w:line="290" w:lineRule="exac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1、电子招投标情况说明：</w:t>
            </w:r>
          </w:p>
          <w:p w14:paraId="1E2C9333">
            <w:pPr>
              <w:snapToGrid w:val="0"/>
              <w:spacing w:line="290" w:lineRule="exac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（1）电子招投标：本项目以数据电文形式，依托“政府采购云平台（www.zcygov.cn）”进行招投标活动。</w:t>
            </w:r>
          </w:p>
          <w:p w14:paraId="4D9E545B">
            <w:pPr>
              <w:snapToGrid w:val="0"/>
              <w:spacing w:line="290" w:lineRule="exac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07504516">
            <w:pP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（3）采购文件的获取：使用账号登录或者</w:t>
            </w:r>
            <w:r>
              <w:rPr>
                <w:rFonts w:hint="eastAsia" w:ascii="仿宋" w:hAnsi="仿宋" w:eastAsia="仿宋" w:cs="仿宋"/>
                <w:b w:val="0"/>
                <w:bCs w:val="0"/>
                <w:sz w:val="24"/>
                <w:szCs w:val="24"/>
                <w:highlight w:val="none"/>
                <w:lang w:bidi="zh-CN"/>
              </w:rPr>
              <w:t>短信验证码</w:t>
            </w:r>
            <w:r>
              <w:rPr>
                <w:rFonts w:hint="eastAsia" w:ascii="仿宋" w:hAnsi="仿宋" w:eastAsia="仿宋" w:cs="仿宋"/>
                <w:b w:val="0"/>
                <w:bCs w:val="0"/>
                <w:sz w:val="24"/>
                <w:szCs w:val="24"/>
                <w:highlight w:val="none"/>
              </w:rPr>
              <w:t>或者使用CA登录政采云平台；进入“项目采购”应用，在获取采购文件菜单中选择项目，获取采购文件。</w:t>
            </w:r>
          </w:p>
          <w:p w14:paraId="7E8C2E85">
            <w:pPr>
              <w:snapToGrid w:val="0"/>
              <w:spacing w:line="290" w:lineRule="exac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（4）投标文件的制作：在“政采云电子交易客户端”中完成“填写基本信息”、“导入投标文件”、“标书关联”、“标书检查”、“电子签名”、“生成电子标书”等操作。</w:t>
            </w:r>
          </w:p>
          <w:p w14:paraId="4EEF3D05">
            <w:pPr>
              <w:snapToGrid w:val="0"/>
              <w:spacing w:line="290" w:lineRule="exac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（5）投标文件的传输递交：供应商在投标截止时间前将加密的投标文件上传至政府采购云平台，还可以在投标截止时间前以电子邮件方式提供备份投标文件1份（接收人邮箱：</w:t>
            </w:r>
            <w:r>
              <w:rPr>
                <w:rFonts w:hint="eastAsia" w:ascii="仿宋" w:hAnsi="仿宋" w:eastAsia="仿宋" w:cs="仿宋"/>
                <w:b w:val="0"/>
                <w:bCs w:val="0"/>
                <w:sz w:val="24"/>
                <w:szCs w:val="24"/>
                <w:highlight w:val="none"/>
                <w:lang w:eastAsia="zh-CN"/>
              </w:rPr>
              <w:t>19246091</w:t>
            </w:r>
            <w:r>
              <w:rPr>
                <w:rFonts w:hint="eastAsia" w:ascii="仿宋" w:hAnsi="仿宋" w:eastAsia="仿宋" w:cs="仿宋"/>
                <w:b w:val="0"/>
                <w:bCs w:val="0"/>
                <w:sz w:val="24"/>
                <w:szCs w:val="24"/>
                <w:highlight w:val="none"/>
              </w:rPr>
              <w:t>@qq.com，接收人：</w:t>
            </w:r>
            <w:r>
              <w:rPr>
                <w:rFonts w:hint="eastAsia" w:ascii="仿宋" w:hAnsi="仿宋" w:eastAsia="仿宋" w:cs="仿宋"/>
                <w:b w:val="0"/>
                <w:bCs w:val="0"/>
                <w:sz w:val="24"/>
                <w:szCs w:val="24"/>
                <w:highlight w:val="none"/>
                <w:lang w:eastAsia="zh-CN"/>
              </w:rPr>
              <w:t>黄女士</w:t>
            </w:r>
            <w:r>
              <w:rPr>
                <w:rFonts w:hint="eastAsia" w:ascii="仿宋" w:hAnsi="仿宋" w:eastAsia="仿宋" w:cs="仿宋"/>
                <w:b w:val="0"/>
                <w:bCs w:val="0"/>
                <w:sz w:val="24"/>
                <w:szCs w:val="24"/>
                <w:highlight w:val="none"/>
              </w:rPr>
              <w:t xml:space="preserve"> 联系电话：</w:t>
            </w:r>
            <w:r>
              <w:rPr>
                <w:rFonts w:hint="eastAsia" w:ascii="仿宋" w:hAnsi="仿宋" w:eastAsia="仿宋" w:cs="仿宋"/>
                <w:b w:val="0"/>
                <w:bCs w:val="0"/>
                <w:sz w:val="24"/>
                <w:szCs w:val="24"/>
                <w:highlight w:val="none"/>
                <w:lang w:eastAsia="zh-CN"/>
              </w:rPr>
              <w:t>17609081174）</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仿宋" w:hAnsi="仿宋" w:eastAsia="仿宋" w:cs="仿宋"/>
                <w:b w:val="0"/>
                <w:bCs w:val="0"/>
                <w:sz w:val="24"/>
                <w:szCs w:val="24"/>
                <w:highlight w:val="none"/>
              </w:rPr>
              <w:t>。</w:t>
            </w:r>
          </w:p>
          <w:p w14:paraId="5DE4F790">
            <w:pPr>
              <w:snapToGrid w:val="0"/>
              <w:spacing w:line="290" w:lineRule="exac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6）投标文件的解密：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3A560C60">
            <w:pPr>
              <w:snapToGrid w:val="0"/>
              <w:spacing w:line="290" w:lineRule="exac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（7）具体操作指南：详见政采云平台“服务中心-帮助文档-项目采购-操作流程-电子招投标-政府采购项目电子交易管理操作指南-供应商”。</w:t>
            </w:r>
          </w:p>
          <w:p w14:paraId="06179C91">
            <w:pPr>
              <w:snapToGrid w:val="0"/>
              <w:spacing w:line="290" w:lineRule="exac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（8）供应商在进行上述操作时，如遇技术问题可登录政采云（https://</w:t>
            </w:r>
            <w:r>
              <w:rPr>
                <w:rFonts w:hint="eastAsia" w:ascii="仿宋" w:hAnsi="仿宋" w:eastAsia="仿宋" w:cs="仿宋"/>
                <w:b w:val="0"/>
                <w:bCs w:val="0"/>
                <w:sz w:val="24"/>
                <w:szCs w:val="24"/>
                <w:highlight w:val="none"/>
              </w:rPr>
              <w:fldChar w:fldCharType="begin"/>
            </w:r>
            <w:r>
              <w:rPr>
                <w:rFonts w:hint="eastAsia" w:ascii="仿宋" w:hAnsi="仿宋" w:eastAsia="仿宋" w:cs="仿宋"/>
                <w:b w:val="0"/>
                <w:bCs w:val="0"/>
                <w:sz w:val="24"/>
                <w:szCs w:val="24"/>
                <w:highlight w:val="none"/>
              </w:rPr>
              <w:instrText xml:space="preserve"> HYPERLINK "http://www.zcygov.cn/" \h </w:instrText>
            </w:r>
            <w:r>
              <w:rPr>
                <w:rFonts w:hint="eastAsia" w:ascii="仿宋" w:hAnsi="仿宋" w:eastAsia="仿宋" w:cs="仿宋"/>
                <w:b w:val="0"/>
                <w:bCs w:val="0"/>
                <w:sz w:val="24"/>
                <w:szCs w:val="24"/>
                <w:highlight w:val="none"/>
              </w:rPr>
              <w:fldChar w:fldCharType="separate"/>
            </w:r>
            <w:r>
              <w:rPr>
                <w:rFonts w:hint="eastAsia" w:ascii="仿宋" w:hAnsi="仿宋" w:eastAsia="仿宋" w:cs="仿宋"/>
                <w:b w:val="0"/>
                <w:bCs w:val="0"/>
                <w:sz w:val="24"/>
                <w:szCs w:val="24"/>
                <w:highlight w:val="none"/>
              </w:rPr>
              <w:t>www.zcygov.cn/</w:t>
            </w:r>
            <w:r>
              <w:rPr>
                <w:rFonts w:hint="eastAsia" w:ascii="仿宋" w:hAnsi="仿宋" w:eastAsia="仿宋" w:cs="仿宋"/>
                <w:b w:val="0"/>
                <w:bCs w:val="0"/>
                <w:sz w:val="24"/>
                <w:szCs w:val="24"/>
                <w:highlight w:val="none"/>
              </w:rPr>
              <w:fldChar w:fldCharType="end"/>
            </w:r>
            <w:r>
              <w:rPr>
                <w:rFonts w:hint="eastAsia" w:ascii="仿宋" w:hAnsi="仿宋" w:eastAsia="仿宋" w:cs="仿宋"/>
                <w:b w:val="0"/>
                <w:bCs w:val="0"/>
                <w:sz w:val="24"/>
                <w:szCs w:val="24"/>
                <w:highlight w:val="none"/>
              </w:rPr>
              <w:t xml:space="preserve">），点击右侧咨询小采，获取采小蜜智能服务管家帮助，或拨打政采云服务热线 </w:t>
            </w:r>
            <w:r>
              <w:rPr>
                <w:rFonts w:hint="eastAsia" w:ascii="仿宋" w:hAnsi="仿宋" w:eastAsia="仿宋" w:cs="仿宋"/>
                <w:b w:val="0"/>
                <w:bCs w:val="0"/>
                <w:sz w:val="24"/>
                <w:szCs w:val="24"/>
                <w:highlight w:val="none"/>
                <w:lang w:eastAsia="zh-CN"/>
              </w:rPr>
              <w:t>95763</w:t>
            </w:r>
            <w:r>
              <w:rPr>
                <w:rFonts w:hint="eastAsia" w:ascii="仿宋" w:hAnsi="仿宋" w:eastAsia="仿宋" w:cs="仿宋"/>
                <w:b w:val="0"/>
                <w:bCs w:val="0"/>
                <w:sz w:val="24"/>
                <w:szCs w:val="24"/>
                <w:highlight w:val="none"/>
              </w:rPr>
              <w:t xml:space="preserve"> 获取热线服务帮助。</w:t>
            </w:r>
          </w:p>
          <w:p w14:paraId="297F9388">
            <w:pPr>
              <w:pStyle w:val="5"/>
              <w:adjustRightInd/>
              <w:snapToGrid w:val="0"/>
              <w:spacing w:line="290" w:lineRule="exact"/>
              <w:ind w:left="0" w:leftChars="0" w:firstLine="0" w:firstLineChars="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温馨提醒：供应商应提前上传，以便在上传时遇到技术问题，有充足的时间请教平台的技术人员。</w:t>
            </w:r>
          </w:p>
          <w:p w14:paraId="0B36100A">
            <w:pPr>
              <w:snapToGrid w:val="0"/>
              <w:spacing w:line="290" w:lineRule="exac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未按规定获取采购文件或逾期提出的不予受理、答复。</w:t>
            </w:r>
          </w:p>
        </w:tc>
      </w:tr>
      <w:tr w14:paraId="298E09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40" w:hRule="atLeast"/>
          <w:jc w:val="center"/>
        </w:trPr>
        <w:tc>
          <w:tcPr>
            <w:tcW w:w="249" w:type="pct"/>
            <w:vAlign w:val="center"/>
          </w:tcPr>
          <w:p w14:paraId="41053D80">
            <w:pPr>
              <w:snapToGrid w:val="0"/>
              <w:spacing w:line="290" w:lineRule="exact"/>
              <w:rPr>
                <w:rFonts w:hint="eastAsia" w:ascii="仿宋" w:hAnsi="仿宋" w:eastAsia="仿宋" w:cs="仿宋"/>
                <w:b/>
                <w:sz w:val="24"/>
                <w:szCs w:val="24"/>
                <w:highlight w:val="none"/>
                <w:lang w:val="en-US" w:eastAsia="zh-CN"/>
              </w:rPr>
            </w:pPr>
            <w:bookmarkStart w:id="10" w:name="_Toc30705"/>
            <w:r>
              <w:rPr>
                <w:rFonts w:hint="eastAsia" w:ascii="仿宋" w:hAnsi="仿宋" w:eastAsia="仿宋" w:cs="仿宋"/>
                <w:b/>
                <w:sz w:val="24"/>
                <w:szCs w:val="24"/>
                <w:highlight w:val="none"/>
                <w:lang w:val="en-US" w:eastAsia="zh-CN"/>
              </w:rPr>
              <w:t>26</w:t>
            </w:r>
          </w:p>
        </w:tc>
        <w:tc>
          <w:tcPr>
            <w:tcW w:w="777" w:type="pct"/>
            <w:vAlign w:val="center"/>
          </w:tcPr>
          <w:p w14:paraId="6A625B4E">
            <w:pPr>
              <w:snapToGrid w:val="0"/>
              <w:spacing w:line="290" w:lineRule="exact"/>
              <w:ind w:firstLine="460" w:firstLineChars="192"/>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rPr>
              <w:t>备注</w:t>
            </w:r>
          </w:p>
        </w:tc>
        <w:tc>
          <w:tcPr>
            <w:tcW w:w="3973" w:type="pct"/>
          </w:tcPr>
          <w:p w14:paraId="5CF47D4B">
            <w:pPr>
              <w:snapToGrid w:val="0"/>
              <w:spacing w:line="29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着重提醒各投标人注意，并认真查看</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中的每一个条款及要求，因误读</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而造成的后果，招标人概不负责。</w:t>
            </w:r>
          </w:p>
          <w:p w14:paraId="2836F7C4">
            <w:pPr>
              <w:snapToGrid w:val="0"/>
              <w:spacing w:line="29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2、投标人使用相同IP地址的，一经发现，相关部门将进一步核实，查实后按串通投标处理。</w:t>
            </w:r>
          </w:p>
          <w:p w14:paraId="5AE95EEF">
            <w:pPr>
              <w:snapToGrid w:val="0"/>
              <w:spacing w:line="29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为保证本项目质量，良好的售后服务，最</w:t>
            </w:r>
            <w:r>
              <w:rPr>
                <w:rFonts w:hint="eastAsia" w:ascii="仿宋" w:hAnsi="仿宋" w:eastAsia="仿宋" w:cs="仿宋"/>
                <w:sz w:val="24"/>
                <w:szCs w:val="24"/>
                <w:highlight w:val="none"/>
                <w:lang w:eastAsia="zh-CN"/>
              </w:rPr>
              <w:t>高</w:t>
            </w:r>
            <w:r>
              <w:rPr>
                <w:rFonts w:hint="eastAsia" w:ascii="仿宋" w:hAnsi="仿宋" w:eastAsia="仿宋" w:cs="仿宋"/>
                <w:sz w:val="24"/>
                <w:szCs w:val="24"/>
                <w:highlight w:val="none"/>
              </w:rPr>
              <w:t>报价不作为中标的唯一依据。</w:t>
            </w:r>
          </w:p>
          <w:p w14:paraId="75989B39">
            <w:pPr>
              <w:snapToGrid w:val="0"/>
              <w:spacing w:line="29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采购人若发现成交候选供应商在投标过程中提供虚假证明文件，故意隐瞒公司不良信誉和财务状况，以及其他可能对合同圆满履行造成风险的因素等，则按规定取消其成交资格，监管部门依法进行处理。</w:t>
            </w:r>
          </w:p>
          <w:p w14:paraId="4C50370C">
            <w:pPr>
              <w:snapToGrid w:val="0"/>
              <w:spacing w:line="29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其它：</w:t>
            </w:r>
          </w:p>
          <w:p w14:paraId="0F21840A">
            <w:pPr>
              <w:snapToGrid w:val="0"/>
              <w:spacing w:line="29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（1）投标企业严格遵守国家的法律法规及招标纪律，无违法违纪及商业贿赂行为。</w:t>
            </w:r>
          </w:p>
          <w:p w14:paraId="742868BE">
            <w:pPr>
              <w:snapToGrid w:val="0"/>
              <w:spacing w:line="29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（2）不管投标结果如何，供应商均应自行承担投标所需一切费用。</w:t>
            </w:r>
          </w:p>
          <w:p w14:paraId="6FC8D4F3">
            <w:pPr>
              <w:snapToGrid w:val="0"/>
              <w:spacing w:line="29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）磋商响应文件中的报价为一次报价，各投标单位进行二次报价（磋商），采购人也可以根据磋商情况进行多轮报价，投标报价评审以最终报价为准，二次报价不得</w:t>
            </w:r>
            <w:r>
              <w:rPr>
                <w:rFonts w:hint="eastAsia" w:ascii="仿宋" w:hAnsi="仿宋" w:eastAsia="仿宋" w:cs="仿宋"/>
                <w:sz w:val="24"/>
                <w:szCs w:val="24"/>
                <w:highlight w:val="none"/>
                <w:lang w:eastAsia="zh-CN"/>
              </w:rPr>
              <w:t>低</w:t>
            </w:r>
            <w:r>
              <w:rPr>
                <w:rFonts w:hint="eastAsia" w:ascii="仿宋" w:hAnsi="仿宋" w:eastAsia="仿宋" w:cs="仿宋"/>
                <w:sz w:val="24"/>
                <w:szCs w:val="24"/>
                <w:highlight w:val="none"/>
              </w:rPr>
              <w:t>于一次报价</w:t>
            </w:r>
            <w:r>
              <w:rPr>
                <w:rFonts w:hint="eastAsia" w:ascii="仿宋" w:hAnsi="仿宋" w:eastAsia="仿宋" w:cs="仿宋"/>
                <w:sz w:val="24"/>
                <w:szCs w:val="24"/>
                <w:highlight w:val="none"/>
                <w:lang w:eastAsia="zh-CN"/>
              </w:rPr>
              <w:t>，依次类推。</w:t>
            </w:r>
          </w:p>
          <w:p w14:paraId="734BAD2C">
            <w:pPr>
              <w:snapToGrid w:val="0"/>
              <w:spacing w:line="29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磋商文件中如出现前后不一致情况，均以前附表内容为准。</w:t>
            </w:r>
          </w:p>
        </w:tc>
      </w:tr>
    </w:tbl>
    <w:p w14:paraId="4FEDD3E3">
      <w:pPr>
        <w:pageBreakBefore/>
        <w:spacing w:before="312" w:beforeLines="100" w:after="312" w:afterLines="100" w:line="440" w:lineRule="exact"/>
        <w:jc w:val="center"/>
        <w:outlineLvl w:val="1"/>
        <w:rPr>
          <w:rFonts w:hint="eastAsia" w:ascii="仿宋" w:hAnsi="仿宋" w:eastAsia="仿宋" w:cs="仿宋"/>
          <w:b/>
          <w:sz w:val="24"/>
          <w:szCs w:val="24"/>
          <w:highlight w:val="none"/>
        </w:rPr>
      </w:pPr>
      <w:bookmarkStart w:id="11" w:name="_Toc29922"/>
      <w:bookmarkStart w:id="12" w:name="_Toc30211"/>
      <w:r>
        <w:rPr>
          <w:rFonts w:hint="eastAsia" w:ascii="仿宋" w:hAnsi="仿宋" w:eastAsia="仿宋" w:cs="仿宋"/>
          <w:b/>
          <w:sz w:val="24"/>
          <w:szCs w:val="24"/>
          <w:highlight w:val="none"/>
        </w:rPr>
        <w:t>二、投标人须知</w:t>
      </w:r>
      <w:bookmarkEnd w:id="10"/>
      <w:bookmarkEnd w:id="11"/>
      <w:bookmarkEnd w:id="12"/>
    </w:p>
    <w:p w14:paraId="4EA288C7">
      <w:pPr>
        <w:spacing w:line="440" w:lineRule="exact"/>
        <w:jc w:val="center"/>
        <w:outlineLvl w:val="2"/>
        <w:rPr>
          <w:rFonts w:hint="eastAsia" w:ascii="仿宋" w:hAnsi="仿宋" w:eastAsia="仿宋" w:cs="仿宋"/>
          <w:sz w:val="24"/>
          <w:szCs w:val="24"/>
          <w:highlight w:val="none"/>
        </w:rPr>
      </w:pPr>
      <w:bookmarkStart w:id="13" w:name="_Toc469495724"/>
      <w:bookmarkStart w:id="14" w:name="_Toc25428"/>
      <w:bookmarkStart w:id="15" w:name="_Toc83"/>
      <w:r>
        <w:rPr>
          <w:rFonts w:hint="eastAsia" w:ascii="仿宋" w:hAnsi="仿宋" w:eastAsia="仿宋" w:cs="仿宋"/>
          <w:b/>
          <w:sz w:val="24"/>
          <w:szCs w:val="24"/>
          <w:highlight w:val="none"/>
        </w:rPr>
        <w:t>（一）总  则</w:t>
      </w:r>
      <w:bookmarkEnd w:id="13"/>
      <w:bookmarkEnd w:id="14"/>
      <w:bookmarkEnd w:id="15"/>
    </w:p>
    <w:p w14:paraId="1DE6441E">
      <w:pPr>
        <w:snapToGrid w:val="0"/>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1.项目概况</w:t>
      </w:r>
    </w:p>
    <w:p w14:paraId="0BEFB738">
      <w:pPr>
        <w:snapToGrid w:val="0"/>
        <w:spacing w:line="44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1.1本次招标采购项目名称：见投标人须知前附表。</w:t>
      </w:r>
    </w:p>
    <w:p w14:paraId="294D475D">
      <w:pPr>
        <w:snapToGrid w:val="0"/>
        <w:spacing w:line="44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项目编号：见投标人须知前附表。</w:t>
      </w:r>
    </w:p>
    <w:p w14:paraId="1B37466E">
      <w:pPr>
        <w:snapToGrid w:val="0"/>
        <w:spacing w:line="44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招标人：见投标人须知前附表。</w:t>
      </w:r>
    </w:p>
    <w:p w14:paraId="6A0B6CD6">
      <w:pPr>
        <w:snapToGrid w:val="0"/>
        <w:spacing w:line="44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供货期（服务周期）：见投标人须知前附表。</w:t>
      </w:r>
    </w:p>
    <w:p w14:paraId="4BA92C4F">
      <w:pPr>
        <w:snapToGrid w:val="0"/>
        <w:spacing w:line="44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地点：见投标人须知前附表。</w:t>
      </w:r>
    </w:p>
    <w:p w14:paraId="1D6BA6D8">
      <w:pPr>
        <w:snapToGrid w:val="0"/>
        <w:spacing w:line="44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1.2招标人及联系人: 见投标人须知前附表。</w:t>
      </w:r>
    </w:p>
    <w:p w14:paraId="6CF49E61">
      <w:pPr>
        <w:snapToGrid w:val="0"/>
        <w:spacing w:line="440" w:lineRule="exact"/>
        <w:ind w:firstLine="600" w:firstLineChars="2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代理机构及联系人: 见投标人须知前附表。</w:t>
      </w:r>
    </w:p>
    <w:p w14:paraId="2F5E856F">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1.3资金来源：见投标人须知前附表。</w:t>
      </w:r>
    </w:p>
    <w:p w14:paraId="66CB014F">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1.4本项目预算：见投标人须知前附表。</w:t>
      </w:r>
    </w:p>
    <w:p w14:paraId="1A5F0A40">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1.5本项目控制价：见投标人须知前附表。</w:t>
      </w:r>
    </w:p>
    <w:p w14:paraId="0276C9D8">
      <w:pPr>
        <w:snapToGrid w:val="0"/>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2.招标范围：</w:t>
      </w:r>
    </w:p>
    <w:p w14:paraId="478156DA">
      <w:pPr>
        <w:snapToGrid w:val="0"/>
        <w:spacing w:line="44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2.1 采购内容：见投标人须知前附表。</w:t>
      </w:r>
    </w:p>
    <w:p w14:paraId="1A73276C">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2.2 技术要求：详见采购文件第四章采购内容及技术要求。</w:t>
      </w:r>
    </w:p>
    <w:p w14:paraId="35164C08">
      <w:pPr>
        <w:snapToGrid w:val="0"/>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3.标包划分：</w:t>
      </w:r>
    </w:p>
    <w:p w14:paraId="0C7AF557">
      <w:pPr>
        <w:snapToGrid w:val="0"/>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本项目划分：</w:t>
      </w:r>
      <w:r>
        <w:rPr>
          <w:rFonts w:hint="eastAsia" w:ascii="仿宋" w:hAnsi="仿宋" w:eastAsia="仿宋" w:cs="仿宋"/>
          <w:sz w:val="24"/>
          <w:szCs w:val="24"/>
          <w:highlight w:val="none"/>
          <w:u w:val="single"/>
        </w:rPr>
        <w:t xml:space="preserve"> 1 </w:t>
      </w:r>
      <w:r>
        <w:rPr>
          <w:rFonts w:hint="eastAsia" w:ascii="仿宋" w:hAnsi="仿宋" w:eastAsia="仿宋" w:cs="仿宋"/>
          <w:sz w:val="24"/>
          <w:szCs w:val="24"/>
          <w:highlight w:val="none"/>
        </w:rPr>
        <w:t xml:space="preserve"> 个标包</w:t>
      </w:r>
      <w:r>
        <w:rPr>
          <w:rFonts w:hint="eastAsia" w:ascii="仿宋" w:hAnsi="仿宋" w:eastAsia="仿宋" w:cs="仿宋"/>
          <w:kern w:val="0"/>
          <w:sz w:val="24"/>
          <w:szCs w:val="24"/>
          <w:highlight w:val="none"/>
        </w:rPr>
        <w:t>。</w:t>
      </w:r>
    </w:p>
    <w:p w14:paraId="1F0AC9EB">
      <w:pPr>
        <w:snapToGrid w:val="0"/>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4.招标方式：</w:t>
      </w:r>
    </w:p>
    <w:p w14:paraId="3DB075D4">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本项目招标方式：见投标人须知前附表。</w:t>
      </w:r>
    </w:p>
    <w:p w14:paraId="07B8BA8A">
      <w:pPr>
        <w:snapToGrid w:val="0"/>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5.计价方式：</w:t>
      </w:r>
    </w:p>
    <w:p w14:paraId="7E250ACE">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本次招标项目合同采用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具体以实际签订为准</w:t>
      </w:r>
      <w:r>
        <w:rPr>
          <w:rFonts w:hint="eastAsia" w:ascii="仿宋" w:hAnsi="仿宋" w:eastAsia="仿宋" w:cs="仿宋"/>
          <w:sz w:val="24"/>
          <w:szCs w:val="24"/>
          <w:highlight w:val="none"/>
          <w:u w:val="single"/>
        </w:rPr>
        <w:t xml:space="preserve"> 。</w:t>
      </w:r>
    </w:p>
    <w:p w14:paraId="62B9DFEC">
      <w:pPr>
        <w:snapToGrid w:val="0"/>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6.评标办法：</w:t>
      </w:r>
    </w:p>
    <w:p w14:paraId="751B63BC">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本次招标评标采用</w:t>
      </w:r>
      <w:r>
        <w:rPr>
          <w:rFonts w:hint="eastAsia" w:ascii="仿宋" w:hAnsi="仿宋" w:eastAsia="仿宋" w:cs="仿宋"/>
          <w:sz w:val="24"/>
          <w:szCs w:val="24"/>
          <w:highlight w:val="none"/>
          <w:u w:val="single"/>
        </w:rPr>
        <w:t xml:space="preserve">  综合评分法 </w:t>
      </w:r>
      <w:r>
        <w:rPr>
          <w:rFonts w:hint="eastAsia" w:ascii="仿宋" w:hAnsi="仿宋" w:eastAsia="仿宋" w:cs="仿宋"/>
          <w:sz w:val="24"/>
          <w:szCs w:val="24"/>
          <w:highlight w:val="none"/>
        </w:rPr>
        <w:t>（详见第三章评标办法）</w:t>
      </w:r>
    </w:p>
    <w:p w14:paraId="22331043">
      <w:pPr>
        <w:snapToGrid w:val="0"/>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7.投标人资格：</w:t>
      </w:r>
    </w:p>
    <w:p w14:paraId="5BE8BE46">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7.1参与采购活动的投标人必须是满足《中华人民共和国政府采购法》规定条件的法人、其他组织或者自然人：</w:t>
      </w:r>
    </w:p>
    <w:p w14:paraId="4A5B80EE">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7.2由于政府采购项目的差异性，投标人在参与具体政府采购项目活动时，应仔细阅读该项目的资质要求,具体见投标人须知前附表。</w:t>
      </w:r>
    </w:p>
    <w:p w14:paraId="5B97FE08">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14:paraId="0B6EEAE2">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7.4投标人必须确保自己在信息库中注册的信息真实、准确，并保证投标文件中的有关信息与库中的信息相一致。否则，投标人因此蒙受损失，招标人概不负责。</w:t>
      </w:r>
    </w:p>
    <w:p w14:paraId="5492E2B9">
      <w:pPr>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8. 投标费用</w:t>
      </w:r>
    </w:p>
    <w:p w14:paraId="4A122483">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投标人准备和参加投标活动发生的费用自理。</w:t>
      </w:r>
    </w:p>
    <w:p w14:paraId="1DB3F4B8">
      <w:pPr>
        <w:spacing w:line="440" w:lineRule="exact"/>
        <w:ind w:firstLine="480" w:firstLineChars="200"/>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9</w:t>
      </w:r>
      <w:r>
        <w:rPr>
          <w:rFonts w:hint="eastAsia" w:ascii="仿宋" w:hAnsi="仿宋" w:eastAsia="仿宋" w:cs="仿宋"/>
          <w:b/>
          <w:sz w:val="24"/>
          <w:szCs w:val="24"/>
          <w:highlight w:val="none"/>
        </w:rPr>
        <w:t>. 联合投标</w:t>
      </w:r>
      <w:r>
        <w:rPr>
          <w:rFonts w:hint="eastAsia" w:ascii="仿宋" w:hAnsi="仿宋" w:eastAsia="仿宋" w:cs="仿宋"/>
          <w:b/>
          <w:sz w:val="24"/>
          <w:szCs w:val="24"/>
          <w:highlight w:val="none"/>
          <w:lang w:eastAsia="zh-CN"/>
        </w:rPr>
        <w:t>（本项目不接受</w:t>
      </w:r>
      <w:r>
        <w:rPr>
          <w:rFonts w:hint="eastAsia" w:ascii="仿宋" w:hAnsi="仿宋" w:eastAsia="仿宋" w:cs="仿宋"/>
          <w:b/>
          <w:sz w:val="24"/>
          <w:szCs w:val="24"/>
          <w:highlight w:val="none"/>
          <w:lang w:val="en-US" w:eastAsia="zh-CN"/>
        </w:rPr>
        <w:t>联合体</w:t>
      </w:r>
      <w:r>
        <w:rPr>
          <w:rFonts w:hint="eastAsia" w:ascii="仿宋" w:hAnsi="仿宋" w:eastAsia="仿宋" w:cs="仿宋"/>
          <w:b/>
          <w:sz w:val="24"/>
          <w:szCs w:val="24"/>
          <w:highlight w:val="none"/>
          <w:lang w:eastAsia="zh-CN"/>
        </w:rPr>
        <w:t>）</w:t>
      </w:r>
    </w:p>
    <w:p w14:paraId="4C040471">
      <w:pPr>
        <w:spacing w:line="440" w:lineRule="exact"/>
        <w:ind w:firstLine="470" w:firstLineChars="196"/>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en-US" w:eastAsia="zh-CN"/>
        </w:rPr>
        <w:t>0</w:t>
      </w:r>
      <w:r>
        <w:rPr>
          <w:rFonts w:hint="eastAsia" w:ascii="仿宋" w:hAnsi="仿宋" w:eastAsia="仿宋" w:cs="仿宋"/>
          <w:b/>
          <w:sz w:val="24"/>
          <w:szCs w:val="24"/>
          <w:highlight w:val="none"/>
        </w:rPr>
        <w:t>.招标代理费</w:t>
      </w:r>
    </w:p>
    <w:p w14:paraId="06F77676">
      <w:pPr>
        <w:spacing w:line="440" w:lineRule="exact"/>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以双方协议价为准</w:t>
      </w:r>
    </w:p>
    <w:p w14:paraId="1F533AC6">
      <w:pPr>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en-US" w:eastAsia="zh-CN"/>
        </w:rPr>
        <w:t>1</w:t>
      </w:r>
      <w:r>
        <w:rPr>
          <w:rFonts w:hint="eastAsia" w:ascii="仿宋" w:hAnsi="仿宋" w:eastAsia="仿宋" w:cs="仿宋"/>
          <w:b/>
          <w:sz w:val="24"/>
          <w:szCs w:val="24"/>
          <w:highlight w:val="none"/>
        </w:rPr>
        <w:t>.投标人应注意的事项</w:t>
      </w:r>
    </w:p>
    <w:p w14:paraId="12011F5F">
      <w:pPr>
        <w:spacing w:line="440" w:lineRule="exact"/>
        <w:ind w:firstLine="480" w:firstLineChars="200"/>
        <w:rPr>
          <w:rFonts w:hint="eastAsia" w:ascii="仿宋" w:hAnsi="仿宋" w:eastAsia="仿宋" w:cs="仿宋"/>
          <w:bCs/>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1投标人一旦按规定参加投标，即被认为接受了本采购文件中的所有条件和规定。投标人必须严格按采购文件的要求编制投标文件，投标文件宜编制页码和目录，以便评委审核。否则，由此产生的一切后果由投标人承担。</w:t>
      </w:r>
    </w:p>
    <w:p w14:paraId="1B8ABF91">
      <w:pPr>
        <w:spacing w:line="44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.2 投标人对采购内容中规定的技术参数、规格等要求必须完全响应或优于采购文件中的要求。</w:t>
      </w:r>
    </w:p>
    <w:p w14:paraId="3BD53B4B">
      <w:pPr>
        <w:spacing w:line="440" w:lineRule="exact"/>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单位负责人为同一人或者存在直接控股、管理关系的不同供应商，不得参加同一合同项下的政府采购活动。</w:t>
      </w:r>
      <w:r>
        <w:rPr>
          <w:rFonts w:hint="eastAsia" w:ascii="仿宋" w:hAnsi="仿宋" w:eastAsia="仿宋" w:cs="仿宋"/>
          <w:sz w:val="24"/>
          <w:szCs w:val="24"/>
          <w:highlight w:val="none"/>
        </w:rPr>
        <w:t>为采购项目提供整体设计、规范编制或者项目管理、监理、检测等服务的供应商，不得再参加该采购项目的其他采购活动。</w:t>
      </w:r>
    </w:p>
    <w:p w14:paraId="11315FB6">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b/>
          <w:bCs w:val="0"/>
          <w:sz w:val="24"/>
          <w:szCs w:val="24"/>
          <w:highlight w:val="none"/>
        </w:rPr>
        <w:t>1</w:t>
      </w:r>
      <w:r>
        <w:rPr>
          <w:rFonts w:hint="eastAsia" w:ascii="仿宋" w:hAnsi="仿宋" w:eastAsia="仿宋" w:cs="仿宋"/>
          <w:b/>
          <w:bCs w:val="0"/>
          <w:sz w:val="24"/>
          <w:szCs w:val="24"/>
          <w:highlight w:val="none"/>
          <w:lang w:val="en-US" w:eastAsia="zh-CN"/>
        </w:rPr>
        <w:t>2.</w:t>
      </w:r>
      <w:r>
        <w:rPr>
          <w:rFonts w:hint="eastAsia" w:ascii="仿宋" w:hAnsi="仿宋" w:eastAsia="仿宋" w:cs="仿宋"/>
          <w:b/>
          <w:bCs w:val="0"/>
          <w:sz w:val="24"/>
          <w:szCs w:val="24"/>
          <w:highlight w:val="none"/>
        </w:rPr>
        <w:t>本项目只接受成为新疆维吾尔自治区政府采购网正式注册入库并完成CA数字证书申领供应商参与投标。因未注册入库、未办理CA数字证书等原因造成无法投标或投标失败等后果由供应商自行承担。</w:t>
      </w:r>
    </w:p>
    <w:p w14:paraId="71A53129">
      <w:pPr>
        <w:wordWrap w:val="0"/>
        <w:spacing w:line="440" w:lineRule="exact"/>
        <w:ind w:firstLine="480" w:firstLineChars="200"/>
        <w:rPr>
          <w:rFonts w:hint="eastAsia" w:ascii="仿宋" w:hAnsi="仿宋" w:eastAsia="仿宋" w:cs="仿宋"/>
          <w:bCs/>
          <w:sz w:val="24"/>
          <w:szCs w:val="24"/>
          <w:highlight w:val="none"/>
        </w:rPr>
      </w:pPr>
      <w:r>
        <w:rPr>
          <w:rFonts w:hint="eastAsia" w:ascii="仿宋" w:hAnsi="仿宋" w:eastAsia="仿宋" w:cs="仿宋"/>
          <w:b/>
          <w:bCs w:val="0"/>
          <w:sz w:val="24"/>
          <w:szCs w:val="24"/>
          <w:highlight w:val="none"/>
          <w:lang w:val="en-US" w:eastAsia="zh-CN"/>
        </w:rPr>
        <w:t>13.</w:t>
      </w:r>
      <w:r>
        <w:rPr>
          <w:rFonts w:hint="eastAsia" w:ascii="仿宋" w:hAnsi="仿宋" w:eastAsia="仿宋" w:cs="仿宋"/>
          <w:b/>
          <w:bCs w:val="0"/>
          <w:sz w:val="24"/>
          <w:szCs w:val="24"/>
          <w:highlight w:val="none"/>
        </w:rPr>
        <w:t>投标人被视为充分熟悉本招标项目所在地的与履行合同有关的各种情况，包括但不限于：</w:t>
      </w:r>
    </w:p>
    <w:p w14:paraId="7F27AE3A">
      <w:pPr>
        <w:spacing w:line="400" w:lineRule="exact"/>
        <w:ind w:firstLine="360" w:firstLineChars="150"/>
        <w:rPr>
          <w:rFonts w:hint="eastAsia" w:ascii="仿宋" w:hAnsi="仿宋" w:eastAsia="仿宋" w:cs="仿宋"/>
          <w:bCs/>
          <w:sz w:val="24"/>
          <w:szCs w:val="24"/>
          <w:highlight w:val="none"/>
        </w:rPr>
      </w:pPr>
      <w:r>
        <w:rPr>
          <w:rFonts w:hint="eastAsia" w:ascii="仿宋" w:hAnsi="仿宋" w:eastAsia="仿宋" w:cs="仿宋"/>
          <w:bCs/>
          <w:sz w:val="24"/>
          <w:szCs w:val="24"/>
          <w:highlight w:val="none"/>
        </w:rPr>
        <w:t>（1）国家对本次投标货物和服务的生产、安装调试、验收、维修等有关法律、法规及行业管理标准；</w:t>
      </w:r>
    </w:p>
    <w:p w14:paraId="1DDB85D1">
      <w:pPr>
        <w:spacing w:line="400" w:lineRule="exact"/>
        <w:ind w:firstLine="360" w:firstLineChars="150"/>
        <w:rPr>
          <w:rFonts w:hint="eastAsia" w:ascii="仿宋" w:hAnsi="仿宋" w:eastAsia="仿宋" w:cs="仿宋"/>
          <w:bCs/>
          <w:sz w:val="24"/>
          <w:szCs w:val="24"/>
          <w:highlight w:val="none"/>
        </w:rPr>
      </w:pPr>
      <w:r>
        <w:rPr>
          <w:rFonts w:hint="eastAsia" w:ascii="仿宋" w:hAnsi="仿宋" w:eastAsia="仿宋" w:cs="仿宋"/>
          <w:bCs/>
          <w:sz w:val="24"/>
          <w:szCs w:val="24"/>
          <w:highlight w:val="none"/>
        </w:rPr>
        <w:t>（2）本地区有关管理部门的相关规定；</w:t>
      </w:r>
    </w:p>
    <w:p w14:paraId="373F0158">
      <w:pPr>
        <w:spacing w:line="400" w:lineRule="exact"/>
        <w:ind w:firstLine="360" w:firstLineChars="150"/>
        <w:rPr>
          <w:rFonts w:hint="eastAsia" w:ascii="仿宋" w:hAnsi="仿宋" w:eastAsia="仿宋" w:cs="仿宋"/>
          <w:bCs/>
          <w:sz w:val="24"/>
          <w:szCs w:val="24"/>
          <w:highlight w:val="none"/>
        </w:rPr>
      </w:pPr>
      <w:r>
        <w:rPr>
          <w:rFonts w:hint="eastAsia" w:ascii="仿宋" w:hAnsi="仿宋" w:eastAsia="仿宋" w:cs="仿宋"/>
          <w:bCs/>
          <w:sz w:val="24"/>
          <w:szCs w:val="24"/>
          <w:highlight w:val="none"/>
        </w:rPr>
        <w:t>（3）招标人的相关场地情况、基础建设、电力供应情况及相关设计标准。</w:t>
      </w:r>
    </w:p>
    <w:p w14:paraId="1CE71538">
      <w:pPr>
        <w:spacing w:line="400" w:lineRule="exact"/>
        <w:ind w:firstLine="360" w:firstLineChars="150"/>
        <w:rPr>
          <w:rFonts w:hint="eastAsia" w:ascii="仿宋" w:hAnsi="仿宋" w:eastAsia="仿宋" w:cs="仿宋"/>
          <w:b/>
          <w:sz w:val="24"/>
          <w:szCs w:val="24"/>
          <w:highlight w:val="none"/>
        </w:rPr>
      </w:pPr>
      <w:r>
        <w:rPr>
          <w:rFonts w:hint="eastAsia" w:ascii="仿宋" w:hAnsi="仿宋" w:eastAsia="仿宋" w:cs="仿宋"/>
          <w:bCs/>
          <w:sz w:val="24"/>
          <w:szCs w:val="24"/>
          <w:highlight w:val="none"/>
        </w:rPr>
        <w:t>本采购文件不再对上述情况进行描述。</w:t>
      </w:r>
      <w:bookmarkStart w:id="16" w:name="_Toc469495725"/>
      <w:bookmarkStart w:id="17" w:name="_Toc13107"/>
      <w:bookmarkStart w:id="18" w:name="_Toc32281"/>
    </w:p>
    <w:p w14:paraId="400F67A2">
      <w:pPr>
        <w:spacing w:before="312" w:beforeLines="100" w:after="312" w:afterLines="100" w:line="440" w:lineRule="exact"/>
        <w:jc w:val="center"/>
        <w:outlineLvl w:val="2"/>
        <w:rPr>
          <w:rFonts w:hint="eastAsia" w:ascii="仿宋" w:hAnsi="仿宋" w:eastAsia="仿宋" w:cs="仿宋"/>
          <w:b/>
          <w:sz w:val="24"/>
          <w:szCs w:val="24"/>
          <w:highlight w:val="none"/>
        </w:rPr>
      </w:pPr>
      <w:r>
        <w:rPr>
          <w:rFonts w:hint="eastAsia" w:ascii="仿宋" w:hAnsi="仿宋" w:eastAsia="仿宋" w:cs="仿宋"/>
          <w:b/>
          <w:sz w:val="24"/>
          <w:szCs w:val="24"/>
          <w:highlight w:val="none"/>
        </w:rPr>
        <w:t>（二）</w:t>
      </w:r>
      <w:bookmarkEnd w:id="16"/>
      <w:r>
        <w:rPr>
          <w:rFonts w:hint="eastAsia" w:ascii="仿宋" w:hAnsi="仿宋" w:eastAsia="仿宋" w:cs="仿宋"/>
          <w:b/>
          <w:sz w:val="24"/>
          <w:szCs w:val="24"/>
          <w:highlight w:val="none"/>
        </w:rPr>
        <w:t>磋商文件</w:t>
      </w:r>
      <w:bookmarkEnd w:id="17"/>
      <w:bookmarkEnd w:id="18"/>
    </w:p>
    <w:p w14:paraId="0FA38703">
      <w:pPr>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en-US" w:eastAsia="zh-CN"/>
        </w:rPr>
        <w:t>4</w:t>
      </w:r>
      <w:r>
        <w:rPr>
          <w:rFonts w:hint="eastAsia" w:ascii="仿宋" w:hAnsi="仿宋" w:eastAsia="仿宋" w:cs="仿宋"/>
          <w:b/>
          <w:sz w:val="24"/>
          <w:szCs w:val="24"/>
          <w:highlight w:val="none"/>
        </w:rPr>
        <w:t>. 采购文件的编制依据</w:t>
      </w:r>
    </w:p>
    <w:p w14:paraId="50A964E4">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根据《中华人民共和国政府采购法》、《政府采购货物和服务招标投标管理办法》和《中华人民共和国</w:t>
      </w:r>
      <w:r>
        <w:rPr>
          <w:rFonts w:hint="eastAsia" w:ascii="仿宋" w:hAnsi="仿宋" w:eastAsia="仿宋" w:cs="仿宋"/>
          <w:sz w:val="24"/>
          <w:szCs w:val="24"/>
          <w:highlight w:val="none"/>
          <w:lang w:val="en-US" w:eastAsia="zh-CN"/>
        </w:rPr>
        <w:t>民法典</w:t>
      </w:r>
      <w:r>
        <w:rPr>
          <w:rFonts w:hint="eastAsia" w:ascii="仿宋" w:hAnsi="仿宋" w:eastAsia="仿宋" w:cs="仿宋"/>
          <w:sz w:val="24"/>
          <w:szCs w:val="24"/>
          <w:highlight w:val="none"/>
        </w:rPr>
        <w:t>》</w:t>
      </w:r>
      <w:r>
        <w:rPr>
          <w:rFonts w:hint="eastAsia" w:ascii="仿宋" w:hAnsi="仿宋" w:eastAsia="仿宋" w:cs="仿宋"/>
          <w:spacing w:val="-2"/>
          <w:sz w:val="24"/>
          <w:szCs w:val="24"/>
          <w:highlight w:val="none"/>
        </w:rPr>
        <w:t>等相关法律法规和规章及部、省、市级规范性文件的规定，编制本采购文件。</w:t>
      </w:r>
    </w:p>
    <w:p w14:paraId="48AFDFAA">
      <w:pPr>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en-US" w:eastAsia="zh-CN"/>
        </w:rPr>
        <w:t>5</w:t>
      </w:r>
      <w:r>
        <w:rPr>
          <w:rFonts w:hint="eastAsia" w:ascii="仿宋" w:hAnsi="仿宋" w:eastAsia="仿宋" w:cs="仿宋"/>
          <w:b/>
          <w:sz w:val="24"/>
          <w:szCs w:val="24"/>
          <w:highlight w:val="none"/>
        </w:rPr>
        <w:t>. 磋商文件的组成</w:t>
      </w:r>
    </w:p>
    <w:p w14:paraId="14A3D4B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.1 磋商文件包括内容：</w:t>
      </w:r>
    </w:p>
    <w:p w14:paraId="335AAC72">
      <w:pPr>
        <w:spacing w:line="440" w:lineRule="exact"/>
        <w:ind w:firstLine="1440" w:firstLineChars="6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第一章  </w:t>
      </w:r>
      <w:r>
        <w:rPr>
          <w:rFonts w:hint="eastAsia" w:ascii="仿宋" w:hAnsi="仿宋" w:eastAsia="仿宋" w:cs="仿宋"/>
          <w:bCs/>
          <w:sz w:val="24"/>
          <w:szCs w:val="24"/>
          <w:highlight w:val="none"/>
        </w:rPr>
        <w:t>磋商</w:t>
      </w:r>
      <w:r>
        <w:rPr>
          <w:rFonts w:hint="eastAsia" w:ascii="仿宋" w:hAnsi="仿宋" w:eastAsia="仿宋" w:cs="仿宋"/>
          <w:sz w:val="24"/>
          <w:szCs w:val="24"/>
          <w:highlight w:val="none"/>
        </w:rPr>
        <w:t>公告</w:t>
      </w:r>
    </w:p>
    <w:p w14:paraId="26F2D1CF">
      <w:pPr>
        <w:spacing w:line="440" w:lineRule="exact"/>
        <w:ind w:firstLine="1680" w:firstLineChars="700"/>
        <w:rPr>
          <w:rFonts w:hint="eastAsia" w:ascii="仿宋" w:hAnsi="仿宋" w:eastAsia="仿宋" w:cs="仿宋"/>
          <w:sz w:val="24"/>
          <w:szCs w:val="24"/>
          <w:highlight w:val="none"/>
        </w:rPr>
      </w:pPr>
      <w:r>
        <w:rPr>
          <w:rFonts w:hint="eastAsia" w:ascii="仿宋" w:hAnsi="仿宋" w:eastAsia="仿宋" w:cs="仿宋"/>
          <w:sz w:val="24"/>
          <w:szCs w:val="24"/>
          <w:highlight w:val="none"/>
        </w:rPr>
        <w:t>第二章  投标须知</w:t>
      </w:r>
    </w:p>
    <w:p w14:paraId="29E4CEE3">
      <w:pPr>
        <w:spacing w:line="440" w:lineRule="exact"/>
        <w:ind w:firstLine="1680" w:firstLineChars="700"/>
        <w:rPr>
          <w:rFonts w:hint="eastAsia" w:ascii="仿宋" w:hAnsi="仿宋" w:eastAsia="仿宋" w:cs="仿宋"/>
          <w:sz w:val="24"/>
          <w:szCs w:val="24"/>
          <w:highlight w:val="none"/>
        </w:rPr>
      </w:pPr>
      <w:r>
        <w:rPr>
          <w:rFonts w:hint="eastAsia" w:ascii="仿宋" w:hAnsi="仿宋" w:eastAsia="仿宋" w:cs="仿宋"/>
          <w:sz w:val="24"/>
          <w:szCs w:val="24"/>
          <w:highlight w:val="none"/>
        </w:rPr>
        <w:t>第三章  评标办法</w:t>
      </w:r>
    </w:p>
    <w:p w14:paraId="6DE4F1FE">
      <w:pPr>
        <w:spacing w:line="440" w:lineRule="exact"/>
        <w:ind w:firstLine="1680" w:firstLineChars="700"/>
        <w:rPr>
          <w:rFonts w:hint="eastAsia" w:ascii="仿宋" w:hAnsi="仿宋" w:eastAsia="仿宋" w:cs="仿宋"/>
          <w:sz w:val="24"/>
          <w:szCs w:val="24"/>
          <w:highlight w:val="none"/>
        </w:rPr>
      </w:pPr>
      <w:r>
        <w:rPr>
          <w:rFonts w:hint="eastAsia" w:ascii="仿宋" w:hAnsi="仿宋" w:eastAsia="仿宋" w:cs="仿宋"/>
          <w:sz w:val="24"/>
          <w:szCs w:val="24"/>
          <w:highlight w:val="none"/>
        </w:rPr>
        <w:t>第四章  采购内容及技术要求</w:t>
      </w:r>
    </w:p>
    <w:p w14:paraId="15D86F12">
      <w:pPr>
        <w:spacing w:line="440" w:lineRule="exact"/>
        <w:ind w:firstLine="1680" w:firstLineChars="700"/>
        <w:rPr>
          <w:rFonts w:hint="eastAsia" w:ascii="仿宋" w:hAnsi="仿宋" w:eastAsia="仿宋" w:cs="仿宋"/>
          <w:sz w:val="24"/>
          <w:szCs w:val="24"/>
          <w:highlight w:val="none"/>
        </w:rPr>
      </w:pPr>
      <w:r>
        <w:rPr>
          <w:rFonts w:hint="eastAsia" w:ascii="仿宋" w:hAnsi="仿宋" w:eastAsia="仿宋" w:cs="仿宋"/>
          <w:sz w:val="24"/>
          <w:szCs w:val="24"/>
          <w:highlight w:val="none"/>
        </w:rPr>
        <w:t>第五章  合同条款及格式</w:t>
      </w:r>
    </w:p>
    <w:p w14:paraId="1F8D34BA">
      <w:pPr>
        <w:spacing w:line="440" w:lineRule="exact"/>
        <w:ind w:firstLine="1680" w:firstLineChars="700"/>
        <w:rPr>
          <w:rFonts w:hint="eastAsia" w:ascii="仿宋" w:hAnsi="仿宋" w:eastAsia="仿宋" w:cs="仿宋"/>
          <w:sz w:val="24"/>
          <w:szCs w:val="24"/>
          <w:highlight w:val="none"/>
        </w:rPr>
      </w:pPr>
      <w:r>
        <w:rPr>
          <w:rFonts w:hint="eastAsia" w:ascii="仿宋" w:hAnsi="仿宋" w:eastAsia="仿宋" w:cs="仿宋"/>
          <w:sz w:val="24"/>
          <w:szCs w:val="24"/>
          <w:highlight w:val="none"/>
        </w:rPr>
        <w:t>第六章  投标文件格式文本</w:t>
      </w:r>
    </w:p>
    <w:p w14:paraId="504063B2">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.2 除16.1内容外，招标答疑亦为采购文件的组成部分，对招标人和投标人起约束作用。</w:t>
      </w:r>
    </w:p>
    <w:p w14:paraId="5D6A0244">
      <w:pPr>
        <w:pStyle w:val="12"/>
        <w:wordWrap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.3投标人应仔细阅读和检查采购文件的全部内容。如发现缺页或附件不全，应及时向招标人提出，以便补齐。如有疑问，投标人应在以书面形式一次性向采购人和采购代理机构提出同一环节的质疑。</w:t>
      </w:r>
    </w:p>
    <w:p w14:paraId="797DE547">
      <w:pPr>
        <w:wordWrap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采购文件的澄清将在政采云平台“更正公告”栏目予以公告，但不指明澄清问题的来源。如果澄清内容影响投标文件编制的，将相应延长投标截止时间。</w:t>
      </w:r>
    </w:p>
    <w:p w14:paraId="42CAE537">
      <w:pPr>
        <w:spacing w:line="440" w:lineRule="exact"/>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w:t>
      </w: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 磋商文件的修改、补充、解释</w:t>
      </w:r>
    </w:p>
    <w:p w14:paraId="045ED892">
      <w:pPr>
        <w:wordWrap w:val="0"/>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.1磋商文件发出后，招标人在规定的投标截止时间前可对采购文件进行必要的修改和补充，并以更正公告形式在政采云平台 “更正公告”栏目予以公告，请各位投标人注意查看有关澄清内容，如不及时查看造成后果由投标人自负。采购文件的修改、补充等内容作为采购文件的组成部分，具有约束作用。</w:t>
      </w:r>
    </w:p>
    <w:p w14:paraId="23055F70">
      <w:pPr>
        <w:wordWrap w:val="0"/>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 xml:space="preserve">.2 采购代理机构可视采购具体情况对已发出的采购文件进行必要的澄清、修改或者补充。澄清、修改或者补充的内容可能影响投标文件编制的，应当在投标截止时间至少5日前，在原公告发布媒体上发布澄清公告，澄清或者修改的内容为采购文件的组成部分；不足5日的，应当顺延提交投标文件的截止时间。       </w:t>
      </w:r>
    </w:p>
    <w:p w14:paraId="63545A2A">
      <w:pPr>
        <w:wordWrap w:val="0"/>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6</w:t>
      </w:r>
      <w:r>
        <w:rPr>
          <w:rFonts w:hint="eastAsia" w:ascii="仿宋" w:hAnsi="仿宋" w:eastAsia="仿宋" w:cs="仿宋"/>
          <w:bCs/>
          <w:sz w:val="24"/>
          <w:szCs w:val="24"/>
          <w:highlight w:val="none"/>
        </w:rPr>
        <w:t xml:space="preserve">.3 </w:t>
      </w:r>
      <w:r>
        <w:rPr>
          <w:rFonts w:hint="eastAsia" w:ascii="仿宋" w:hAnsi="仿宋" w:eastAsia="仿宋" w:cs="仿宋"/>
          <w:sz w:val="24"/>
          <w:szCs w:val="24"/>
          <w:highlight w:val="none"/>
        </w:rPr>
        <w:t>供应商在规定的时间内未对采购文件提出疑问、质疑或要求澄清的，将视其为无异议。</w:t>
      </w:r>
    </w:p>
    <w:p w14:paraId="49775C64">
      <w:pPr>
        <w:spacing w:line="400" w:lineRule="exact"/>
        <w:ind w:firstLine="240" w:firstLineChars="1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6</w:t>
      </w:r>
      <w:r>
        <w:rPr>
          <w:rFonts w:hint="eastAsia" w:ascii="仿宋" w:hAnsi="仿宋" w:eastAsia="仿宋" w:cs="仿宋"/>
          <w:bCs/>
          <w:sz w:val="24"/>
          <w:szCs w:val="24"/>
          <w:highlight w:val="none"/>
        </w:rPr>
        <w:t xml:space="preserve">.4 磋商文件的解释 </w:t>
      </w:r>
    </w:p>
    <w:p w14:paraId="3705635E">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本磋商文件由招标人（或其委托的招标代理机构）负责解释。</w:t>
      </w:r>
    </w:p>
    <w:p w14:paraId="52BDF399">
      <w:pPr>
        <w:spacing w:line="4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1</w:t>
      </w:r>
      <w:r>
        <w:rPr>
          <w:rFonts w:hint="eastAsia" w:ascii="仿宋" w:hAnsi="仿宋" w:eastAsia="仿宋" w:cs="仿宋"/>
          <w:b/>
          <w:sz w:val="24"/>
          <w:szCs w:val="24"/>
          <w:highlight w:val="none"/>
          <w:lang w:val="en-US" w:eastAsia="zh-CN"/>
        </w:rPr>
        <w:t>7</w:t>
      </w:r>
      <w:r>
        <w:rPr>
          <w:rFonts w:hint="eastAsia" w:ascii="仿宋" w:hAnsi="仿宋" w:eastAsia="仿宋" w:cs="仿宋"/>
          <w:b/>
          <w:sz w:val="24"/>
          <w:szCs w:val="24"/>
          <w:highlight w:val="none"/>
        </w:rPr>
        <w:t>. 磋商文件的发出</w:t>
      </w:r>
    </w:p>
    <w:p w14:paraId="17540519">
      <w:pPr>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磋商文件、磋商文件的澄清、修改、补充及招标答疑等均应报相关部门备案后，方可发出。</w:t>
      </w:r>
    </w:p>
    <w:p w14:paraId="18CF1FAF">
      <w:pPr>
        <w:spacing w:line="440" w:lineRule="exact"/>
        <w:ind w:firstLine="319" w:firstLineChars="133"/>
        <w:rPr>
          <w:rFonts w:hint="eastAsia" w:ascii="仿宋" w:hAnsi="仿宋" w:eastAsia="仿宋" w:cs="仿宋"/>
          <w:sz w:val="24"/>
          <w:szCs w:val="24"/>
          <w:highlight w:val="none"/>
        </w:rPr>
      </w:pPr>
      <w:bookmarkStart w:id="19" w:name="_Toc469495726"/>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en-US" w:eastAsia="zh-CN"/>
        </w:rPr>
        <w:t>8</w:t>
      </w:r>
      <w:r>
        <w:rPr>
          <w:rFonts w:hint="eastAsia" w:ascii="仿宋" w:hAnsi="仿宋" w:eastAsia="仿宋" w:cs="仿宋"/>
          <w:b/>
          <w:sz w:val="24"/>
          <w:szCs w:val="24"/>
          <w:highlight w:val="none"/>
        </w:rPr>
        <w:t xml:space="preserve">. </w:t>
      </w:r>
      <w:r>
        <w:rPr>
          <w:rFonts w:hint="eastAsia" w:ascii="仿宋" w:hAnsi="仿宋" w:eastAsia="仿宋" w:cs="仿宋"/>
          <w:sz w:val="24"/>
          <w:szCs w:val="24"/>
          <w:highlight w:val="none"/>
        </w:rPr>
        <w:t>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14:paraId="692A410D">
      <w:pPr>
        <w:spacing w:line="400" w:lineRule="exact"/>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采购文件中应明确样品送检方式、检测费用支付方法、投标人在规定时间内无法提供第三方权威检测机构检测报告的处理方式。（采购人根据项目需求按上述要求自行描述）</w:t>
      </w:r>
    </w:p>
    <w:p w14:paraId="088AE70F">
      <w:pPr>
        <w:spacing w:before="312" w:beforeLines="100" w:after="312" w:afterLines="100" w:line="440" w:lineRule="exact"/>
        <w:jc w:val="center"/>
        <w:outlineLvl w:val="2"/>
        <w:rPr>
          <w:rFonts w:hint="eastAsia" w:ascii="仿宋" w:hAnsi="仿宋" w:eastAsia="仿宋" w:cs="仿宋"/>
          <w:b/>
          <w:sz w:val="24"/>
          <w:szCs w:val="24"/>
          <w:highlight w:val="none"/>
        </w:rPr>
      </w:pPr>
      <w:bookmarkStart w:id="20" w:name="_Toc31024"/>
      <w:bookmarkStart w:id="21" w:name="_Toc31824"/>
      <w:r>
        <w:rPr>
          <w:rFonts w:hint="eastAsia" w:ascii="仿宋" w:hAnsi="仿宋" w:eastAsia="仿宋" w:cs="仿宋"/>
          <w:b/>
          <w:sz w:val="24"/>
          <w:szCs w:val="24"/>
          <w:highlight w:val="none"/>
        </w:rPr>
        <w:t>（三）响应文件的编制</w:t>
      </w:r>
      <w:bookmarkEnd w:id="19"/>
      <w:bookmarkEnd w:id="20"/>
      <w:bookmarkEnd w:id="21"/>
    </w:p>
    <w:p w14:paraId="4DB4A1F9">
      <w:pPr>
        <w:spacing w:line="440" w:lineRule="exact"/>
        <w:ind w:firstLine="348" w:firstLineChars="145"/>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19</w:t>
      </w:r>
      <w:r>
        <w:rPr>
          <w:rFonts w:hint="eastAsia" w:ascii="仿宋" w:hAnsi="仿宋" w:eastAsia="仿宋" w:cs="仿宋"/>
          <w:b/>
          <w:sz w:val="24"/>
          <w:szCs w:val="24"/>
          <w:highlight w:val="none"/>
        </w:rPr>
        <w:t>. 投标的语言及度量衡单位</w:t>
      </w:r>
    </w:p>
    <w:p w14:paraId="5F944BE3">
      <w:pPr>
        <w:spacing w:line="440" w:lineRule="exact"/>
        <w:ind w:firstLine="324" w:firstLineChars="135"/>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14:paraId="25996A08">
      <w:pPr>
        <w:spacing w:line="440" w:lineRule="exact"/>
        <w:ind w:firstLine="324" w:firstLineChars="13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.2除采购文件中另有规定外，投标书所使用的度量衡均须采用法定计量单位。</w:t>
      </w:r>
    </w:p>
    <w:p w14:paraId="61567D3F">
      <w:pPr>
        <w:spacing w:line="400" w:lineRule="exact"/>
        <w:ind w:firstLine="235" w:firstLineChars="98"/>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r>
        <w:rPr>
          <w:rFonts w:hint="eastAsia" w:ascii="仿宋" w:hAnsi="仿宋" w:eastAsia="仿宋" w:cs="仿宋"/>
          <w:b/>
          <w:sz w:val="24"/>
          <w:szCs w:val="24"/>
          <w:highlight w:val="none"/>
          <w:lang w:val="en-US" w:eastAsia="zh-CN"/>
        </w:rPr>
        <w:t>0</w:t>
      </w:r>
      <w:r>
        <w:rPr>
          <w:rFonts w:hint="eastAsia" w:ascii="仿宋" w:hAnsi="仿宋" w:eastAsia="仿宋" w:cs="仿宋"/>
          <w:b/>
          <w:sz w:val="24"/>
          <w:szCs w:val="24"/>
          <w:highlight w:val="none"/>
        </w:rPr>
        <w:t>. 响应文件的组成</w:t>
      </w:r>
    </w:p>
    <w:p w14:paraId="269332FA">
      <w:pPr>
        <w:spacing w:line="400" w:lineRule="exact"/>
        <w:ind w:firstLine="477" w:firstLineChars="199"/>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2</w:t>
      </w:r>
      <w:r>
        <w:rPr>
          <w:rFonts w:hint="eastAsia" w:ascii="仿宋" w:hAnsi="仿宋" w:eastAsia="仿宋" w:cs="仿宋"/>
          <w:b w:val="0"/>
          <w:bCs w:val="0"/>
          <w:sz w:val="24"/>
          <w:szCs w:val="24"/>
          <w:highlight w:val="none"/>
          <w:lang w:val="en-US" w:eastAsia="zh-CN"/>
        </w:rPr>
        <w:t>0</w:t>
      </w:r>
      <w:r>
        <w:rPr>
          <w:rFonts w:hint="eastAsia" w:ascii="仿宋" w:hAnsi="仿宋" w:eastAsia="仿宋" w:cs="仿宋"/>
          <w:b w:val="0"/>
          <w:bCs w:val="0"/>
          <w:sz w:val="24"/>
          <w:szCs w:val="24"/>
          <w:highlight w:val="none"/>
        </w:rPr>
        <w:t>.1资格证明文件</w:t>
      </w:r>
      <w:r>
        <w:rPr>
          <w:rFonts w:hint="eastAsia" w:ascii="仿宋" w:hAnsi="仿宋" w:eastAsia="仿宋" w:cs="仿宋"/>
          <w:b w:val="0"/>
          <w:bCs w:val="0"/>
          <w:sz w:val="24"/>
          <w:szCs w:val="24"/>
          <w:highlight w:val="none"/>
          <w:lang w:eastAsia="zh-CN"/>
        </w:rPr>
        <w:t>（包括但不限于）</w:t>
      </w:r>
    </w:p>
    <w:p w14:paraId="3EA5D4D4">
      <w:pPr>
        <w:spacing w:line="400" w:lineRule="exact"/>
        <w:ind w:firstLine="477" w:firstLineChars="199"/>
        <w:rPr>
          <w:rFonts w:hint="eastAsia" w:ascii="仿宋" w:hAnsi="仿宋" w:eastAsia="仿宋" w:cs="仿宋"/>
          <w:b w:val="0"/>
          <w:bCs w:val="0"/>
          <w:color w:val="auto"/>
          <w:sz w:val="24"/>
          <w:szCs w:val="24"/>
          <w:highlight w:val="none"/>
        </w:rPr>
      </w:pPr>
      <w:r>
        <w:rPr>
          <w:rFonts w:hint="eastAsia" w:ascii="仿宋" w:hAnsi="仿宋" w:eastAsia="仿宋" w:cs="仿宋"/>
          <w:b w:val="0"/>
          <w:bCs w:val="0"/>
          <w:sz w:val="24"/>
          <w:szCs w:val="24"/>
          <w:highlight w:val="none"/>
        </w:rPr>
        <w:t>资格证明</w:t>
      </w:r>
      <w:r>
        <w:rPr>
          <w:rFonts w:hint="eastAsia" w:ascii="仿宋" w:hAnsi="仿宋" w:eastAsia="仿宋" w:cs="仿宋"/>
          <w:b w:val="0"/>
          <w:bCs w:val="0"/>
          <w:sz w:val="24"/>
          <w:szCs w:val="24"/>
          <w:highlight w:val="none"/>
          <w:lang w:eastAsia="zh-CN"/>
        </w:rPr>
        <w:t>文件</w:t>
      </w:r>
      <w:r>
        <w:rPr>
          <w:rFonts w:hint="eastAsia" w:ascii="仿宋" w:hAnsi="仿宋" w:eastAsia="仿宋" w:cs="仿宋"/>
          <w:b w:val="0"/>
          <w:bCs w:val="0"/>
          <w:sz w:val="24"/>
          <w:szCs w:val="24"/>
          <w:highlight w:val="none"/>
        </w:rPr>
        <w:t>是证明投标人有资格参加投标和中标后有能力履行合同的文件，这些文件应能满足招标的</w:t>
      </w:r>
      <w:r>
        <w:rPr>
          <w:rFonts w:hint="eastAsia" w:ascii="仿宋" w:hAnsi="仿宋" w:eastAsia="仿宋" w:cs="仿宋"/>
          <w:b w:val="0"/>
          <w:bCs w:val="0"/>
          <w:color w:val="auto"/>
          <w:sz w:val="24"/>
          <w:szCs w:val="24"/>
          <w:highlight w:val="none"/>
        </w:rPr>
        <w:t>要求，否则作无效投标处理。</w:t>
      </w:r>
    </w:p>
    <w:p w14:paraId="23F92BB2">
      <w:pPr>
        <w:pStyle w:val="44"/>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1）具备三证合一营业执照；</w:t>
      </w:r>
    </w:p>
    <w:p w14:paraId="5A330E06">
      <w:pPr>
        <w:pStyle w:val="44"/>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2）法定代表人（负责人）参加提供法定代表人（负责人）证明书，委托代理人参加提供法人代表（负责人）授权委托书；投标银行为非法人机构的，提供上一级银行授权委托书。</w:t>
      </w:r>
    </w:p>
    <w:p w14:paraId="0F7A64A5">
      <w:pPr>
        <w:pStyle w:val="44"/>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3）投标企业须提供投标人（被授权人）近6个月任意1个月的社保证明；</w:t>
      </w:r>
    </w:p>
    <w:p w14:paraId="0888C934">
      <w:pPr>
        <w:pStyle w:val="44"/>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4）未被列入信用中国网（</w:t>
      </w:r>
      <w:r>
        <w:rPr>
          <w:rFonts w:hint="eastAsia" w:ascii="仿宋" w:hAnsi="仿宋" w:eastAsia="仿宋" w:cs="仿宋"/>
          <w:b w:val="0"/>
          <w:bCs w:val="0"/>
          <w:color w:val="auto"/>
          <w:kern w:val="2"/>
          <w:sz w:val="24"/>
          <w:szCs w:val="24"/>
          <w:highlight w:val="none"/>
          <w:lang w:val="en-US" w:eastAsia="zh-CN" w:bidi="ar-SA"/>
        </w:rPr>
        <w:fldChar w:fldCharType="begin"/>
      </w:r>
      <w:r>
        <w:rPr>
          <w:rFonts w:hint="eastAsia" w:ascii="仿宋" w:hAnsi="仿宋" w:eastAsia="仿宋" w:cs="仿宋"/>
          <w:b w:val="0"/>
          <w:bCs w:val="0"/>
          <w:color w:val="auto"/>
          <w:kern w:val="2"/>
          <w:sz w:val="24"/>
          <w:szCs w:val="24"/>
          <w:highlight w:val="none"/>
          <w:lang w:val="en-US" w:eastAsia="zh-CN" w:bidi="ar-SA"/>
        </w:rPr>
        <w:instrText xml:space="preserve"> HYPERLINK "http://www.creditchina.gov.cn/" </w:instrText>
      </w:r>
      <w:r>
        <w:rPr>
          <w:rFonts w:hint="eastAsia" w:ascii="仿宋" w:hAnsi="仿宋" w:eastAsia="仿宋" w:cs="仿宋"/>
          <w:b w:val="0"/>
          <w:bCs w:val="0"/>
          <w:color w:val="auto"/>
          <w:kern w:val="2"/>
          <w:sz w:val="24"/>
          <w:szCs w:val="24"/>
          <w:highlight w:val="none"/>
          <w:lang w:val="en-US" w:eastAsia="zh-CN" w:bidi="ar-SA"/>
        </w:rPr>
        <w:fldChar w:fldCharType="separate"/>
      </w:r>
      <w:r>
        <w:rPr>
          <w:rFonts w:hint="eastAsia" w:ascii="仿宋" w:hAnsi="仿宋" w:eastAsia="仿宋" w:cs="仿宋"/>
          <w:b w:val="0"/>
          <w:bCs w:val="0"/>
          <w:color w:val="auto"/>
          <w:kern w:val="2"/>
          <w:sz w:val="24"/>
          <w:szCs w:val="24"/>
          <w:highlight w:val="none"/>
          <w:lang w:val="en-US" w:eastAsia="zh-CN" w:bidi="ar-SA"/>
        </w:rPr>
        <w:t>www.creditchina.gov.cn</w:t>
      </w:r>
      <w:r>
        <w:rPr>
          <w:rFonts w:hint="eastAsia" w:ascii="仿宋" w:hAnsi="仿宋" w:eastAsia="仿宋" w:cs="仿宋"/>
          <w:b w:val="0"/>
          <w:bCs w:val="0"/>
          <w:color w:val="auto"/>
          <w:kern w:val="2"/>
          <w:sz w:val="24"/>
          <w:szCs w:val="24"/>
          <w:highlight w:val="none"/>
          <w:lang w:val="en-US" w:eastAsia="zh-CN" w:bidi="ar-SA"/>
        </w:rPr>
        <w:fldChar w:fldCharType="end"/>
      </w:r>
      <w:r>
        <w:rPr>
          <w:rFonts w:hint="eastAsia" w:ascii="仿宋" w:hAnsi="仿宋" w:eastAsia="仿宋" w:cs="仿宋"/>
          <w:b w:val="0"/>
          <w:bCs w:val="0"/>
          <w:color w:val="auto"/>
          <w:kern w:val="2"/>
          <w:sz w:val="24"/>
          <w:szCs w:val="24"/>
          <w:highlight w:val="none"/>
          <w:lang w:val="en-US" w:eastAsia="zh-CN" w:bidi="ar-SA"/>
        </w:rPr>
        <w:t>）及中国政府采购网 (</w:t>
      </w:r>
      <w:r>
        <w:rPr>
          <w:rFonts w:hint="eastAsia" w:ascii="仿宋" w:hAnsi="仿宋" w:eastAsia="仿宋" w:cs="仿宋"/>
          <w:b w:val="0"/>
          <w:bCs w:val="0"/>
          <w:color w:val="auto"/>
          <w:kern w:val="2"/>
          <w:sz w:val="24"/>
          <w:szCs w:val="24"/>
          <w:highlight w:val="none"/>
          <w:lang w:val="en-US" w:eastAsia="zh-CN" w:bidi="ar-SA"/>
        </w:rPr>
        <w:fldChar w:fldCharType="begin"/>
      </w:r>
      <w:r>
        <w:rPr>
          <w:rFonts w:hint="eastAsia" w:ascii="仿宋" w:hAnsi="仿宋" w:eastAsia="仿宋" w:cs="仿宋"/>
          <w:b w:val="0"/>
          <w:bCs w:val="0"/>
          <w:color w:val="auto"/>
          <w:kern w:val="2"/>
          <w:sz w:val="24"/>
          <w:szCs w:val="24"/>
          <w:highlight w:val="none"/>
          <w:lang w:val="en-US" w:eastAsia="zh-CN" w:bidi="ar-SA"/>
        </w:rPr>
        <w:instrText xml:space="preserve"> HYPERLINK "http://www.ccgp.gov.cn/" </w:instrText>
      </w:r>
      <w:r>
        <w:rPr>
          <w:rFonts w:hint="eastAsia" w:ascii="仿宋" w:hAnsi="仿宋" w:eastAsia="仿宋" w:cs="仿宋"/>
          <w:b w:val="0"/>
          <w:bCs w:val="0"/>
          <w:color w:val="auto"/>
          <w:kern w:val="2"/>
          <w:sz w:val="24"/>
          <w:szCs w:val="24"/>
          <w:highlight w:val="none"/>
          <w:lang w:val="en-US" w:eastAsia="zh-CN" w:bidi="ar-SA"/>
        </w:rPr>
        <w:fldChar w:fldCharType="separate"/>
      </w:r>
      <w:r>
        <w:rPr>
          <w:rFonts w:hint="eastAsia" w:ascii="仿宋" w:hAnsi="仿宋" w:eastAsia="仿宋" w:cs="仿宋"/>
          <w:b w:val="0"/>
          <w:bCs w:val="0"/>
          <w:color w:val="auto"/>
          <w:kern w:val="2"/>
          <w:sz w:val="24"/>
          <w:szCs w:val="24"/>
          <w:highlight w:val="none"/>
          <w:lang w:val="en-US" w:eastAsia="zh-CN" w:bidi="ar-SA"/>
        </w:rPr>
        <w:t>www.ccgp.gov.cn</w:t>
      </w:r>
      <w:r>
        <w:rPr>
          <w:rFonts w:hint="eastAsia" w:ascii="仿宋" w:hAnsi="仿宋" w:eastAsia="仿宋" w:cs="仿宋"/>
          <w:b w:val="0"/>
          <w:bCs w:val="0"/>
          <w:color w:val="auto"/>
          <w:kern w:val="2"/>
          <w:sz w:val="24"/>
          <w:szCs w:val="24"/>
          <w:highlight w:val="none"/>
          <w:lang w:val="en-US" w:eastAsia="zh-CN" w:bidi="ar-SA"/>
        </w:rPr>
        <w:fldChar w:fldCharType="end"/>
      </w:r>
      <w:r>
        <w:rPr>
          <w:rFonts w:hint="eastAsia" w:ascii="仿宋" w:hAnsi="仿宋" w:eastAsia="仿宋" w:cs="仿宋"/>
          <w:b w:val="0"/>
          <w:bCs w:val="0"/>
          <w:color w:val="auto"/>
          <w:kern w:val="2"/>
          <w:sz w:val="24"/>
          <w:szCs w:val="24"/>
          <w:highlight w:val="none"/>
          <w:lang w:val="en-US" w:eastAsia="zh-CN" w:bidi="ar-SA"/>
        </w:rPr>
        <w:t>）失信被执行人名单、重大税收违法失信主体、政府采购严重违法失信行为记录名单（提供查询结果网页截图并加盖供应商公章）；</w:t>
      </w:r>
    </w:p>
    <w:p w14:paraId="05670A2C">
      <w:pPr>
        <w:pStyle w:val="44"/>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5）投标企业需提供中国银行业监督管理委员会有效的《中华人民共和国金融许可证》或《金融机构营业许可证》。</w:t>
      </w:r>
    </w:p>
    <w:p w14:paraId="7F68D822">
      <w:pPr>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6）投标人须知资料表要求的其他资格证明文件;</w:t>
      </w:r>
    </w:p>
    <w:p w14:paraId="5E1838C3">
      <w:pPr>
        <w:spacing w:line="400" w:lineRule="exact"/>
        <w:ind w:firstLine="477" w:firstLineChars="19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20.2 商务及技术文件（包括但不限于）</w:t>
      </w:r>
    </w:p>
    <w:p w14:paraId="3798888C">
      <w:pPr>
        <w:spacing w:line="400" w:lineRule="exact"/>
        <w:ind w:firstLine="477" w:firstLineChars="19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1、投标书（附件1）</w:t>
      </w:r>
    </w:p>
    <w:p w14:paraId="09E43A1A">
      <w:pPr>
        <w:spacing w:line="400" w:lineRule="exact"/>
        <w:ind w:firstLine="477" w:firstLineChars="19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2、开标一览表（附件2）</w:t>
      </w:r>
    </w:p>
    <w:p w14:paraId="2E494F5C">
      <w:pPr>
        <w:spacing w:line="400" w:lineRule="exact"/>
        <w:ind w:firstLine="477" w:firstLineChars="19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3、投标分项报价表（附件3）</w:t>
      </w:r>
    </w:p>
    <w:p w14:paraId="4CED282F">
      <w:pPr>
        <w:spacing w:line="400" w:lineRule="exact"/>
        <w:ind w:firstLine="477" w:firstLineChars="19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4、服务说明一览表（附件4）</w:t>
      </w:r>
    </w:p>
    <w:p w14:paraId="68912A7C">
      <w:pPr>
        <w:spacing w:line="400" w:lineRule="exact"/>
        <w:ind w:firstLine="477" w:firstLineChars="19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5、技术规格偏离表（附件5）</w:t>
      </w:r>
    </w:p>
    <w:p w14:paraId="16F3C5BD">
      <w:pPr>
        <w:spacing w:line="400" w:lineRule="exact"/>
        <w:ind w:firstLine="477" w:firstLineChars="19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6、商务条款偏离表（附件6）</w:t>
      </w:r>
    </w:p>
    <w:p w14:paraId="52AF38D8">
      <w:pPr>
        <w:spacing w:line="400" w:lineRule="exact"/>
        <w:ind w:firstLine="477" w:firstLineChars="19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7、评分标准和细则中技术部分证明材料（格式自拟）</w:t>
      </w:r>
    </w:p>
    <w:p w14:paraId="56FB3071">
      <w:pPr>
        <w:spacing w:line="400" w:lineRule="exact"/>
        <w:ind w:firstLine="477" w:firstLineChars="19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8、评分标准和细则中商务部分证明材料（格式自拟）</w:t>
      </w:r>
    </w:p>
    <w:p w14:paraId="48E166B1">
      <w:pPr>
        <w:spacing w:line="400" w:lineRule="exact"/>
        <w:ind w:firstLine="477" w:firstLineChars="199"/>
        <w:rPr>
          <w:rFonts w:hint="eastAsia" w:ascii="仿宋" w:hAnsi="仿宋" w:eastAsia="仿宋" w:cs="仿宋"/>
          <w:b/>
          <w:bCs/>
          <w:sz w:val="24"/>
          <w:szCs w:val="24"/>
          <w:highlight w:val="none"/>
          <w:lang w:val="en-US" w:eastAsia="zh-CN"/>
        </w:rPr>
      </w:pPr>
      <w:r>
        <w:rPr>
          <w:rFonts w:hint="eastAsia" w:ascii="仿宋" w:hAnsi="仿宋" w:eastAsia="仿宋" w:cs="仿宋"/>
          <w:b w:val="0"/>
          <w:bCs w:val="0"/>
          <w:sz w:val="24"/>
          <w:szCs w:val="24"/>
          <w:highlight w:val="none"/>
          <w:lang w:val="en-US" w:eastAsia="zh-CN"/>
        </w:rPr>
        <w:t>9、投标人认为有必要提供的其他证明材料（格式自拟）</w:t>
      </w:r>
    </w:p>
    <w:p w14:paraId="7A02B8E1">
      <w:pPr>
        <w:shd w:val="clear" w:color="auto" w:fill="auto"/>
        <w:spacing w:line="400" w:lineRule="exact"/>
        <w:ind w:firstLine="477" w:firstLineChars="199"/>
        <w:outlineLvl w:val="9"/>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kern w:val="0"/>
          <w:sz w:val="24"/>
          <w:szCs w:val="24"/>
          <w:highlight w:val="none"/>
          <w:u w:val="single"/>
        </w:rPr>
        <w:t>注：以上材料须</w:t>
      </w:r>
      <w:r>
        <w:rPr>
          <w:rFonts w:hint="eastAsia" w:ascii="仿宋" w:hAnsi="仿宋" w:eastAsia="仿宋" w:cs="仿宋"/>
          <w:b/>
          <w:bCs w:val="0"/>
          <w:color w:val="auto"/>
          <w:kern w:val="0"/>
          <w:sz w:val="24"/>
          <w:szCs w:val="24"/>
          <w:highlight w:val="none"/>
          <w:u w:val="single"/>
          <w:lang w:eastAsia="zh-CN"/>
        </w:rPr>
        <w:t>逐页</w:t>
      </w:r>
      <w:r>
        <w:rPr>
          <w:rFonts w:hint="eastAsia" w:ascii="仿宋" w:hAnsi="仿宋" w:eastAsia="仿宋" w:cs="仿宋"/>
          <w:b/>
          <w:bCs w:val="0"/>
          <w:color w:val="auto"/>
          <w:kern w:val="0"/>
          <w:sz w:val="24"/>
          <w:szCs w:val="24"/>
          <w:highlight w:val="none"/>
          <w:u w:val="single"/>
        </w:rPr>
        <w:t>加盖单位公章</w:t>
      </w:r>
      <w:r>
        <w:rPr>
          <w:rFonts w:hint="eastAsia" w:ascii="仿宋" w:hAnsi="仿宋" w:eastAsia="仿宋" w:cs="仿宋"/>
          <w:b/>
          <w:bCs w:val="0"/>
          <w:color w:val="auto"/>
          <w:kern w:val="0"/>
          <w:sz w:val="24"/>
          <w:szCs w:val="24"/>
          <w:highlight w:val="none"/>
          <w:u w:val="single"/>
          <w:lang w:eastAsia="zh-CN"/>
        </w:rPr>
        <w:t>。</w:t>
      </w:r>
    </w:p>
    <w:p w14:paraId="0C3E1CCE">
      <w:pPr>
        <w:spacing w:line="400" w:lineRule="exact"/>
        <w:ind w:firstLine="235" w:firstLineChars="98"/>
        <w:rPr>
          <w:rFonts w:hint="eastAsia" w:ascii="仿宋" w:hAnsi="仿宋" w:eastAsia="仿宋" w:cs="仿宋"/>
          <w:b/>
          <w:sz w:val="24"/>
          <w:szCs w:val="24"/>
          <w:highlight w:val="none"/>
        </w:rPr>
      </w:pPr>
      <w:r>
        <w:rPr>
          <w:rFonts w:hint="eastAsia" w:ascii="仿宋" w:hAnsi="仿宋" w:eastAsia="仿宋" w:cs="仿宋"/>
          <w:b/>
          <w:sz w:val="24"/>
          <w:szCs w:val="24"/>
          <w:highlight w:val="none"/>
        </w:rPr>
        <w:t>21</w:t>
      </w:r>
      <w:r>
        <w:rPr>
          <w:rFonts w:hint="eastAsia" w:ascii="仿宋" w:hAnsi="仿宋" w:eastAsia="仿宋" w:cs="仿宋"/>
          <w:b/>
          <w:sz w:val="24"/>
          <w:szCs w:val="24"/>
          <w:highlight w:val="none"/>
          <w:lang w:val="en-US" w:eastAsia="zh-CN"/>
        </w:rPr>
        <w:t>.</w:t>
      </w:r>
      <w:r>
        <w:rPr>
          <w:rFonts w:hint="eastAsia" w:ascii="仿宋" w:hAnsi="仿宋" w:eastAsia="仿宋" w:cs="仿宋"/>
          <w:b/>
          <w:sz w:val="24"/>
          <w:szCs w:val="24"/>
          <w:highlight w:val="none"/>
        </w:rPr>
        <w:t>投标文件的要求</w:t>
      </w:r>
    </w:p>
    <w:p w14:paraId="68749A74">
      <w:pPr>
        <w:spacing w:line="400" w:lineRule="exact"/>
        <w:ind w:firstLine="477" w:firstLineChars="19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21.1</w:t>
      </w:r>
      <w:r>
        <w:rPr>
          <w:rFonts w:hint="eastAsia" w:ascii="仿宋" w:hAnsi="仿宋" w:eastAsia="仿宋" w:cs="仿宋"/>
          <w:sz w:val="24"/>
          <w:szCs w:val="24"/>
          <w:highlight w:val="none"/>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6E3B1C8A">
      <w:pPr>
        <w:spacing w:line="400" w:lineRule="exact"/>
        <w:ind w:firstLine="477" w:firstLineChars="19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21.2</w:t>
      </w:r>
      <w:r>
        <w:rPr>
          <w:rFonts w:hint="eastAsia" w:ascii="仿宋" w:hAnsi="仿宋" w:eastAsia="仿宋" w:cs="仿宋"/>
          <w:sz w:val="24"/>
          <w:szCs w:val="24"/>
          <w:highlight w:val="none"/>
        </w:rPr>
        <w:t>投标文件格式应按本采购文件第六章格式要求编制，不得对采购文件格式进行增删更改，否则按无效标处理。</w:t>
      </w:r>
    </w:p>
    <w:p w14:paraId="20875335">
      <w:pPr>
        <w:spacing w:line="400" w:lineRule="exact"/>
        <w:ind w:firstLine="477" w:firstLineChars="19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21.3</w:t>
      </w:r>
      <w:r>
        <w:rPr>
          <w:rFonts w:hint="eastAsia" w:ascii="仿宋" w:hAnsi="仿宋" w:eastAsia="仿宋" w:cs="仿宋"/>
          <w:sz w:val="24"/>
          <w:szCs w:val="24"/>
          <w:highlight w:val="none"/>
        </w:rPr>
        <w:t xml:space="preserve">对采购文件格式可更改的例外情况：采购文件第六章附件格式要求中明确规定表格中行数不够用时可按相同格式增加行数，其他一切内容和格式不得更改。 </w:t>
      </w:r>
    </w:p>
    <w:p w14:paraId="35F30573">
      <w:pPr>
        <w:spacing w:line="400" w:lineRule="exact"/>
        <w:ind w:firstLine="477" w:firstLineChars="19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21.4</w:t>
      </w:r>
      <w:r>
        <w:rPr>
          <w:rFonts w:hint="eastAsia" w:ascii="仿宋" w:hAnsi="仿宋" w:eastAsia="仿宋" w:cs="仿宋"/>
          <w:sz w:val="24"/>
          <w:szCs w:val="24"/>
          <w:highlight w:val="none"/>
        </w:rPr>
        <w:t>投标文件为电子投标文件，电子投标文件按“政采云供应商项目采购-电子招投标操作指南”及本采购文件要求制作、加密传输。</w:t>
      </w:r>
    </w:p>
    <w:p w14:paraId="0C26FE34">
      <w:pPr>
        <w:spacing w:line="400" w:lineRule="exact"/>
        <w:ind w:firstLine="477" w:firstLineChars="19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21.5</w:t>
      </w:r>
      <w:r>
        <w:rPr>
          <w:rFonts w:hint="eastAsia" w:ascii="仿宋" w:hAnsi="仿宋" w:eastAsia="仿宋" w:cs="仿宋"/>
          <w:sz w:val="24"/>
          <w:szCs w:val="24"/>
          <w:highlight w:val="none"/>
        </w:rPr>
        <w:t>投标文件未在投标截止时间前完成传输的，视为投标文件撤回；投标文件未按时解密也未提供备份投标文件的，亦视为投标文件撤回。</w:t>
      </w:r>
    </w:p>
    <w:p w14:paraId="745EB3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22</w:t>
      </w:r>
      <w:r>
        <w:rPr>
          <w:rFonts w:hint="eastAsia" w:ascii="仿宋" w:hAnsi="仿宋" w:eastAsia="仿宋" w:cs="仿宋"/>
          <w:sz w:val="24"/>
          <w:szCs w:val="24"/>
          <w:highlight w:val="none"/>
        </w:rPr>
        <w:t>.</w:t>
      </w:r>
      <w:r>
        <w:rPr>
          <w:rFonts w:hint="eastAsia" w:ascii="仿宋" w:hAnsi="仿宋" w:eastAsia="仿宋" w:cs="仿宋"/>
          <w:b/>
          <w:sz w:val="24"/>
          <w:szCs w:val="24"/>
          <w:highlight w:val="none"/>
        </w:rPr>
        <w:t>磋商报价</w:t>
      </w:r>
    </w:p>
    <w:p w14:paraId="151506A2">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1本项目报价为分次报价，供应商响应文件中的报价作为第一次报价；以最终竞争性磋商报价作为评审价。</w:t>
      </w:r>
    </w:p>
    <w:p w14:paraId="7B6DECCF">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2凡要求供应商考虑在报价中的内容供应商在响应文件中没有考虑、没有计入的或未单独列出，采购人认为供应商已将此项费用涵盖在其它费用价格中。</w:t>
      </w:r>
    </w:p>
    <w:p w14:paraId="0E89E69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3报价注意事项：</w:t>
      </w:r>
    </w:p>
    <w:p w14:paraId="2A9D2073">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（1）价格一律以（年）利率计算，以%为单位标准；</w:t>
      </w:r>
    </w:p>
    <w:p w14:paraId="40A4BB20">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（2）供应商报价时应充分考虑所有可能影响到报价的报价因素，一旦招标结束最终成交，总价将固定，不予调整。如发生漏、缺、少项，都将被认为是成交人的报价让利行为，损失自负。</w:t>
      </w:r>
    </w:p>
    <w:p w14:paraId="4FA94A3C">
      <w:pPr>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23. 投标有效期</w:t>
      </w:r>
    </w:p>
    <w:p w14:paraId="5368C4F6">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23.1 除投标人须知前附表另有规定外，投标有效期为60天。</w:t>
      </w:r>
    </w:p>
    <w:p w14:paraId="6DEB4954">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23.2在投标有效期内，投标人撤销或修改其投标文件的，应承担采购文件和法律规定的责任。</w:t>
      </w:r>
    </w:p>
    <w:p w14:paraId="61378487">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3253CAB">
      <w:pPr>
        <w:numPr>
          <w:ilvl w:val="0"/>
          <w:numId w:val="6"/>
        </w:numPr>
        <w:spacing w:line="440" w:lineRule="exact"/>
        <w:ind w:firstLine="460" w:firstLineChars="192"/>
        <w:rPr>
          <w:rFonts w:hint="eastAsia" w:ascii="仿宋" w:hAnsi="仿宋" w:eastAsia="仿宋" w:cs="仿宋"/>
          <w:b/>
          <w:sz w:val="24"/>
          <w:szCs w:val="24"/>
          <w:highlight w:val="none"/>
        </w:rPr>
      </w:pPr>
      <w:r>
        <w:rPr>
          <w:rFonts w:hint="eastAsia" w:ascii="仿宋" w:hAnsi="仿宋" w:eastAsia="仿宋" w:cs="仿宋"/>
          <w:b/>
          <w:sz w:val="24"/>
          <w:szCs w:val="24"/>
          <w:highlight w:val="none"/>
        </w:rPr>
        <w:t>投标保证金</w:t>
      </w:r>
    </w:p>
    <w:p w14:paraId="512B35BF">
      <w:pPr>
        <w:numPr>
          <w:ilvl w:val="0"/>
          <w:numId w:val="0"/>
        </w:numPr>
        <w:spacing w:line="44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 xml:space="preserve">        无</w:t>
      </w:r>
      <w:bookmarkStart w:id="22" w:name="_Toc469495727"/>
      <w:bookmarkStart w:id="23" w:name="_Toc29184"/>
      <w:bookmarkStart w:id="24" w:name="_Toc859"/>
    </w:p>
    <w:p w14:paraId="735A054E">
      <w:pPr>
        <w:spacing w:before="312" w:beforeLines="100" w:after="312" w:afterLines="100" w:line="440" w:lineRule="exact"/>
        <w:jc w:val="center"/>
        <w:outlineLvl w:val="2"/>
        <w:rPr>
          <w:rFonts w:hint="eastAsia" w:ascii="仿宋" w:hAnsi="仿宋" w:eastAsia="仿宋" w:cs="仿宋"/>
          <w:b/>
          <w:sz w:val="24"/>
          <w:szCs w:val="24"/>
          <w:highlight w:val="none"/>
        </w:rPr>
      </w:pPr>
      <w:r>
        <w:rPr>
          <w:rFonts w:hint="eastAsia" w:ascii="仿宋" w:hAnsi="仿宋" w:eastAsia="仿宋" w:cs="仿宋"/>
          <w:b/>
          <w:sz w:val="24"/>
          <w:szCs w:val="24"/>
          <w:highlight w:val="none"/>
        </w:rPr>
        <w:t>（四）</w:t>
      </w:r>
      <w:bookmarkEnd w:id="22"/>
      <w:r>
        <w:rPr>
          <w:rFonts w:hint="eastAsia" w:ascii="仿宋" w:hAnsi="仿宋" w:eastAsia="仿宋" w:cs="仿宋"/>
          <w:b/>
          <w:sz w:val="24"/>
          <w:szCs w:val="24"/>
          <w:highlight w:val="none"/>
        </w:rPr>
        <w:t>投标文件的制作、上传及递交要求</w:t>
      </w:r>
      <w:bookmarkEnd w:id="23"/>
      <w:bookmarkEnd w:id="24"/>
    </w:p>
    <w:p w14:paraId="5D6670F1">
      <w:pPr>
        <w:snapToGrid w:val="0"/>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bCs/>
          <w:sz w:val="24"/>
          <w:szCs w:val="24"/>
          <w:highlight w:val="none"/>
        </w:rPr>
        <w:t>25.投标文件的制作要求</w:t>
      </w:r>
    </w:p>
    <w:p w14:paraId="4021D9A4">
      <w:pPr>
        <w:pStyle w:val="5"/>
        <w:snapToGrid w:val="0"/>
        <w:spacing w:line="360" w:lineRule="auto"/>
        <w:rPr>
          <w:rFonts w:hint="eastAsia" w:ascii="仿宋" w:hAnsi="仿宋" w:eastAsia="仿宋" w:cs="仿宋"/>
          <w:sz w:val="24"/>
          <w:szCs w:val="24"/>
          <w:highlight w:val="none"/>
        </w:rPr>
      </w:pPr>
      <w:r>
        <w:rPr>
          <w:rFonts w:hint="eastAsia" w:ascii="仿宋" w:hAnsi="仿宋" w:eastAsia="仿宋" w:cs="仿宋"/>
          <w:bCs/>
          <w:sz w:val="24"/>
          <w:szCs w:val="24"/>
          <w:highlight w:val="none"/>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14:paraId="6DF01012">
      <w:pPr>
        <w:pStyle w:val="5"/>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4CD39545">
      <w:pPr>
        <w:pStyle w:val="5"/>
        <w:snapToGrid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备份电子投标文件：通过“政采云”平台电子投标工具制作投标文件所产生的备份文件。</w:t>
      </w:r>
    </w:p>
    <w:p w14:paraId="65084A23">
      <w:pPr>
        <w:pStyle w:val="5"/>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（2）供应商应对所提供的全部资料的真实性、有效性承担法律责任，电子投标文件中所须加盖公章部分均采用CA签章。</w:t>
      </w:r>
    </w:p>
    <w:p w14:paraId="2EC1D62A">
      <w:pPr>
        <w:pStyle w:val="5"/>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（3）投标文件以及供应商与采购组织机构就有关投标事宜的所有来往函电，均应以中文汉语书写。除签字、盖章、专用名称等特殊情形外，以中文汉语以外的文字表述的投标文件视同未提供。</w:t>
      </w:r>
    </w:p>
    <w:p w14:paraId="2B3EB565">
      <w:pPr>
        <w:pStyle w:val="5"/>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（4）投标计量单位，采购文件已有明确规定的，使用采购文件规定的计量单位；采购文件没有规定的，应采用中华人民共和国法定计量单位（货币单位：人民币元）。</w:t>
      </w:r>
    </w:p>
    <w:p w14:paraId="4F07CE5D">
      <w:pPr>
        <w:pStyle w:val="5"/>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（5）若供应商不按采购文件的要求提供资格审查材料，其风险由供应商自行承担。</w:t>
      </w:r>
    </w:p>
    <w:p w14:paraId="60019E3B">
      <w:pPr>
        <w:pStyle w:val="5"/>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（6）与本次投标无关的内容请不要制作在内，确保投标文件有针对性、简洁明了。</w:t>
      </w:r>
    </w:p>
    <w:p w14:paraId="2D2F7377">
      <w:pPr>
        <w:snapToGrid w:val="0"/>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26.投标文件的上传</w:t>
      </w:r>
    </w:p>
    <w:p w14:paraId="63B6C2C1">
      <w:pPr>
        <w:pStyle w:val="5"/>
        <w:snapToGrid w:val="0"/>
        <w:spacing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26.1</w:t>
      </w:r>
      <w:r>
        <w:rPr>
          <w:rFonts w:hint="eastAsia" w:ascii="仿宋" w:hAnsi="仿宋" w:eastAsia="仿宋" w:cs="仿宋"/>
          <w:b w:val="0"/>
          <w:bCs w:val="0"/>
          <w:sz w:val="24"/>
          <w:szCs w:val="24"/>
          <w:highlight w:val="none"/>
          <w:lang w:bidi="zh-CN"/>
        </w:rPr>
        <w:t>电子加密投标文件（“.jmbs”格式）</w:t>
      </w:r>
      <w:r>
        <w:rPr>
          <w:rFonts w:hint="eastAsia" w:ascii="仿宋" w:hAnsi="仿宋" w:eastAsia="仿宋" w:cs="仿宋"/>
          <w:b w:val="0"/>
          <w:bCs w:val="0"/>
          <w:sz w:val="24"/>
          <w:szCs w:val="24"/>
          <w:highlight w:val="none"/>
        </w:rPr>
        <w:t>：</w:t>
      </w:r>
    </w:p>
    <w:p w14:paraId="2DD3F31E">
      <w:pPr>
        <w:pStyle w:val="5"/>
        <w:snapToGrid w:val="0"/>
        <w:spacing w:line="360" w:lineRule="auto"/>
        <w:ind w:firstLine="600" w:firstLineChars="250"/>
        <w:rPr>
          <w:rFonts w:hint="eastAsia" w:ascii="仿宋" w:hAnsi="仿宋" w:eastAsia="仿宋" w:cs="仿宋"/>
          <w:bCs/>
          <w:sz w:val="24"/>
          <w:szCs w:val="24"/>
          <w:highlight w:val="none"/>
          <w:lang w:bidi="zh-CN"/>
        </w:rPr>
      </w:pPr>
      <w:r>
        <w:rPr>
          <w:rFonts w:hint="eastAsia" w:ascii="仿宋" w:hAnsi="仿宋" w:eastAsia="仿宋" w:cs="仿宋"/>
          <w:b w:val="0"/>
          <w:bCs w:val="0"/>
          <w:sz w:val="24"/>
          <w:szCs w:val="24"/>
          <w:highlight w:val="none"/>
        </w:rPr>
        <w:t>（1）</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bidi="zh-CN"/>
        </w:rPr>
        <w:t>供应商应在投标截止时间前将电子加密投标文件成功上传递交至新疆政府采购云平台，否则投标无效；</w:t>
      </w:r>
    </w:p>
    <w:p w14:paraId="0C45C6BE">
      <w:pPr>
        <w:pStyle w:val="5"/>
        <w:snapToGrid w:val="0"/>
        <w:spacing w:line="360" w:lineRule="auto"/>
        <w:ind w:firstLine="600" w:firstLineChars="25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bidi="zh-CN"/>
        </w:rPr>
        <w:t>（</w:t>
      </w:r>
      <w:r>
        <w:rPr>
          <w:rFonts w:hint="eastAsia" w:ascii="仿宋" w:hAnsi="仿宋" w:eastAsia="仿宋" w:cs="仿宋"/>
          <w:b w:val="0"/>
          <w:bCs/>
          <w:sz w:val="24"/>
          <w:szCs w:val="24"/>
          <w:highlight w:val="none"/>
          <w:lang w:val="en-US" w:bidi="zh-CN"/>
        </w:rPr>
        <w:t>2</w:t>
      </w:r>
      <w:r>
        <w:rPr>
          <w:rFonts w:hint="eastAsia" w:ascii="仿宋" w:hAnsi="仿宋" w:eastAsia="仿宋" w:cs="仿宋"/>
          <w:b w:val="0"/>
          <w:bCs/>
          <w:sz w:val="24"/>
          <w:szCs w:val="24"/>
          <w:highlight w:val="none"/>
          <w:lang w:bidi="zh-CN"/>
        </w:rPr>
        <w:t>）供应商成功上传电子加密投标文件后，可自行打印投标文件接收回执。</w:t>
      </w:r>
    </w:p>
    <w:p w14:paraId="211D9F54">
      <w:pPr>
        <w:pStyle w:val="5"/>
        <w:snapToGrid w:val="0"/>
        <w:spacing w:line="360" w:lineRule="auto"/>
        <w:rPr>
          <w:rFonts w:hint="eastAsia" w:ascii="仿宋" w:hAnsi="仿宋" w:eastAsia="仿宋" w:cs="仿宋"/>
          <w:b w:val="0"/>
          <w:bCs/>
          <w:sz w:val="24"/>
          <w:szCs w:val="24"/>
          <w:highlight w:val="none"/>
          <w:lang w:bidi="zh-CN"/>
        </w:rPr>
      </w:pPr>
      <w:r>
        <w:rPr>
          <w:rFonts w:hint="eastAsia" w:ascii="仿宋" w:hAnsi="仿宋" w:eastAsia="仿宋" w:cs="仿宋"/>
          <w:b w:val="0"/>
          <w:bCs/>
          <w:sz w:val="24"/>
          <w:szCs w:val="24"/>
          <w:highlight w:val="none"/>
          <w:lang w:val="en-US" w:bidi="zh-CN"/>
        </w:rPr>
        <w:t>26.2</w:t>
      </w:r>
      <w:r>
        <w:rPr>
          <w:rFonts w:hint="eastAsia" w:ascii="仿宋" w:hAnsi="仿宋" w:eastAsia="仿宋" w:cs="仿宋"/>
          <w:b w:val="0"/>
          <w:bCs/>
          <w:sz w:val="24"/>
          <w:szCs w:val="24"/>
          <w:highlight w:val="none"/>
          <w:lang w:bidi="zh-CN"/>
        </w:rPr>
        <w:t>备份投标文件（“.bfbs”格式）：</w:t>
      </w:r>
    </w:p>
    <w:p w14:paraId="5D7A65F0">
      <w:pPr>
        <w:pStyle w:val="5"/>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lang w:bidi="zh-CN"/>
        </w:rPr>
        <w:t>供应商可以将备份投标文件打包压缩并加密，压缩包命名为“XX单位备份投标文件”，加密密码由供应商自行保管；送达时间以采购代理机构实际接收时间为准。“备份投标文件”以投标截止时间前指定接收邮箱最终收到的文件为准，逾期或未按要求提供的视为未提供，建议供应商提前1日办理邮件提</w:t>
      </w:r>
      <w:r>
        <w:rPr>
          <w:rFonts w:hint="eastAsia" w:ascii="仿宋" w:hAnsi="仿宋" w:eastAsia="仿宋" w:cs="仿宋"/>
          <w:b w:val="0"/>
          <w:bCs/>
          <w:color w:val="auto"/>
          <w:sz w:val="24"/>
          <w:szCs w:val="24"/>
          <w:highlight w:val="none"/>
          <w:lang w:bidi="zh-CN"/>
        </w:rPr>
        <w:t>供事宜（接收人邮箱：</w:t>
      </w:r>
      <w:r>
        <w:rPr>
          <w:rFonts w:hint="eastAsia" w:ascii="仿宋" w:hAnsi="仿宋" w:eastAsia="仿宋" w:cs="仿宋"/>
          <w:b w:val="0"/>
          <w:bCs/>
          <w:color w:val="auto"/>
          <w:sz w:val="24"/>
          <w:szCs w:val="24"/>
          <w:highlight w:val="none"/>
          <w:u w:val="single"/>
        </w:rPr>
        <w:fldChar w:fldCharType="begin"/>
      </w:r>
      <w:r>
        <w:rPr>
          <w:rFonts w:hint="eastAsia" w:ascii="仿宋" w:hAnsi="仿宋" w:eastAsia="仿宋" w:cs="仿宋"/>
          <w:b w:val="0"/>
          <w:bCs/>
          <w:color w:val="auto"/>
          <w:sz w:val="24"/>
          <w:szCs w:val="24"/>
          <w:highlight w:val="none"/>
          <w:u w:val="single"/>
        </w:rPr>
        <w:instrText xml:space="preserve"> HYPERLINK "mailto:1207446769@qq.com，接收人：陈加轲，电话：15157655122" </w:instrText>
      </w:r>
      <w:r>
        <w:rPr>
          <w:rFonts w:hint="eastAsia" w:ascii="仿宋" w:hAnsi="仿宋" w:eastAsia="仿宋" w:cs="仿宋"/>
          <w:b w:val="0"/>
          <w:bCs/>
          <w:color w:val="auto"/>
          <w:sz w:val="24"/>
          <w:szCs w:val="24"/>
          <w:highlight w:val="none"/>
          <w:u w:val="single"/>
        </w:rPr>
        <w:fldChar w:fldCharType="separate"/>
      </w:r>
      <w:r>
        <w:rPr>
          <w:rFonts w:hint="eastAsia" w:ascii="仿宋" w:hAnsi="仿宋" w:eastAsia="仿宋" w:cs="仿宋"/>
          <w:b w:val="0"/>
          <w:bCs/>
          <w:color w:val="auto"/>
          <w:sz w:val="24"/>
          <w:szCs w:val="24"/>
          <w:highlight w:val="none"/>
          <w:u w:val="single"/>
          <w:lang w:val="en-US" w:bidi="zh-CN"/>
        </w:rPr>
        <w:t>19246091</w:t>
      </w:r>
      <w:r>
        <w:rPr>
          <w:rFonts w:hint="eastAsia" w:ascii="仿宋" w:hAnsi="仿宋" w:eastAsia="仿宋" w:cs="仿宋"/>
          <w:b w:val="0"/>
          <w:bCs/>
          <w:color w:val="auto"/>
          <w:sz w:val="24"/>
          <w:szCs w:val="24"/>
          <w:highlight w:val="none"/>
          <w:u w:val="single"/>
          <w:lang w:bidi="zh-CN"/>
        </w:rPr>
        <w:t>@qq.com</w:t>
      </w:r>
      <w:r>
        <w:rPr>
          <w:rStyle w:val="35"/>
          <w:rFonts w:hint="eastAsia" w:ascii="仿宋" w:hAnsi="仿宋" w:eastAsia="仿宋" w:cs="仿宋"/>
          <w:b w:val="0"/>
          <w:bCs/>
          <w:color w:val="auto"/>
          <w:sz w:val="24"/>
          <w:szCs w:val="24"/>
          <w:highlight w:val="none"/>
          <w:u w:val="single"/>
          <w:lang w:bidi="zh-CN"/>
        </w:rPr>
        <w:t>，接收人</w:t>
      </w:r>
      <w:r>
        <w:rPr>
          <w:rStyle w:val="35"/>
          <w:rFonts w:hint="eastAsia" w:ascii="仿宋" w:hAnsi="仿宋" w:eastAsia="仿宋" w:cs="仿宋"/>
          <w:b w:val="0"/>
          <w:bCs/>
          <w:color w:val="auto"/>
          <w:sz w:val="24"/>
          <w:szCs w:val="24"/>
          <w:highlight w:val="none"/>
          <w:u w:val="single"/>
          <w:lang w:val="en-US" w:bidi="zh-CN"/>
        </w:rPr>
        <w:t>黄女士</w:t>
      </w:r>
      <w:r>
        <w:rPr>
          <w:rStyle w:val="35"/>
          <w:rFonts w:hint="eastAsia" w:ascii="仿宋" w:hAnsi="仿宋" w:eastAsia="仿宋" w:cs="仿宋"/>
          <w:b w:val="0"/>
          <w:bCs/>
          <w:color w:val="auto"/>
          <w:sz w:val="24"/>
          <w:szCs w:val="24"/>
          <w:highlight w:val="none"/>
          <w:u w:val="single"/>
          <w:lang w:bidi="zh-CN"/>
        </w:rPr>
        <w:t>，电话：</w:t>
      </w:r>
      <w:r>
        <w:rPr>
          <w:rFonts w:hint="eastAsia" w:ascii="仿宋" w:hAnsi="仿宋" w:eastAsia="仿宋" w:cs="仿宋"/>
          <w:b w:val="0"/>
          <w:bCs/>
          <w:color w:val="auto"/>
          <w:sz w:val="24"/>
          <w:szCs w:val="24"/>
          <w:highlight w:val="none"/>
          <w:u w:val="single"/>
          <w:lang w:val="en-US" w:bidi="zh-CN"/>
        </w:rPr>
        <w:t>1</w:t>
      </w:r>
      <w:r>
        <w:rPr>
          <w:rFonts w:hint="eastAsia" w:ascii="仿宋" w:hAnsi="仿宋" w:eastAsia="仿宋" w:cs="仿宋"/>
          <w:b w:val="0"/>
          <w:bCs/>
          <w:color w:val="auto"/>
          <w:sz w:val="24"/>
          <w:szCs w:val="24"/>
          <w:highlight w:val="none"/>
          <w:u w:val="single"/>
          <w:lang w:bidi="zh-CN"/>
        </w:rPr>
        <w:fldChar w:fldCharType="end"/>
      </w:r>
      <w:r>
        <w:rPr>
          <w:rFonts w:hint="eastAsia" w:ascii="仿宋" w:hAnsi="仿宋" w:eastAsia="仿宋" w:cs="仿宋"/>
          <w:b w:val="0"/>
          <w:bCs/>
          <w:color w:val="auto"/>
          <w:sz w:val="24"/>
          <w:szCs w:val="24"/>
          <w:highlight w:val="none"/>
          <w:u w:val="single"/>
          <w:lang w:val="en-US" w:bidi="zh-CN"/>
        </w:rPr>
        <w:t>7799081359</w:t>
      </w:r>
      <w:r>
        <w:rPr>
          <w:rFonts w:hint="eastAsia" w:ascii="仿宋" w:hAnsi="仿宋" w:eastAsia="仿宋" w:cs="仿宋"/>
          <w:b w:val="0"/>
          <w:bCs/>
          <w:color w:val="auto"/>
          <w:sz w:val="24"/>
          <w:szCs w:val="24"/>
          <w:highlight w:val="none"/>
          <w:lang w:bidi="zh-CN"/>
        </w:rPr>
        <w:t>）；</w:t>
      </w:r>
    </w:p>
    <w:p w14:paraId="2ED807B6">
      <w:pPr>
        <w:pStyle w:val="5"/>
        <w:snapToGrid w:val="0"/>
        <w:spacing w:line="360" w:lineRule="auto"/>
        <w:ind w:firstLine="600" w:firstLineChars="250"/>
        <w:rPr>
          <w:rFonts w:hint="eastAsia" w:ascii="仿宋" w:hAnsi="仿宋" w:eastAsia="仿宋" w:cs="仿宋"/>
          <w:b w:val="0"/>
          <w:bCs/>
          <w:sz w:val="24"/>
          <w:szCs w:val="24"/>
          <w:highlight w:val="none"/>
          <w:lang w:bidi="zh-CN"/>
        </w:rPr>
      </w:pPr>
      <w:r>
        <w:rPr>
          <w:rFonts w:hint="eastAsia" w:ascii="仿宋" w:hAnsi="仿宋" w:eastAsia="仿宋" w:cs="仿宋"/>
          <w:b w:val="0"/>
          <w:bCs/>
          <w:sz w:val="24"/>
          <w:szCs w:val="24"/>
          <w:highlight w:val="none"/>
          <w:lang w:bidi="zh-CN"/>
        </w:rPr>
        <w:t>（</w:t>
      </w:r>
      <w:r>
        <w:rPr>
          <w:rFonts w:hint="eastAsia" w:ascii="仿宋" w:hAnsi="仿宋" w:eastAsia="仿宋" w:cs="仿宋"/>
          <w:b w:val="0"/>
          <w:bCs/>
          <w:sz w:val="24"/>
          <w:szCs w:val="24"/>
          <w:highlight w:val="none"/>
          <w:lang w:val="en-US" w:bidi="zh-CN"/>
        </w:rPr>
        <w:t>2</w:t>
      </w:r>
      <w:r>
        <w:rPr>
          <w:rFonts w:hint="eastAsia" w:ascii="仿宋" w:hAnsi="仿宋" w:eastAsia="仿宋" w:cs="仿宋"/>
          <w:b w:val="0"/>
          <w:bCs/>
          <w:sz w:val="24"/>
          <w:szCs w:val="24"/>
          <w:highlight w:val="none"/>
          <w:lang w:bidi="zh-CN"/>
        </w:rPr>
        <w:t>）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2270479F">
      <w:pPr>
        <w:snapToGrid w:val="0"/>
        <w:spacing w:line="360" w:lineRule="auto"/>
        <w:ind w:firstLine="480" w:firstLineChars="200"/>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27.投标文件的递交要求</w:t>
      </w:r>
    </w:p>
    <w:p w14:paraId="5FB7A0C0">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27.1</w:t>
      </w:r>
      <w:r>
        <w:rPr>
          <w:rFonts w:hint="eastAsia" w:ascii="仿宋" w:hAnsi="仿宋" w:eastAsia="仿宋" w:cs="仿宋"/>
          <w:sz w:val="24"/>
          <w:szCs w:val="24"/>
          <w:highlight w:val="none"/>
        </w:rPr>
        <w:t>供应商须按照采购文件和政采云平台的要求编制并加密投标文件。在投标文件递交截止时间以前完成投标文件的传输递交，截止时间后递交的投标文件，将被拒收。</w:t>
      </w:r>
    </w:p>
    <w:p w14:paraId="57642583">
      <w:pPr>
        <w:tabs>
          <w:tab w:val="left" w:pos="1418"/>
        </w:tabs>
        <w:autoSpaceDE w:val="0"/>
        <w:autoSpaceDN w:val="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27.2</w:t>
      </w:r>
      <w:r>
        <w:rPr>
          <w:rFonts w:hint="eastAsia" w:ascii="仿宋" w:hAnsi="仿宋" w:eastAsia="仿宋" w:cs="仿宋"/>
          <w:sz w:val="24"/>
          <w:szCs w:val="24"/>
          <w:highlight w:val="none"/>
        </w:rPr>
        <w:t>备份电子投标文件必须在投标截止时间前送达指定的投标地点。备份电子投标文件在截止时间后提交，采购组织机构将拒绝接收。</w:t>
      </w:r>
    </w:p>
    <w:p w14:paraId="4D9C1CF0">
      <w:pPr>
        <w:tabs>
          <w:tab w:val="left" w:pos="1418"/>
        </w:tabs>
        <w:autoSpaceDE w:val="0"/>
        <w:autoSpaceDN w:val="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27.3</w:t>
      </w:r>
      <w:r>
        <w:rPr>
          <w:rFonts w:hint="eastAsia" w:ascii="仿宋" w:hAnsi="仿宋" w:eastAsia="仿宋" w:cs="仿宋"/>
          <w:sz w:val="24"/>
          <w:szCs w:val="24"/>
          <w:highlight w:val="none"/>
        </w:rPr>
        <w:t>如有特殊情况，采购组织机构延长截止时间和开标时间，采购组织机构和供应商的权利和义务将受到新的截止时间和开标时间的约束。</w:t>
      </w:r>
    </w:p>
    <w:p w14:paraId="206AA814">
      <w:pPr>
        <w:snapToGrid w:val="0"/>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28．投标文件的补充、修改与撤回</w:t>
      </w:r>
    </w:p>
    <w:p w14:paraId="08BA7876">
      <w:pPr>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128759E9">
      <w:pPr>
        <w:spacing w:before="312" w:beforeLines="100" w:after="312" w:afterLines="100" w:line="440" w:lineRule="exact"/>
        <w:jc w:val="center"/>
        <w:outlineLvl w:val="2"/>
        <w:rPr>
          <w:rFonts w:hint="eastAsia" w:ascii="仿宋" w:hAnsi="仿宋" w:eastAsia="仿宋" w:cs="仿宋"/>
          <w:sz w:val="24"/>
          <w:szCs w:val="24"/>
          <w:highlight w:val="none"/>
        </w:rPr>
      </w:pPr>
      <w:bookmarkStart w:id="25" w:name="_Toc31522"/>
      <w:bookmarkStart w:id="26" w:name="_Toc6569"/>
      <w:bookmarkStart w:id="27" w:name="_Toc469495728"/>
      <w:r>
        <w:rPr>
          <w:rFonts w:hint="eastAsia" w:ascii="仿宋" w:hAnsi="仿宋" w:eastAsia="仿宋" w:cs="仿宋"/>
          <w:sz w:val="24"/>
          <w:szCs w:val="24"/>
          <w:highlight w:val="none"/>
        </w:rPr>
        <w:t>（五）开 标、评标和定标</w:t>
      </w:r>
      <w:bookmarkEnd w:id="25"/>
      <w:bookmarkEnd w:id="26"/>
      <w:bookmarkEnd w:id="27"/>
    </w:p>
    <w:p w14:paraId="15AB72CB">
      <w:pPr>
        <w:snapToGrid w:val="0"/>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29. 开标</w:t>
      </w:r>
    </w:p>
    <w:p w14:paraId="421D46F0">
      <w:pPr>
        <w:snapToGrid w:val="0"/>
        <w:spacing w:line="360" w:lineRule="auto"/>
        <w:ind w:firstLine="480" w:firstLineChars="200"/>
        <w:rPr>
          <w:rFonts w:hint="eastAsia" w:ascii="仿宋" w:hAnsi="仿宋" w:eastAsia="仿宋" w:cs="仿宋"/>
          <w:b/>
          <w:bCs/>
          <w:sz w:val="24"/>
          <w:szCs w:val="24"/>
          <w:highlight w:val="none"/>
        </w:rPr>
      </w:pPr>
      <w:bookmarkStart w:id="28" w:name="_Toc73975822"/>
      <w:r>
        <w:rPr>
          <w:rFonts w:hint="eastAsia" w:ascii="仿宋" w:hAnsi="仿宋" w:eastAsia="仿宋" w:cs="仿宋"/>
          <w:b/>
          <w:bCs/>
          <w:sz w:val="24"/>
          <w:szCs w:val="24"/>
          <w:highlight w:val="none"/>
        </w:rPr>
        <w:t>29.1开标邀请</w:t>
      </w:r>
      <w:bookmarkEnd w:id="28"/>
    </w:p>
    <w:p w14:paraId="49724F8C">
      <w:pPr>
        <w:pStyle w:val="12"/>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（1）开标准备：本项目开标的准备工作由采购组织机构负责落实，开标过程由采购组织机构负责记录；</w:t>
      </w:r>
    </w:p>
    <w:p w14:paraId="5B275B2C">
      <w:pPr>
        <w:pStyle w:val="12"/>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（2）开标主持：本项目开标由采购人或者采购代理机构主持；</w:t>
      </w:r>
    </w:p>
    <w:p w14:paraId="2B45E070">
      <w:pPr>
        <w:pStyle w:val="1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（3）开标邀请：本项目采用电子交易，采购组织机构将按照采购文件规定的时间通过“新疆政府采购云平台，网址：</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"http://www.zcygov.cn" </w:instrText>
      </w:r>
      <w:r>
        <w:rPr>
          <w:rFonts w:hint="eastAsia" w:ascii="仿宋" w:hAnsi="仿宋" w:eastAsia="仿宋" w:cs="仿宋"/>
          <w:sz w:val="24"/>
          <w:szCs w:val="24"/>
          <w:highlight w:val="none"/>
        </w:rPr>
        <w:fldChar w:fldCharType="separate"/>
      </w:r>
      <w:r>
        <w:rPr>
          <w:rStyle w:val="35"/>
          <w:rFonts w:hint="eastAsia" w:ascii="仿宋" w:hAnsi="仿宋" w:eastAsia="仿宋" w:cs="仿宋"/>
          <w:color w:val="auto"/>
          <w:sz w:val="24"/>
          <w:szCs w:val="24"/>
          <w:highlight w:val="none"/>
          <w:u w:val="none"/>
        </w:rPr>
        <w:t>www.zcygov.cn</w:t>
      </w:r>
      <w:r>
        <w:rPr>
          <w:rStyle w:val="35"/>
          <w:rFonts w:hint="eastAsia" w:ascii="仿宋" w:hAnsi="仿宋" w:eastAsia="仿宋" w:cs="仿宋"/>
          <w:color w:val="auto"/>
          <w:sz w:val="24"/>
          <w:szCs w:val="24"/>
          <w:highlight w:val="none"/>
          <w:u w:val="none"/>
        </w:rPr>
        <w:fldChar w:fldCharType="end"/>
      </w:r>
      <w:r>
        <w:rPr>
          <w:rFonts w:hint="eastAsia" w:ascii="仿宋" w:hAnsi="仿宋" w:eastAsia="仿宋" w:cs="仿宋"/>
          <w:color w:val="auto"/>
          <w:sz w:val="24"/>
          <w:szCs w:val="24"/>
          <w:highlight w:val="none"/>
        </w:rPr>
        <w:t>”组织开标、开启投标响应文件，所有供应商均应当准时在线参加。</w:t>
      </w:r>
    </w:p>
    <w:p w14:paraId="46DF3943">
      <w:pPr>
        <w:pStyle w:val="12"/>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2C4DB0E2">
      <w:pPr>
        <w:snapToGrid w:val="0"/>
        <w:spacing w:line="360" w:lineRule="auto"/>
        <w:ind w:firstLine="480" w:firstLineChars="200"/>
        <w:outlineLvl w:val="2"/>
        <w:rPr>
          <w:rFonts w:hint="eastAsia" w:ascii="仿宋" w:hAnsi="仿宋" w:eastAsia="仿宋" w:cs="仿宋"/>
          <w:b/>
          <w:sz w:val="24"/>
          <w:szCs w:val="24"/>
          <w:highlight w:val="none"/>
        </w:rPr>
      </w:pPr>
      <w:bookmarkStart w:id="29" w:name="_Toc12186"/>
      <w:bookmarkStart w:id="30" w:name="_Toc7364"/>
      <w:bookmarkStart w:id="31" w:name="_Toc73975823"/>
      <w:r>
        <w:rPr>
          <w:rFonts w:hint="eastAsia" w:ascii="仿宋" w:hAnsi="仿宋" w:eastAsia="仿宋" w:cs="仿宋"/>
          <w:b/>
          <w:sz w:val="24"/>
          <w:szCs w:val="24"/>
          <w:highlight w:val="none"/>
        </w:rPr>
        <w:t>29.2</w:t>
      </w:r>
      <w:r>
        <w:rPr>
          <w:rFonts w:hint="eastAsia" w:ascii="仿宋" w:hAnsi="仿宋" w:eastAsia="仿宋" w:cs="仿宋"/>
          <w:b/>
          <w:bCs/>
          <w:sz w:val="24"/>
          <w:szCs w:val="24"/>
          <w:highlight w:val="none"/>
        </w:rPr>
        <w:t>开标程序</w:t>
      </w:r>
      <w:bookmarkEnd w:id="29"/>
      <w:bookmarkEnd w:id="30"/>
      <w:bookmarkEnd w:id="31"/>
    </w:p>
    <w:p w14:paraId="69E71E6C">
      <w:pPr>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（1）开标时间到后，</w:t>
      </w:r>
      <w:r>
        <w:rPr>
          <w:rFonts w:hint="eastAsia" w:ascii="仿宋" w:hAnsi="仿宋" w:eastAsia="仿宋" w:cs="仿宋"/>
          <w:b w:val="0"/>
          <w:bCs w:val="0"/>
          <w:sz w:val="24"/>
          <w:szCs w:val="24"/>
          <w:highlight w:val="none"/>
        </w:rPr>
        <w:t>主持人宣布开标会议开始。</w:t>
      </w:r>
    </w:p>
    <w:p w14:paraId="1F51AAF2">
      <w:pPr>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w:t>
      </w:r>
      <w:r>
        <w:rPr>
          <w:rFonts w:hint="eastAsia" w:ascii="仿宋" w:hAnsi="仿宋" w:eastAsia="仿宋" w:cs="仿宋"/>
          <w:b w:val="0"/>
          <w:bCs w:val="0"/>
          <w:kern w:val="0"/>
          <w:sz w:val="24"/>
          <w:szCs w:val="24"/>
          <w:highlight w:val="none"/>
        </w:rPr>
        <w:t>投标文件解密（解密规定见《供应商须知前附表》）</w:t>
      </w:r>
      <w:r>
        <w:rPr>
          <w:rFonts w:hint="eastAsia" w:ascii="仿宋" w:hAnsi="仿宋" w:eastAsia="仿宋" w:cs="仿宋"/>
          <w:b w:val="0"/>
          <w:bCs w:val="0"/>
          <w:sz w:val="24"/>
          <w:szCs w:val="24"/>
          <w:highlight w:val="none"/>
        </w:rPr>
        <w:t>。</w:t>
      </w:r>
    </w:p>
    <w:p w14:paraId="0D4C4EAE">
      <w:pPr>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w:t>
      </w:r>
      <w:r>
        <w:rPr>
          <w:rFonts w:hint="eastAsia" w:ascii="仿宋" w:hAnsi="仿宋" w:eastAsia="仿宋" w:cs="仿宋"/>
          <w:b w:val="0"/>
          <w:bCs w:val="0"/>
          <w:kern w:val="0"/>
          <w:sz w:val="24"/>
          <w:szCs w:val="24"/>
          <w:highlight w:val="none"/>
        </w:rPr>
        <w:t>投标文件解密异常情况处理（处理办法见《供应商须知前附表》）</w:t>
      </w:r>
      <w:r>
        <w:rPr>
          <w:rFonts w:hint="eastAsia" w:ascii="仿宋" w:hAnsi="仿宋" w:eastAsia="仿宋" w:cs="仿宋"/>
          <w:b w:val="0"/>
          <w:bCs w:val="0"/>
          <w:sz w:val="24"/>
          <w:szCs w:val="24"/>
          <w:highlight w:val="none"/>
        </w:rPr>
        <w:t>。</w:t>
      </w:r>
    </w:p>
    <w:p w14:paraId="7EC0A1F7">
      <w:pPr>
        <w:snapToGrid w:val="0"/>
        <w:spacing w:line="360" w:lineRule="auto"/>
        <w:ind w:firstLine="480" w:firstLineChars="200"/>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4）公布投标文件解密情况（投标文件成功解密的供应商名单等信息），组织签署《政府采购活动现场确认声明书》（将通过电子邮件形式组织签署），供应商应在20分钟内通过邮件形式将经签署的《政府采购活动现场确认声明书》发送至采购代理机构指定邮箱</w:t>
      </w:r>
      <w:r>
        <w:rPr>
          <w:rFonts w:hint="eastAsia" w:ascii="仿宋" w:hAnsi="仿宋" w:eastAsia="仿宋" w:cs="仿宋"/>
          <w:b w:val="0"/>
          <w:bCs w:val="0"/>
          <w:kern w:val="0"/>
          <w:sz w:val="24"/>
          <w:szCs w:val="24"/>
          <w:highlight w:val="none"/>
          <w:lang w:val="en-US" w:eastAsia="zh-CN"/>
        </w:rPr>
        <w:t>19246091</w:t>
      </w:r>
      <w:r>
        <w:rPr>
          <w:rFonts w:hint="eastAsia" w:ascii="仿宋" w:hAnsi="仿宋" w:eastAsia="仿宋" w:cs="仿宋"/>
          <w:b w:val="0"/>
          <w:bCs w:val="0"/>
          <w:kern w:val="0"/>
          <w:sz w:val="24"/>
          <w:szCs w:val="24"/>
          <w:highlight w:val="none"/>
        </w:rPr>
        <w:t>@qq.c</w:t>
      </w:r>
      <w:r>
        <w:rPr>
          <w:rFonts w:hint="eastAsia" w:ascii="仿宋" w:hAnsi="仿宋" w:eastAsia="仿宋" w:cs="仿宋"/>
          <w:b w:val="0"/>
          <w:bCs w:val="0"/>
          <w:kern w:val="0"/>
          <w:sz w:val="24"/>
          <w:szCs w:val="24"/>
          <w:highlight w:val="none"/>
          <w:lang w:val="en-US" w:eastAsia="zh-CN"/>
        </w:rPr>
        <w:t>o</w:t>
      </w:r>
      <w:r>
        <w:rPr>
          <w:rFonts w:hint="eastAsia" w:ascii="仿宋" w:hAnsi="仿宋" w:eastAsia="仿宋" w:cs="仿宋"/>
          <w:b w:val="0"/>
          <w:bCs w:val="0"/>
          <w:kern w:val="0"/>
          <w:sz w:val="24"/>
          <w:szCs w:val="24"/>
          <w:highlight w:val="none"/>
        </w:rPr>
        <w:t>m ，逾期发送或未发送的视为无异议。</w:t>
      </w:r>
    </w:p>
    <w:p w14:paraId="33B79AE7">
      <w:pPr>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（5）开启标书信息。标书信息开启后，首先由采购人或采购代理机构或评审小组依法对投标供应商的资格证明文件进行审查（具体见本章“29.3 投标供应商资格审查”）， 审查结束公布投标供应商的资格符合情况。资格审查未获通过的供应商，其商务技术文件及报价文件不再进入评审。</w:t>
      </w:r>
    </w:p>
    <w:p w14:paraId="5856EF2F">
      <w:pPr>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（6）商务技术评审结束后，主持人公布商务技术评审无效投标供应商名单和商务技术评审有效投标供应商名单及其商务技术得分情况</w:t>
      </w: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rPr>
        <w:t>商务技术评审无效的供应商，其报价不再进入评审。</w:t>
      </w:r>
    </w:p>
    <w:p w14:paraId="506F1A27">
      <w:pPr>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（7）开启有效投标供应商的报价，公布开标一览表有关内容，</w:t>
      </w:r>
      <w:r>
        <w:rPr>
          <w:rFonts w:hint="eastAsia" w:ascii="仿宋" w:hAnsi="仿宋" w:eastAsia="仿宋" w:cs="仿宋"/>
          <w:sz w:val="24"/>
          <w:szCs w:val="24"/>
          <w:highlight w:val="none"/>
          <w:lang w:bidi="zh-CN"/>
        </w:rPr>
        <w:t>并【开启签字时段】，供应商对开标纪录进行在线签字确认（不予确认的应说明理由，否则视为无异议）</w:t>
      </w:r>
      <w:r>
        <w:rPr>
          <w:rFonts w:hint="eastAsia" w:ascii="仿宋" w:hAnsi="仿宋" w:eastAsia="仿宋" w:cs="仿宋"/>
          <w:kern w:val="0"/>
          <w:sz w:val="24"/>
          <w:szCs w:val="24"/>
          <w:highlight w:val="none"/>
        </w:rPr>
        <w:t>。开标结束后，由评标委员会对报价的合理性、准确性等进行审查核实</w:t>
      </w:r>
      <w:r>
        <w:rPr>
          <w:rFonts w:hint="eastAsia" w:ascii="仿宋" w:hAnsi="仿宋" w:eastAsia="仿宋" w:cs="仿宋"/>
          <w:sz w:val="24"/>
          <w:szCs w:val="24"/>
          <w:highlight w:val="none"/>
        </w:rPr>
        <w:t>。</w:t>
      </w:r>
    </w:p>
    <w:p w14:paraId="728BBD42">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kern w:val="0"/>
          <w:sz w:val="24"/>
          <w:szCs w:val="24"/>
          <w:highlight w:val="none"/>
        </w:rPr>
        <w:t>评审结束后，采购代理机构在系统上公布评审结果。</w:t>
      </w:r>
    </w:p>
    <w:p w14:paraId="6BF63A5D">
      <w:pPr>
        <w:snapToGrid w:val="0"/>
        <w:spacing w:line="360" w:lineRule="auto"/>
        <w:ind w:left="480"/>
        <w:rPr>
          <w:rFonts w:hint="eastAsia" w:ascii="仿宋" w:hAnsi="仿宋" w:eastAsia="仿宋" w:cs="仿宋"/>
          <w:b/>
          <w:sz w:val="24"/>
          <w:szCs w:val="24"/>
          <w:highlight w:val="none"/>
        </w:rPr>
      </w:pPr>
      <w:r>
        <w:rPr>
          <w:rFonts w:hint="eastAsia" w:ascii="仿宋" w:hAnsi="仿宋" w:eastAsia="仿宋" w:cs="仿宋"/>
          <w:b/>
          <w:sz w:val="24"/>
          <w:szCs w:val="24"/>
          <w:highlight w:val="none"/>
        </w:rPr>
        <w:t>特别情况说明：</w:t>
      </w:r>
    </w:p>
    <w:p w14:paraId="196BD0EF">
      <w:pPr>
        <w:snapToGrid w:val="0"/>
        <w:spacing w:line="360" w:lineRule="auto"/>
        <w:ind w:firstLine="424" w:firstLineChars="177"/>
        <w:jc w:val="left"/>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（1）本项目采用电子交易，如遇“新疆政府采购云平台”电子化开标或评审程序调整的，按调整后程序执行。</w:t>
      </w:r>
    </w:p>
    <w:p w14:paraId="6086ED17">
      <w:pPr>
        <w:snapToGrid w:val="0"/>
        <w:spacing w:line="360" w:lineRule="auto"/>
        <w:ind w:firstLine="424" w:firstLineChars="177"/>
        <w:jc w:val="left"/>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仿宋" w:hAnsi="仿宋" w:eastAsia="仿宋" w:cs="仿宋"/>
          <w:b/>
          <w:kern w:val="0"/>
          <w:sz w:val="24"/>
          <w:szCs w:val="24"/>
          <w:highlight w:val="none"/>
          <w:u w:val="single"/>
        </w:rPr>
        <w:t>请供应商保证办理投标事宜人员电话畅通、网络在线，签字或盖章确认的时间为20分钟。如未及时签字或盖章确认的，视为无异议</w:t>
      </w:r>
      <w:r>
        <w:rPr>
          <w:rFonts w:hint="eastAsia" w:ascii="仿宋" w:hAnsi="仿宋" w:eastAsia="仿宋" w:cs="仿宋"/>
          <w:b/>
          <w:kern w:val="0"/>
          <w:sz w:val="24"/>
          <w:szCs w:val="24"/>
          <w:highlight w:val="none"/>
        </w:rPr>
        <w:t>。</w:t>
      </w:r>
    </w:p>
    <w:p w14:paraId="42758863">
      <w:pPr>
        <w:snapToGrid w:val="0"/>
        <w:spacing w:line="360" w:lineRule="auto"/>
        <w:ind w:firstLine="480" w:firstLineChars="200"/>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29.3 投标供应商资格审查：</w:t>
      </w:r>
    </w:p>
    <w:p w14:paraId="791F8CB6">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bCs/>
          <w:kern w:val="0"/>
          <w:sz w:val="24"/>
          <w:szCs w:val="24"/>
          <w:highlight w:val="none"/>
        </w:rPr>
        <w:t>开标（标书信息开启）后，采购人或采购代理机构或</w:t>
      </w:r>
      <w:r>
        <w:rPr>
          <w:rFonts w:hint="eastAsia" w:ascii="仿宋" w:hAnsi="仿宋" w:eastAsia="仿宋" w:cs="仿宋"/>
          <w:kern w:val="0"/>
          <w:sz w:val="24"/>
          <w:szCs w:val="24"/>
          <w:highlight w:val="none"/>
        </w:rPr>
        <w:t>评审小组</w:t>
      </w:r>
      <w:r>
        <w:rPr>
          <w:rFonts w:hint="eastAsia" w:ascii="仿宋" w:hAnsi="仿宋" w:eastAsia="仿宋" w:cs="仿宋"/>
          <w:bCs/>
          <w:kern w:val="0"/>
          <w:sz w:val="24"/>
          <w:szCs w:val="24"/>
          <w:highlight w:val="none"/>
        </w:rPr>
        <w:t>首先依法对投标供应商的资格文件进行审查，审查各投标供应商的资格符合情况。</w:t>
      </w:r>
      <w:r>
        <w:rPr>
          <w:rFonts w:hint="eastAsia" w:ascii="仿宋" w:hAnsi="仿宋" w:eastAsia="仿宋" w:cs="仿宋"/>
          <w:sz w:val="24"/>
          <w:szCs w:val="24"/>
          <w:highlight w:val="none"/>
        </w:rPr>
        <w:t>采购人或采购代理机构</w:t>
      </w:r>
      <w:r>
        <w:rPr>
          <w:rFonts w:hint="eastAsia" w:ascii="仿宋" w:hAnsi="仿宋" w:eastAsia="仿宋" w:cs="仿宋"/>
          <w:bCs/>
          <w:kern w:val="0"/>
          <w:sz w:val="24"/>
          <w:szCs w:val="24"/>
          <w:highlight w:val="none"/>
        </w:rPr>
        <w:t>或</w:t>
      </w:r>
      <w:r>
        <w:rPr>
          <w:rFonts w:hint="eastAsia" w:ascii="仿宋" w:hAnsi="仿宋" w:eastAsia="仿宋" w:cs="仿宋"/>
          <w:kern w:val="0"/>
          <w:sz w:val="24"/>
          <w:szCs w:val="24"/>
          <w:highlight w:val="none"/>
        </w:rPr>
        <w:t>评审小组</w:t>
      </w:r>
      <w:r>
        <w:rPr>
          <w:rFonts w:hint="eastAsia" w:ascii="仿宋" w:hAnsi="仿宋" w:eastAsia="仿宋" w:cs="仿宋"/>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14:paraId="6F13CD8C">
      <w:pPr>
        <w:pStyle w:val="5"/>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6B739AD5">
      <w:pPr>
        <w:pStyle w:val="5"/>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（3）供应商信用记录查询与使用：见《供应商须知前附表》。</w:t>
      </w:r>
    </w:p>
    <w:p w14:paraId="34AD9BFA">
      <w:pPr>
        <w:widowControl/>
        <w:spacing w:line="440" w:lineRule="exact"/>
        <w:ind w:firstLine="240" w:firstLineChars="1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30.评审工作的组织</w:t>
      </w:r>
    </w:p>
    <w:p w14:paraId="3A602113">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采购人或采购代理机构负责组织本项目的评审工作，并依据《政府采购货物和服务招标投标管理办法（财政部第87号令）》第四十五条的相关规定履行职责。</w:t>
      </w:r>
    </w:p>
    <w:p w14:paraId="4823D33D">
      <w:pPr>
        <w:widowControl/>
        <w:spacing w:line="440" w:lineRule="exact"/>
        <w:ind w:firstLine="240" w:firstLineChars="1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31. 评标委员会的组建</w:t>
      </w:r>
    </w:p>
    <w:p w14:paraId="71C346E9">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31.1评标委员会由采购人或采购代理机构依法组建，成员由采购人代表和评审专家组成，成员人数为</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人或以上单数，其中评审专家不少于成员总数的三分之二。</w:t>
      </w:r>
    </w:p>
    <w:p w14:paraId="171F87A2">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31.2评审专家从新疆政府采购云平台专家库中通过随机方式抽取产生。评标委员会成员名单在采购结果公告前保密。</w:t>
      </w:r>
    </w:p>
    <w:p w14:paraId="505F773A">
      <w:pPr>
        <w:widowControl/>
        <w:spacing w:line="440" w:lineRule="exact"/>
        <w:ind w:firstLine="240" w:firstLineChars="1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32.评标委员会的职责</w:t>
      </w:r>
    </w:p>
    <w:p w14:paraId="16231FE1">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32.1审查、评价投标文件是否符合采购文件的商务、技术等实质性要求。</w:t>
      </w:r>
    </w:p>
    <w:p w14:paraId="546C447F">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32.2要求供应商对投标文件有关事项作出澄清或者说明。</w:t>
      </w:r>
    </w:p>
    <w:p w14:paraId="42423667">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32.3对投标文件进行比较和评价。</w:t>
      </w:r>
    </w:p>
    <w:p w14:paraId="2EA1E505">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32.4确定中标候选人名单，以及根据采购人委托直接确定中标人。</w:t>
      </w:r>
    </w:p>
    <w:p w14:paraId="2DE1CC1E">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32.5向采购人、采购代理机构或者有关部门报告评审中发现的违法行为。</w:t>
      </w:r>
    </w:p>
    <w:p w14:paraId="59E17467">
      <w:pPr>
        <w:widowControl/>
        <w:spacing w:line="440" w:lineRule="exact"/>
        <w:ind w:firstLine="240" w:firstLineChars="1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33. 评标原则</w:t>
      </w:r>
    </w:p>
    <w:p w14:paraId="404C8991">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33.1评标委员会将遵循公平、公正、科学的原则，对供应商提交的投标文件进行综合评审，评标委员会按照采购文件规定的评标细则进行评分。</w:t>
      </w:r>
    </w:p>
    <w:p w14:paraId="683DF93F">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33.2客观公正对待所有供应商，对所有投标评价均采用相同的程序和标准。 </w:t>
      </w:r>
    </w:p>
    <w:p w14:paraId="6A02E761">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33.3评标委员会成员对需要共同认定的事项存在争议的，按照少数服从多数的原则作出结论。持不同意见的评标委员会成员应当在评审报告上签署不同意见及理由，否则视为同意评审报告。</w:t>
      </w:r>
    </w:p>
    <w:p w14:paraId="1438F4FC">
      <w:pPr>
        <w:widowControl/>
        <w:spacing w:line="440" w:lineRule="exact"/>
        <w:ind w:firstLine="240" w:firstLineChars="1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34. 评委纪律</w:t>
      </w:r>
    </w:p>
    <w:p w14:paraId="3CC69DB3">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成员必须严格遵守保密规定，不得泄露评审的有关情况，任何单位和个人不得干扰、影响评标的正常进行，评标委员会成员不得私下与投标供应商接触，不得出现新疆政府采购活动现场组织管理办法中规定的其他禁止行为。</w:t>
      </w:r>
    </w:p>
    <w:p w14:paraId="5E2365E4">
      <w:pPr>
        <w:widowControl/>
        <w:spacing w:line="440" w:lineRule="exact"/>
        <w:ind w:firstLine="240" w:firstLineChars="1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35.评标程序</w:t>
      </w:r>
    </w:p>
    <w:p w14:paraId="0A4767BA">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35.1 在评审专家中推选评标委员会组长，采购人代表不得担任评标委员会组长。</w:t>
      </w:r>
    </w:p>
    <w:p w14:paraId="680D79F4">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35.2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55A91E0C">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35.3 评审人员对符合资格的供应商的投标文件的有效性、符合性、完整性和响应程度进行审查，确定是否对采购文件作出实质性响应。</w:t>
      </w:r>
    </w:p>
    <w:p w14:paraId="33A1452F">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35.4 评审人员按采购文件规定的评审方法和评审标准，依法独立对供应商投标文件进行评估、比较，并给予评价或打分，不受任何单位和个人的干预。</w:t>
      </w:r>
    </w:p>
    <w:p w14:paraId="6DC1519F">
      <w:pPr>
        <w:adjustRightInd w:val="0"/>
        <w:spacing w:line="360" w:lineRule="auto"/>
        <w:ind w:firstLine="470" w:firstLineChars="196"/>
        <w:rPr>
          <w:rFonts w:hint="eastAsia" w:ascii="仿宋" w:hAnsi="仿宋" w:eastAsia="仿宋" w:cs="仿宋"/>
          <w:kern w:val="0"/>
          <w:sz w:val="24"/>
          <w:szCs w:val="24"/>
          <w:highlight w:val="none"/>
        </w:rPr>
      </w:pPr>
      <w:r>
        <w:rPr>
          <w:rFonts w:hint="eastAsia" w:ascii="仿宋" w:hAnsi="仿宋" w:eastAsia="仿宋" w:cs="仿宋"/>
          <w:sz w:val="24"/>
          <w:szCs w:val="24"/>
          <w:highlight w:val="none"/>
        </w:rPr>
        <w:t>35.5符合性审查。</w:t>
      </w:r>
      <w:r>
        <w:rPr>
          <w:rFonts w:hint="eastAsia" w:ascii="仿宋" w:hAnsi="仿宋" w:eastAsia="仿宋" w:cs="仿宋"/>
          <w:kern w:val="0"/>
          <w:sz w:val="24"/>
          <w:szCs w:val="24"/>
          <w:highlight w:val="none"/>
        </w:rPr>
        <w:t>磋商小组应当对符合资格的磋商供应商的磋商响应文件进行符合性审查，以确定其是否满足采购文件的实质性要求。不满足采购文件的实质性要求的，投标无效。</w:t>
      </w:r>
    </w:p>
    <w:p w14:paraId="3841E8F9">
      <w:pPr>
        <w:adjustRightInd w:val="0"/>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35.6与各磋商响应方进行磋商。</w:t>
      </w:r>
    </w:p>
    <w:p w14:paraId="37C78928">
      <w:pPr>
        <w:adjustRightInd w:val="0"/>
        <w:spacing w:line="360" w:lineRule="auto"/>
        <w:ind w:firstLine="470" w:firstLineChars="196"/>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磋商小组与符合要求的供应商进行磋商。磋商小组所有成员按照响应文件递交签到次序集中与单一供应商分别进行磋商，并给予所有参加磋商的供应商平等的磋商机会。磋商过程中，磋商小组可以根据磋商情况调整轮次。</w:t>
      </w:r>
    </w:p>
    <w:p w14:paraId="136F1A98">
      <w:pPr>
        <w:adjustRightInd w:val="0"/>
        <w:spacing w:line="360" w:lineRule="auto"/>
        <w:ind w:firstLine="470" w:firstLineChars="196"/>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经磋商确定采购文件的变动情况。对采购文件作出的实质性变动是采购文件的有效组成部分，磋商小组应当及时以书面形式同时通知所有参加磋商的供应商。</w:t>
      </w:r>
    </w:p>
    <w:p w14:paraId="33F0C423">
      <w:pPr>
        <w:adjustRightInd w:val="0"/>
        <w:spacing w:line="360" w:lineRule="auto"/>
        <w:ind w:firstLine="470" w:firstLineChars="196"/>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磋商小组应当按照采购文件中规定的评标方法和标准，对符合性审查合格的响应文件进行商务和技术评估，综合比较与评价。磋商小组各成员应当独立对每个磋商响应方的商务和技术文件进行评价，并汇总商务技术得分情况。</w:t>
      </w:r>
    </w:p>
    <w:p w14:paraId="636D006F">
      <w:pPr>
        <w:adjustRightInd w:val="0"/>
        <w:spacing w:line="360" w:lineRule="auto"/>
        <w:ind w:firstLine="470" w:firstLineChars="196"/>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各磋商响应方在本项目全部磋商结束后在规定时间内进行最后报价（供应商需在30分钟内线上提交最终报价）。</w:t>
      </w:r>
    </w:p>
    <w:p w14:paraId="10E840EA">
      <w:pPr>
        <w:adjustRightInd w:val="0"/>
        <w:spacing w:line="360" w:lineRule="auto"/>
        <w:ind w:firstLine="470" w:firstLineChars="196"/>
        <w:rPr>
          <w:rFonts w:hint="eastAsia" w:ascii="仿宋" w:hAnsi="仿宋" w:eastAsia="仿宋" w:cs="仿宋"/>
          <w:kern w:val="0"/>
          <w:sz w:val="24"/>
          <w:szCs w:val="24"/>
          <w:highlight w:val="none"/>
        </w:rPr>
      </w:pPr>
      <w:r>
        <w:rPr>
          <w:rFonts w:hint="eastAsia" w:ascii="仿宋" w:hAnsi="仿宋" w:eastAsia="仿宋" w:cs="仿宋"/>
          <w:sz w:val="24"/>
          <w:szCs w:val="24"/>
          <w:highlight w:val="none"/>
        </w:rPr>
        <w:t>35.7汇总商务技术得分。</w:t>
      </w:r>
      <w:r>
        <w:rPr>
          <w:rFonts w:hint="eastAsia" w:ascii="仿宋" w:hAnsi="仿宋" w:eastAsia="仿宋" w:cs="仿宋"/>
          <w:kern w:val="0"/>
          <w:sz w:val="24"/>
          <w:szCs w:val="24"/>
          <w:highlight w:val="none"/>
        </w:rPr>
        <w:t>磋商小组各成员应当独立对每个磋商供应商的商务和技术文件进行评价，并汇总商务技术得分情况。</w:t>
      </w:r>
    </w:p>
    <w:p w14:paraId="5F54C5E3">
      <w:pPr>
        <w:adjustRightInd w:val="0"/>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35.8报价评审。</w:t>
      </w:r>
    </w:p>
    <w:p w14:paraId="771645F0">
      <w:pPr>
        <w:widowControl/>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磋商响应文件报价出现前后不一致的，按照下列规定修正：</w:t>
      </w:r>
    </w:p>
    <w:p w14:paraId="223A32C9">
      <w:pPr>
        <w:widowControl/>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磋商响应文件中开标一览表(报价表)内容与磋商响应文件中相应内容不一致的，以开标一览表(报价表)为准;</w:t>
      </w:r>
    </w:p>
    <w:p w14:paraId="327BBBFD">
      <w:pPr>
        <w:widowControl/>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大写金额和小写金额不一致的，以大写金额为准;</w:t>
      </w:r>
    </w:p>
    <w:p w14:paraId="054A4BB1">
      <w:pPr>
        <w:widowControl/>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单价金额小数点或者百分比有明显错位的，以开标一览表的总价为准，并修改单价;</w:t>
      </w:r>
    </w:p>
    <w:p w14:paraId="7B08EE73">
      <w:pPr>
        <w:widowControl/>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总价金额与按单价汇总金额不一致的，以单价金额计算结果为准。</w:t>
      </w:r>
    </w:p>
    <w:p w14:paraId="45858F40">
      <w:pPr>
        <w:widowControl/>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同时出现两种以上不一致的，按照规定的顺序修正。</w:t>
      </w:r>
    </w:p>
    <w:p w14:paraId="033425A5">
      <w:pPr>
        <w:widowControl/>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磋商响应文件出现不是唯一的、有选择性投标报价的，投标无效。</w:t>
      </w:r>
    </w:p>
    <w:p w14:paraId="76522652">
      <w:pPr>
        <w:widowControl/>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投标报价超过采购文件中规定的预算金额或者最高限价的，投标无效。</w:t>
      </w:r>
    </w:p>
    <w:p w14:paraId="5E7E13B2">
      <w:pPr>
        <w:widowControl/>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磋商小组认为磋商供应商的报价明显低于其他通过符合性审查磋商供应商的报价，有可能影响产品质量或者不能诚信履约的，应当要求其在合理的时间内提供书面说明，必要时提交相关证明材料;磋商供应商不能证明其报价合理性的，磋商小组应当将其作为无效投标处理。</w:t>
      </w:r>
    </w:p>
    <w:p w14:paraId="1D9CF16A">
      <w:pPr>
        <w:widowControl/>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35.9排序与推荐。</w:t>
      </w:r>
      <w:r>
        <w:rPr>
          <w:rFonts w:hint="eastAsia" w:ascii="仿宋" w:hAnsi="仿宋" w:eastAsia="仿宋" w:cs="仿宋"/>
          <w:kern w:val="0"/>
          <w:sz w:val="24"/>
          <w:szCs w:val="24"/>
          <w:highlight w:val="none"/>
        </w:rPr>
        <w:t>采用综合评分法的，评标结果按评审后得分由高到低顺序排列。得分相同的，按投标报价由低到高顺序排列。得分且投标报价相同的并列。响应文件满足招标文件全部实质性要求，且按照评审因素的量化指标评审得分最高的投标人为中标候选人。</w:t>
      </w:r>
    </w:p>
    <w:p w14:paraId="497B6099">
      <w:pPr>
        <w:widowControl/>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95132AE">
      <w:pPr>
        <w:widowControl/>
        <w:spacing w:line="44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综合评分法</w:t>
      </w:r>
      <w:r>
        <w:rPr>
          <w:rFonts w:hint="eastAsia" w:ascii="仿宋" w:hAnsi="仿宋" w:eastAsia="仿宋" w:cs="仿宋"/>
          <w:kern w:val="0"/>
          <w:sz w:val="24"/>
          <w:szCs w:val="24"/>
          <w:highlight w:val="none"/>
          <w:lang w:eastAsia="zh-CN"/>
        </w:rPr>
        <w:t>服务</w:t>
      </w:r>
      <w:r>
        <w:rPr>
          <w:rFonts w:hint="eastAsia" w:ascii="仿宋" w:hAnsi="仿宋" w:eastAsia="仿宋" w:cs="仿宋"/>
          <w:kern w:val="0"/>
          <w:sz w:val="24"/>
          <w:szCs w:val="24"/>
          <w:highlight w:val="none"/>
        </w:rPr>
        <w:t>项目的价格分值占总分值的比重(</w:t>
      </w:r>
      <w:r>
        <w:rPr>
          <w:rFonts w:hint="eastAsia" w:ascii="仿宋" w:hAnsi="仿宋" w:eastAsia="仿宋" w:cs="仿宋"/>
          <w:color w:val="auto"/>
          <w:kern w:val="0"/>
          <w:sz w:val="24"/>
          <w:szCs w:val="24"/>
          <w:highlight w:val="none"/>
        </w:rPr>
        <w:t>即权值)为</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％，采购项目</w:t>
      </w:r>
      <w:r>
        <w:rPr>
          <w:rFonts w:hint="eastAsia" w:ascii="仿宋" w:hAnsi="仿宋" w:eastAsia="仿宋" w:cs="仿宋"/>
          <w:kern w:val="0"/>
          <w:sz w:val="24"/>
          <w:szCs w:val="24"/>
          <w:highlight w:val="none"/>
        </w:rPr>
        <w:t>中含不同采购对象的，以占项目资金比例最高的采购对象确定其项目属性。其价格不列为评分因素，有特殊情况需要在上述规定范围外设定价格分权重的。</w:t>
      </w:r>
    </w:p>
    <w:p w14:paraId="2F5A571F">
      <w:pPr>
        <w:widowControl/>
        <w:spacing w:line="440" w:lineRule="exact"/>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综合评分法中的价格分统一采用</w:t>
      </w:r>
      <w:r>
        <w:rPr>
          <w:rFonts w:hint="eastAsia" w:ascii="仿宋" w:hAnsi="仿宋" w:eastAsia="仿宋" w:cs="仿宋"/>
          <w:kern w:val="0"/>
          <w:sz w:val="24"/>
          <w:szCs w:val="24"/>
          <w:highlight w:val="none"/>
          <w:lang w:eastAsia="zh-CN"/>
        </w:rPr>
        <w:t>高</w:t>
      </w:r>
      <w:r>
        <w:rPr>
          <w:rFonts w:hint="eastAsia" w:ascii="仿宋" w:hAnsi="仿宋" w:eastAsia="仿宋" w:cs="仿宋"/>
          <w:kern w:val="0"/>
          <w:sz w:val="24"/>
          <w:szCs w:val="24"/>
          <w:highlight w:val="none"/>
        </w:rPr>
        <w:t>价优先法计算，即满足磋商文件要求且最后报价最</w:t>
      </w:r>
      <w:r>
        <w:rPr>
          <w:rFonts w:hint="eastAsia" w:ascii="仿宋" w:hAnsi="仿宋" w:eastAsia="仿宋" w:cs="仿宋"/>
          <w:kern w:val="0"/>
          <w:sz w:val="24"/>
          <w:szCs w:val="24"/>
          <w:highlight w:val="none"/>
          <w:lang w:eastAsia="zh-CN"/>
        </w:rPr>
        <w:t>高</w:t>
      </w:r>
      <w:r>
        <w:rPr>
          <w:rFonts w:hint="eastAsia" w:ascii="仿宋" w:hAnsi="仿宋" w:eastAsia="仿宋" w:cs="仿宋"/>
          <w:kern w:val="0"/>
          <w:sz w:val="24"/>
          <w:szCs w:val="24"/>
          <w:highlight w:val="none"/>
        </w:rPr>
        <w:t>的供应商的价格为招标基准价，其价格分为满分。其他供应商的价格分统一按照下列公式计算：</w:t>
      </w:r>
    </w:p>
    <w:p w14:paraId="5E1CF6AE">
      <w:pPr>
        <w:widowControl/>
        <w:spacing w:line="440" w:lineRule="exact"/>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投标报价得分=（投标报价/基准价）×价格权值×100</w:t>
      </w:r>
    </w:p>
    <w:p w14:paraId="4907ACCA">
      <w:pPr>
        <w:widowControl/>
        <w:spacing w:line="440" w:lineRule="exact"/>
        <w:ind w:firstLine="480"/>
        <w:rPr>
          <w:rFonts w:hint="eastAsia" w:ascii="仿宋" w:hAnsi="仿宋" w:eastAsia="仿宋" w:cs="仿宋"/>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项目评审过程中，不得去掉最后报价中的最高报价和最低报价。</w:t>
      </w:r>
    </w:p>
    <w:p w14:paraId="2D5215EC">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35.</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434C9943">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35.</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评审人员需对采购方工作人员唱票或统计的评审结果进行确认，现场监督员应对评审结果签署监督意见。如发现分值汇总计算错误、分项评分超出评分标准范围、客观评分不一致以及存在评分畸高、畸低（其总评分偏</w:t>
      </w:r>
      <w:r>
        <w:rPr>
          <w:rFonts w:hint="eastAsia" w:ascii="仿宋" w:hAnsi="仿宋" w:eastAsia="仿宋" w:cs="仿宋"/>
          <w:color w:val="auto"/>
          <w:sz w:val="24"/>
          <w:szCs w:val="24"/>
          <w:highlight w:val="none"/>
        </w:rPr>
        <w:t>离平均分30%以上的）情</w:t>
      </w:r>
      <w:r>
        <w:rPr>
          <w:rFonts w:hint="eastAsia" w:ascii="仿宋" w:hAnsi="仿宋" w:eastAsia="仿宋" w:cs="仿宋"/>
          <w:sz w:val="24"/>
          <w:szCs w:val="24"/>
          <w:highlight w:val="none"/>
        </w:rPr>
        <w:t>形的，应由相关人员当场改正或作出书面说明；拒不改正又不作书面说明的，由现场监督员如实记载后存入项目档案资料。</w:t>
      </w:r>
    </w:p>
    <w:p w14:paraId="43BFBCEF">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35.</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评标委员会根据评审汇总情况和采购文件规定确定中标候选供应商排序名单。</w:t>
      </w:r>
    </w:p>
    <w:p w14:paraId="1B45BAF1">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35.</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 xml:space="preserve">起草评审报告，所有评审人员须在评审报告上签字确认，对自己的评审意见承担法律责任。 </w:t>
      </w:r>
    </w:p>
    <w:p w14:paraId="2A33DBB1">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35.</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采购组织机构对评标委员会评审专家进行评价。</w:t>
      </w:r>
    </w:p>
    <w:p w14:paraId="7E6A573D">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35.</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修改评审结果</w:t>
      </w:r>
    </w:p>
    <w:p w14:paraId="585C372A">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评标结果汇总完成后，除下列情形外，任何人不得修改评标结果：</w:t>
      </w:r>
    </w:p>
    <w:p w14:paraId="58029E84">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（1）分值汇总计算错误的；</w:t>
      </w:r>
    </w:p>
    <w:p w14:paraId="2CF561FE">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（2）分项评分超出评分标准范围的；</w:t>
      </w:r>
    </w:p>
    <w:p w14:paraId="01AA2251">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（3）评标委员会成员对客观评审因素评分不一致的；</w:t>
      </w:r>
    </w:p>
    <w:p w14:paraId="1AE99764">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（4）经评标委员会认定评分畸高、畸低的。</w:t>
      </w:r>
    </w:p>
    <w:p w14:paraId="19746632">
      <w:pPr>
        <w:widowControl/>
        <w:spacing w:line="44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注：</w:t>
      </w:r>
      <w:r>
        <w:rPr>
          <w:rFonts w:hint="eastAsia" w:ascii="仿宋" w:hAnsi="仿宋" w:eastAsia="仿宋" w:cs="仿宋"/>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06001D5">
      <w:pPr>
        <w:spacing w:line="440" w:lineRule="exact"/>
        <w:ind w:firstLine="240" w:firstLineChars="1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36．澄清、说明或补正的形式</w:t>
      </w:r>
    </w:p>
    <w:p w14:paraId="41C1F3B7">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sz w:val="24"/>
          <w:szCs w:val="24"/>
          <w:highlight w:val="none"/>
        </w:rPr>
        <w:t>投标供应商澄清、说明或补正时间为20分钟</w:t>
      </w:r>
      <w:r>
        <w:rPr>
          <w:rFonts w:hint="eastAsia" w:ascii="仿宋" w:hAnsi="仿宋" w:eastAsia="仿宋" w:cs="仿宋"/>
          <w:sz w:val="24"/>
          <w:szCs w:val="24"/>
          <w:highlight w:val="none"/>
        </w:rPr>
        <w:t>。</w:t>
      </w:r>
    </w:p>
    <w:p w14:paraId="013046F1">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3BDE5AAF">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31AB2222">
      <w:pPr>
        <w:spacing w:line="440" w:lineRule="exact"/>
        <w:ind w:firstLine="240" w:firstLineChars="1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37．错误修正的原则</w:t>
      </w:r>
    </w:p>
    <w:p w14:paraId="5F807485">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37.1</w:t>
      </w:r>
      <w:r>
        <w:rPr>
          <w:rFonts w:hint="eastAsia" w:ascii="仿宋" w:hAnsi="仿宋" w:eastAsia="仿宋" w:cs="仿宋"/>
          <w:sz w:val="24"/>
          <w:szCs w:val="24"/>
          <w:highlight w:val="none"/>
        </w:rPr>
        <w:t>电子交易平台客户端里开标一览表录入的投标报价或优惠率与扫描上传的报价文件信息不一致的，以扫描上传的报价文件信息为准进行修正。</w:t>
      </w:r>
    </w:p>
    <w:p w14:paraId="61AA9465">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37.2</w:t>
      </w:r>
      <w:r>
        <w:rPr>
          <w:rFonts w:hint="eastAsia" w:ascii="仿宋" w:hAnsi="仿宋" w:eastAsia="仿宋" w:cs="仿宋"/>
          <w:sz w:val="24"/>
          <w:szCs w:val="24"/>
          <w:highlight w:val="none"/>
        </w:rPr>
        <w:t>投标文件报价出现前后不一致的，除采购文件另有规定外，按照下列规定修正：</w:t>
      </w:r>
    </w:p>
    <w:p w14:paraId="2F87F7D7">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37.</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xml:space="preserve"> 投标函中表述的内容与报价表中不一致的，以报价表为准；报价表中的内容与报价明细表不一致的，以报价表为准；</w:t>
      </w:r>
    </w:p>
    <w:p w14:paraId="3AD231C3">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37.</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 xml:space="preserve"> 投标文件中的大写金额和小写金额不一致的，以大写金额为准；</w:t>
      </w:r>
    </w:p>
    <w:p w14:paraId="4A367233">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37.</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xml:space="preserve"> 单价金额小数点或者百分比有明显错位的，以开标一览表的总价为准，并修改单价；</w:t>
      </w:r>
    </w:p>
    <w:p w14:paraId="0E649505">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37.</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 xml:space="preserve"> 总价金额与按单价汇总金额不一致的，以单价金额计算结果为准；</w:t>
      </w:r>
    </w:p>
    <w:p w14:paraId="5B371223">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37.</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 xml:space="preserve"> 若用文字表示的数值与用数字表示的数值不一致，以文字表示的数值为准；</w:t>
      </w:r>
    </w:p>
    <w:p w14:paraId="612AD2E4">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37.</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如有多报（指数量超出采购文件需求）、重报（指同一货物重复报价），其投标总价在评标过程中不予调整，如其中标，其合同价按其投标单价予以调整；</w:t>
      </w:r>
    </w:p>
    <w:p w14:paraId="187E8C35">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37.</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对不同文字文本投标文件的解释发生异议的，以中文文本为准；</w:t>
      </w:r>
    </w:p>
    <w:p w14:paraId="1A0D52A6">
      <w:pPr>
        <w:spacing w:line="440" w:lineRule="exact"/>
        <w:ind w:firstLine="240" w:firstLineChars="100"/>
        <w:jc w:val="left"/>
        <w:rPr>
          <w:rFonts w:hint="eastAsia" w:ascii="仿宋" w:hAnsi="仿宋" w:eastAsia="仿宋" w:cs="仿宋"/>
          <w:b/>
          <w:bCs/>
          <w:sz w:val="24"/>
          <w:szCs w:val="24"/>
          <w:highlight w:val="none"/>
        </w:rPr>
      </w:pPr>
      <w:r>
        <w:rPr>
          <w:rFonts w:hint="eastAsia" w:ascii="仿宋" w:hAnsi="仿宋" w:eastAsia="仿宋" w:cs="仿宋"/>
          <w:sz w:val="24"/>
          <w:szCs w:val="24"/>
          <w:highlight w:val="none"/>
          <w:lang w:eastAsia="zh-CN"/>
        </w:rPr>
        <w:t>注：</w:t>
      </w:r>
      <w:r>
        <w:rPr>
          <w:rFonts w:hint="eastAsia" w:ascii="仿宋" w:hAnsi="仿宋" w:eastAsia="仿宋" w:cs="仿宋"/>
          <w:sz w:val="24"/>
          <w:szCs w:val="24"/>
          <w:highlight w:val="none"/>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val="0"/>
          <w:bCs w:val="0"/>
          <w:sz w:val="24"/>
          <w:szCs w:val="24"/>
          <w:highlight w:val="none"/>
        </w:rPr>
        <w:t>修正应当采用电子询标的形式，并加盖公章（电子印章）。</w:t>
      </w:r>
    </w:p>
    <w:p w14:paraId="001575D8">
      <w:pPr>
        <w:spacing w:line="440" w:lineRule="exact"/>
        <w:ind w:firstLine="240" w:firstLineChars="1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38．无效投标文件</w:t>
      </w:r>
    </w:p>
    <w:p w14:paraId="6DE4468B">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有下列情形之一的，投标文件按无效标处理：</w:t>
      </w:r>
    </w:p>
    <w:p w14:paraId="51D48914">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38.1 报名的投标人与参加投标的投标人发生实质性变更的且未提供有效证明的；</w:t>
      </w:r>
    </w:p>
    <w:p w14:paraId="1C6BBBD9">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38.2投标人提交两份或两份以上内容不同的投标文件，未声明哪一份有效的；</w:t>
      </w:r>
    </w:p>
    <w:p w14:paraId="6A562D1E">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38.3 投标文件非投标人法定代表人签署的，未提供或提供无效的法定代表人授权书；</w:t>
      </w:r>
    </w:p>
    <w:p w14:paraId="431CFA3B">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38.4 未按磋商文件规定装订；</w:t>
      </w:r>
    </w:p>
    <w:p w14:paraId="04B35329">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38.5 投标文件内容未按磋商文件规定签字或盖章的；</w:t>
      </w:r>
    </w:p>
    <w:p w14:paraId="7F7989C3">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38.6 投标文件组成漏项或未按规定的格式编制或投标文件正、副本份数不足或内容不全或内容字迹模糊辨认不清的等而导致评标活动无法正常进行；</w:t>
      </w:r>
    </w:p>
    <w:p w14:paraId="7F51768B">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38.7 投标人未按磋商文件变更通知更改投标文件的；</w:t>
      </w:r>
    </w:p>
    <w:p w14:paraId="57284BA9">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38.8 《开标一览表》和《投标分项报价表》内容不完整且不接受修正意见或字迹不能辨认的或未提供；</w:t>
      </w:r>
    </w:p>
    <w:p w14:paraId="49B4C33B">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38.9 标项投标报价超过磋商文件规定的预算金额或最高限价</w:t>
      </w:r>
    </w:p>
    <w:p w14:paraId="32F01E90">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38.10 因投标人原因编制错误造成经评标委员会修正后的报价达到或超过投标报价的0.5%；</w:t>
      </w:r>
    </w:p>
    <w:p w14:paraId="6E09A433">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38.11 投标人的报价明显低于其他通过符合性审查投标人的报价，有可能影响产品质量或者不能诚信履约的，且在规定时间内不能合理说明原因并提供证明材料的；</w:t>
      </w:r>
    </w:p>
    <w:p w14:paraId="5089982D">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38.12 未实质性响应磋商文件中条款要求的投标文件；</w:t>
      </w:r>
    </w:p>
    <w:p w14:paraId="7ACE730B">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38.13 不符合招标范围、技术规格、技术标准的要求无法满足采购人使用要求；</w:t>
      </w:r>
    </w:p>
    <w:p w14:paraId="51E1F130">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38.14 投标文件附有采购人不能接受的条款；</w:t>
      </w:r>
    </w:p>
    <w:p w14:paraId="19B30E38">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38.15 投标文件中提供了赠品或者与本项目采购无关的其他商品、服务；</w:t>
      </w:r>
    </w:p>
    <w:p w14:paraId="2986F669">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38.16 投标文件中承诺的投标有效期少于磋商文件中载明的投标有效期；</w:t>
      </w:r>
    </w:p>
    <w:p w14:paraId="2B76E34A">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38.17投标人串通投标，妨碍其他投标人的竞争行为，损害采购人或者其他投标人的合法权益；</w:t>
      </w:r>
    </w:p>
    <w:p w14:paraId="0F60FCF9">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38.18违反国家及政府部门相关法律、法规、文件规定或经评标委员会认定的其他属于重大偏离；</w:t>
      </w:r>
    </w:p>
    <w:p w14:paraId="1017AEA0">
      <w:pPr>
        <w:spacing w:line="440" w:lineRule="exact"/>
        <w:ind w:firstLine="240" w:firstLineChars="1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39．废标</w:t>
      </w:r>
    </w:p>
    <w:p w14:paraId="267D9B47">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39.1 符合磋商文件规定废标情形的；</w:t>
      </w:r>
    </w:p>
    <w:p w14:paraId="1CF32170">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39.2 出现影响采购公正的违法、违规行为的；</w:t>
      </w:r>
    </w:p>
    <w:p w14:paraId="1C96C7B7">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39.3 供应商的报价均</w:t>
      </w:r>
      <w:r>
        <w:rPr>
          <w:rFonts w:hint="eastAsia" w:ascii="仿宋" w:hAnsi="仿宋" w:eastAsia="仿宋" w:cs="仿宋"/>
          <w:sz w:val="24"/>
          <w:szCs w:val="24"/>
          <w:highlight w:val="none"/>
          <w:lang w:val="en-US" w:eastAsia="zh-CN"/>
        </w:rPr>
        <w:t>不符合磋商文件要求的</w:t>
      </w:r>
      <w:r>
        <w:rPr>
          <w:rFonts w:hint="eastAsia" w:ascii="仿宋" w:hAnsi="仿宋" w:eastAsia="仿宋" w:cs="仿宋"/>
          <w:sz w:val="24"/>
          <w:szCs w:val="24"/>
          <w:highlight w:val="none"/>
        </w:rPr>
        <w:t>;</w:t>
      </w:r>
    </w:p>
    <w:p w14:paraId="65226D46">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39.4 因重大变故，采购任务取消的。</w:t>
      </w:r>
    </w:p>
    <w:p w14:paraId="48E4EA4D">
      <w:pPr>
        <w:spacing w:line="440" w:lineRule="exact"/>
        <w:ind w:firstLine="240" w:firstLineChars="1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40．突发情况处理</w:t>
      </w:r>
    </w:p>
    <w:p w14:paraId="17F8DE1C">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40.1 采购过程中出现以下情形，导致电子交易平台无法正常运行，或者无法保证电子交易的公平、公正和安全时，采购组织机构可中止电子交易活动：</w:t>
      </w:r>
    </w:p>
    <w:p w14:paraId="2D6C07A7">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（1）电子交易平台发生故障而无法登录访问的； </w:t>
      </w:r>
    </w:p>
    <w:p w14:paraId="57DD2F05">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（2）电子交易平台应用或数据库出现错误，不能进行正常操作的；</w:t>
      </w:r>
    </w:p>
    <w:p w14:paraId="3FD625A1">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（3）电子交易平台发现严重安全漏洞，有潜在泄密危险的；</w:t>
      </w:r>
    </w:p>
    <w:p w14:paraId="6820B50A">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（4）病毒发作导致不能进行正常操作的； </w:t>
      </w:r>
    </w:p>
    <w:p w14:paraId="2BAA5B1F">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（5）其他无法保证电子交易的公平、公正和安全的情况。</w:t>
      </w:r>
    </w:p>
    <w:p w14:paraId="75A4F772">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注：</w:t>
      </w:r>
      <w:r>
        <w:rPr>
          <w:rFonts w:hint="eastAsia" w:ascii="仿宋" w:hAnsi="仿宋" w:eastAsia="仿宋" w:cs="仿宋"/>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50CF4464">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40.2 采购代理机构或评审小组因不可抗力（不可抗力包括但不限于自然灾害、断电、传播疫病等）原因造成电子交易活动无法正常运行的，将采取以下措施：</w:t>
      </w:r>
    </w:p>
    <w:p w14:paraId="4F73B54C">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（1）短时间内能消除不可抗力因素的，采购代理机构或评审小组在消除不可抗力因素后继续组织电子交易活动； </w:t>
      </w:r>
    </w:p>
    <w:p w14:paraId="00C2AD23">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（2）长时间内无法消除不可抗力因素的，采购代理机构或评审小组将中止电子交易活动。中止电子交易活动的，采购人应当重新组织政府采购活动。</w:t>
      </w:r>
    </w:p>
    <w:p w14:paraId="52DBBCAD">
      <w:pPr>
        <w:snapToGrid w:val="0"/>
        <w:spacing w:line="360" w:lineRule="exact"/>
        <w:ind w:firstLine="421"/>
        <w:rPr>
          <w:rFonts w:hint="eastAsia" w:ascii="仿宋" w:hAnsi="仿宋" w:eastAsia="仿宋" w:cs="仿宋"/>
          <w:b/>
          <w:sz w:val="24"/>
          <w:szCs w:val="24"/>
          <w:highlight w:val="none"/>
        </w:rPr>
      </w:pPr>
      <w:r>
        <w:rPr>
          <w:rFonts w:hint="eastAsia" w:ascii="仿宋" w:hAnsi="仿宋" w:eastAsia="仿宋" w:cs="仿宋"/>
          <w:b/>
          <w:sz w:val="24"/>
          <w:szCs w:val="24"/>
          <w:highlight w:val="none"/>
        </w:rPr>
        <w:t>41. 定标</w:t>
      </w:r>
    </w:p>
    <w:p w14:paraId="4B748FB6">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bookmarkStart w:id="32" w:name="_Toc469495729"/>
      <w:r>
        <w:rPr>
          <w:rFonts w:hint="eastAsia" w:ascii="仿宋" w:hAnsi="仿宋" w:eastAsia="仿宋" w:cs="仿宋"/>
          <w:sz w:val="24"/>
          <w:szCs w:val="24"/>
          <w:highlight w:val="none"/>
        </w:rPr>
        <w:t>41.1采购结果确认（确定中标供应商）</w:t>
      </w:r>
    </w:p>
    <w:p w14:paraId="659DB174">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采购结果确认（确定中标供应商）：本项目由采购人根据评标委员会提交的《评审报告》，通过“政府采购云平台”依法确认采购结果、确定中标供应商。具体流程如下：</w:t>
      </w:r>
    </w:p>
    <w:p w14:paraId="65A65E5C">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（1）采购代理机构将在评审结束后2个工作日内将评审报告送采购人。</w:t>
      </w:r>
    </w:p>
    <w:p w14:paraId="08CB3CA1">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（2）采购人将在收到评审报告之日起5个工作日内，在评审报告推荐的中标候选供应商名单中按顺序确定中标供应商，并将确认意见以书面形式回复采购代理机构。 </w:t>
      </w:r>
    </w:p>
    <w:p w14:paraId="33054EE2">
      <w:pPr>
        <w:spacing w:line="440" w:lineRule="exact"/>
        <w:ind w:firstLine="240" w:firstLineChars="100"/>
        <w:jc w:val="left"/>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41.2采购结果经采购人确认后2个工作日内，采购代理机构将在</w:t>
      </w:r>
      <w:r>
        <w:rPr>
          <w:rFonts w:hint="eastAsia" w:ascii="仿宋" w:hAnsi="仿宋" w:eastAsia="仿宋" w:cs="仿宋"/>
          <w:b w:val="0"/>
          <w:bCs w:val="0"/>
          <w:sz w:val="24"/>
          <w:szCs w:val="24"/>
          <w:highlight w:val="none"/>
        </w:rPr>
        <w:t>克州公共资源交易中心网、新疆政府采购网（www.zjzfcg.gov.cn）上公告采购结果，中标公告期限为1个工作日。</w:t>
      </w:r>
    </w:p>
    <w:p w14:paraId="6D76DEBD">
      <w:pPr>
        <w:spacing w:line="440" w:lineRule="exact"/>
        <w:ind w:firstLine="240" w:firstLineChars="1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42. 成交通知书</w:t>
      </w:r>
    </w:p>
    <w:p w14:paraId="2EC1B10E">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42.1在成交通知书发出前，招标人将中标侯选人的情况在克州公共资源交易中心网、新疆政府采购网予以公示，</w:t>
      </w:r>
      <w:r>
        <w:rPr>
          <w:rFonts w:hint="eastAsia" w:ascii="仿宋" w:hAnsi="仿宋" w:eastAsia="仿宋" w:cs="仿宋"/>
          <w:b w:val="0"/>
          <w:bCs w:val="0"/>
          <w:sz w:val="24"/>
          <w:szCs w:val="24"/>
          <w:highlight w:val="none"/>
        </w:rPr>
        <w:t>公示期为一个工作日。待公示期结束后，</w:t>
      </w:r>
      <w:r>
        <w:rPr>
          <w:rFonts w:hint="eastAsia" w:ascii="仿宋" w:hAnsi="仿宋" w:eastAsia="仿宋" w:cs="仿宋"/>
          <w:sz w:val="24"/>
          <w:szCs w:val="24"/>
          <w:highlight w:val="none"/>
        </w:rPr>
        <w:t>采购组织机构向中标人发出中标通知书。</w:t>
      </w:r>
    </w:p>
    <w:p w14:paraId="5858D4D4">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42.2成交通知书作为签订合同的重要依据，对采购人和中标供应商均具有法律效力。采购人改变中标结果或者中标供应商放弃中标项目的都应承担法律责任。成交供应商不得向他人转让中标项目，也不得将中标项目肢解后分别向他人转让。</w:t>
      </w:r>
    </w:p>
    <w:p w14:paraId="3898B2B4">
      <w:pPr>
        <w:spacing w:before="156" w:beforeLines="50" w:line="440" w:lineRule="exact"/>
        <w:jc w:val="center"/>
        <w:outlineLvl w:val="2"/>
        <w:rPr>
          <w:rFonts w:hint="eastAsia" w:ascii="仿宋" w:hAnsi="仿宋" w:eastAsia="仿宋" w:cs="仿宋"/>
          <w:sz w:val="24"/>
          <w:szCs w:val="24"/>
          <w:highlight w:val="none"/>
        </w:rPr>
      </w:pPr>
      <w:bookmarkStart w:id="33" w:name="_Toc21524"/>
      <w:bookmarkStart w:id="34" w:name="_Toc14152"/>
      <w:r>
        <w:rPr>
          <w:rFonts w:hint="eastAsia" w:ascii="仿宋" w:hAnsi="仿宋" w:eastAsia="仿宋" w:cs="仿宋"/>
          <w:sz w:val="24"/>
          <w:szCs w:val="24"/>
          <w:highlight w:val="none"/>
        </w:rPr>
        <w:t>（六）合同的授予</w:t>
      </w:r>
      <w:bookmarkEnd w:id="32"/>
      <w:bookmarkEnd w:id="33"/>
      <w:bookmarkEnd w:id="34"/>
    </w:p>
    <w:p w14:paraId="4DFE6B53">
      <w:pPr>
        <w:spacing w:line="440" w:lineRule="exact"/>
        <w:ind w:firstLine="240" w:firstLineChars="100"/>
        <w:jc w:val="left"/>
        <w:rPr>
          <w:rFonts w:hint="eastAsia" w:ascii="仿宋" w:hAnsi="仿宋" w:eastAsia="仿宋" w:cs="仿宋"/>
          <w:b/>
          <w:bCs/>
          <w:sz w:val="24"/>
          <w:szCs w:val="24"/>
          <w:highlight w:val="none"/>
        </w:rPr>
      </w:pPr>
      <w:bookmarkStart w:id="35" w:name="_Toc73975842"/>
      <w:bookmarkStart w:id="36" w:name="_Toc469495730"/>
      <w:r>
        <w:rPr>
          <w:rFonts w:hint="eastAsia" w:ascii="仿宋" w:hAnsi="仿宋" w:eastAsia="仿宋" w:cs="仿宋"/>
          <w:b/>
          <w:bCs/>
          <w:sz w:val="24"/>
          <w:szCs w:val="24"/>
          <w:highlight w:val="none"/>
        </w:rPr>
        <w:t>43．履约保证金</w:t>
      </w:r>
      <w:bookmarkEnd w:id="35"/>
    </w:p>
    <w:p w14:paraId="3DFABD14">
      <w:pPr>
        <w:spacing w:line="440" w:lineRule="exact"/>
        <w:ind w:firstLine="240" w:firstLineChars="100"/>
        <w:jc w:val="left"/>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（本项目无）</w:t>
      </w:r>
    </w:p>
    <w:p w14:paraId="460BF85C">
      <w:pPr>
        <w:spacing w:line="440" w:lineRule="exact"/>
        <w:ind w:firstLine="240" w:firstLineChars="100"/>
        <w:jc w:val="left"/>
        <w:rPr>
          <w:rFonts w:hint="eastAsia" w:ascii="仿宋" w:hAnsi="仿宋" w:eastAsia="仿宋" w:cs="仿宋"/>
          <w:b/>
          <w:bCs/>
          <w:sz w:val="24"/>
          <w:szCs w:val="24"/>
          <w:highlight w:val="none"/>
        </w:rPr>
      </w:pPr>
      <w:bookmarkStart w:id="37" w:name="_Toc73975843"/>
      <w:r>
        <w:rPr>
          <w:rFonts w:hint="eastAsia" w:ascii="仿宋" w:hAnsi="仿宋" w:eastAsia="仿宋" w:cs="仿宋"/>
          <w:b/>
          <w:bCs/>
          <w:sz w:val="24"/>
          <w:szCs w:val="24"/>
          <w:highlight w:val="none"/>
        </w:rPr>
        <w:t>44．签订合同及公告</w:t>
      </w:r>
      <w:bookmarkEnd w:id="37"/>
    </w:p>
    <w:p w14:paraId="61DA2BA6">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44.1采购人在中标通知书发出之日起30日内与中标供应商签订合同。</w:t>
      </w:r>
    </w:p>
    <w:p w14:paraId="5C255F88">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44.2中标供应商拖延、拒签合同的,取消中标资格。</w:t>
      </w:r>
    </w:p>
    <w:p w14:paraId="2B9211C0">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44.3 采购文件、中标供应商的投标文件及评标过程中有关澄清文件等均作为签订合同的依据。所签订的合同不得对采购文件和中标供应商的投标文件的内容作实质性修改。</w:t>
      </w:r>
    </w:p>
    <w:p w14:paraId="4750163B">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44.4采购人应当自政府采购合同签订之日起2个工作日内，在省级以上财政部门指定的政府采购信息发布媒体及相关网站上公告。</w:t>
      </w:r>
    </w:p>
    <w:p w14:paraId="3EE33577">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44.5采购人应当自政府采购合同签订之日起7个工作日内，将政府采购合同副本报同级人民政府财政部门备案以及采购代理机构存档。</w:t>
      </w:r>
    </w:p>
    <w:p w14:paraId="7A6E57DE">
      <w:pPr>
        <w:adjustRightInd w:val="0"/>
        <w:snapToGrid w:val="0"/>
        <w:spacing w:line="440" w:lineRule="exact"/>
        <w:jc w:val="center"/>
        <w:outlineLvl w:val="2"/>
        <w:rPr>
          <w:rFonts w:hint="eastAsia" w:ascii="仿宋" w:hAnsi="仿宋" w:eastAsia="仿宋" w:cs="仿宋"/>
          <w:sz w:val="24"/>
          <w:szCs w:val="24"/>
          <w:highlight w:val="none"/>
        </w:rPr>
      </w:pPr>
      <w:bookmarkStart w:id="38" w:name="_Toc29743"/>
      <w:bookmarkStart w:id="39" w:name="_Toc13031"/>
      <w:r>
        <w:rPr>
          <w:rFonts w:hint="eastAsia" w:ascii="仿宋" w:hAnsi="仿宋" w:eastAsia="仿宋" w:cs="仿宋"/>
          <w:sz w:val="24"/>
          <w:szCs w:val="24"/>
          <w:highlight w:val="none"/>
        </w:rPr>
        <w:t>（七）纪律和监督</w:t>
      </w:r>
      <w:bookmarkEnd w:id="36"/>
      <w:bookmarkEnd w:id="38"/>
      <w:bookmarkEnd w:id="39"/>
    </w:p>
    <w:p w14:paraId="629A5265">
      <w:pPr>
        <w:spacing w:line="440" w:lineRule="exact"/>
        <w:ind w:firstLine="352" w:firstLineChars="147"/>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45. 对招标人的纪律要求 </w:t>
      </w:r>
    </w:p>
    <w:p w14:paraId="19D5464A">
      <w:pPr>
        <w:adjustRightInd w:val="0"/>
        <w:snapToGrid w:val="0"/>
        <w:spacing w:line="440" w:lineRule="exact"/>
        <w:ind w:firstLine="360" w:firstLineChars="150"/>
        <w:rPr>
          <w:rFonts w:hint="eastAsia" w:ascii="仿宋" w:hAnsi="仿宋" w:eastAsia="仿宋" w:cs="仿宋"/>
          <w:kern w:val="10"/>
          <w:sz w:val="24"/>
          <w:szCs w:val="24"/>
          <w:highlight w:val="none"/>
        </w:rPr>
      </w:pPr>
      <w:r>
        <w:rPr>
          <w:rFonts w:hint="eastAsia" w:ascii="仿宋" w:hAnsi="仿宋" w:eastAsia="仿宋" w:cs="仿宋"/>
          <w:kern w:val="10"/>
          <w:sz w:val="24"/>
          <w:szCs w:val="24"/>
          <w:highlight w:val="none"/>
        </w:rPr>
        <w:t xml:space="preserve">45.1招标人不得泄漏招标投标活动中应当保密的情况和资料，不得与投标人串通损害国家利益，社会公共利益或者他人合法权益。 </w:t>
      </w:r>
    </w:p>
    <w:p w14:paraId="58602586">
      <w:pPr>
        <w:spacing w:line="440" w:lineRule="exact"/>
        <w:ind w:firstLine="352" w:firstLineChars="147"/>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46. 对投标人的纪律要求 </w:t>
      </w:r>
    </w:p>
    <w:p w14:paraId="75F11754">
      <w:pPr>
        <w:adjustRightInd w:val="0"/>
        <w:snapToGrid w:val="0"/>
        <w:spacing w:line="440" w:lineRule="exact"/>
        <w:ind w:firstLine="360" w:firstLineChars="150"/>
        <w:rPr>
          <w:rFonts w:hint="eastAsia" w:ascii="仿宋" w:hAnsi="仿宋" w:eastAsia="仿宋" w:cs="仿宋"/>
          <w:kern w:val="10"/>
          <w:sz w:val="24"/>
          <w:szCs w:val="24"/>
          <w:highlight w:val="none"/>
        </w:rPr>
      </w:pPr>
      <w:r>
        <w:rPr>
          <w:rFonts w:hint="eastAsia" w:ascii="仿宋" w:hAnsi="仿宋" w:eastAsia="仿宋" w:cs="仿宋"/>
          <w:kern w:val="10"/>
          <w:sz w:val="24"/>
          <w:szCs w:val="24"/>
          <w:highlight w:val="none"/>
        </w:rPr>
        <w:t>46.1投标人不得相互串通投标或者与招标人串通投标，不得向招标人或者评标委员会成员行贿谋取中标，不得以他人名义投标或者以其他方式弄虚作假骗取中标；投标人不得以任何方式干扰、影响评标工作。</w:t>
      </w:r>
    </w:p>
    <w:p w14:paraId="4513F5FC">
      <w:pPr>
        <w:spacing w:line="440" w:lineRule="exact"/>
        <w:ind w:firstLine="352" w:firstLineChars="147"/>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47. 对评标委员会成员的纪律要求 </w:t>
      </w:r>
    </w:p>
    <w:p w14:paraId="53DC3977">
      <w:pPr>
        <w:adjustRightInd w:val="0"/>
        <w:snapToGrid w:val="0"/>
        <w:spacing w:line="440" w:lineRule="exact"/>
        <w:ind w:firstLine="360" w:firstLineChars="150"/>
        <w:rPr>
          <w:rFonts w:hint="eastAsia" w:ascii="仿宋" w:hAnsi="仿宋" w:eastAsia="仿宋" w:cs="仿宋"/>
          <w:kern w:val="10"/>
          <w:sz w:val="24"/>
          <w:szCs w:val="24"/>
          <w:highlight w:val="none"/>
        </w:rPr>
      </w:pPr>
      <w:r>
        <w:rPr>
          <w:rFonts w:hint="eastAsia" w:ascii="仿宋" w:hAnsi="仿宋" w:eastAsia="仿宋" w:cs="仿宋"/>
          <w:kern w:val="10"/>
          <w:sz w:val="24"/>
          <w:szCs w:val="24"/>
          <w:highlight w:val="none"/>
        </w:rPr>
        <w:t>47.1评标委员会成员不得收受他人的财物或者其他好处，不得向他人透漏对投标文件的评审和比较、中标候选人的推荐情况以及评标有关的其他情况。</w:t>
      </w:r>
    </w:p>
    <w:p w14:paraId="3C5E1AC1">
      <w:pPr>
        <w:adjustRightInd w:val="0"/>
        <w:snapToGrid w:val="0"/>
        <w:spacing w:line="440" w:lineRule="exact"/>
        <w:ind w:firstLine="360" w:firstLineChars="150"/>
        <w:rPr>
          <w:rFonts w:hint="eastAsia" w:ascii="仿宋" w:hAnsi="仿宋" w:eastAsia="仿宋" w:cs="仿宋"/>
          <w:kern w:val="10"/>
          <w:sz w:val="24"/>
          <w:szCs w:val="24"/>
          <w:highlight w:val="none"/>
        </w:rPr>
      </w:pPr>
      <w:r>
        <w:rPr>
          <w:rFonts w:hint="eastAsia" w:ascii="仿宋" w:hAnsi="仿宋" w:eastAsia="仿宋" w:cs="仿宋"/>
          <w:kern w:val="10"/>
          <w:sz w:val="24"/>
          <w:szCs w:val="24"/>
          <w:highlight w:val="none"/>
        </w:rPr>
        <w:t xml:space="preserve">47.2在评标活动中，评标委员会成员不得擅离职守，影响评标程序正常进行，不得使用第三章“评标办法”没有规定的评审因素和标准进行评标。 </w:t>
      </w:r>
    </w:p>
    <w:p w14:paraId="43E1B4EA">
      <w:pPr>
        <w:spacing w:line="440" w:lineRule="exact"/>
        <w:ind w:firstLine="352" w:firstLineChars="147"/>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48. 对与评标活动有关的工作人员的纪律要求 </w:t>
      </w:r>
    </w:p>
    <w:p w14:paraId="5E127969">
      <w:pPr>
        <w:adjustRightInd w:val="0"/>
        <w:snapToGrid w:val="0"/>
        <w:spacing w:line="440" w:lineRule="exact"/>
        <w:ind w:firstLine="360" w:firstLineChars="150"/>
        <w:rPr>
          <w:rFonts w:hint="eastAsia" w:ascii="仿宋" w:hAnsi="仿宋" w:eastAsia="仿宋" w:cs="仿宋"/>
          <w:kern w:val="10"/>
          <w:sz w:val="24"/>
          <w:szCs w:val="24"/>
          <w:highlight w:val="none"/>
        </w:rPr>
      </w:pPr>
      <w:r>
        <w:rPr>
          <w:rFonts w:hint="eastAsia" w:ascii="仿宋" w:hAnsi="仿宋" w:eastAsia="仿宋" w:cs="仿宋"/>
          <w:kern w:val="10"/>
          <w:sz w:val="24"/>
          <w:szCs w:val="24"/>
          <w:highlight w:val="none"/>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D56182B">
      <w:pPr>
        <w:spacing w:before="156" w:beforeLines="50" w:after="156" w:afterLines="50" w:line="500" w:lineRule="exact"/>
        <w:jc w:val="both"/>
        <w:outlineLvl w:val="2"/>
        <w:rPr>
          <w:rFonts w:hint="eastAsia" w:ascii="仿宋" w:hAnsi="仿宋" w:eastAsia="仿宋" w:cs="仿宋"/>
          <w:sz w:val="24"/>
          <w:szCs w:val="24"/>
          <w:highlight w:val="none"/>
        </w:rPr>
      </w:pPr>
      <w:bookmarkStart w:id="40" w:name="_Toc16961"/>
    </w:p>
    <w:p w14:paraId="62853B6C">
      <w:pPr>
        <w:spacing w:before="156" w:beforeLines="50" w:after="156" w:afterLines="50" w:line="500" w:lineRule="exact"/>
        <w:jc w:val="center"/>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（八）质疑与投诉</w:t>
      </w:r>
      <w:bookmarkEnd w:id="40"/>
    </w:p>
    <w:p w14:paraId="3E039D45">
      <w:pPr>
        <w:spacing w:line="440" w:lineRule="exact"/>
        <w:ind w:firstLine="240" w:firstLineChars="1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49．质疑和投诉</w:t>
      </w:r>
    </w:p>
    <w:p w14:paraId="5355FDAC">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6DB15B96">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对可以质疑的采购文件提出质疑的，为收到采购文件之日或者采购文件公告期限届满之日；</w:t>
      </w:r>
    </w:p>
    <w:p w14:paraId="7EEB1CA7">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对采购过程提出质疑的，为各采购程序环节结束之日；</w:t>
      </w:r>
    </w:p>
    <w:p w14:paraId="08553373">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对中标或者成交结果提出质疑的，为中标或者成交结果公告期限届满之日。</w:t>
      </w:r>
    </w:p>
    <w:p w14:paraId="46D4A716">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7C64A330">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供应商为自然人的，应当由本人签字；供应商为法人或者其他组织的，应当由法定代表人、主要负责人，或者其授权代表签字或者盖章，并加盖公章。</w:t>
      </w:r>
    </w:p>
    <w:p w14:paraId="077601FC">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49.3供应商质疑、投诉应当有明确的请求和必要的证明材料。供应商投诉的事项不得超出已质疑事项的范围。采购人及采购代理机构按《政府采购质疑和投诉办法》进行处理供应商质疑事项。</w:t>
      </w:r>
    </w:p>
    <w:p w14:paraId="4923C9A3">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49.4质疑供应商对采购人、采购代理机构的质疑答复不满意，或者采购人、采购代理机构未在规定期限内作出答复的，供应商可以在答复期满后15个工作日内向同级财政部门提起投诉。</w:t>
      </w:r>
    </w:p>
    <w:p w14:paraId="6A17742D">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49.5供应商有下列情形之一的，将其列入不良行为记录名单：</w:t>
      </w:r>
    </w:p>
    <w:p w14:paraId="0FA38D62">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一年内三次以上质疑均查无实据的；</w:t>
      </w:r>
    </w:p>
    <w:p w14:paraId="738FAA6E">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捏造事实或者提供虚假质疑材料的。</w:t>
      </w:r>
    </w:p>
    <w:p w14:paraId="77A8B2A2">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以非法手段取得证明材料。证据来源的合法性存在明显疑问，质疑人无法证明其取得方式合法的，视为以非法手段取得证明材料。</w:t>
      </w:r>
    </w:p>
    <w:p w14:paraId="69A73639">
      <w:pPr>
        <w:jc w:val="left"/>
        <w:rPr>
          <w:rFonts w:hint="eastAsia" w:ascii="仿宋" w:hAnsi="仿宋" w:eastAsia="仿宋" w:cs="仿宋"/>
          <w:b/>
          <w:bCs/>
          <w:sz w:val="24"/>
          <w:szCs w:val="24"/>
          <w:highlight w:val="none"/>
        </w:rPr>
      </w:pPr>
    </w:p>
    <w:p w14:paraId="4F574CCE">
      <w:pPr>
        <w:rPr>
          <w:rFonts w:hint="eastAsia" w:ascii="仿宋" w:hAnsi="仿宋" w:eastAsia="仿宋" w:cs="仿宋"/>
          <w:b/>
          <w:bCs/>
          <w:sz w:val="24"/>
          <w:szCs w:val="24"/>
          <w:highlight w:val="none"/>
        </w:rPr>
      </w:pPr>
    </w:p>
    <w:p w14:paraId="79A264EC">
      <w:pPr>
        <w:rPr>
          <w:rFonts w:hint="eastAsia" w:ascii="仿宋" w:hAnsi="仿宋" w:eastAsia="仿宋" w:cs="仿宋"/>
          <w:b/>
          <w:bCs/>
          <w:sz w:val="24"/>
          <w:szCs w:val="24"/>
          <w:highlight w:val="none"/>
        </w:rPr>
      </w:pPr>
    </w:p>
    <w:p w14:paraId="07D7DC7D">
      <w:pPr>
        <w:rPr>
          <w:rFonts w:hint="eastAsia" w:ascii="仿宋" w:hAnsi="仿宋" w:eastAsia="仿宋" w:cs="仿宋"/>
          <w:b/>
          <w:bCs/>
          <w:sz w:val="24"/>
          <w:szCs w:val="24"/>
          <w:highlight w:val="none"/>
        </w:rPr>
      </w:pPr>
    </w:p>
    <w:p w14:paraId="5CCB958F">
      <w:pPr>
        <w:rPr>
          <w:rFonts w:hint="eastAsia" w:ascii="仿宋" w:hAnsi="仿宋" w:eastAsia="仿宋" w:cs="仿宋"/>
          <w:b/>
          <w:bCs/>
          <w:sz w:val="24"/>
          <w:szCs w:val="24"/>
          <w:highlight w:val="none"/>
        </w:rPr>
      </w:pPr>
    </w:p>
    <w:p w14:paraId="315C1C44">
      <w:pPr>
        <w:rPr>
          <w:rFonts w:hint="eastAsia" w:ascii="仿宋" w:hAnsi="仿宋" w:eastAsia="仿宋" w:cs="仿宋"/>
          <w:b/>
          <w:bCs/>
          <w:sz w:val="24"/>
          <w:szCs w:val="24"/>
          <w:highlight w:val="none"/>
        </w:rPr>
      </w:pPr>
    </w:p>
    <w:p w14:paraId="41268AC3">
      <w:pPr>
        <w:rPr>
          <w:rFonts w:hint="eastAsia" w:ascii="仿宋" w:hAnsi="仿宋" w:eastAsia="仿宋" w:cs="仿宋"/>
          <w:b/>
          <w:bCs/>
          <w:sz w:val="24"/>
          <w:szCs w:val="24"/>
          <w:highlight w:val="none"/>
        </w:rPr>
      </w:pPr>
    </w:p>
    <w:p w14:paraId="2573C61E">
      <w:pPr>
        <w:rPr>
          <w:rFonts w:hint="eastAsia" w:ascii="仿宋" w:hAnsi="仿宋" w:eastAsia="仿宋" w:cs="仿宋"/>
          <w:b/>
          <w:bCs/>
          <w:sz w:val="24"/>
          <w:szCs w:val="24"/>
          <w:highlight w:val="none"/>
        </w:rPr>
      </w:pPr>
    </w:p>
    <w:p w14:paraId="3A3B7A64">
      <w:pPr>
        <w:rPr>
          <w:rFonts w:hint="eastAsia" w:ascii="仿宋" w:hAnsi="仿宋" w:eastAsia="仿宋" w:cs="仿宋"/>
          <w:b/>
          <w:bCs/>
          <w:sz w:val="24"/>
          <w:szCs w:val="24"/>
          <w:highlight w:val="none"/>
        </w:rPr>
      </w:pPr>
    </w:p>
    <w:p w14:paraId="10B4B5CB">
      <w:pPr>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w:t>
      </w:r>
    </w:p>
    <w:p w14:paraId="46187DA5">
      <w:pPr>
        <w:jc w:val="center"/>
        <w:rPr>
          <w:rFonts w:hint="eastAsia" w:ascii="仿宋" w:hAnsi="仿宋" w:eastAsia="仿宋" w:cs="仿宋"/>
          <w:b/>
          <w:bCs/>
          <w:sz w:val="24"/>
          <w:szCs w:val="24"/>
          <w:highlight w:val="none"/>
        </w:rPr>
      </w:pPr>
    </w:p>
    <w:p w14:paraId="59107500">
      <w:pPr>
        <w:jc w:val="center"/>
        <w:outlineLvl w:val="2"/>
        <w:rPr>
          <w:rFonts w:hint="eastAsia" w:ascii="仿宋" w:hAnsi="仿宋" w:eastAsia="仿宋" w:cs="仿宋"/>
          <w:b/>
          <w:bCs/>
          <w:sz w:val="24"/>
          <w:szCs w:val="24"/>
          <w:highlight w:val="none"/>
        </w:rPr>
      </w:pPr>
      <w:bookmarkStart w:id="41" w:name="_Toc7938"/>
      <w:r>
        <w:rPr>
          <w:rFonts w:hint="eastAsia" w:ascii="仿宋" w:hAnsi="仿宋" w:eastAsia="仿宋" w:cs="仿宋"/>
          <w:b/>
          <w:bCs/>
          <w:sz w:val="24"/>
          <w:szCs w:val="24"/>
          <w:highlight w:val="none"/>
        </w:rPr>
        <w:t>政府采购投诉书（范本）、质疑函范本</w:t>
      </w:r>
      <w:bookmarkEnd w:id="41"/>
    </w:p>
    <w:p w14:paraId="28671D47">
      <w:pPr>
        <w:spacing w:line="400" w:lineRule="exact"/>
        <w:jc w:val="center"/>
        <w:outlineLvl w:val="2"/>
        <w:rPr>
          <w:rFonts w:hint="eastAsia" w:ascii="仿宋" w:hAnsi="仿宋" w:eastAsia="仿宋" w:cs="仿宋"/>
          <w:sz w:val="24"/>
          <w:szCs w:val="24"/>
          <w:highlight w:val="none"/>
          <w:u w:val="single"/>
        </w:rPr>
      </w:pPr>
      <w:bookmarkStart w:id="42" w:name="_Toc29698"/>
      <w:r>
        <w:rPr>
          <w:rFonts w:hint="eastAsia" w:ascii="仿宋" w:hAnsi="仿宋" w:eastAsia="仿宋" w:cs="仿宋"/>
          <w:b/>
          <w:bCs/>
          <w:sz w:val="24"/>
          <w:szCs w:val="24"/>
          <w:highlight w:val="none"/>
        </w:rPr>
        <w:t>政府采购投诉书（范本）</w:t>
      </w:r>
      <w:bookmarkEnd w:id="42"/>
    </w:p>
    <w:p w14:paraId="31AD9F3E">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投诉人：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58A94129">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电话：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0A27DA10">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委托代理人姓名：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职务：</w:t>
      </w:r>
      <w:r>
        <w:rPr>
          <w:rFonts w:hint="eastAsia" w:ascii="仿宋" w:hAnsi="仿宋" w:eastAsia="仿宋" w:cs="仿宋"/>
          <w:sz w:val="24"/>
          <w:szCs w:val="24"/>
          <w:highlight w:val="none"/>
          <w:u w:val="single"/>
        </w:rPr>
        <w:t xml:space="preserve">               </w:t>
      </w:r>
    </w:p>
    <w:p w14:paraId="5E72A27F">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住址：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联系电话：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3569DE04">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被投诉人：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法定代表人：</w:t>
      </w:r>
      <w:r>
        <w:rPr>
          <w:rFonts w:hint="eastAsia" w:ascii="仿宋" w:hAnsi="仿宋" w:eastAsia="仿宋" w:cs="仿宋"/>
          <w:sz w:val="24"/>
          <w:szCs w:val="24"/>
          <w:highlight w:val="none"/>
          <w:u w:val="single"/>
        </w:rPr>
        <w:t xml:space="preserve">         </w:t>
      </w:r>
    </w:p>
    <w:p w14:paraId="1F0D22FB">
      <w:pPr>
        <w:spacing w:line="40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电话：</w:t>
      </w:r>
      <w:r>
        <w:rPr>
          <w:rFonts w:hint="eastAsia" w:ascii="仿宋" w:hAnsi="仿宋" w:eastAsia="仿宋" w:cs="仿宋"/>
          <w:sz w:val="24"/>
          <w:szCs w:val="24"/>
          <w:highlight w:val="none"/>
          <w:u w:val="single"/>
        </w:rPr>
        <w:t xml:space="preserve">               </w:t>
      </w:r>
    </w:p>
    <w:p w14:paraId="1254CE03">
      <w:pPr>
        <w:spacing w:line="400" w:lineRule="exact"/>
        <w:ind w:firstLine="480" w:firstLineChars="200"/>
        <w:rPr>
          <w:rFonts w:hint="eastAsia" w:ascii="仿宋" w:hAnsi="仿宋" w:eastAsia="仿宋" w:cs="仿宋"/>
          <w:sz w:val="24"/>
          <w:szCs w:val="24"/>
          <w:highlight w:val="none"/>
        </w:rPr>
      </w:pPr>
    </w:p>
    <w:p w14:paraId="6D687FF3">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我公司参加了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年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日被投诉人组织的</w:t>
      </w:r>
      <w:r>
        <w:rPr>
          <w:rFonts w:hint="eastAsia" w:ascii="仿宋" w:hAnsi="仿宋" w:eastAsia="仿宋" w:cs="仿宋"/>
          <w:sz w:val="24"/>
          <w:szCs w:val="24"/>
          <w:highlight w:val="none"/>
          <w:u w:val="single"/>
        </w:rPr>
        <w:t>（采购人）（项目名称）（项目编号）</w:t>
      </w:r>
      <w:r>
        <w:rPr>
          <w:rFonts w:hint="eastAsia" w:ascii="仿宋" w:hAnsi="仿宋" w:eastAsia="仿宋" w:cs="仿宋"/>
          <w:sz w:val="24"/>
          <w:szCs w:val="24"/>
          <w:highlight w:val="none"/>
        </w:rPr>
        <w:t>的采购活动，我公司认为该项目的</w:t>
      </w:r>
      <w:r>
        <w:rPr>
          <w:rFonts w:hint="eastAsia" w:ascii="仿宋" w:hAnsi="仿宋" w:eastAsia="仿宋" w:cs="仿宋"/>
          <w:sz w:val="24"/>
          <w:szCs w:val="24"/>
          <w:highlight w:val="none"/>
          <w:u w:val="single"/>
        </w:rPr>
        <w:t>（采购文件/采购过程/中标（中标）结果）</w:t>
      </w:r>
      <w:r>
        <w:rPr>
          <w:rFonts w:hint="eastAsia" w:ascii="仿宋" w:hAnsi="仿宋" w:eastAsia="仿宋" w:cs="仿宋"/>
          <w:sz w:val="24"/>
          <w:szCs w:val="24"/>
          <w:highlight w:val="none"/>
        </w:rPr>
        <w:t>损害了我公司权益，对此，我公司于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日向</w:t>
      </w:r>
      <w:r>
        <w:rPr>
          <w:rFonts w:hint="eastAsia" w:ascii="仿宋" w:hAnsi="仿宋" w:eastAsia="仿宋" w:cs="仿宋"/>
          <w:sz w:val="24"/>
          <w:szCs w:val="24"/>
          <w:highlight w:val="none"/>
          <w:u w:val="single"/>
        </w:rPr>
        <w:t>（采购人或者政府采购代理机构）</w:t>
      </w:r>
      <w:r>
        <w:rPr>
          <w:rFonts w:hint="eastAsia" w:ascii="仿宋" w:hAnsi="仿宋" w:eastAsia="仿宋" w:cs="仿宋"/>
          <w:sz w:val="24"/>
          <w:szCs w:val="24"/>
          <w:highlight w:val="none"/>
        </w:rPr>
        <w:t>提出了质疑，</w:t>
      </w:r>
      <w:r>
        <w:rPr>
          <w:rFonts w:hint="eastAsia" w:ascii="仿宋" w:hAnsi="仿宋" w:eastAsia="仿宋" w:cs="仿宋"/>
          <w:sz w:val="24"/>
          <w:szCs w:val="24"/>
          <w:highlight w:val="none"/>
          <w:u w:val="single"/>
        </w:rPr>
        <w:t>（其于    年  月  日作出书面答复，因对其作出的答复不满意）/（被质疑人未在法定期内予以答复，按照政府采购有关规定）</w:t>
      </w:r>
      <w:r>
        <w:rPr>
          <w:rFonts w:hint="eastAsia" w:ascii="仿宋" w:hAnsi="仿宋" w:eastAsia="仿宋" w:cs="仿宋"/>
          <w:sz w:val="24"/>
          <w:szCs w:val="24"/>
          <w:highlight w:val="none"/>
        </w:rPr>
        <w:t>，现向贵机关提起投诉：</w:t>
      </w:r>
    </w:p>
    <w:p w14:paraId="49876000">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具体的投诉事项及事实依据；</w:t>
      </w:r>
    </w:p>
    <w:p w14:paraId="52D887EB">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质疑和质疑答复情况简要描述；</w:t>
      </w:r>
    </w:p>
    <w:p w14:paraId="7AC643A8">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投诉请求。</w:t>
      </w:r>
    </w:p>
    <w:p w14:paraId="33F59F25">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p>
    <w:p w14:paraId="1C0185DD">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1.质疑书和质疑答复书；</w:t>
      </w:r>
    </w:p>
    <w:p w14:paraId="1A208BCD">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2.证据材料（需注明证据来源），证人的姓名、住址和联系方式等；</w:t>
      </w:r>
    </w:p>
    <w:p w14:paraId="51E44121">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3.营业执照；</w:t>
      </w:r>
    </w:p>
    <w:p w14:paraId="25CFC3D0">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4.法定代表人身份证明函</w:t>
      </w:r>
    </w:p>
    <w:p w14:paraId="48B032CB">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5.法定代表人授权委托书（包含法定代表人和委托代理人的身份证复印件）；</w:t>
      </w:r>
    </w:p>
    <w:p w14:paraId="4331B6D5">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6.政府采购监管部门认为应当提供的其它材料。</w:t>
      </w:r>
    </w:p>
    <w:p w14:paraId="0008EFAA">
      <w:pPr>
        <w:spacing w:line="40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投诉供应商：（盖章）</w:t>
      </w:r>
    </w:p>
    <w:p w14:paraId="0DC7DF0D">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法定代表人（或主要负责人）：（签字）</w:t>
      </w:r>
    </w:p>
    <w:p w14:paraId="7651DAD8">
      <w:pPr>
        <w:spacing w:line="400" w:lineRule="exact"/>
        <w:ind w:firstLine="3840" w:firstLineChars="160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66505C2F">
      <w:pPr>
        <w:spacing w:line="400" w:lineRule="exact"/>
        <w:rPr>
          <w:rFonts w:hint="eastAsia" w:ascii="仿宋" w:hAnsi="仿宋" w:eastAsia="仿宋" w:cs="仿宋"/>
          <w:sz w:val="24"/>
          <w:szCs w:val="24"/>
          <w:highlight w:val="none"/>
        </w:rPr>
      </w:pPr>
    </w:p>
    <w:p w14:paraId="72ADCB55">
      <w:pPr>
        <w:spacing w:line="40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本投诉书正本叁份，副本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份并附电子文档。</w:t>
      </w:r>
    </w:p>
    <w:p w14:paraId="01C7D8F5">
      <w:pPr>
        <w:ind w:left="7951" w:hanging="4320" w:hangingChars="1800"/>
        <w:jc w:val="center"/>
        <w:rPr>
          <w:rFonts w:hint="eastAsia" w:ascii="仿宋" w:hAnsi="仿宋" w:eastAsia="仿宋" w:cs="仿宋"/>
          <w:b/>
          <w:bCs/>
          <w:sz w:val="24"/>
          <w:szCs w:val="24"/>
          <w:highlight w:val="none"/>
        </w:rPr>
      </w:pPr>
    </w:p>
    <w:p w14:paraId="133A8B8C">
      <w:pPr>
        <w:ind w:left="5783" w:hanging="4320" w:hangingChars="1800"/>
        <w:jc w:val="center"/>
        <w:outlineLvl w:val="0"/>
        <w:rPr>
          <w:rFonts w:hint="eastAsia" w:ascii="仿宋" w:hAnsi="仿宋" w:eastAsia="仿宋" w:cs="仿宋"/>
          <w:b/>
          <w:bCs/>
          <w:sz w:val="24"/>
          <w:szCs w:val="24"/>
          <w:highlight w:val="none"/>
        </w:rPr>
      </w:pPr>
      <w:bookmarkStart w:id="43" w:name="_Toc17515"/>
    </w:p>
    <w:p w14:paraId="40DE22DD">
      <w:pPr>
        <w:ind w:left="5783" w:hanging="4320" w:hangingChars="1800"/>
        <w:jc w:val="center"/>
        <w:outlineLvl w:val="0"/>
        <w:rPr>
          <w:rFonts w:hint="eastAsia" w:ascii="仿宋" w:hAnsi="仿宋" w:eastAsia="仿宋" w:cs="仿宋"/>
          <w:b/>
          <w:bCs/>
          <w:sz w:val="24"/>
          <w:szCs w:val="24"/>
          <w:highlight w:val="none"/>
        </w:rPr>
      </w:pPr>
    </w:p>
    <w:p w14:paraId="3A0BAA54">
      <w:pPr>
        <w:jc w:val="center"/>
        <w:outlineLvl w:val="2"/>
        <w:rPr>
          <w:rFonts w:hint="eastAsia" w:ascii="仿宋" w:hAnsi="仿宋" w:eastAsia="仿宋" w:cs="仿宋"/>
          <w:b/>
          <w:bCs/>
          <w:sz w:val="24"/>
          <w:szCs w:val="24"/>
          <w:highlight w:val="none"/>
        </w:rPr>
      </w:pPr>
      <w:bookmarkStart w:id="44" w:name="_Toc27114"/>
      <w:bookmarkStart w:id="45" w:name="_Toc20521"/>
    </w:p>
    <w:p w14:paraId="38339093">
      <w:pPr>
        <w:jc w:val="center"/>
        <w:outlineLvl w:val="2"/>
        <w:rPr>
          <w:rFonts w:hint="eastAsia" w:ascii="仿宋" w:hAnsi="仿宋" w:eastAsia="仿宋" w:cs="仿宋"/>
          <w:b/>
          <w:bCs/>
          <w:sz w:val="24"/>
          <w:szCs w:val="24"/>
          <w:highlight w:val="none"/>
        </w:rPr>
      </w:pPr>
    </w:p>
    <w:p w14:paraId="0A47E6B8">
      <w:pPr>
        <w:jc w:val="center"/>
        <w:outlineLvl w:val="2"/>
        <w:rPr>
          <w:rFonts w:hint="eastAsia" w:ascii="仿宋" w:hAnsi="仿宋" w:eastAsia="仿宋" w:cs="仿宋"/>
          <w:b/>
          <w:bCs/>
          <w:sz w:val="24"/>
          <w:szCs w:val="24"/>
          <w:highlight w:val="none"/>
        </w:rPr>
      </w:pPr>
    </w:p>
    <w:p w14:paraId="6ACBADAF">
      <w:pPr>
        <w:jc w:val="center"/>
        <w:outlineLvl w:val="2"/>
        <w:rPr>
          <w:rFonts w:hint="eastAsia" w:ascii="仿宋" w:hAnsi="仿宋" w:eastAsia="仿宋" w:cs="仿宋"/>
          <w:sz w:val="24"/>
          <w:szCs w:val="24"/>
          <w:highlight w:val="none"/>
        </w:rPr>
      </w:pPr>
      <w:r>
        <w:rPr>
          <w:rFonts w:hint="eastAsia" w:ascii="仿宋" w:hAnsi="仿宋" w:eastAsia="仿宋" w:cs="仿宋"/>
          <w:b/>
          <w:bCs/>
          <w:sz w:val="24"/>
          <w:szCs w:val="24"/>
          <w:highlight w:val="none"/>
        </w:rPr>
        <w:t>投诉相关说明</w:t>
      </w:r>
      <w:bookmarkEnd w:id="43"/>
      <w:bookmarkEnd w:id="44"/>
      <w:bookmarkEnd w:id="45"/>
    </w:p>
    <w:p w14:paraId="0370DC0B">
      <w:pPr>
        <w:widowControl/>
        <w:spacing w:line="400" w:lineRule="exact"/>
        <w:ind w:firstLine="42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投诉人应当满足《政府采购法》、《政府采购法实施条例》和《政府采购供应商投诉处理办法》的相关规定。</w:t>
      </w:r>
    </w:p>
    <w:p w14:paraId="45693C8D">
      <w:pPr>
        <w:numPr>
          <w:ilvl w:val="0"/>
          <w:numId w:val="7"/>
        </w:numPr>
        <w:spacing w:line="400" w:lineRule="exact"/>
        <w:ind w:left="4478" w:leftChars="304" w:hanging="3840" w:hangingChars="1600"/>
        <w:outlineLvl w:val="9"/>
        <w:rPr>
          <w:rFonts w:hint="eastAsia" w:ascii="仿宋" w:hAnsi="仿宋" w:eastAsia="仿宋" w:cs="仿宋"/>
          <w:b/>
          <w:bCs/>
          <w:sz w:val="24"/>
          <w:szCs w:val="24"/>
          <w:highlight w:val="none"/>
        </w:rPr>
      </w:pPr>
      <w:bookmarkStart w:id="46" w:name="_Toc19974"/>
      <w:bookmarkStart w:id="47" w:name="_Toc11499"/>
      <w:r>
        <w:rPr>
          <w:rFonts w:hint="eastAsia" w:ascii="仿宋" w:hAnsi="仿宋" w:eastAsia="仿宋" w:cs="仿宋"/>
          <w:b/>
          <w:bCs/>
          <w:sz w:val="24"/>
          <w:szCs w:val="24"/>
          <w:highlight w:val="none"/>
        </w:rPr>
        <w:t>质疑前置及时间要求</w:t>
      </w:r>
      <w:bookmarkEnd w:id="46"/>
      <w:bookmarkEnd w:id="47"/>
    </w:p>
    <w:p w14:paraId="328678CC">
      <w:pPr>
        <w:widowControl/>
        <w:spacing w:line="400" w:lineRule="exact"/>
        <w:ind w:firstLine="420"/>
        <w:jc w:val="left"/>
        <w:rPr>
          <w:rFonts w:hint="eastAsia" w:ascii="仿宋" w:hAnsi="仿宋" w:eastAsia="仿宋" w:cs="仿宋"/>
          <w:kern w:val="0"/>
          <w:sz w:val="24"/>
          <w:szCs w:val="24"/>
          <w:highlight w:val="none"/>
          <w:shd w:val="clear" w:color="auto" w:fill="FFFFFF"/>
        </w:rPr>
      </w:pPr>
      <w:r>
        <w:rPr>
          <w:rFonts w:hint="eastAsia" w:ascii="仿宋" w:hAnsi="仿宋" w:eastAsia="仿宋" w:cs="仿宋"/>
          <w:sz w:val="24"/>
          <w:szCs w:val="24"/>
          <w:highlight w:val="none"/>
        </w:rPr>
        <w:t>《中华人民共和国政府采购法》</w:t>
      </w:r>
      <w:r>
        <w:rPr>
          <w:rFonts w:hint="eastAsia" w:ascii="仿宋" w:hAnsi="仿宋" w:eastAsia="仿宋" w:cs="仿宋"/>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14:paraId="6638F289">
      <w:pPr>
        <w:widowControl/>
        <w:spacing w:line="400" w:lineRule="exact"/>
        <w:ind w:firstLine="42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shd w:val="clear" w:color="auto" w:fill="FFFFFF"/>
        </w:rPr>
        <w:t xml:space="preserve"> 第五十二条：供应商认为采购文件、采购过程和中标、中标结果使自己的权益受到损害的，可以在知道或者应知其权益受到损害之日起七个工作日内，以书面形式向采购人提出质疑。</w:t>
      </w:r>
    </w:p>
    <w:p w14:paraId="63C02479">
      <w:pPr>
        <w:widowControl/>
        <w:spacing w:line="400" w:lineRule="exact"/>
        <w:ind w:firstLine="420"/>
        <w:jc w:val="left"/>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14:paraId="7B1B46E7">
      <w:pPr>
        <w:widowControl/>
        <w:spacing w:line="400" w:lineRule="exact"/>
        <w:ind w:firstLine="420"/>
        <w:jc w:val="left"/>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7436EF5B">
      <w:pPr>
        <w:widowControl/>
        <w:spacing w:line="400" w:lineRule="exact"/>
        <w:ind w:firstLine="42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shd w:val="clear" w:color="auto" w:fill="FFFFFF"/>
        </w:rPr>
        <w:t xml:space="preserve">  《政府采购实施条例》第五十五条：供应商质疑、投诉应当有明确的请求和必要的证明材料。供应商投诉的事项不得超出质疑事项的范围。</w:t>
      </w:r>
    </w:p>
    <w:p w14:paraId="0E5C7518">
      <w:pPr>
        <w:spacing w:line="400" w:lineRule="exact"/>
        <w:ind w:left="3780" w:hanging="4320" w:hangingChars="18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b/>
          <w:bCs/>
          <w:sz w:val="24"/>
          <w:szCs w:val="24"/>
          <w:highlight w:val="none"/>
        </w:rPr>
        <w:t xml:space="preserve">   </w:t>
      </w:r>
      <w:bookmarkStart w:id="48" w:name="_Toc15224"/>
      <w:bookmarkStart w:id="49" w:name="_Toc13508"/>
      <w:r>
        <w:rPr>
          <w:rFonts w:hint="eastAsia" w:ascii="仿宋" w:hAnsi="仿宋" w:eastAsia="仿宋" w:cs="仿宋"/>
          <w:b/>
          <w:bCs/>
          <w:sz w:val="24"/>
          <w:szCs w:val="24"/>
          <w:highlight w:val="none"/>
        </w:rPr>
        <w:t>二、书面方式</w:t>
      </w:r>
      <w:bookmarkEnd w:id="48"/>
      <w:bookmarkEnd w:id="49"/>
    </w:p>
    <w:p w14:paraId="060F84D2">
      <w:pPr>
        <w:spacing w:line="400" w:lineRule="exact"/>
        <w:ind w:left="3780" w:hanging="4320" w:hangingChars="18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《政府采购供应商投诉处理办法》第八条：投诉人投诉</w:t>
      </w:r>
    </w:p>
    <w:p w14:paraId="4EA5C95E">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时，应当提交投诉书，并按照被投诉人以及与投诉事项有关的供应商数量提供投诉书的副本。</w:t>
      </w:r>
    </w:p>
    <w:p w14:paraId="2953B1AB">
      <w:pPr>
        <w:spacing w:line="400" w:lineRule="exact"/>
        <w:ind w:left="3780" w:hanging="4320" w:hangingChars="18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投诉书应当包括下列主要内容：</w:t>
      </w:r>
    </w:p>
    <w:p w14:paraId="3ADF96D2">
      <w:pPr>
        <w:numPr>
          <w:ilvl w:val="0"/>
          <w:numId w:val="8"/>
        </w:num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投诉人和被投诉人的名称、地址、电话等；</w:t>
      </w:r>
    </w:p>
    <w:p w14:paraId="53891433">
      <w:pPr>
        <w:numPr>
          <w:ilvl w:val="0"/>
          <w:numId w:val="8"/>
        </w:num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具体的投诉事项及事实依据；</w:t>
      </w:r>
    </w:p>
    <w:p w14:paraId="6B468298">
      <w:pPr>
        <w:numPr>
          <w:ilvl w:val="0"/>
          <w:numId w:val="8"/>
        </w:num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质疑和质疑答复情况及相关证明材料；</w:t>
      </w:r>
    </w:p>
    <w:p w14:paraId="65514D87">
      <w:pPr>
        <w:numPr>
          <w:ilvl w:val="0"/>
          <w:numId w:val="8"/>
        </w:num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提起投诉的日期。</w:t>
      </w:r>
    </w:p>
    <w:p w14:paraId="4F8A616D">
      <w:pPr>
        <w:spacing w:line="400" w:lineRule="exact"/>
        <w:ind w:firstLine="645"/>
        <w:rPr>
          <w:rFonts w:hint="eastAsia" w:ascii="仿宋" w:hAnsi="仿宋" w:eastAsia="仿宋" w:cs="仿宋"/>
          <w:sz w:val="24"/>
          <w:szCs w:val="24"/>
          <w:highlight w:val="none"/>
        </w:rPr>
      </w:pPr>
      <w:r>
        <w:rPr>
          <w:rFonts w:hint="eastAsia" w:ascii="仿宋" w:hAnsi="仿宋" w:eastAsia="仿宋" w:cs="仿宋"/>
          <w:sz w:val="24"/>
          <w:szCs w:val="24"/>
          <w:highlight w:val="none"/>
        </w:rPr>
        <w:t>投诉书应当署名。投诉人为自然人，应当由本人签字；投诉人为法人或者其他组织的，应当由法定代表人或者主要负责人签字并加盖公章。</w:t>
      </w:r>
    </w:p>
    <w:p w14:paraId="4EA9679D">
      <w:pPr>
        <w:spacing w:line="400" w:lineRule="exact"/>
        <w:ind w:firstLine="645"/>
        <w:rPr>
          <w:rFonts w:hint="eastAsia" w:ascii="仿宋" w:hAnsi="仿宋" w:eastAsia="仿宋" w:cs="仿宋"/>
          <w:sz w:val="24"/>
          <w:szCs w:val="24"/>
          <w:highlight w:val="none"/>
        </w:rPr>
      </w:pPr>
      <w:r>
        <w:rPr>
          <w:rFonts w:hint="eastAsia" w:ascii="仿宋" w:hAnsi="仿宋" w:eastAsia="仿宋" w:cs="仿宋"/>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567CC3F6">
      <w:pPr>
        <w:spacing w:line="400" w:lineRule="exact"/>
        <w:ind w:firstLine="645"/>
        <w:rPr>
          <w:rFonts w:hint="eastAsia" w:ascii="仿宋" w:hAnsi="仿宋" w:eastAsia="仿宋" w:cs="仿宋"/>
          <w:sz w:val="24"/>
          <w:szCs w:val="24"/>
          <w:highlight w:val="none"/>
        </w:rPr>
      </w:pPr>
      <w:r>
        <w:rPr>
          <w:rFonts w:hint="eastAsia" w:ascii="仿宋" w:hAnsi="仿宋" w:eastAsia="仿宋" w:cs="仿宋"/>
          <w:sz w:val="24"/>
          <w:szCs w:val="24"/>
          <w:highlight w:val="none"/>
        </w:rPr>
        <w:t>《政府采购供应商投诉处理办法》第十条：投诉人提起投诉应当符合下列条件：</w:t>
      </w:r>
    </w:p>
    <w:p w14:paraId="20371CE5">
      <w:pPr>
        <w:numPr>
          <w:ilvl w:val="0"/>
          <w:numId w:val="9"/>
        </w:num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投诉人是参与所投诉政府采购活动的供应商；</w:t>
      </w:r>
    </w:p>
    <w:p w14:paraId="7AB8FC5E">
      <w:pPr>
        <w:numPr>
          <w:ilvl w:val="0"/>
          <w:numId w:val="9"/>
        </w:num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提起投诉诉前已依法进行质疑；</w:t>
      </w:r>
    </w:p>
    <w:p w14:paraId="260DC58D">
      <w:pPr>
        <w:numPr>
          <w:ilvl w:val="0"/>
          <w:numId w:val="9"/>
        </w:num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投诉书内容符合本办法的规定；</w:t>
      </w:r>
    </w:p>
    <w:p w14:paraId="5F243960">
      <w:pPr>
        <w:numPr>
          <w:ilvl w:val="0"/>
          <w:numId w:val="9"/>
        </w:num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在投诉有效期内提起投诉；</w:t>
      </w:r>
    </w:p>
    <w:p w14:paraId="0DEF6811">
      <w:pPr>
        <w:numPr>
          <w:ilvl w:val="0"/>
          <w:numId w:val="9"/>
        </w:num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属于本级财政部门管辖；</w:t>
      </w:r>
    </w:p>
    <w:p w14:paraId="1028ADDC">
      <w:pPr>
        <w:numPr>
          <w:ilvl w:val="0"/>
          <w:numId w:val="9"/>
        </w:num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同一投诉事项未经财政部门投诉处理；</w:t>
      </w:r>
    </w:p>
    <w:p w14:paraId="78B06A78">
      <w:pPr>
        <w:numPr>
          <w:ilvl w:val="0"/>
          <w:numId w:val="9"/>
        </w:num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国务院财政部门规定的其他条件。</w:t>
      </w:r>
    </w:p>
    <w:p w14:paraId="4511E738">
      <w:pPr>
        <w:spacing w:line="400" w:lineRule="exact"/>
        <w:ind w:left="3780" w:hanging="4320" w:hangingChars="18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04CC60F4">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b/>
          <w:bCs/>
          <w:sz w:val="24"/>
          <w:szCs w:val="24"/>
          <w:highlight w:val="none"/>
        </w:rPr>
        <w:t xml:space="preserve">   </w:t>
      </w:r>
      <w:bookmarkStart w:id="50" w:name="_Toc10437"/>
      <w:bookmarkStart w:id="51" w:name="_Toc5978"/>
      <w:r>
        <w:rPr>
          <w:rFonts w:hint="eastAsia" w:ascii="仿宋" w:hAnsi="仿宋" w:eastAsia="仿宋" w:cs="仿宋"/>
          <w:b/>
          <w:bCs/>
          <w:sz w:val="24"/>
          <w:szCs w:val="24"/>
          <w:highlight w:val="none"/>
        </w:rPr>
        <w:t>三、虚假、恶意投诉法律责任</w:t>
      </w:r>
      <w:bookmarkEnd w:id="50"/>
      <w:bookmarkEnd w:id="51"/>
    </w:p>
    <w:p w14:paraId="115F03E0">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第七十三条：供应商捏造实施、提供虚假材料或者以非法手段取得证明材料进行投诉的，由财政部门列入不良行为记录名单，禁止其1至3年内参加政府采购活动。</w:t>
      </w:r>
    </w:p>
    <w:p w14:paraId="5D0D30AC">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《政府采购供应商投诉处理办法》第二十六条：投诉人有下列情形之一的，属于虚假、恶意投诉，财政部门应当驳回投诉，将其列入不良行为记录名单，并依法予以处罚：</w:t>
      </w:r>
    </w:p>
    <w:p w14:paraId="029AF88D">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（一）1年内3次以上投诉均查无实据的；</w:t>
      </w:r>
    </w:p>
    <w:p w14:paraId="68EDD59C">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（二）捏造事实或者提供虚假投诉材料的。</w:t>
      </w:r>
    </w:p>
    <w:p w14:paraId="4CB5D0EF">
      <w:pPr>
        <w:spacing w:line="400" w:lineRule="exact"/>
        <w:rPr>
          <w:rFonts w:hint="eastAsia" w:ascii="仿宋" w:hAnsi="仿宋" w:eastAsia="仿宋" w:cs="仿宋"/>
          <w:sz w:val="24"/>
          <w:szCs w:val="24"/>
          <w:highlight w:val="none"/>
        </w:rPr>
      </w:pPr>
    </w:p>
    <w:p w14:paraId="0100D2E7">
      <w:pPr>
        <w:spacing w:line="400" w:lineRule="exact"/>
        <w:rPr>
          <w:rFonts w:hint="eastAsia" w:ascii="仿宋" w:hAnsi="仿宋" w:eastAsia="仿宋" w:cs="仿宋"/>
          <w:sz w:val="24"/>
          <w:szCs w:val="24"/>
          <w:highlight w:val="none"/>
        </w:rPr>
      </w:pPr>
    </w:p>
    <w:p w14:paraId="061D5012">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递交投诉书地址：</w:t>
      </w:r>
      <w:r>
        <w:rPr>
          <w:rFonts w:hint="eastAsia" w:ascii="仿宋" w:hAnsi="仿宋" w:eastAsia="仿宋" w:cs="仿宋"/>
          <w:sz w:val="24"/>
          <w:szCs w:val="24"/>
          <w:highlight w:val="none"/>
          <w:lang w:eastAsia="zh-CN"/>
        </w:rPr>
        <w:t>阿图什市财政局</w:t>
      </w:r>
    </w:p>
    <w:p w14:paraId="3C3545B3">
      <w:pPr>
        <w:jc w:val="right"/>
        <w:rPr>
          <w:rFonts w:hint="eastAsia" w:ascii="仿宋" w:hAnsi="仿宋" w:eastAsia="仿宋" w:cs="仿宋"/>
          <w:sz w:val="24"/>
          <w:szCs w:val="24"/>
          <w:highlight w:val="none"/>
        </w:rPr>
      </w:pPr>
    </w:p>
    <w:p w14:paraId="7C1EA786">
      <w:pPr>
        <w:spacing w:line="540" w:lineRule="exact"/>
        <w:jc w:val="center"/>
        <w:rPr>
          <w:rFonts w:hint="eastAsia" w:ascii="仿宋" w:hAnsi="仿宋" w:eastAsia="仿宋" w:cs="仿宋"/>
          <w:b/>
          <w:bCs/>
          <w:sz w:val="24"/>
          <w:szCs w:val="24"/>
          <w:highlight w:val="none"/>
        </w:rPr>
      </w:pPr>
    </w:p>
    <w:p w14:paraId="2F9C51A2">
      <w:pPr>
        <w:spacing w:line="540" w:lineRule="exact"/>
        <w:jc w:val="center"/>
        <w:rPr>
          <w:rFonts w:hint="eastAsia" w:ascii="仿宋" w:hAnsi="仿宋" w:eastAsia="仿宋" w:cs="仿宋"/>
          <w:b/>
          <w:bCs/>
          <w:sz w:val="24"/>
          <w:szCs w:val="24"/>
          <w:highlight w:val="none"/>
        </w:rPr>
      </w:pPr>
    </w:p>
    <w:p w14:paraId="29F677FD">
      <w:pPr>
        <w:spacing w:line="540" w:lineRule="exact"/>
        <w:jc w:val="center"/>
        <w:rPr>
          <w:rFonts w:hint="eastAsia" w:ascii="仿宋" w:hAnsi="仿宋" w:eastAsia="仿宋" w:cs="仿宋"/>
          <w:b/>
          <w:bCs/>
          <w:sz w:val="24"/>
          <w:szCs w:val="24"/>
          <w:highlight w:val="none"/>
        </w:rPr>
      </w:pPr>
    </w:p>
    <w:p w14:paraId="297B06C7">
      <w:pPr>
        <w:spacing w:line="540" w:lineRule="exact"/>
        <w:jc w:val="center"/>
        <w:rPr>
          <w:rFonts w:hint="eastAsia" w:ascii="仿宋" w:hAnsi="仿宋" w:eastAsia="仿宋" w:cs="仿宋"/>
          <w:b/>
          <w:bCs/>
          <w:sz w:val="24"/>
          <w:szCs w:val="24"/>
          <w:highlight w:val="none"/>
        </w:rPr>
      </w:pPr>
    </w:p>
    <w:p w14:paraId="508BE8A1">
      <w:pPr>
        <w:spacing w:line="540" w:lineRule="exact"/>
        <w:jc w:val="center"/>
        <w:outlineLvl w:val="0"/>
        <w:rPr>
          <w:rFonts w:hint="eastAsia" w:ascii="仿宋" w:hAnsi="仿宋" w:eastAsia="仿宋" w:cs="仿宋"/>
          <w:b/>
          <w:bCs/>
          <w:sz w:val="24"/>
          <w:szCs w:val="24"/>
          <w:highlight w:val="none"/>
        </w:rPr>
      </w:pPr>
      <w:bookmarkStart w:id="52" w:name="_Toc1697"/>
    </w:p>
    <w:p w14:paraId="4323C026">
      <w:pPr>
        <w:spacing w:line="540" w:lineRule="exact"/>
        <w:jc w:val="center"/>
        <w:outlineLvl w:val="0"/>
        <w:rPr>
          <w:rFonts w:hint="eastAsia" w:ascii="仿宋" w:hAnsi="仿宋" w:eastAsia="仿宋" w:cs="仿宋"/>
          <w:b/>
          <w:bCs/>
          <w:sz w:val="24"/>
          <w:szCs w:val="24"/>
          <w:highlight w:val="none"/>
        </w:rPr>
      </w:pPr>
    </w:p>
    <w:p w14:paraId="005A9736">
      <w:pPr>
        <w:spacing w:line="540" w:lineRule="exact"/>
        <w:jc w:val="center"/>
        <w:outlineLvl w:val="0"/>
        <w:rPr>
          <w:rFonts w:hint="eastAsia" w:ascii="仿宋" w:hAnsi="仿宋" w:eastAsia="仿宋" w:cs="仿宋"/>
          <w:b/>
          <w:bCs/>
          <w:sz w:val="24"/>
          <w:szCs w:val="24"/>
          <w:highlight w:val="none"/>
        </w:rPr>
      </w:pPr>
    </w:p>
    <w:p w14:paraId="7F7F067B">
      <w:pPr>
        <w:spacing w:line="540" w:lineRule="exact"/>
        <w:jc w:val="center"/>
        <w:outlineLvl w:val="0"/>
        <w:rPr>
          <w:rFonts w:hint="eastAsia" w:ascii="仿宋" w:hAnsi="仿宋" w:eastAsia="仿宋" w:cs="仿宋"/>
          <w:b/>
          <w:bCs/>
          <w:sz w:val="24"/>
          <w:szCs w:val="24"/>
          <w:highlight w:val="none"/>
        </w:rPr>
      </w:pPr>
    </w:p>
    <w:p w14:paraId="6AD05334">
      <w:pPr>
        <w:rPr>
          <w:rFonts w:hint="eastAsia" w:ascii="仿宋" w:hAnsi="仿宋" w:eastAsia="仿宋" w:cs="仿宋"/>
          <w:b/>
          <w:bCs/>
          <w:sz w:val="24"/>
          <w:szCs w:val="24"/>
          <w:highlight w:val="none"/>
        </w:rPr>
      </w:pPr>
      <w:bookmarkStart w:id="53" w:name="_Toc30496"/>
    </w:p>
    <w:p w14:paraId="51DD031A">
      <w:pPr>
        <w:pStyle w:val="6"/>
        <w:rPr>
          <w:rFonts w:hint="eastAsia" w:ascii="仿宋" w:hAnsi="仿宋" w:eastAsia="仿宋" w:cs="仿宋"/>
          <w:b/>
          <w:bCs/>
          <w:sz w:val="24"/>
          <w:szCs w:val="24"/>
          <w:highlight w:val="none"/>
        </w:rPr>
      </w:pPr>
    </w:p>
    <w:p w14:paraId="1FDDDDFA">
      <w:pPr>
        <w:rPr>
          <w:rFonts w:hint="eastAsia" w:ascii="仿宋" w:hAnsi="仿宋" w:eastAsia="仿宋" w:cs="仿宋"/>
          <w:b/>
          <w:bCs/>
          <w:sz w:val="24"/>
          <w:szCs w:val="24"/>
          <w:highlight w:val="none"/>
        </w:rPr>
      </w:pPr>
    </w:p>
    <w:p w14:paraId="44A2C8F6">
      <w:pPr>
        <w:spacing w:line="540" w:lineRule="exact"/>
        <w:jc w:val="both"/>
        <w:outlineLvl w:val="2"/>
        <w:rPr>
          <w:rFonts w:hint="eastAsia" w:ascii="仿宋" w:hAnsi="仿宋" w:eastAsia="仿宋" w:cs="仿宋"/>
          <w:b/>
          <w:bCs/>
          <w:sz w:val="24"/>
          <w:szCs w:val="24"/>
          <w:highlight w:val="none"/>
        </w:rPr>
      </w:pPr>
      <w:bookmarkStart w:id="54" w:name="_Toc4972"/>
    </w:p>
    <w:p w14:paraId="6EAC8D01">
      <w:pPr>
        <w:pStyle w:val="18"/>
        <w:rPr>
          <w:rFonts w:hint="eastAsia" w:ascii="仿宋" w:hAnsi="仿宋" w:eastAsia="仿宋" w:cs="仿宋"/>
          <w:b/>
          <w:bCs/>
          <w:sz w:val="24"/>
          <w:szCs w:val="24"/>
          <w:highlight w:val="none"/>
        </w:rPr>
      </w:pPr>
    </w:p>
    <w:p w14:paraId="5BBECB93">
      <w:pPr>
        <w:pStyle w:val="18"/>
        <w:rPr>
          <w:rFonts w:hint="eastAsia" w:ascii="仿宋" w:hAnsi="仿宋" w:eastAsia="仿宋" w:cs="仿宋"/>
          <w:b/>
          <w:bCs/>
          <w:sz w:val="24"/>
          <w:szCs w:val="24"/>
          <w:highlight w:val="none"/>
        </w:rPr>
      </w:pPr>
    </w:p>
    <w:p w14:paraId="13C011AF">
      <w:pPr>
        <w:pStyle w:val="18"/>
        <w:rPr>
          <w:rFonts w:hint="eastAsia" w:ascii="仿宋" w:hAnsi="仿宋" w:eastAsia="仿宋" w:cs="仿宋"/>
          <w:b/>
          <w:bCs/>
          <w:sz w:val="24"/>
          <w:szCs w:val="24"/>
          <w:highlight w:val="none"/>
        </w:rPr>
      </w:pPr>
    </w:p>
    <w:p w14:paraId="29BE038E">
      <w:pPr>
        <w:pStyle w:val="18"/>
        <w:rPr>
          <w:rFonts w:hint="eastAsia" w:ascii="仿宋" w:hAnsi="仿宋" w:eastAsia="仿宋" w:cs="仿宋"/>
          <w:b/>
          <w:bCs/>
          <w:sz w:val="24"/>
          <w:szCs w:val="24"/>
          <w:highlight w:val="none"/>
        </w:rPr>
      </w:pPr>
    </w:p>
    <w:p w14:paraId="629B3AC6">
      <w:pPr>
        <w:pStyle w:val="18"/>
        <w:rPr>
          <w:rFonts w:hint="eastAsia" w:ascii="仿宋" w:hAnsi="仿宋" w:eastAsia="仿宋" w:cs="仿宋"/>
          <w:b/>
          <w:bCs/>
          <w:sz w:val="24"/>
          <w:szCs w:val="24"/>
          <w:highlight w:val="none"/>
        </w:rPr>
      </w:pPr>
    </w:p>
    <w:p w14:paraId="2602D069">
      <w:pPr>
        <w:pStyle w:val="18"/>
        <w:rPr>
          <w:rFonts w:hint="eastAsia" w:ascii="仿宋" w:hAnsi="仿宋" w:eastAsia="仿宋" w:cs="仿宋"/>
          <w:b/>
          <w:bCs/>
          <w:sz w:val="24"/>
          <w:szCs w:val="24"/>
          <w:highlight w:val="none"/>
        </w:rPr>
      </w:pPr>
    </w:p>
    <w:p w14:paraId="34FE5A38">
      <w:pPr>
        <w:pStyle w:val="18"/>
        <w:rPr>
          <w:rFonts w:hint="eastAsia" w:ascii="仿宋" w:hAnsi="仿宋" w:eastAsia="仿宋" w:cs="仿宋"/>
          <w:b/>
          <w:bCs/>
          <w:sz w:val="24"/>
          <w:szCs w:val="24"/>
          <w:highlight w:val="none"/>
        </w:rPr>
      </w:pPr>
    </w:p>
    <w:p w14:paraId="5E56D697">
      <w:pPr>
        <w:pStyle w:val="18"/>
        <w:rPr>
          <w:rFonts w:hint="eastAsia" w:ascii="仿宋" w:hAnsi="仿宋" w:eastAsia="仿宋" w:cs="仿宋"/>
          <w:b/>
          <w:bCs/>
          <w:sz w:val="24"/>
          <w:szCs w:val="24"/>
          <w:highlight w:val="none"/>
        </w:rPr>
      </w:pPr>
    </w:p>
    <w:p w14:paraId="1A96D958">
      <w:pPr>
        <w:pStyle w:val="18"/>
        <w:rPr>
          <w:rFonts w:hint="eastAsia" w:ascii="仿宋" w:hAnsi="仿宋" w:eastAsia="仿宋" w:cs="仿宋"/>
          <w:b/>
          <w:bCs/>
          <w:sz w:val="24"/>
          <w:szCs w:val="24"/>
          <w:highlight w:val="none"/>
        </w:rPr>
      </w:pPr>
    </w:p>
    <w:p w14:paraId="466FA75A">
      <w:pPr>
        <w:pStyle w:val="18"/>
        <w:rPr>
          <w:rFonts w:hint="eastAsia" w:ascii="仿宋" w:hAnsi="仿宋" w:eastAsia="仿宋" w:cs="仿宋"/>
          <w:b/>
          <w:bCs/>
          <w:sz w:val="24"/>
          <w:szCs w:val="24"/>
          <w:highlight w:val="none"/>
        </w:rPr>
      </w:pPr>
    </w:p>
    <w:p w14:paraId="3FF268DE">
      <w:pPr>
        <w:spacing w:line="540" w:lineRule="exact"/>
        <w:jc w:val="center"/>
        <w:outlineLvl w:val="2"/>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质疑函范本</w:t>
      </w:r>
      <w:bookmarkEnd w:id="52"/>
      <w:bookmarkEnd w:id="53"/>
      <w:bookmarkEnd w:id="54"/>
    </w:p>
    <w:p w14:paraId="7F479DD2">
      <w:pPr>
        <w:adjustRightInd w:val="0"/>
        <w:snapToGrid w:val="0"/>
        <w:spacing w:before="312" w:beforeLines="100" w:line="540" w:lineRule="exact"/>
        <w:ind w:firstLine="480" w:firstLineChars="200"/>
        <w:outlineLvl w:val="9"/>
        <w:rPr>
          <w:rFonts w:hint="eastAsia" w:ascii="仿宋" w:hAnsi="仿宋" w:eastAsia="仿宋" w:cs="仿宋"/>
          <w:bCs/>
          <w:sz w:val="24"/>
          <w:szCs w:val="24"/>
          <w:highlight w:val="none"/>
        </w:rPr>
      </w:pPr>
      <w:bookmarkStart w:id="55" w:name="_Toc25524"/>
      <w:bookmarkStart w:id="56" w:name="_Toc9061"/>
      <w:r>
        <w:rPr>
          <w:rFonts w:hint="eastAsia" w:ascii="仿宋" w:hAnsi="仿宋" w:eastAsia="仿宋" w:cs="仿宋"/>
          <w:bCs/>
          <w:sz w:val="24"/>
          <w:szCs w:val="24"/>
          <w:highlight w:val="none"/>
        </w:rPr>
        <w:t>一、质疑供应商基本信息</w:t>
      </w:r>
      <w:bookmarkEnd w:id="55"/>
      <w:bookmarkEnd w:id="56"/>
    </w:p>
    <w:p w14:paraId="4DBD0B60">
      <w:pPr>
        <w:adjustRightInd w:val="0"/>
        <w:snapToGrid w:val="0"/>
        <w:spacing w:line="540" w:lineRule="exact"/>
        <w:ind w:firstLine="480" w:firstLineChars="200"/>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质疑供应商：</w:t>
      </w:r>
      <w:r>
        <w:rPr>
          <w:rFonts w:hint="eastAsia" w:ascii="仿宋" w:hAnsi="仿宋" w:eastAsia="仿宋" w:cs="仿宋"/>
          <w:sz w:val="24"/>
          <w:szCs w:val="24"/>
          <w:highlight w:val="none"/>
          <w:u w:val="dotted"/>
        </w:rPr>
        <w:t xml:space="preserve">                         </w:t>
      </w:r>
    </w:p>
    <w:p w14:paraId="11491285">
      <w:pPr>
        <w:adjustRightInd w:val="0"/>
        <w:snapToGrid w:val="0"/>
        <w:spacing w:line="5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186F8D5A">
      <w:pPr>
        <w:adjustRightInd w:val="0"/>
        <w:snapToGrid w:val="0"/>
        <w:spacing w:line="5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4627785D">
      <w:pPr>
        <w:adjustRightInd w:val="0"/>
        <w:snapToGrid w:val="0"/>
        <w:spacing w:line="540" w:lineRule="exact"/>
        <w:ind w:firstLine="480" w:firstLineChars="200"/>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授权代表：</w:t>
      </w:r>
      <w:r>
        <w:rPr>
          <w:rFonts w:hint="eastAsia" w:ascii="仿宋" w:hAnsi="仿宋" w:eastAsia="仿宋" w:cs="仿宋"/>
          <w:sz w:val="24"/>
          <w:szCs w:val="24"/>
          <w:highlight w:val="none"/>
          <w:u w:val="dotted"/>
        </w:rPr>
        <w:t xml:space="preserve">                                          </w:t>
      </w:r>
    </w:p>
    <w:p w14:paraId="60901538">
      <w:pPr>
        <w:adjustRightInd w:val="0"/>
        <w:snapToGrid w:val="0"/>
        <w:spacing w:line="5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31199FFF">
      <w:pPr>
        <w:adjustRightInd w:val="0"/>
        <w:snapToGrid w:val="0"/>
        <w:spacing w:line="5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地址： </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291FB03F">
      <w:pPr>
        <w:adjustRightInd w:val="0"/>
        <w:snapToGrid w:val="0"/>
        <w:spacing w:line="540" w:lineRule="exact"/>
        <w:ind w:firstLine="480" w:firstLineChars="200"/>
        <w:outlineLvl w:val="9"/>
        <w:rPr>
          <w:rFonts w:hint="eastAsia" w:ascii="仿宋" w:hAnsi="仿宋" w:eastAsia="仿宋" w:cs="仿宋"/>
          <w:bCs/>
          <w:sz w:val="24"/>
          <w:szCs w:val="24"/>
          <w:highlight w:val="none"/>
        </w:rPr>
      </w:pPr>
      <w:bookmarkStart w:id="57" w:name="_Toc15938"/>
      <w:bookmarkStart w:id="58" w:name="_Toc19533"/>
      <w:r>
        <w:rPr>
          <w:rFonts w:hint="eastAsia" w:ascii="仿宋" w:hAnsi="仿宋" w:eastAsia="仿宋" w:cs="仿宋"/>
          <w:bCs/>
          <w:sz w:val="24"/>
          <w:szCs w:val="24"/>
          <w:highlight w:val="none"/>
        </w:rPr>
        <w:t>二、质疑项目基本情况</w:t>
      </w:r>
      <w:bookmarkEnd w:id="57"/>
      <w:bookmarkEnd w:id="58"/>
    </w:p>
    <w:p w14:paraId="42D55066">
      <w:pPr>
        <w:adjustRightInd w:val="0"/>
        <w:snapToGrid w:val="0"/>
        <w:spacing w:line="5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w:t>
      </w:r>
      <w:r>
        <w:rPr>
          <w:rFonts w:hint="eastAsia" w:ascii="仿宋" w:hAnsi="仿宋" w:eastAsia="仿宋" w:cs="仿宋"/>
          <w:sz w:val="24"/>
          <w:szCs w:val="24"/>
          <w:highlight w:val="none"/>
          <w:u w:val="dotted"/>
        </w:rPr>
        <w:t xml:space="preserve">                                     </w:t>
      </w:r>
    </w:p>
    <w:p w14:paraId="54AF41D1">
      <w:pPr>
        <w:adjustRightInd w:val="0"/>
        <w:snapToGrid w:val="0"/>
        <w:spacing w:line="5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质疑项目的编号：</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包号：</w:t>
      </w:r>
      <w:r>
        <w:rPr>
          <w:rFonts w:hint="eastAsia" w:ascii="仿宋" w:hAnsi="仿宋" w:eastAsia="仿宋" w:cs="仿宋"/>
          <w:sz w:val="24"/>
          <w:szCs w:val="24"/>
          <w:highlight w:val="none"/>
          <w:u w:val="dotted"/>
        </w:rPr>
        <w:t xml:space="preserve">                </w:t>
      </w:r>
    </w:p>
    <w:p w14:paraId="391AB211">
      <w:pPr>
        <w:adjustRightInd w:val="0"/>
        <w:snapToGrid w:val="0"/>
        <w:spacing w:line="540" w:lineRule="exact"/>
        <w:ind w:firstLine="480" w:firstLineChars="200"/>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采购人名称：</w:t>
      </w:r>
      <w:r>
        <w:rPr>
          <w:rFonts w:hint="eastAsia" w:ascii="仿宋" w:hAnsi="仿宋" w:eastAsia="仿宋" w:cs="仿宋"/>
          <w:sz w:val="24"/>
          <w:szCs w:val="24"/>
          <w:highlight w:val="none"/>
          <w:u w:val="dotted"/>
        </w:rPr>
        <w:t xml:space="preserve">                                         </w:t>
      </w:r>
    </w:p>
    <w:p w14:paraId="6A2887A6">
      <w:pPr>
        <w:adjustRightInd w:val="0"/>
        <w:snapToGrid w:val="0"/>
        <w:spacing w:line="5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采购文件获取日期：</w:t>
      </w:r>
      <w:r>
        <w:rPr>
          <w:rFonts w:hint="eastAsia" w:ascii="仿宋" w:hAnsi="仿宋" w:eastAsia="仿宋" w:cs="仿宋"/>
          <w:sz w:val="24"/>
          <w:szCs w:val="24"/>
          <w:highlight w:val="none"/>
          <w:u w:val="dotted"/>
        </w:rPr>
        <w:t xml:space="preserve">                                   </w:t>
      </w:r>
    </w:p>
    <w:p w14:paraId="02D36BDE">
      <w:pPr>
        <w:adjustRightInd w:val="0"/>
        <w:snapToGrid w:val="0"/>
        <w:spacing w:line="540" w:lineRule="exact"/>
        <w:ind w:firstLine="480" w:firstLineChars="200"/>
        <w:outlineLvl w:val="9"/>
        <w:rPr>
          <w:rFonts w:hint="eastAsia" w:ascii="仿宋" w:hAnsi="仿宋" w:eastAsia="仿宋" w:cs="仿宋"/>
          <w:bCs/>
          <w:sz w:val="24"/>
          <w:szCs w:val="24"/>
          <w:highlight w:val="none"/>
        </w:rPr>
      </w:pPr>
      <w:bookmarkStart w:id="59" w:name="_Toc25298"/>
      <w:bookmarkStart w:id="60" w:name="_Toc18271"/>
      <w:r>
        <w:rPr>
          <w:rFonts w:hint="eastAsia" w:ascii="仿宋" w:hAnsi="仿宋" w:eastAsia="仿宋" w:cs="仿宋"/>
          <w:bCs/>
          <w:sz w:val="24"/>
          <w:szCs w:val="24"/>
          <w:highlight w:val="none"/>
        </w:rPr>
        <w:t>三、质疑事项具体内容</w:t>
      </w:r>
      <w:bookmarkEnd w:id="59"/>
      <w:bookmarkEnd w:id="60"/>
    </w:p>
    <w:p w14:paraId="23D9D964">
      <w:pPr>
        <w:adjustRightInd w:val="0"/>
        <w:snapToGrid w:val="0"/>
        <w:spacing w:line="540" w:lineRule="exact"/>
        <w:ind w:firstLine="480" w:firstLineChars="200"/>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质疑事项1：</w:t>
      </w:r>
      <w:r>
        <w:rPr>
          <w:rFonts w:hint="eastAsia" w:ascii="仿宋" w:hAnsi="仿宋" w:eastAsia="仿宋" w:cs="仿宋"/>
          <w:sz w:val="24"/>
          <w:szCs w:val="24"/>
          <w:highlight w:val="none"/>
          <w:u w:val="dotted"/>
        </w:rPr>
        <w:t xml:space="preserve">                                         </w:t>
      </w:r>
    </w:p>
    <w:p w14:paraId="49D41528">
      <w:pPr>
        <w:adjustRightInd w:val="0"/>
        <w:snapToGrid w:val="0"/>
        <w:spacing w:line="5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r>
        <w:rPr>
          <w:rFonts w:hint="eastAsia" w:ascii="仿宋" w:hAnsi="仿宋" w:eastAsia="仿宋" w:cs="仿宋"/>
          <w:sz w:val="24"/>
          <w:szCs w:val="24"/>
          <w:highlight w:val="none"/>
          <w:u w:val="dotted"/>
        </w:rPr>
        <w:t xml:space="preserve">                                           </w:t>
      </w:r>
    </w:p>
    <w:p w14:paraId="1DFFCBF9">
      <w:pPr>
        <w:adjustRightInd w:val="0"/>
        <w:snapToGrid w:val="0"/>
        <w:spacing w:line="540" w:lineRule="exact"/>
        <w:ind w:firstLine="480" w:firstLineChars="200"/>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法律依据：</w:t>
      </w:r>
      <w:r>
        <w:rPr>
          <w:rFonts w:hint="eastAsia" w:ascii="仿宋" w:hAnsi="仿宋" w:eastAsia="仿宋" w:cs="仿宋"/>
          <w:sz w:val="24"/>
          <w:szCs w:val="24"/>
          <w:highlight w:val="none"/>
          <w:u w:val="dotted"/>
        </w:rPr>
        <w:t xml:space="preserve">                                           </w:t>
      </w:r>
    </w:p>
    <w:p w14:paraId="3D8F08D7">
      <w:pPr>
        <w:adjustRightInd w:val="0"/>
        <w:snapToGrid w:val="0"/>
        <w:spacing w:line="540" w:lineRule="exact"/>
        <w:ind w:firstLine="480" w:firstLineChars="200"/>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质疑事项2</w:t>
      </w:r>
    </w:p>
    <w:p w14:paraId="068FB97E">
      <w:pPr>
        <w:adjustRightInd w:val="0"/>
        <w:snapToGrid w:val="0"/>
        <w:spacing w:line="5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512637D8">
      <w:pPr>
        <w:adjustRightInd w:val="0"/>
        <w:snapToGrid w:val="0"/>
        <w:spacing w:line="540" w:lineRule="exact"/>
        <w:ind w:firstLine="480" w:firstLineChars="200"/>
        <w:outlineLvl w:val="9"/>
        <w:rPr>
          <w:rFonts w:hint="eastAsia" w:ascii="仿宋" w:hAnsi="仿宋" w:eastAsia="仿宋" w:cs="仿宋"/>
          <w:bCs/>
          <w:sz w:val="24"/>
          <w:szCs w:val="24"/>
          <w:highlight w:val="none"/>
        </w:rPr>
      </w:pPr>
      <w:bookmarkStart w:id="61" w:name="_Toc20488"/>
      <w:bookmarkStart w:id="62" w:name="_Toc22365"/>
      <w:r>
        <w:rPr>
          <w:rFonts w:hint="eastAsia" w:ascii="仿宋" w:hAnsi="仿宋" w:eastAsia="仿宋" w:cs="仿宋"/>
          <w:bCs/>
          <w:sz w:val="24"/>
          <w:szCs w:val="24"/>
          <w:highlight w:val="none"/>
        </w:rPr>
        <w:t>四、与质疑事项相关的质疑请求</w:t>
      </w:r>
      <w:bookmarkEnd w:id="61"/>
      <w:bookmarkEnd w:id="62"/>
    </w:p>
    <w:p w14:paraId="4BF1E836">
      <w:pPr>
        <w:adjustRightInd w:val="0"/>
        <w:snapToGrid w:val="0"/>
        <w:spacing w:line="540" w:lineRule="exact"/>
        <w:ind w:firstLine="480" w:firstLineChars="200"/>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请求：</w:t>
      </w:r>
      <w:r>
        <w:rPr>
          <w:rFonts w:hint="eastAsia" w:ascii="仿宋" w:hAnsi="仿宋" w:eastAsia="仿宋" w:cs="仿宋"/>
          <w:sz w:val="24"/>
          <w:szCs w:val="24"/>
          <w:highlight w:val="none"/>
          <w:u w:val="dotted"/>
        </w:rPr>
        <w:t xml:space="preserve">                                               </w:t>
      </w:r>
    </w:p>
    <w:p w14:paraId="5DE98392">
      <w:pPr>
        <w:spacing w:line="5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签字(签章)：                   公章：                      </w:t>
      </w:r>
    </w:p>
    <w:p w14:paraId="45562472">
      <w:pPr>
        <w:spacing w:line="540" w:lineRule="exact"/>
        <w:ind w:firstLine="480" w:firstLineChars="200"/>
        <w:rPr>
          <w:rFonts w:hint="eastAsia" w:ascii="仿宋" w:hAnsi="仿宋" w:eastAsia="仿宋" w:cs="仿宋"/>
          <w:b/>
          <w:bCs/>
          <w:sz w:val="24"/>
          <w:szCs w:val="24"/>
          <w:highlight w:val="none"/>
        </w:rPr>
      </w:pPr>
      <w:r>
        <w:rPr>
          <w:rFonts w:hint="eastAsia" w:ascii="仿宋" w:hAnsi="仿宋" w:eastAsia="仿宋" w:cs="仿宋"/>
          <w:sz w:val="24"/>
          <w:szCs w:val="24"/>
          <w:highlight w:val="none"/>
        </w:rPr>
        <w:t xml:space="preserve">日期：    </w:t>
      </w:r>
    </w:p>
    <w:p w14:paraId="3F0F67ED">
      <w:pPr>
        <w:pageBreakBefore/>
        <w:spacing w:line="440" w:lineRule="exact"/>
        <w:jc w:val="center"/>
        <w:outlineLvl w:val="0"/>
        <w:rPr>
          <w:rFonts w:hint="eastAsia" w:ascii="仿宋" w:hAnsi="仿宋" w:eastAsia="仿宋" w:cs="仿宋"/>
          <w:sz w:val="24"/>
          <w:szCs w:val="24"/>
          <w:highlight w:val="none"/>
        </w:rPr>
      </w:pPr>
      <w:bookmarkStart w:id="63" w:name="_Toc22183"/>
      <w:bookmarkStart w:id="64" w:name="_Toc7619"/>
      <w:bookmarkStart w:id="65" w:name="_Toc18159"/>
      <w:r>
        <w:rPr>
          <w:rFonts w:hint="eastAsia" w:ascii="仿宋" w:hAnsi="仿宋" w:eastAsia="仿宋" w:cs="仿宋"/>
          <w:sz w:val="24"/>
          <w:szCs w:val="24"/>
          <w:highlight w:val="none"/>
        </w:rPr>
        <w:t>第三章  评标办法</w:t>
      </w:r>
      <w:bookmarkEnd w:id="63"/>
      <w:bookmarkEnd w:id="64"/>
      <w:bookmarkEnd w:id="65"/>
    </w:p>
    <w:p w14:paraId="5E638D77">
      <w:pPr>
        <w:jc w:val="center"/>
        <w:outlineLvl w:val="1"/>
        <w:rPr>
          <w:rFonts w:hint="eastAsia" w:ascii="仿宋" w:hAnsi="仿宋" w:eastAsia="仿宋" w:cs="仿宋"/>
          <w:b/>
          <w:sz w:val="24"/>
          <w:szCs w:val="24"/>
          <w:highlight w:val="none"/>
        </w:rPr>
      </w:pPr>
      <w:bookmarkStart w:id="66" w:name="_Toc18317"/>
      <w:bookmarkStart w:id="67" w:name="_Toc26415"/>
      <w:bookmarkStart w:id="68" w:name="_Toc15723"/>
      <w:bookmarkStart w:id="69" w:name="_Toc362983802"/>
      <w:bookmarkStart w:id="70" w:name="_Toc267320058"/>
      <w:bookmarkStart w:id="71" w:name="_Toc363135205"/>
      <w:r>
        <w:rPr>
          <w:rFonts w:hint="eastAsia" w:ascii="仿宋" w:hAnsi="仿宋" w:eastAsia="仿宋" w:cs="仿宋"/>
          <w:b/>
          <w:sz w:val="24"/>
          <w:szCs w:val="24"/>
          <w:highlight w:val="none"/>
          <w:lang w:eastAsia="zh-CN"/>
        </w:rPr>
        <w:t>（一）</w:t>
      </w:r>
      <w:r>
        <w:rPr>
          <w:rFonts w:hint="eastAsia" w:ascii="仿宋" w:hAnsi="仿宋" w:eastAsia="仿宋" w:cs="仿宋"/>
          <w:b/>
          <w:sz w:val="24"/>
          <w:szCs w:val="24"/>
          <w:highlight w:val="none"/>
        </w:rPr>
        <w:t>总  则</w:t>
      </w:r>
      <w:bookmarkEnd w:id="66"/>
      <w:bookmarkEnd w:id="67"/>
      <w:bookmarkEnd w:id="68"/>
    </w:p>
    <w:p w14:paraId="1F07C1DE">
      <w:pPr>
        <w:tabs>
          <w:tab w:val="left" w:pos="567"/>
          <w:tab w:val="left" w:pos="600"/>
        </w:tabs>
        <w:spacing w:line="440" w:lineRule="exact"/>
        <w:ind w:firstLine="612" w:firstLineChars="255"/>
        <w:outlineLvl w:val="2"/>
        <w:rPr>
          <w:rFonts w:hint="eastAsia" w:ascii="仿宋" w:hAnsi="仿宋" w:eastAsia="仿宋" w:cs="仿宋"/>
          <w:b/>
          <w:bCs/>
          <w:sz w:val="24"/>
          <w:szCs w:val="24"/>
          <w:highlight w:val="none"/>
        </w:rPr>
      </w:pPr>
      <w:bookmarkStart w:id="72" w:name="_Toc32261"/>
      <w:r>
        <w:rPr>
          <w:rFonts w:hint="eastAsia" w:ascii="仿宋" w:hAnsi="仿宋" w:eastAsia="仿宋" w:cs="仿宋"/>
          <w:b/>
          <w:bCs/>
          <w:sz w:val="24"/>
          <w:szCs w:val="24"/>
          <w:highlight w:val="none"/>
        </w:rPr>
        <w:t>1、一般规定</w:t>
      </w:r>
      <w:bookmarkEnd w:id="72"/>
    </w:p>
    <w:p w14:paraId="46B65292">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1.1本项目的招标按照《中华人民共和国政府采购法》、《政府采购服务和服务招标磋商管理办法》、《政府采购竞争性磋商采购方式管理暂行办法》及政府采购的有关规定进行。</w:t>
      </w:r>
    </w:p>
    <w:p w14:paraId="44E97CE6">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1.2评标必须遵循公开、公平、公正、诚实信用的原则。</w:t>
      </w:r>
    </w:p>
    <w:p w14:paraId="437879E1">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1.3招标代理机构组织招标、开标、评标工作，全过程接受政府采购有关部门的监督、管理和指导。</w:t>
      </w:r>
    </w:p>
    <w:p w14:paraId="6465FDD5">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1.4评标按照磋商文件规定的内容进行，采取综合比较和分项打分相结合的评标方法（综合评分法），避免纯技术或纯经济的倾向。</w:t>
      </w:r>
    </w:p>
    <w:p w14:paraId="1BAEB4B2">
      <w:pPr>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1.5本办法的评标对象是指供应商按照磋商文件要求提供的有效响应文件，包括供应商应磋商小组要求对原响应文件作出的正式书面澄清文件。</w:t>
      </w:r>
    </w:p>
    <w:p w14:paraId="4E881715">
      <w:pPr>
        <w:tabs>
          <w:tab w:val="left" w:pos="567"/>
          <w:tab w:val="left" w:pos="600"/>
        </w:tabs>
        <w:spacing w:line="440" w:lineRule="exact"/>
        <w:ind w:firstLine="612" w:firstLineChars="255"/>
        <w:outlineLvl w:val="2"/>
        <w:rPr>
          <w:rFonts w:hint="eastAsia" w:ascii="仿宋" w:hAnsi="仿宋" w:eastAsia="仿宋" w:cs="仿宋"/>
          <w:b/>
          <w:bCs/>
          <w:sz w:val="24"/>
          <w:szCs w:val="24"/>
          <w:highlight w:val="none"/>
        </w:rPr>
      </w:pPr>
      <w:bookmarkStart w:id="73" w:name="_Toc6901"/>
      <w:r>
        <w:rPr>
          <w:rFonts w:hint="eastAsia" w:ascii="仿宋" w:hAnsi="仿宋" w:eastAsia="仿宋" w:cs="仿宋"/>
          <w:b/>
          <w:bCs/>
          <w:sz w:val="24"/>
          <w:szCs w:val="24"/>
          <w:highlight w:val="none"/>
        </w:rPr>
        <w:t>2、磋商组织机构的组成</w:t>
      </w:r>
      <w:bookmarkEnd w:id="73"/>
    </w:p>
    <w:p w14:paraId="34532C98">
      <w:pPr>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2.1磋商小组成</w:t>
      </w:r>
      <w:r>
        <w:rPr>
          <w:rFonts w:hint="eastAsia" w:ascii="仿宋" w:hAnsi="仿宋" w:eastAsia="仿宋" w:cs="仿宋"/>
          <w:color w:val="auto"/>
          <w:sz w:val="24"/>
          <w:szCs w:val="24"/>
          <w:highlight w:val="none"/>
        </w:rPr>
        <w:t>员由招标人的代表</w:t>
      </w:r>
      <w:r>
        <w:rPr>
          <w:rFonts w:hint="eastAsia" w:ascii="仿宋" w:hAnsi="仿宋" w:eastAsia="仿宋" w:cs="仿宋"/>
          <w:color w:val="auto"/>
          <w:sz w:val="24"/>
          <w:szCs w:val="24"/>
          <w:highlight w:val="none"/>
          <w:u w:val="single"/>
          <w:lang w:val="en-US" w:eastAsia="zh-CN"/>
        </w:rPr>
        <w:t>1名</w:t>
      </w:r>
      <w:r>
        <w:rPr>
          <w:rFonts w:hint="eastAsia" w:ascii="仿宋" w:hAnsi="仿宋" w:eastAsia="仿宋" w:cs="仿宋"/>
          <w:color w:val="auto"/>
          <w:sz w:val="24"/>
          <w:szCs w:val="24"/>
          <w:highlight w:val="none"/>
          <w:u w:val="single"/>
        </w:rPr>
        <w:t>和随机抽取的有关方面</w:t>
      </w:r>
      <w:r>
        <w:rPr>
          <w:rFonts w:hint="eastAsia" w:ascii="仿宋" w:hAnsi="仿宋" w:eastAsia="仿宋" w:cs="仿宋"/>
          <w:b w:val="0"/>
          <w:bCs w:val="0"/>
          <w:color w:val="auto"/>
          <w:sz w:val="24"/>
          <w:szCs w:val="24"/>
          <w:highlight w:val="none"/>
          <w:u w:val="single"/>
        </w:rPr>
        <w:t>的专家</w:t>
      </w:r>
      <w:r>
        <w:rPr>
          <w:rFonts w:hint="eastAsia" w:ascii="仿宋" w:hAnsi="仿宋" w:eastAsia="仿宋" w:cs="仿宋"/>
          <w:b w:val="0"/>
          <w:bCs w:val="0"/>
          <w:color w:val="auto"/>
          <w:sz w:val="24"/>
          <w:szCs w:val="24"/>
          <w:highlight w:val="none"/>
          <w:u w:val="single"/>
          <w:lang w:val="en-US" w:eastAsia="zh-CN"/>
        </w:rPr>
        <w:t>2</w:t>
      </w:r>
      <w:r>
        <w:rPr>
          <w:rFonts w:hint="eastAsia" w:ascii="仿宋" w:hAnsi="仿宋" w:eastAsia="仿宋" w:cs="仿宋"/>
          <w:b w:val="0"/>
          <w:bCs w:val="0"/>
          <w:color w:val="auto"/>
          <w:sz w:val="24"/>
          <w:szCs w:val="24"/>
          <w:highlight w:val="none"/>
          <w:u w:val="single"/>
        </w:rPr>
        <w:t>名组成，成员为</w:t>
      </w:r>
      <w:r>
        <w:rPr>
          <w:rFonts w:hint="eastAsia" w:ascii="仿宋" w:hAnsi="仿宋" w:eastAsia="仿宋" w:cs="仿宋"/>
          <w:b w:val="0"/>
          <w:bCs w:val="0"/>
          <w:color w:val="auto"/>
          <w:sz w:val="24"/>
          <w:szCs w:val="24"/>
          <w:highlight w:val="none"/>
          <w:u w:val="single"/>
          <w:lang w:val="en-US" w:eastAsia="zh-CN"/>
        </w:rPr>
        <w:t>3</w:t>
      </w:r>
      <w:r>
        <w:rPr>
          <w:rFonts w:hint="eastAsia" w:ascii="仿宋" w:hAnsi="仿宋" w:eastAsia="仿宋" w:cs="仿宋"/>
          <w:b w:val="0"/>
          <w:bCs w:val="0"/>
          <w:color w:val="auto"/>
          <w:sz w:val="24"/>
          <w:szCs w:val="24"/>
          <w:highlight w:val="none"/>
          <w:u w:val="single"/>
        </w:rPr>
        <w:t>人</w:t>
      </w:r>
      <w:r>
        <w:rPr>
          <w:rFonts w:hint="eastAsia" w:ascii="仿宋" w:hAnsi="仿宋" w:eastAsia="仿宋" w:cs="仿宋"/>
          <w:b w:val="0"/>
          <w:bCs w:val="0"/>
          <w:color w:val="auto"/>
          <w:sz w:val="24"/>
          <w:szCs w:val="24"/>
          <w:highlight w:val="none"/>
        </w:rPr>
        <w:t>，</w:t>
      </w:r>
      <w:r>
        <w:rPr>
          <w:rFonts w:hint="eastAsia" w:ascii="仿宋" w:hAnsi="仿宋" w:eastAsia="仿宋" w:cs="仿宋"/>
          <w:color w:val="auto"/>
          <w:sz w:val="24"/>
          <w:szCs w:val="24"/>
          <w:highlight w:val="none"/>
        </w:rPr>
        <w:t>磋商小组的成员在评标过程中</w:t>
      </w:r>
      <w:r>
        <w:rPr>
          <w:rFonts w:hint="eastAsia" w:ascii="仿宋" w:hAnsi="仿宋" w:eastAsia="仿宋" w:cs="仿宋"/>
          <w:color w:val="auto"/>
          <w:sz w:val="24"/>
          <w:szCs w:val="24"/>
          <w:highlight w:val="none"/>
          <w:lang w:val="zh-CN"/>
        </w:rPr>
        <w:t>必须严格遵守政府采购的有关规定</w:t>
      </w:r>
      <w:r>
        <w:rPr>
          <w:rFonts w:hint="eastAsia" w:ascii="仿宋" w:hAnsi="仿宋" w:eastAsia="仿宋" w:cs="仿宋"/>
          <w:color w:val="auto"/>
          <w:sz w:val="24"/>
          <w:szCs w:val="24"/>
          <w:highlight w:val="none"/>
        </w:rPr>
        <w:t>。专家从</w:t>
      </w:r>
      <w:r>
        <w:rPr>
          <w:rFonts w:hint="eastAsia" w:ascii="仿宋" w:hAnsi="仿宋" w:eastAsia="仿宋" w:cs="仿宋"/>
          <w:color w:val="auto"/>
          <w:sz w:val="24"/>
          <w:szCs w:val="24"/>
          <w:highlight w:val="none"/>
          <w:lang w:eastAsia="zh-CN"/>
        </w:rPr>
        <w:t>政采云</w:t>
      </w:r>
      <w:r>
        <w:rPr>
          <w:rFonts w:hint="eastAsia" w:ascii="仿宋" w:hAnsi="仿宋" w:eastAsia="仿宋" w:cs="仿宋"/>
          <w:color w:val="auto"/>
          <w:sz w:val="24"/>
          <w:szCs w:val="24"/>
          <w:highlight w:val="none"/>
        </w:rPr>
        <w:t>专家库中随机抽取产生。</w:t>
      </w:r>
    </w:p>
    <w:p w14:paraId="2FE81B49">
      <w:pPr>
        <w:tabs>
          <w:tab w:val="left" w:pos="567"/>
          <w:tab w:val="left" w:pos="1145"/>
        </w:tabs>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2.2评标工作组由招标人及有关专家组成，由磋商小组确认，并接受其领导。</w:t>
      </w:r>
    </w:p>
    <w:p w14:paraId="1D9C845F">
      <w:pPr>
        <w:tabs>
          <w:tab w:val="left" w:pos="567"/>
          <w:tab w:val="left" w:pos="1145"/>
        </w:tabs>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2.3磋商小组应相对独立工作，负责评标、撰写技术、商务评标报告。采购代理机构负责评标过程中资料的保管、发放、回收，整理、汇总评标资料。</w:t>
      </w:r>
    </w:p>
    <w:p w14:paraId="4BC940AE">
      <w:pPr>
        <w:tabs>
          <w:tab w:val="left" w:pos="567"/>
          <w:tab w:val="left" w:pos="600"/>
        </w:tabs>
        <w:spacing w:line="440" w:lineRule="exact"/>
        <w:ind w:firstLine="612" w:firstLineChars="255"/>
        <w:outlineLvl w:val="2"/>
        <w:rPr>
          <w:rFonts w:hint="eastAsia" w:ascii="仿宋" w:hAnsi="仿宋" w:eastAsia="仿宋" w:cs="仿宋"/>
          <w:b/>
          <w:bCs/>
          <w:sz w:val="24"/>
          <w:szCs w:val="24"/>
          <w:highlight w:val="none"/>
        </w:rPr>
      </w:pPr>
      <w:bookmarkStart w:id="74" w:name="_Toc1850"/>
      <w:r>
        <w:rPr>
          <w:rFonts w:hint="eastAsia" w:ascii="仿宋" w:hAnsi="仿宋" w:eastAsia="仿宋" w:cs="仿宋"/>
          <w:b/>
          <w:bCs/>
          <w:sz w:val="24"/>
          <w:szCs w:val="24"/>
          <w:highlight w:val="none"/>
        </w:rPr>
        <w:t>3、磋商小组职责</w:t>
      </w:r>
      <w:bookmarkEnd w:id="74"/>
    </w:p>
    <w:p w14:paraId="502D04EF">
      <w:pPr>
        <w:pStyle w:val="60"/>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3.1审查磋商文件是否符合磋商文件要求，并作出评价；</w:t>
      </w:r>
    </w:p>
    <w:p w14:paraId="259C7FBD">
      <w:pPr>
        <w:pStyle w:val="60"/>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3.2要求供应商对磋商文件有关事项作出解释或者澄清；</w:t>
      </w:r>
    </w:p>
    <w:p w14:paraId="3B8C4ED0">
      <w:pPr>
        <w:pStyle w:val="60"/>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3.3推荐成交候选人名单；</w:t>
      </w:r>
    </w:p>
    <w:p w14:paraId="3A4D85C2">
      <w:pPr>
        <w:pStyle w:val="60"/>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3.4向招标人、招标代理机构或者有关部门报告非法干预评标工作的行为。</w:t>
      </w:r>
    </w:p>
    <w:p w14:paraId="263DEBC9">
      <w:pPr>
        <w:tabs>
          <w:tab w:val="left" w:pos="567"/>
          <w:tab w:val="left" w:pos="600"/>
        </w:tabs>
        <w:spacing w:line="440" w:lineRule="exact"/>
        <w:ind w:firstLine="612" w:firstLineChars="255"/>
        <w:outlineLvl w:val="2"/>
        <w:rPr>
          <w:rFonts w:hint="eastAsia" w:ascii="仿宋" w:hAnsi="仿宋" w:eastAsia="仿宋" w:cs="仿宋"/>
          <w:b/>
          <w:bCs/>
          <w:sz w:val="24"/>
          <w:szCs w:val="24"/>
          <w:highlight w:val="none"/>
        </w:rPr>
      </w:pPr>
      <w:bookmarkStart w:id="75" w:name="_Toc728"/>
      <w:r>
        <w:rPr>
          <w:rFonts w:hint="eastAsia" w:ascii="仿宋" w:hAnsi="仿宋" w:eastAsia="仿宋" w:cs="仿宋"/>
          <w:b/>
          <w:bCs/>
          <w:sz w:val="24"/>
          <w:szCs w:val="24"/>
          <w:highlight w:val="none"/>
        </w:rPr>
        <w:t>4、磋商小组义务</w:t>
      </w:r>
      <w:bookmarkEnd w:id="75"/>
    </w:p>
    <w:p w14:paraId="23FF0EBC">
      <w:pPr>
        <w:tabs>
          <w:tab w:val="left" w:pos="567"/>
          <w:tab w:val="left" w:pos="600"/>
        </w:tabs>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4.1遵纪守法，客观、公正、廉洁地履行职责；</w:t>
      </w:r>
    </w:p>
    <w:p w14:paraId="361A1F4C">
      <w:pPr>
        <w:tabs>
          <w:tab w:val="left" w:pos="567"/>
          <w:tab w:val="left" w:pos="600"/>
        </w:tabs>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4.2按照磋商文件规定的评标方法和评标标准进行评标，对评审意见承担个人责任；</w:t>
      </w:r>
    </w:p>
    <w:p w14:paraId="11723849">
      <w:pPr>
        <w:tabs>
          <w:tab w:val="left" w:pos="567"/>
          <w:tab w:val="left" w:pos="600"/>
        </w:tabs>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4.3对评标过程和结果，以及供应商的商业秘密保密；</w:t>
      </w:r>
    </w:p>
    <w:p w14:paraId="7832A8D5">
      <w:pPr>
        <w:tabs>
          <w:tab w:val="left" w:pos="567"/>
          <w:tab w:val="left" w:pos="600"/>
        </w:tabs>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4.4参与评标报告的起草；</w:t>
      </w:r>
    </w:p>
    <w:p w14:paraId="5347F5BE">
      <w:pPr>
        <w:tabs>
          <w:tab w:val="left" w:pos="567"/>
          <w:tab w:val="left" w:pos="600"/>
        </w:tabs>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4.5配合有关部门的投诉处理工作；</w:t>
      </w:r>
    </w:p>
    <w:p w14:paraId="65F11CBE">
      <w:pPr>
        <w:tabs>
          <w:tab w:val="left" w:pos="567"/>
          <w:tab w:val="left" w:pos="600"/>
        </w:tabs>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4.6配合招标人、招标代理机构答复磋商供应商提出的质疑。</w:t>
      </w:r>
    </w:p>
    <w:p w14:paraId="6E3EE539">
      <w:pPr>
        <w:tabs>
          <w:tab w:val="left" w:pos="1547"/>
        </w:tabs>
        <w:spacing w:line="440" w:lineRule="exact"/>
        <w:ind w:firstLine="612" w:firstLineChars="255"/>
        <w:outlineLvl w:val="2"/>
        <w:rPr>
          <w:rFonts w:hint="eastAsia" w:ascii="仿宋" w:hAnsi="仿宋" w:eastAsia="仿宋" w:cs="仿宋"/>
          <w:b/>
          <w:bCs/>
          <w:sz w:val="24"/>
          <w:szCs w:val="24"/>
          <w:highlight w:val="none"/>
        </w:rPr>
      </w:pPr>
      <w:bookmarkStart w:id="76" w:name="_Toc29099"/>
      <w:r>
        <w:rPr>
          <w:rFonts w:hint="eastAsia" w:ascii="仿宋" w:hAnsi="仿宋" w:eastAsia="仿宋" w:cs="仿宋"/>
          <w:b/>
          <w:bCs/>
          <w:sz w:val="24"/>
          <w:szCs w:val="24"/>
          <w:highlight w:val="none"/>
        </w:rPr>
        <w:t>5、 评标程序</w:t>
      </w:r>
      <w:bookmarkEnd w:id="76"/>
    </w:p>
    <w:p w14:paraId="18B6464E">
      <w:pPr>
        <w:pStyle w:val="21"/>
        <w:tabs>
          <w:tab w:val="left" w:pos="720"/>
          <w:tab w:val="clear" w:pos="0"/>
        </w:tabs>
        <w:spacing w:line="440" w:lineRule="exact"/>
        <w:ind w:firstLine="612" w:firstLineChars="255"/>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5.1本次评标首先由磋商小组对供应商的响应文件进行初审，对未能通过初审的响应文件作废标处理；</w:t>
      </w:r>
    </w:p>
    <w:p w14:paraId="5CDC1141">
      <w:pPr>
        <w:tabs>
          <w:tab w:val="left" w:pos="720"/>
        </w:tabs>
        <w:spacing w:line="440" w:lineRule="exact"/>
        <w:ind w:firstLine="612" w:firstLineChars="255"/>
        <w:rPr>
          <w:rFonts w:hint="eastAsia" w:ascii="仿宋" w:hAnsi="仿宋" w:eastAsia="仿宋" w:cs="仿宋"/>
          <w:sz w:val="24"/>
          <w:szCs w:val="24"/>
          <w:highlight w:val="none"/>
        </w:rPr>
      </w:pPr>
      <w:r>
        <w:rPr>
          <w:rFonts w:hint="eastAsia" w:ascii="仿宋" w:hAnsi="仿宋" w:eastAsia="仿宋" w:cs="仿宋"/>
          <w:sz w:val="24"/>
          <w:szCs w:val="24"/>
          <w:highlight w:val="none"/>
        </w:rPr>
        <w:t>5.2对通过初审的供应商的响应文件进行详细的比较和评价。如需要，进行必要的澄清工作；</w:t>
      </w:r>
    </w:p>
    <w:p w14:paraId="21F7889E">
      <w:pPr>
        <w:spacing w:line="360" w:lineRule="auto"/>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 xml:space="preserve">     5.3</w:t>
      </w:r>
      <w:r>
        <w:rPr>
          <w:rFonts w:hint="eastAsia" w:ascii="仿宋" w:hAnsi="仿宋" w:eastAsia="仿宋" w:cs="仿宋"/>
          <w:color w:val="000000"/>
          <w:sz w:val="24"/>
          <w:szCs w:val="24"/>
          <w:highlight w:val="none"/>
        </w:rPr>
        <w:t>评标报告与推荐成交候选人</w:t>
      </w:r>
    </w:p>
    <w:p w14:paraId="0F177399">
      <w:pPr>
        <w:widowControl/>
        <w:spacing w:line="440" w:lineRule="exact"/>
        <w:ind w:firstLine="48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5.3</w:t>
      </w:r>
      <w:r>
        <w:rPr>
          <w:rFonts w:hint="eastAsia" w:ascii="仿宋" w:hAnsi="仿宋" w:eastAsia="仿宋" w:cs="仿宋"/>
          <w:kern w:val="0"/>
          <w:sz w:val="24"/>
          <w:szCs w:val="24"/>
          <w:highlight w:val="none"/>
        </w:rPr>
        <w:t>磋商小组各成员应当独立对每个有效响应的文件进行评价、打分，然后汇总每个供应商每项评分因素的得分。</w:t>
      </w:r>
    </w:p>
    <w:p w14:paraId="135621C0">
      <w:pPr>
        <w:widowControl/>
        <w:spacing w:line="440" w:lineRule="exact"/>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r>
        <w:rPr>
          <w:rFonts w:hint="eastAsia" w:ascii="仿宋" w:hAnsi="仿宋" w:eastAsia="仿宋" w:cs="仿宋"/>
          <w:kern w:val="0"/>
          <w:sz w:val="24"/>
          <w:szCs w:val="24"/>
          <w:highlight w:val="none"/>
          <w:lang w:val="en-US" w:eastAsia="zh-CN"/>
        </w:rPr>
        <w:t>5.5</w:t>
      </w:r>
      <w:r>
        <w:rPr>
          <w:rFonts w:hint="eastAsia" w:ascii="仿宋" w:hAnsi="仿宋" w:eastAsia="仿宋" w:cs="仿宋"/>
          <w:kern w:val="0"/>
          <w:sz w:val="24"/>
          <w:szCs w:val="24"/>
          <w:highlight w:val="none"/>
        </w:rPr>
        <w:t>综合评分法服务项目的价格分值占总分值的比重(即权</w:t>
      </w:r>
      <w:r>
        <w:rPr>
          <w:rFonts w:hint="eastAsia" w:ascii="仿宋" w:hAnsi="仿宋" w:eastAsia="仿宋" w:cs="仿宋"/>
          <w:color w:val="auto"/>
          <w:kern w:val="0"/>
          <w:sz w:val="24"/>
          <w:szCs w:val="24"/>
          <w:highlight w:val="none"/>
        </w:rPr>
        <w:t>值)为</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w:t>
      </w:r>
      <w:r>
        <w:rPr>
          <w:rFonts w:hint="eastAsia" w:ascii="仿宋" w:hAnsi="仿宋" w:eastAsia="仿宋" w:cs="仿宋"/>
          <w:kern w:val="0"/>
          <w:sz w:val="24"/>
          <w:szCs w:val="24"/>
          <w:highlight w:val="none"/>
        </w:rPr>
        <w:t>采购项目中含不同采购对象的，以占项目资金比例最高的采购对象确定其项目属性。其价格不列为评分因素，有特殊情况需要在上述规定范围外设定价格分权重的。</w:t>
      </w:r>
    </w:p>
    <w:p w14:paraId="283F47E2">
      <w:pPr>
        <w:widowControl/>
        <w:spacing w:line="440" w:lineRule="exact"/>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r>
        <w:rPr>
          <w:rFonts w:hint="eastAsia" w:ascii="仿宋" w:hAnsi="仿宋" w:eastAsia="仿宋" w:cs="仿宋"/>
          <w:kern w:val="0"/>
          <w:sz w:val="24"/>
          <w:szCs w:val="24"/>
          <w:highlight w:val="none"/>
          <w:lang w:val="en-US" w:eastAsia="zh-CN"/>
        </w:rPr>
        <w:t>5.6</w:t>
      </w:r>
      <w:r>
        <w:rPr>
          <w:rFonts w:hint="eastAsia" w:ascii="仿宋" w:hAnsi="仿宋" w:eastAsia="仿宋" w:cs="仿宋"/>
          <w:kern w:val="0"/>
          <w:sz w:val="24"/>
          <w:szCs w:val="24"/>
          <w:highlight w:val="none"/>
        </w:rPr>
        <w:t>综合评分法中的价格分统一采用</w:t>
      </w:r>
      <w:r>
        <w:rPr>
          <w:rFonts w:hint="eastAsia" w:ascii="仿宋" w:hAnsi="仿宋" w:eastAsia="仿宋" w:cs="仿宋"/>
          <w:kern w:val="0"/>
          <w:sz w:val="24"/>
          <w:szCs w:val="24"/>
          <w:highlight w:val="none"/>
          <w:lang w:val="en-US" w:eastAsia="zh-CN"/>
        </w:rPr>
        <w:t>高利率</w:t>
      </w:r>
      <w:r>
        <w:rPr>
          <w:rFonts w:hint="eastAsia" w:ascii="仿宋" w:hAnsi="仿宋" w:eastAsia="仿宋" w:cs="仿宋"/>
          <w:kern w:val="0"/>
          <w:sz w:val="24"/>
          <w:szCs w:val="24"/>
          <w:highlight w:val="none"/>
        </w:rPr>
        <w:t>优先法计算，即满足磋商文件要求且最后</w:t>
      </w:r>
      <w:r>
        <w:rPr>
          <w:rFonts w:hint="eastAsia" w:ascii="仿宋" w:hAnsi="仿宋" w:eastAsia="仿宋" w:cs="仿宋"/>
          <w:kern w:val="0"/>
          <w:sz w:val="24"/>
          <w:szCs w:val="24"/>
          <w:highlight w:val="none"/>
          <w:lang w:val="en-US" w:eastAsia="zh-CN"/>
        </w:rPr>
        <w:t>利率</w:t>
      </w:r>
      <w:r>
        <w:rPr>
          <w:rFonts w:hint="eastAsia" w:ascii="仿宋" w:hAnsi="仿宋" w:eastAsia="仿宋" w:cs="仿宋"/>
          <w:kern w:val="0"/>
          <w:sz w:val="24"/>
          <w:szCs w:val="24"/>
          <w:highlight w:val="none"/>
        </w:rPr>
        <w:t>最</w:t>
      </w:r>
      <w:r>
        <w:rPr>
          <w:rFonts w:hint="eastAsia" w:ascii="仿宋" w:hAnsi="仿宋" w:eastAsia="仿宋" w:cs="仿宋"/>
          <w:kern w:val="0"/>
          <w:sz w:val="24"/>
          <w:szCs w:val="24"/>
          <w:highlight w:val="none"/>
          <w:lang w:eastAsia="zh-CN"/>
        </w:rPr>
        <w:t>高</w:t>
      </w:r>
      <w:r>
        <w:rPr>
          <w:rFonts w:hint="eastAsia" w:ascii="仿宋" w:hAnsi="仿宋" w:eastAsia="仿宋" w:cs="仿宋"/>
          <w:kern w:val="0"/>
          <w:sz w:val="24"/>
          <w:szCs w:val="24"/>
          <w:highlight w:val="none"/>
        </w:rPr>
        <w:t>的供应商的价格为磋商基准价，其价格分为满分。其他供应商的价格分统一按照下列公式计算：</w:t>
      </w:r>
    </w:p>
    <w:p w14:paraId="54B05BD1">
      <w:pPr>
        <w:widowControl/>
        <w:spacing w:line="440" w:lineRule="exact"/>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r>
        <w:rPr>
          <w:rFonts w:hint="eastAsia" w:ascii="仿宋" w:hAnsi="仿宋" w:eastAsia="仿宋" w:cs="仿宋"/>
          <w:kern w:val="0"/>
          <w:sz w:val="24"/>
          <w:szCs w:val="24"/>
          <w:highlight w:val="none"/>
          <w:lang w:val="en-US" w:eastAsia="zh-CN"/>
        </w:rPr>
        <w:t>5.7</w:t>
      </w:r>
      <w:r>
        <w:rPr>
          <w:rFonts w:hint="eastAsia" w:ascii="仿宋" w:hAnsi="仿宋" w:eastAsia="仿宋" w:cs="仿宋"/>
          <w:kern w:val="0"/>
          <w:sz w:val="24"/>
          <w:szCs w:val="24"/>
          <w:highlight w:val="none"/>
        </w:rPr>
        <w:t>磋商报价得分=（最后磋商报价/磋商基准价）×价格权值×100</w:t>
      </w:r>
    </w:p>
    <w:p w14:paraId="5581CA35">
      <w:pPr>
        <w:widowControl/>
        <w:spacing w:line="440" w:lineRule="exact"/>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r>
        <w:rPr>
          <w:rFonts w:hint="eastAsia" w:ascii="仿宋" w:hAnsi="仿宋" w:eastAsia="仿宋" w:cs="仿宋"/>
          <w:kern w:val="0"/>
          <w:sz w:val="24"/>
          <w:szCs w:val="24"/>
          <w:highlight w:val="none"/>
          <w:lang w:val="en-US" w:eastAsia="zh-CN"/>
        </w:rPr>
        <w:t>5.8</w:t>
      </w:r>
      <w:r>
        <w:rPr>
          <w:rFonts w:hint="eastAsia" w:ascii="仿宋" w:hAnsi="仿宋" w:eastAsia="仿宋" w:cs="仿宋"/>
          <w:kern w:val="0"/>
          <w:sz w:val="24"/>
          <w:szCs w:val="24"/>
          <w:highlight w:val="none"/>
        </w:rPr>
        <w:t>项目评审过程中，不得去掉最后报价中的最高报价和最低报价。</w:t>
      </w:r>
    </w:p>
    <w:p w14:paraId="489D8461">
      <w:pPr>
        <w:jc w:val="left"/>
        <w:outlineLvl w:val="9"/>
        <w:rPr>
          <w:rFonts w:hint="eastAsia" w:ascii="仿宋" w:hAnsi="仿宋" w:eastAsia="仿宋" w:cs="仿宋"/>
          <w:b/>
          <w:sz w:val="24"/>
          <w:szCs w:val="24"/>
          <w:highlight w:val="none"/>
        </w:rPr>
      </w:pPr>
      <w:bookmarkStart w:id="77" w:name="_Toc10523"/>
      <w:r>
        <w:rPr>
          <w:rFonts w:hint="eastAsia" w:ascii="仿宋" w:hAnsi="仿宋" w:eastAsia="仿宋" w:cs="仿宋"/>
          <w:kern w:val="0"/>
          <w:sz w:val="24"/>
          <w:szCs w:val="24"/>
          <w:highlight w:val="none"/>
        </w:rPr>
        <w:t>  </w:t>
      </w:r>
      <w:r>
        <w:rPr>
          <w:rFonts w:hint="eastAsia" w:ascii="仿宋" w:hAnsi="仿宋" w:eastAsia="仿宋" w:cs="仿宋"/>
          <w:kern w:val="0"/>
          <w:sz w:val="24"/>
          <w:szCs w:val="24"/>
          <w:highlight w:val="none"/>
          <w:lang w:val="en-US" w:eastAsia="zh-CN"/>
        </w:rPr>
        <w:t xml:space="preserve">  5.9</w:t>
      </w:r>
      <w:r>
        <w:rPr>
          <w:rFonts w:hint="eastAsia" w:ascii="仿宋" w:hAnsi="仿宋" w:eastAsia="仿宋" w:cs="仿宋"/>
          <w:kern w:val="0"/>
          <w:sz w:val="24"/>
          <w:szCs w:val="24"/>
          <w:highlight w:val="none"/>
        </w:rPr>
        <w:t>磋商小组应当根据综合评分情况，按照评审得分由高到低顺序推荐</w:t>
      </w: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名成交候选供应商符合《政府采购竞争性磋商采购方式管理暂行办法》法第二十五条磋商小组应当根据综合评分情况，按照评审得分由高到低顺序推荐</w:t>
      </w: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名成交候选供应商。评审得分相同的，按照最后报价由</w:t>
      </w:r>
      <w:r>
        <w:rPr>
          <w:rFonts w:hint="eastAsia" w:ascii="仿宋" w:hAnsi="仿宋" w:eastAsia="仿宋" w:cs="仿宋"/>
          <w:kern w:val="0"/>
          <w:sz w:val="24"/>
          <w:szCs w:val="24"/>
          <w:highlight w:val="none"/>
          <w:lang w:val="en-US" w:eastAsia="zh-CN"/>
        </w:rPr>
        <w:t>高</w:t>
      </w:r>
      <w:r>
        <w:rPr>
          <w:rFonts w:hint="eastAsia" w:ascii="仿宋" w:hAnsi="仿宋" w:eastAsia="仿宋" w:cs="仿宋"/>
          <w:kern w:val="0"/>
          <w:sz w:val="24"/>
          <w:szCs w:val="24"/>
          <w:highlight w:val="none"/>
        </w:rPr>
        <w:t>到</w:t>
      </w:r>
      <w:r>
        <w:rPr>
          <w:rFonts w:hint="eastAsia" w:ascii="仿宋" w:hAnsi="仿宋" w:eastAsia="仿宋" w:cs="仿宋"/>
          <w:kern w:val="0"/>
          <w:sz w:val="24"/>
          <w:szCs w:val="24"/>
          <w:highlight w:val="none"/>
          <w:lang w:val="en-US" w:eastAsia="zh-CN"/>
        </w:rPr>
        <w:t>低</w:t>
      </w:r>
      <w:r>
        <w:rPr>
          <w:rFonts w:hint="eastAsia" w:ascii="仿宋" w:hAnsi="仿宋" w:eastAsia="仿宋" w:cs="仿宋"/>
          <w:kern w:val="0"/>
          <w:sz w:val="24"/>
          <w:szCs w:val="24"/>
          <w:highlight w:val="none"/>
        </w:rPr>
        <w:t>的顺序推荐。</w:t>
      </w:r>
      <w:bookmarkEnd w:id="77"/>
    </w:p>
    <w:p w14:paraId="0CAAD5D6">
      <w:pPr>
        <w:jc w:val="center"/>
        <w:outlineLvl w:val="1"/>
        <w:rPr>
          <w:rFonts w:hint="eastAsia" w:ascii="仿宋" w:hAnsi="仿宋" w:eastAsia="仿宋" w:cs="仿宋"/>
          <w:b/>
          <w:sz w:val="24"/>
          <w:szCs w:val="24"/>
          <w:highlight w:val="none"/>
        </w:rPr>
      </w:pPr>
    </w:p>
    <w:p w14:paraId="2F5DA45E">
      <w:pPr>
        <w:jc w:val="center"/>
        <w:outlineLvl w:val="1"/>
        <w:rPr>
          <w:rFonts w:hint="eastAsia" w:ascii="仿宋" w:hAnsi="仿宋" w:eastAsia="仿宋" w:cs="仿宋"/>
          <w:b/>
          <w:sz w:val="24"/>
          <w:szCs w:val="24"/>
          <w:highlight w:val="none"/>
        </w:rPr>
      </w:pPr>
    </w:p>
    <w:p w14:paraId="0F0A62CA">
      <w:pPr>
        <w:jc w:val="center"/>
        <w:outlineLvl w:val="1"/>
        <w:rPr>
          <w:rFonts w:hint="eastAsia" w:ascii="仿宋" w:hAnsi="仿宋" w:eastAsia="仿宋" w:cs="仿宋"/>
          <w:b/>
          <w:sz w:val="24"/>
          <w:szCs w:val="24"/>
          <w:highlight w:val="none"/>
        </w:rPr>
      </w:pPr>
    </w:p>
    <w:p w14:paraId="7D355B43">
      <w:pPr>
        <w:jc w:val="center"/>
        <w:outlineLvl w:val="1"/>
        <w:rPr>
          <w:rFonts w:hint="eastAsia" w:ascii="仿宋" w:hAnsi="仿宋" w:eastAsia="仿宋" w:cs="仿宋"/>
          <w:b/>
          <w:sz w:val="24"/>
          <w:szCs w:val="24"/>
          <w:highlight w:val="none"/>
        </w:rPr>
      </w:pPr>
    </w:p>
    <w:p w14:paraId="793BE54E">
      <w:pPr>
        <w:jc w:val="center"/>
        <w:outlineLvl w:val="1"/>
        <w:rPr>
          <w:rFonts w:hint="eastAsia" w:ascii="仿宋" w:hAnsi="仿宋" w:eastAsia="仿宋" w:cs="仿宋"/>
          <w:b/>
          <w:sz w:val="24"/>
          <w:szCs w:val="24"/>
          <w:highlight w:val="none"/>
        </w:rPr>
      </w:pPr>
    </w:p>
    <w:p w14:paraId="0C678486">
      <w:pPr>
        <w:jc w:val="center"/>
        <w:outlineLvl w:val="1"/>
        <w:rPr>
          <w:rFonts w:hint="eastAsia" w:ascii="仿宋" w:hAnsi="仿宋" w:eastAsia="仿宋" w:cs="仿宋"/>
          <w:b/>
          <w:sz w:val="24"/>
          <w:szCs w:val="24"/>
          <w:highlight w:val="none"/>
        </w:rPr>
      </w:pPr>
    </w:p>
    <w:p w14:paraId="49F543EE">
      <w:pPr>
        <w:jc w:val="center"/>
        <w:outlineLvl w:val="1"/>
        <w:rPr>
          <w:rFonts w:hint="eastAsia" w:ascii="仿宋" w:hAnsi="仿宋" w:eastAsia="仿宋" w:cs="仿宋"/>
          <w:b/>
          <w:sz w:val="24"/>
          <w:szCs w:val="24"/>
          <w:highlight w:val="none"/>
        </w:rPr>
      </w:pPr>
    </w:p>
    <w:p w14:paraId="5854A5FD">
      <w:pPr>
        <w:jc w:val="center"/>
        <w:outlineLvl w:val="1"/>
        <w:rPr>
          <w:rFonts w:hint="eastAsia" w:ascii="仿宋" w:hAnsi="仿宋" w:eastAsia="仿宋" w:cs="仿宋"/>
          <w:b/>
          <w:sz w:val="24"/>
          <w:szCs w:val="24"/>
          <w:highlight w:val="none"/>
        </w:rPr>
      </w:pPr>
    </w:p>
    <w:p w14:paraId="0A5B6971">
      <w:pPr>
        <w:jc w:val="center"/>
        <w:outlineLvl w:val="1"/>
        <w:rPr>
          <w:rFonts w:hint="eastAsia" w:ascii="仿宋" w:hAnsi="仿宋" w:eastAsia="仿宋" w:cs="仿宋"/>
          <w:b/>
          <w:sz w:val="24"/>
          <w:szCs w:val="24"/>
          <w:highlight w:val="none"/>
        </w:rPr>
      </w:pPr>
    </w:p>
    <w:p w14:paraId="6D4B8D8E">
      <w:pPr>
        <w:jc w:val="center"/>
        <w:outlineLvl w:val="1"/>
        <w:rPr>
          <w:rFonts w:hint="eastAsia" w:ascii="仿宋" w:hAnsi="仿宋" w:eastAsia="仿宋" w:cs="仿宋"/>
          <w:b/>
          <w:sz w:val="24"/>
          <w:szCs w:val="24"/>
          <w:highlight w:val="none"/>
        </w:rPr>
      </w:pPr>
    </w:p>
    <w:p w14:paraId="69BE3613">
      <w:pPr>
        <w:jc w:val="center"/>
        <w:outlineLvl w:val="1"/>
        <w:rPr>
          <w:rFonts w:hint="eastAsia" w:ascii="仿宋" w:hAnsi="仿宋" w:eastAsia="仿宋" w:cs="仿宋"/>
          <w:b/>
          <w:sz w:val="24"/>
          <w:szCs w:val="24"/>
          <w:highlight w:val="none"/>
        </w:rPr>
      </w:pPr>
    </w:p>
    <w:p w14:paraId="214DBB9D">
      <w:pPr>
        <w:jc w:val="center"/>
        <w:outlineLvl w:val="1"/>
        <w:rPr>
          <w:rFonts w:hint="eastAsia" w:ascii="仿宋" w:hAnsi="仿宋" w:eastAsia="仿宋" w:cs="仿宋"/>
          <w:b/>
          <w:sz w:val="24"/>
          <w:szCs w:val="24"/>
          <w:highlight w:val="none"/>
        </w:rPr>
      </w:pPr>
    </w:p>
    <w:p w14:paraId="25D8E48E">
      <w:pPr>
        <w:jc w:val="center"/>
        <w:outlineLvl w:val="1"/>
        <w:rPr>
          <w:rFonts w:hint="eastAsia" w:ascii="仿宋" w:hAnsi="仿宋" w:eastAsia="仿宋" w:cs="仿宋"/>
          <w:b/>
          <w:sz w:val="24"/>
          <w:szCs w:val="24"/>
          <w:highlight w:val="none"/>
        </w:rPr>
      </w:pPr>
    </w:p>
    <w:p w14:paraId="4AB74137">
      <w:pPr>
        <w:jc w:val="center"/>
        <w:outlineLvl w:val="1"/>
        <w:rPr>
          <w:rFonts w:hint="eastAsia" w:ascii="仿宋" w:hAnsi="仿宋" w:eastAsia="仿宋" w:cs="仿宋"/>
          <w:b/>
          <w:sz w:val="24"/>
          <w:szCs w:val="24"/>
          <w:highlight w:val="none"/>
        </w:rPr>
      </w:pPr>
    </w:p>
    <w:p w14:paraId="0A9B3EED">
      <w:pPr>
        <w:pStyle w:val="40"/>
        <w:rPr>
          <w:rFonts w:hint="eastAsia" w:ascii="仿宋" w:hAnsi="仿宋" w:eastAsia="仿宋" w:cs="仿宋"/>
          <w:sz w:val="24"/>
          <w:szCs w:val="24"/>
        </w:rPr>
      </w:pPr>
    </w:p>
    <w:p w14:paraId="44193D63">
      <w:pPr>
        <w:pStyle w:val="40"/>
        <w:rPr>
          <w:rFonts w:hint="eastAsia" w:ascii="仿宋" w:hAnsi="仿宋" w:eastAsia="仿宋" w:cs="仿宋"/>
          <w:sz w:val="24"/>
          <w:szCs w:val="24"/>
        </w:rPr>
      </w:pPr>
    </w:p>
    <w:p w14:paraId="6245F54A">
      <w:pPr>
        <w:pStyle w:val="40"/>
        <w:rPr>
          <w:rFonts w:hint="eastAsia" w:ascii="仿宋" w:hAnsi="仿宋" w:eastAsia="仿宋" w:cs="仿宋"/>
          <w:sz w:val="24"/>
          <w:szCs w:val="24"/>
        </w:rPr>
      </w:pPr>
    </w:p>
    <w:p w14:paraId="6C722711">
      <w:pPr>
        <w:pStyle w:val="40"/>
        <w:rPr>
          <w:rFonts w:hint="eastAsia" w:ascii="仿宋" w:hAnsi="仿宋" w:eastAsia="仿宋" w:cs="仿宋"/>
          <w:sz w:val="24"/>
          <w:szCs w:val="24"/>
        </w:rPr>
      </w:pPr>
    </w:p>
    <w:p w14:paraId="27F46F3E">
      <w:pPr>
        <w:pStyle w:val="40"/>
        <w:rPr>
          <w:rFonts w:hint="eastAsia" w:ascii="仿宋" w:hAnsi="仿宋" w:eastAsia="仿宋" w:cs="仿宋"/>
          <w:sz w:val="24"/>
          <w:szCs w:val="24"/>
        </w:rPr>
      </w:pPr>
    </w:p>
    <w:p w14:paraId="40ECB8E6">
      <w:pPr>
        <w:pStyle w:val="40"/>
        <w:rPr>
          <w:rFonts w:hint="eastAsia" w:ascii="仿宋" w:hAnsi="仿宋" w:eastAsia="仿宋" w:cs="仿宋"/>
          <w:sz w:val="24"/>
          <w:szCs w:val="24"/>
        </w:rPr>
      </w:pPr>
    </w:p>
    <w:p w14:paraId="1EB60A91">
      <w:pPr>
        <w:pStyle w:val="40"/>
        <w:rPr>
          <w:rFonts w:hint="eastAsia" w:ascii="仿宋" w:hAnsi="仿宋" w:eastAsia="仿宋" w:cs="仿宋"/>
          <w:sz w:val="24"/>
          <w:szCs w:val="24"/>
        </w:rPr>
      </w:pPr>
    </w:p>
    <w:p w14:paraId="22BF915F">
      <w:pPr>
        <w:jc w:val="center"/>
        <w:outlineLvl w:val="1"/>
        <w:rPr>
          <w:rFonts w:hint="eastAsia" w:ascii="仿宋" w:hAnsi="仿宋" w:eastAsia="仿宋" w:cs="仿宋"/>
          <w:b/>
          <w:sz w:val="24"/>
          <w:szCs w:val="24"/>
          <w:highlight w:val="none"/>
        </w:rPr>
      </w:pPr>
      <w:bookmarkStart w:id="78" w:name="_Toc27367"/>
      <w:bookmarkStart w:id="79" w:name="_Toc18997"/>
      <w:bookmarkStart w:id="80" w:name="_Toc5760"/>
      <w:r>
        <w:rPr>
          <w:rFonts w:hint="eastAsia" w:ascii="仿宋" w:hAnsi="仿宋" w:eastAsia="仿宋" w:cs="仿宋"/>
          <w:b/>
          <w:sz w:val="24"/>
          <w:szCs w:val="24"/>
          <w:highlight w:val="none"/>
          <w:lang w:eastAsia="zh-CN"/>
        </w:rPr>
        <w:t>（二）</w:t>
      </w:r>
      <w:r>
        <w:rPr>
          <w:rFonts w:hint="eastAsia" w:ascii="仿宋" w:hAnsi="仿宋" w:eastAsia="仿宋" w:cs="仿宋"/>
          <w:b/>
          <w:sz w:val="24"/>
          <w:szCs w:val="24"/>
          <w:highlight w:val="none"/>
        </w:rPr>
        <w:t xml:space="preserve"> 投标文件初审</w:t>
      </w:r>
      <w:bookmarkEnd w:id="69"/>
      <w:bookmarkEnd w:id="78"/>
      <w:bookmarkEnd w:id="79"/>
      <w:bookmarkEnd w:id="80"/>
    </w:p>
    <w:p w14:paraId="3FF705AC">
      <w:pPr>
        <w:spacing w:line="400" w:lineRule="exact"/>
        <w:ind w:firstLine="352" w:firstLineChars="147"/>
        <w:outlineLvl w:val="2"/>
        <w:rPr>
          <w:rFonts w:hint="eastAsia" w:ascii="仿宋" w:hAnsi="仿宋" w:eastAsia="仿宋" w:cs="仿宋"/>
          <w:b/>
          <w:sz w:val="24"/>
          <w:szCs w:val="24"/>
          <w:highlight w:val="none"/>
        </w:rPr>
      </w:pPr>
      <w:bookmarkStart w:id="81" w:name="_Toc5783"/>
      <w:r>
        <w:rPr>
          <w:rFonts w:hint="eastAsia" w:ascii="仿宋" w:hAnsi="仿宋" w:eastAsia="仿宋" w:cs="仿宋"/>
          <w:b/>
          <w:sz w:val="24"/>
          <w:szCs w:val="24"/>
          <w:highlight w:val="none"/>
        </w:rPr>
        <w:t>6.资格性审查:</w:t>
      </w:r>
      <w:bookmarkEnd w:id="81"/>
    </w:p>
    <w:p w14:paraId="67A1ADDE">
      <w:pPr>
        <w:spacing w:line="400" w:lineRule="exact"/>
        <w:ind w:firstLine="352" w:firstLineChars="147"/>
        <w:rPr>
          <w:rFonts w:hint="eastAsia" w:ascii="仿宋" w:hAnsi="仿宋" w:eastAsia="仿宋" w:cs="仿宋"/>
          <w:sz w:val="24"/>
          <w:szCs w:val="24"/>
          <w:highlight w:val="none"/>
        </w:rPr>
      </w:pPr>
      <w:r>
        <w:rPr>
          <w:rFonts w:hint="eastAsia" w:ascii="仿宋" w:hAnsi="仿宋" w:eastAsia="仿宋" w:cs="仿宋"/>
          <w:sz w:val="24"/>
          <w:szCs w:val="24"/>
          <w:highlight w:val="none"/>
        </w:rPr>
        <w:t>6.1评审细则</w:t>
      </w:r>
    </w:p>
    <w:tbl>
      <w:tblPr>
        <w:tblStyle w:val="25"/>
        <w:tblW w:w="9060" w:type="dxa"/>
        <w:jc w:val="center"/>
        <w:tblLayout w:type="fixed"/>
        <w:tblCellMar>
          <w:top w:w="0" w:type="dxa"/>
          <w:left w:w="15" w:type="dxa"/>
          <w:bottom w:w="0" w:type="dxa"/>
          <w:right w:w="15" w:type="dxa"/>
        </w:tblCellMar>
      </w:tblPr>
      <w:tblGrid>
        <w:gridCol w:w="885"/>
        <w:gridCol w:w="8175"/>
      </w:tblGrid>
      <w:tr w14:paraId="455540E8">
        <w:tblPrEx>
          <w:tblCellMar>
            <w:top w:w="0" w:type="dxa"/>
            <w:left w:w="15" w:type="dxa"/>
            <w:bottom w:w="0" w:type="dxa"/>
            <w:right w:w="15" w:type="dxa"/>
          </w:tblCellMar>
        </w:tblPrEx>
        <w:trPr>
          <w:trHeight w:val="429" w:hRule="atLeast"/>
          <w:jc w:val="center"/>
        </w:trPr>
        <w:tc>
          <w:tcPr>
            <w:tcW w:w="885" w:type="dxa"/>
            <w:tcBorders>
              <w:top w:val="single" w:color="000000" w:sz="4" w:space="0"/>
              <w:left w:val="single" w:color="000000" w:sz="4" w:space="0"/>
              <w:bottom w:val="single" w:color="auto" w:sz="4" w:space="0"/>
              <w:right w:val="single" w:color="000000" w:sz="4" w:space="0"/>
            </w:tcBorders>
            <w:vAlign w:val="center"/>
          </w:tcPr>
          <w:p w14:paraId="5C17FCAC">
            <w:pPr>
              <w:autoSpaceDN w:val="0"/>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8175" w:type="dxa"/>
            <w:tcBorders>
              <w:top w:val="single" w:color="000000" w:sz="4" w:space="0"/>
              <w:left w:val="single" w:color="000000" w:sz="4" w:space="0"/>
              <w:bottom w:val="single" w:color="000000" w:sz="4" w:space="0"/>
              <w:right w:val="single" w:color="000000" w:sz="4" w:space="0"/>
            </w:tcBorders>
            <w:vAlign w:val="center"/>
          </w:tcPr>
          <w:p w14:paraId="40DB9D7A">
            <w:pPr>
              <w:autoSpaceDN w:val="0"/>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资质审查</w:t>
            </w:r>
          </w:p>
        </w:tc>
      </w:tr>
      <w:tr w14:paraId="3BCA2904">
        <w:tblPrEx>
          <w:tblCellMar>
            <w:top w:w="0" w:type="dxa"/>
            <w:left w:w="15" w:type="dxa"/>
            <w:bottom w:w="0" w:type="dxa"/>
            <w:right w:w="15" w:type="dxa"/>
          </w:tblCellMar>
        </w:tblPrEx>
        <w:trPr>
          <w:trHeight w:val="387"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13CB0E4E">
            <w:pPr>
              <w:autoSpaceDN w:val="0"/>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175" w:type="dxa"/>
            <w:tcBorders>
              <w:top w:val="single" w:color="000000" w:sz="4" w:space="0"/>
              <w:left w:val="single" w:color="auto" w:sz="4" w:space="0"/>
              <w:bottom w:val="single" w:color="000000" w:sz="4" w:space="0"/>
              <w:right w:val="single" w:color="000000" w:sz="4" w:space="0"/>
            </w:tcBorders>
            <w:vAlign w:val="center"/>
          </w:tcPr>
          <w:p w14:paraId="41128231">
            <w:pPr>
              <w:autoSpaceDN w:val="0"/>
              <w:spacing w:line="440" w:lineRule="exac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具备三证合一营业执照；</w:t>
            </w:r>
          </w:p>
        </w:tc>
      </w:tr>
      <w:tr w14:paraId="51316237">
        <w:tblPrEx>
          <w:tblCellMar>
            <w:top w:w="0" w:type="dxa"/>
            <w:left w:w="15" w:type="dxa"/>
            <w:bottom w:w="0" w:type="dxa"/>
            <w:right w:w="15" w:type="dxa"/>
          </w:tblCellMar>
        </w:tblPrEx>
        <w:trPr>
          <w:trHeight w:val="1136"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48B62455">
            <w:pPr>
              <w:autoSpaceDN w:val="0"/>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175" w:type="dxa"/>
            <w:tcBorders>
              <w:top w:val="single" w:color="000000" w:sz="4" w:space="0"/>
              <w:left w:val="single" w:color="auto" w:sz="4" w:space="0"/>
              <w:bottom w:val="single" w:color="000000" w:sz="4" w:space="0"/>
              <w:right w:val="single" w:color="000000" w:sz="4" w:space="0"/>
            </w:tcBorders>
            <w:vAlign w:val="center"/>
          </w:tcPr>
          <w:p w14:paraId="0F85159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法定代表人（负责人）参加提供法定代表人（负责人）证明书，委托代理人参加提供法人代表（负责人）授权委托书；投标银行为非法人机构的，提供上一级银行授权委托书</w:t>
            </w:r>
            <w:r>
              <w:rPr>
                <w:rFonts w:hint="eastAsia" w:ascii="仿宋" w:hAnsi="仿宋" w:eastAsia="仿宋" w:cs="仿宋"/>
                <w:color w:val="auto"/>
                <w:sz w:val="24"/>
                <w:szCs w:val="24"/>
                <w:highlight w:val="none"/>
              </w:rPr>
              <w:t>；</w:t>
            </w:r>
          </w:p>
        </w:tc>
      </w:tr>
      <w:tr w14:paraId="53810839">
        <w:tblPrEx>
          <w:tblCellMar>
            <w:top w:w="0" w:type="dxa"/>
            <w:left w:w="15" w:type="dxa"/>
            <w:bottom w:w="0" w:type="dxa"/>
            <w:right w:w="15" w:type="dxa"/>
          </w:tblCellMar>
        </w:tblPrEx>
        <w:trPr>
          <w:trHeight w:val="657"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64CECE87">
            <w:pPr>
              <w:autoSpaceDN w:val="0"/>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175" w:type="dxa"/>
            <w:tcBorders>
              <w:top w:val="single" w:color="000000" w:sz="4" w:space="0"/>
              <w:left w:val="single" w:color="auto" w:sz="4" w:space="0"/>
              <w:bottom w:val="single" w:color="000000" w:sz="4" w:space="0"/>
              <w:right w:val="single" w:color="000000" w:sz="4" w:space="0"/>
            </w:tcBorders>
            <w:vAlign w:val="center"/>
          </w:tcPr>
          <w:p w14:paraId="6C54A04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投标企业须提供投标人（被授权人）近6个月任意1个月的社保证明；</w:t>
            </w:r>
          </w:p>
        </w:tc>
      </w:tr>
      <w:tr w14:paraId="49EF25C5">
        <w:tblPrEx>
          <w:tblCellMar>
            <w:top w:w="0" w:type="dxa"/>
            <w:left w:w="15" w:type="dxa"/>
            <w:bottom w:w="0" w:type="dxa"/>
            <w:right w:w="15" w:type="dxa"/>
          </w:tblCellMar>
        </w:tblPrEx>
        <w:trPr>
          <w:trHeight w:val="365"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15593957">
            <w:pPr>
              <w:autoSpaceDN w:val="0"/>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175" w:type="dxa"/>
            <w:tcBorders>
              <w:top w:val="single" w:color="000000" w:sz="4" w:space="0"/>
              <w:left w:val="single" w:color="auto" w:sz="4" w:space="0"/>
              <w:bottom w:val="single" w:color="000000" w:sz="4" w:space="0"/>
              <w:right w:val="single" w:color="000000" w:sz="4" w:space="0"/>
            </w:tcBorders>
            <w:vAlign w:val="center"/>
          </w:tcPr>
          <w:p w14:paraId="6A535F37">
            <w:pPr>
              <w:autoSpaceDN w:val="0"/>
              <w:spacing w:line="440" w:lineRule="exac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投标企业需提供</w:t>
            </w:r>
            <w:r>
              <w:rPr>
                <w:rFonts w:hint="eastAsia" w:ascii="仿宋" w:hAnsi="仿宋" w:eastAsia="仿宋" w:cs="仿宋"/>
                <w:color w:val="auto"/>
                <w:sz w:val="24"/>
                <w:szCs w:val="24"/>
                <w:highlight w:val="none"/>
                <w:lang w:eastAsia="zh-CN"/>
              </w:rPr>
              <w:t>中国银行业监督管理委员会有效的《中华人民共和国金融许可证》或《金融机构营业许可证》；</w:t>
            </w:r>
          </w:p>
        </w:tc>
      </w:tr>
      <w:tr w14:paraId="3A4B78BE">
        <w:tblPrEx>
          <w:tblCellMar>
            <w:top w:w="0" w:type="dxa"/>
            <w:left w:w="15" w:type="dxa"/>
            <w:bottom w:w="0" w:type="dxa"/>
            <w:right w:w="15" w:type="dxa"/>
          </w:tblCellMar>
        </w:tblPrEx>
        <w:trPr>
          <w:trHeight w:val="371"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00900DEC">
            <w:pPr>
              <w:autoSpaceDN w:val="0"/>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175" w:type="dxa"/>
            <w:tcBorders>
              <w:top w:val="single" w:color="000000" w:sz="4" w:space="0"/>
              <w:left w:val="single" w:color="auto" w:sz="4" w:space="0"/>
              <w:bottom w:val="single" w:color="000000" w:sz="4" w:space="0"/>
              <w:right w:val="single" w:color="000000" w:sz="4" w:space="0"/>
            </w:tcBorders>
            <w:vAlign w:val="center"/>
          </w:tcPr>
          <w:p w14:paraId="2AC026A1">
            <w:pPr>
              <w:autoSpaceDN w:val="0"/>
              <w:spacing w:line="440" w:lineRule="exac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投标企业未被列入信用中国网（www.creditchina.gov.cn）及中国政府采购网 (www.ccgp.gov.cn）失信被执行人名单、重大税收违法失信主体、政府采购严重违法失信行为记录名单。</w:t>
            </w:r>
          </w:p>
        </w:tc>
      </w:tr>
      <w:tr w14:paraId="2329165F">
        <w:tblPrEx>
          <w:tblCellMar>
            <w:top w:w="0" w:type="dxa"/>
            <w:left w:w="15" w:type="dxa"/>
            <w:bottom w:w="0" w:type="dxa"/>
            <w:right w:w="15" w:type="dxa"/>
          </w:tblCellMar>
        </w:tblPrEx>
        <w:trPr>
          <w:trHeight w:val="123"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vAlign w:val="center"/>
          </w:tcPr>
          <w:p w14:paraId="5FF49E9E">
            <w:pPr>
              <w:autoSpaceDN w:val="0"/>
              <w:spacing w:line="440" w:lineRule="exact"/>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符合通过打“√”，不通过打“×”审查不通过的为投标无效。</w:t>
            </w:r>
          </w:p>
        </w:tc>
      </w:tr>
    </w:tbl>
    <w:p w14:paraId="51BEDACA">
      <w:pPr>
        <w:spacing w:line="400" w:lineRule="exact"/>
        <w:ind w:firstLine="578" w:firstLineChars="241"/>
        <w:rPr>
          <w:rFonts w:hint="eastAsia" w:ascii="仿宋" w:hAnsi="仿宋" w:eastAsia="仿宋" w:cs="仿宋"/>
          <w:b/>
          <w:sz w:val="24"/>
          <w:szCs w:val="24"/>
          <w:highlight w:val="none"/>
        </w:rPr>
      </w:pPr>
      <w:r>
        <w:rPr>
          <w:rFonts w:hint="eastAsia" w:ascii="仿宋" w:hAnsi="仿宋" w:eastAsia="仿宋" w:cs="仿宋"/>
          <w:b/>
          <w:sz w:val="24"/>
          <w:szCs w:val="24"/>
          <w:highlight w:val="none"/>
        </w:rPr>
        <w:t>6.2如评标专家在检验电子标书过程中，如果由于投标人自身原因导致评标专家无法查看并检验电子标书中以上相关资料的，否决其投标。即使投标单位将原件携带至现场的，同样按无效投标处理。</w:t>
      </w:r>
    </w:p>
    <w:p w14:paraId="0BB1885B">
      <w:pPr>
        <w:spacing w:before="156" w:beforeLines="50" w:line="440" w:lineRule="exact"/>
        <w:ind w:firstLine="352" w:firstLineChars="147"/>
        <w:outlineLvl w:val="2"/>
        <w:rPr>
          <w:rFonts w:hint="eastAsia" w:ascii="仿宋" w:hAnsi="仿宋" w:eastAsia="仿宋" w:cs="仿宋"/>
          <w:b/>
          <w:sz w:val="24"/>
          <w:szCs w:val="24"/>
          <w:highlight w:val="none"/>
        </w:rPr>
      </w:pPr>
      <w:bookmarkStart w:id="82" w:name="_Toc20642"/>
      <w:r>
        <w:rPr>
          <w:rFonts w:hint="eastAsia" w:ascii="仿宋" w:hAnsi="仿宋" w:eastAsia="仿宋" w:cs="仿宋"/>
          <w:b/>
          <w:sz w:val="24"/>
          <w:szCs w:val="24"/>
          <w:highlight w:val="none"/>
        </w:rPr>
        <w:t>7.符合性审查</w:t>
      </w:r>
      <w:bookmarkEnd w:id="82"/>
    </w:p>
    <w:p w14:paraId="44830DB7">
      <w:pPr>
        <w:spacing w:line="44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7．1评审细则</w:t>
      </w:r>
    </w:p>
    <w:tbl>
      <w:tblPr>
        <w:tblStyle w:val="25"/>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8322"/>
      </w:tblGrid>
      <w:tr w14:paraId="43FE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18" w:type="dxa"/>
            <w:vAlign w:val="center"/>
          </w:tcPr>
          <w:p w14:paraId="7AC95FBF">
            <w:pPr>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8322" w:type="dxa"/>
            <w:vAlign w:val="center"/>
          </w:tcPr>
          <w:p w14:paraId="5430527A">
            <w:pPr>
              <w:spacing w:line="44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符合性审查要求</w:t>
            </w:r>
          </w:p>
        </w:tc>
      </w:tr>
      <w:tr w14:paraId="20D4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18" w:type="dxa"/>
            <w:vAlign w:val="center"/>
          </w:tcPr>
          <w:p w14:paraId="794E8D6E">
            <w:pPr>
              <w:spacing w:line="440" w:lineRule="exact"/>
              <w:ind w:firstLine="240" w:firstLineChars="1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8322" w:type="dxa"/>
            <w:vAlign w:val="center"/>
          </w:tcPr>
          <w:p w14:paraId="090F2ADD">
            <w:pPr>
              <w:spacing w:line="440" w:lineRule="exact"/>
              <w:jc w:val="both"/>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报价符合磋商文件要求</w:t>
            </w:r>
          </w:p>
        </w:tc>
      </w:tr>
      <w:tr w14:paraId="04A6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18" w:type="dxa"/>
            <w:vAlign w:val="center"/>
          </w:tcPr>
          <w:p w14:paraId="5DC0CE7A">
            <w:pPr>
              <w:spacing w:line="44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p>
        </w:tc>
        <w:tc>
          <w:tcPr>
            <w:tcW w:w="8322" w:type="dxa"/>
            <w:vAlign w:val="center"/>
          </w:tcPr>
          <w:p w14:paraId="02F1B6EB">
            <w:pPr>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w:t>
            </w:r>
            <w:r>
              <w:rPr>
                <w:rFonts w:hint="eastAsia" w:ascii="仿宋" w:hAnsi="仿宋" w:eastAsia="仿宋" w:cs="仿宋"/>
                <w:bCs/>
                <w:color w:val="auto"/>
                <w:sz w:val="24"/>
                <w:szCs w:val="24"/>
                <w:highlight w:val="none"/>
                <w:lang w:eastAsia="zh-CN"/>
              </w:rPr>
              <w:t>企业</w:t>
            </w:r>
            <w:r>
              <w:rPr>
                <w:rFonts w:hint="eastAsia" w:ascii="仿宋" w:hAnsi="仿宋" w:eastAsia="仿宋" w:cs="仿宋"/>
                <w:bCs/>
                <w:color w:val="auto"/>
                <w:sz w:val="24"/>
                <w:szCs w:val="24"/>
                <w:highlight w:val="none"/>
              </w:rPr>
              <w:t>名称与营业执照一致</w:t>
            </w:r>
            <w:r>
              <w:rPr>
                <w:rFonts w:hint="eastAsia" w:ascii="仿宋" w:hAnsi="仿宋" w:eastAsia="仿宋" w:cs="仿宋"/>
                <w:bCs/>
                <w:color w:val="auto"/>
                <w:sz w:val="24"/>
                <w:szCs w:val="24"/>
                <w:highlight w:val="none"/>
                <w:lang w:eastAsia="zh-CN"/>
              </w:rPr>
              <w:t>。</w:t>
            </w:r>
          </w:p>
        </w:tc>
      </w:tr>
      <w:tr w14:paraId="1378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18" w:type="dxa"/>
            <w:vAlign w:val="center"/>
          </w:tcPr>
          <w:p w14:paraId="0D7C3660">
            <w:pPr>
              <w:spacing w:line="44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w:t>
            </w:r>
          </w:p>
        </w:tc>
        <w:tc>
          <w:tcPr>
            <w:tcW w:w="8322" w:type="dxa"/>
            <w:vAlign w:val="center"/>
          </w:tcPr>
          <w:p w14:paraId="18E6E9CE">
            <w:pPr>
              <w:spacing w:line="440" w:lineRule="exac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按</w:t>
            </w:r>
            <w:r>
              <w:rPr>
                <w:rFonts w:hint="eastAsia" w:ascii="仿宋" w:hAnsi="仿宋" w:eastAsia="仿宋" w:cs="仿宋"/>
                <w:bCs/>
                <w:color w:val="auto"/>
                <w:sz w:val="24"/>
                <w:szCs w:val="24"/>
                <w:highlight w:val="none"/>
                <w:lang w:eastAsia="zh-CN"/>
              </w:rPr>
              <w:t>磋商文件</w:t>
            </w:r>
            <w:r>
              <w:rPr>
                <w:rFonts w:hint="eastAsia" w:ascii="仿宋" w:hAnsi="仿宋" w:eastAsia="仿宋" w:cs="仿宋"/>
                <w:bCs/>
                <w:color w:val="auto"/>
                <w:sz w:val="24"/>
                <w:szCs w:val="24"/>
                <w:highlight w:val="none"/>
              </w:rPr>
              <w:t>的格式提供或按规定签章的</w:t>
            </w:r>
            <w:r>
              <w:rPr>
                <w:rFonts w:hint="eastAsia" w:ascii="仿宋" w:hAnsi="仿宋" w:eastAsia="仿宋" w:cs="仿宋"/>
                <w:bCs/>
                <w:color w:val="auto"/>
                <w:sz w:val="24"/>
                <w:szCs w:val="24"/>
                <w:highlight w:val="none"/>
                <w:lang w:eastAsia="zh-CN"/>
              </w:rPr>
              <w:t>。</w:t>
            </w:r>
          </w:p>
        </w:tc>
      </w:tr>
      <w:tr w14:paraId="07CD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8" w:type="dxa"/>
            <w:vAlign w:val="center"/>
          </w:tcPr>
          <w:p w14:paraId="147EF510">
            <w:pPr>
              <w:spacing w:line="44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4</w:t>
            </w:r>
          </w:p>
        </w:tc>
        <w:tc>
          <w:tcPr>
            <w:tcW w:w="8322" w:type="dxa"/>
            <w:vAlign w:val="center"/>
          </w:tcPr>
          <w:p w14:paraId="41CDF7DD">
            <w:pPr>
              <w:spacing w:line="440" w:lineRule="exac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服务期限符合</w:t>
            </w:r>
            <w:r>
              <w:rPr>
                <w:rFonts w:hint="eastAsia" w:ascii="仿宋" w:hAnsi="仿宋" w:eastAsia="仿宋" w:cs="仿宋"/>
                <w:bCs/>
                <w:color w:val="auto"/>
                <w:sz w:val="24"/>
                <w:szCs w:val="24"/>
                <w:highlight w:val="none"/>
                <w:lang w:eastAsia="zh-CN"/>
              </w:rPr>
              <w:t>磋商文件</w:t>
            </w:r>
            <w:r>
              <w:rPr>
                <w:rFonts w:hint="eastAsia" w:ascii="仿宋" w:hAnsi="仿宋" w:eastAsia="仿宋" w:cs="仿宋"/>
                <w:bCs/>
                <w:color w:val="auto"/>
                <w:sz w:val="24"/>
                <w:szCs w:val="24"/>
                <w:highlight w:val="none"/>
              </w:rPr>
              <w:t>要求。</w:t>
            </w:r>
          </w:p>
        </w:tc>
      </w:tr>
      <w:tr w14:paraId="2A55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18" w:type="dxa"/>
            <w:vAlign w:val="center"/>
          </w:tcPr>
          <w:p w14:paraId="08E5E7A7">
            <w:pPr>
              <w:spacing w:line="44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5</w:t>
            </w:r>
          </w:p>
        </w:tc>
        <w:tc>
          <w:tcPr>
            <w:tcW w:w="8322" w:type="dxa"/>
            <w:vAlign w:val="center"/>
          </w:tcPr>
          <w:p w14:paraId="25784DEA">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内容齐全、无遗漏。</w:t>
            </w:r>
          </w:p>
        </w:tc>
      </w:tr>
      <w:tr w14:paraId="7652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18" w:type="dxa"/>
            <w:vAlign w:val="center"/>
          </w:tcPr>
          <w:p w14:paraId="5C1ED5FE">
            <w:pPr>
              <w:spacing w:line="44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6</w:t>
            </w:r>
          </w:p>
        </w:tc>
        <w:tc>
          <w:tcPr>
            <w:tcW w:w="8322" w:type="dxa"/>
            <w:vAlign w:val="center"/>
          </w:tcPr>
          <w:p w14:paraId="31F8C106">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未附有</w:t>
            </w:r>
            <w:r>
              <w:rPr>
                <w:rFonts w:hint="eastAsia" w:ascii="仿宋" w:hAnsi="仿宋" w:eastAsia="仿宋" w:cs="仿宋"/>
                <w:bCs/>
                <w:color w:val="auto"/>
                <w:sz w:val="24"/>
                <w:szCs w:val="24"/>
                <w:highlight w:val="none"/>
                <w:lang w:eastAsia="zh-CN"/>
              </w:rPr>
              <w:t>采购</w:t>
            </w:r>
            <w:r>
              <w:rPr>
                <w:rFonts w:hint="eastAsia" w:ascii="仿宋" w:hAnsi="仿宋" w:eastAsia="仿宋" w:cs="仿宋"/>
                <w:bCs/>
                <w:color w:val="auto"/>
                <w:sz w:val="24"/>
                <w:szCs w:val="24"/>
                <w:highlight w:val="none"/>
              </w:rPr>
              <w:t>人不能接受的附加条件及法律、法规和</w:t>
            </w:r>
            <w:r>
              <w:rPr>
                <w:rFonts w:hint="eastAsia" w:ascii="仿宋" w:hAnsi="仿宋" w:eastAsia="仿宋" w:cs="仿宋"/>
                <w:bCs/>
                <w:color w:val="auto"/>
                <w:sz w:val="24"/>
                <w:szCs w:val="24"/>
                <w:highlight w:val="none"/>
                <w:lang w:eastAsia="zh-CN"/>
              </w:rPr>
              <w:t>磋商文件</w:t>
            </w:r>
            <w:r>
              <w:rPr>
                <w:rFonts w:hint="eastAsia" w:ascii="仿宋" w:hAnsi="仿宋" w:eastAsia="仿宋" w:cs="仿宋"/>
                <w:bCs/>
                <w:color w:val="auto"/>
                <w:sz w:val="24"/>
                <w:szCs w:val="24"/>
                <w:highlight w:val="none"/>
              </w:rPr>
              <w:t>规定的其他无效情形。</w:t>
            </w:r>
          </w:p>
        </w:tc>
      </w:tr>
      <w:tr w14:paraId="2372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9040" w:type="dxa"/>
            <w:gridSpan w:val="2"/>
            <w:vAlign w:val="center"/>
          </w:tcPr>
          <w:p w14:paraId="2C45964B">
            <w:pPr>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（符合通过打“√”，不通过打“×”；</w:t>
            </w:r>
            <w:r>
              <w:rPr>
                <w:rFonts w:hint="eastAsia" w:ascii="仿宋" w:hAnsi="仿宋" w:eastAsia="仿宋" w:cs="仿宋"/>
                <w:color w:val="auto"/>
                <w:sz w:val="24"/>
                <w:szCs w:val="24"/>
                <w:highlight w:val="none"/>
              </w:rPr>
              <w:t>评审专家对响应文件进行审查，审查不通过的将投标无效。</w:t>
            </w:r>
            <w:r>
              <w:rPr>
                <w:rFonts w:hint="eastAsia" w:ascii="仿宋" w:hAnsi="仿宋" w:eastAsia="仿宋" w:cs="仿宋"/>
                <w:bCs/>
                <w:color w:val="auto"/>
                <w:sz w:val="24"/>
                <w:szCs w:val="24"/>
                <w:highlight w:val="none"/>
              </w:rPr>
              <w:t>）</w:t>
            </w:r>
          </w:p>
        </w:tc>
      </w:tr>
    </w:tbl>
    <w:p w14:paraId="361B7CF5">
      <w:pPr>
        <w:rPr>
          <w:rFonts w:hint="eastAsia" w:ascii="仿宋" w:hAnsi="仿宋" w:eastAsia="仿宋" w:cs="仿宋"/>
          <w:sz w:val="24"/>
          <w:szCs w:val="24"/>
          <w:highlight w:val="none"/>
        </w:rPr>
      </w:pPr>
    </w:p>
    <w:p w14:paraId="204BB9FC">
      <w:pPr>
        <w:spacing w:line="400" w:lineRule="exact"/>
        <w:ind w:firstLine="578" w:firstLineChars="241"/>
        <w:rPr>
          <w:rFonts w:hint="eastAsia" w:ascii="仿宋" w:hAnsi="仿宋" w:eastAsia="仿宋" w:cs="仿宋"/>
          <w:sz w:val="24"/>
          <w:szCs w:val="24"/>
          <w:highlight w:val="none"/>
        </w:rPr>
      </w:pPr>
      <w:r>
        <w:rPr>
          <w:rFonts w:hint="eastAsia" w:ascii="仿宋" w:hAnsi="仿宋" w:eastAsia="仿宋" w:cs="仿宋"/>
          <w:sz w:val="24"/>
          <w:szCs w:val="24"/>
          <w:highlight w:val="none"/>
        </w:rPr>
        <w:t>7.2评委会判定投标文件的响应性只根据投标文件本身的内容，而不寻求外部的证据，但投标有不真实不正确的内容时除外。</w:t>
      </w:r>
    </w:p>
    <w:p w14:paraId="39EAC45D">
      <w:pPr>
        <w:spacing w:line="400" w:lineRule="exact"/>
        <w:ind w:firstLine="578" w:firstLineChars="241"/>
        <w:rPr>
          <w:rFonts w:hint="eastAsia" w:ascii="仿宋" w:hAnsi="仿宋" w:eastAsia="仿宋" w:cs="仿宋"/>
          <w:sz w:val="24"/>
          <w:szCs w:val="24"/>
          <w:highlight w:val="none"/>
        </w:rPr>
      </w:pPr>
      <w:r>
        <w:rPr>
          <w:rFonts w:hint="eastAsia" w:ascii="仿宋" w:hAnsi="仿宋" w:eastAsia="仿宋" w:cs="仿宋"/>
          <w:sz w:val="24"/>
          <w:szCs w:val="24"/>
          <w:highlight w:val="none"/>
        </w:rPr>
        <w:t>7.3如果投标文件实质上没有响应采购文件的要求，评委会将予以拒绝，投标人不得通过修正或撤销不符合要求的偏离或保留，而使其投标成为实质上响应的投标。</w:t>
      </w:r>
    </w:p>
    <w:p w14:paraId="645DB176">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7.4投标人可在现场20分钟内对评标委员会的评审结论提出异议，评标委员会根据采购文件及有关规定对投标人的异议进行复议</w:t>
      </w:r>
    </w:p>
    <w:p w14:paraId="53DFBEF8">
      <w:pPr>
        <w:spacing w:line="400" w:lineRule="exact"/>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7.5只有通过初审的投标人才能进入下一步评标程序。</w:t>
      </w:r>
    </w:p>
    <w:p w14:paraId="698CF318">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14:paraId="4CCC4B9B">
      <w:pPr>
        <w:spacing w:before="156" w:beforeLines="50" w:line="400" w:lineRule="exact"/>
        <w:jc w:val="center"/>
        <w:outlineLvl w:val="1"/>
        <w:rPr>
          <w:rFonts w:hint="eastAsia" w:ascii="仿宋" w:hAnsi="仿宋" w:eastAsia="仿宋" w:cs="仿宋"/>
          <w:b/>
          <w:sz w:val="24"/>
          <w:szCs w:val="24"/>
          <w:highlight w:val="none"/>
        </w:rPr>
      </w:pPr>
      <w:bookmarkStart w:id="83" w:name="_Toc13475"/>
      <w:bookmarkStart w:id="84" w:name="_Toc362983803"/>
      <w:bookmarkStart w:id="85" w:name="_Toc23329"/>
      <w:bookmarkStart w:id="86" w:name="_Toc19366"/>
      <w:r>
        <w:rPr>
          <w:rFonts w:hint="eastAsia" w:ascii="仿宋" w:hAnsi="仿宋" w:eastAsia="仿宋" w:cs="仿宋"/>
          <w:b/>
          <w:sz w:val="24"/>
          <w:szCs w:val="24"/>
          <w:highlight w:val="none"/>
          <w:lang w:eastAsia="zh-CN"/>
        </w:rPr>
        <w:t>（三）</w:t>
      </w:r>
      <w:r>
        <w:rPr>
          <w:rFonts w:hint="eastAsia" w:ascii="仿宋" w:hAnsi="仿宋" w:eastAsia="仿宋" w:cs="仿宋"/>
          <w:b/>
          <w:sz w:val="24"/>
          <w:szCs w:val="24"/>
          <w:highlight w:val="none"/>
        </w:rPr>
        <w:t xml:space="preserve">  投标文件的澄清和补正</w:t>
      </w:r>
      <w:bookmarkEnd w:id="83"/>
      <w:bookmarkEnd w:id="84"/>
      <w:bookmarkEnd w:id="85"/>
      <w:bookmarkEnd w:id="86"/>
    </w:p>
    <w:p w14:paraId="2F10EADD">
      <w:pPr>
        <w:spacing w:line="440" w:lineRule="exact"/>
        <w:ind w:firstLine="240" w:firstLineChars="100"/>
        <w:jc w:val="left"/>
        <w:outlineLvl w:val="2"/>
        <w:rPr>
          <w:rFonts w:hint="eastAsia" w:ascii="仿宋" w:hAnsi="仿宋" w:eastAsia="仿宋" w:cs="仿宋"/>
          <w:b/>
          <w:bCs/>
          <w:sz w:val="24"/>
          <w:szCs w:val="24"/>
          <w:highlight w:val="none"/>
        </w:rPr>
      </w:pPr>
      <w:bookmarkStart w:id="87" w:name="_Toc3889"/>
      <w:r>
        <w:rPr>
          <w:rFonts w:hint="eastAsia" w:ascii="仿宋" w:hAnsi="仿宋" w:eastAsia="仿宋" w:cs="仿宋"/>
          <w:b/>
          <w:bCs/>
          <w:sz w:val="24"/>
          <w:szCs w:val="24"/>
          <w:highlight w:val="none"/>
        </w:rPr>
        <w:t>8．澄清、说明或补正的形式</w:t>
      </w:r>
      <w:bookmarkEnd w:id="87"/>
    </w:p>
    <w:p w14:paraId="1496204B">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0F406705">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29BF7CE0">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785DFADE">
      <w:pPr>
        <w:spacing w:line="440" w:lineRule="exact"/>
        <w:ind w:firstLine="240" w:firstLineChars="100"/>
        <w:jc w:val="left"/>
        <w:outlineLvl w:val="2"/>
        <w:rPr>
          <w:rFonts w:hint="eastAsia" w:ascii="仿宋" w:hAnsi="仿宋" w:eastAsia="仿宋" w:cs="仿宋"/>
          <w:b/>
          <w:bCs/>
          <w:sz w:val="24"/>
          <w:szCs w:val="24"/>
          <w:highlight w:val="none"/>
        </w:rPr>
      </w:pPr>
      <w:bookmarkStart w:id="88" w:name="_Toc16390"/>
      <w:r>
        <w:rPr>
          <w:rFonts w:hint="eastAsia" w:ascii="仿宋" w:hAnsi="仿宋" w:eastAsia="仿宋" w:cs="仿宋"/>
          <w:b/>
          <w:bCs/>
          <w:sz w:val="24"/>
          <w:szCs w:val="24"/>
          <w:highlight w:val="none"/>
        </w:rPr>
        <w:t>9．错误修正的原则</w:t>
      </w:r>
      <w:bookmarkEnd w:id="88"/>
    </w:p>
    <w:p w14:paraId="2AAE3E85">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9.1</w:t>
      </w:r>
      <w:r>
        <w:rPr>
          <w:rFonts w:hint="eastAsia" w:ascii="仿宋" w:hAnsi="仿宋" w:eastAsia="仿宋" w:cs="仿宋"/>
          <w:sz w:val="24"/>
          <w:szCs w:val="24"/>
          <w:highlight w:val="none"/>
        </w:rPr>
        <w:t>电子交易平台客户端里开标一览表录入的投标报价或优惠率与扫描上传的报价文件信息不一致的，以扫描上传的报价文件信息为准进行修正。</w:t>
      </w:r>
    </w:p>
    <w:p w14:paraId="30DAFC47">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9.2</w:t>
      </w:r>
      <w:r>
        <w:rPr>
          <w:rFonts w:hint="eastAsia" w:ascii="仿宋" w:hAnsi="仿宋" w:eastAsia="仿宋" w:cs="仿宋"/>
          <w:sz w:val="24"/>
          <w:szCs w:val="24"/>
          <w:highlight w:val="none"/>
        </w:rPr>
        <w:t>投标文件报价出现前后不一致的，除采购文件另有规定外，按照下列规定修正：</w:t>
      </w:r>
    </w:p>
    <w:p w14:paraId="38ED2747">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xml:space="preserve"> 投标函中表述的内容与报价表中不一致的，以报价表为准；报价表中的内容与报价明细表不一致的，以报价表为准；</w:t>
      </w:r>
    </w:p>
    <w:p w14:paraId="6CFEC9E9">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 xml:space="preserve"> 投标文件中的大写金额和小写金额不一致的，以大写金额为准；</w:t>
      </w:r>
    </w:p>
    <w:p w14:paraId="04EE81CC">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xml:space="preserve"> 单价金额小数点或者百分比有明显错位的，以开标一览表的总价为准，并修改单价；</w:t>
      </w:r>
    </w:p>
    <w:p w14:paraId="021F28E5">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总价金额与按单价汇总金额不一致的，以单价金额计算结果为准；</w:t>
      </w:r>
    </w:p>
    <w:p w14:paraId="06562875">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若用文字表示的数值与用数字表示的数值不一致，以文字表示的数值为准；</w:t>
      </w:r>
    </w:p>
    <w:p w14:paraId="3AD352D0">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 xml:space="preserve"> 如有多报（指数量超出采购文件需求）、重报（指同一货物重复报价），其投标总价在评标过程中不予调整，如其中标，其合同价按其投标单价予以调整；</w:t>
      </w:r>
    </w:p>
    <w:p w14:paraId="14A19617">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 xml:space="preserve"> 对不同文字文本投标文件的解释发生异议的，以中文文本为准；</w:t>
      </w:r>
    </w:p>
    <w:p w14:paraId="0E39174D">
      <w:pPr>
        <w:spacing w:line="440" w:lineRule="exact"/>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注：</w:t>
      </w:r>
      <w:r>
        <w:rPr>
          <w:rFonts w:hint="eastAsia" w:ascii="仿宋" w:hAnsi="仿宋" w:eastAsia="仿宋" w:cs="仿宋"/>
          <w:sz w:val="24"/>
          <w:szCs w:val="24"/>
          <w:highlight w:val="none"/>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5F45CB90">
      <w:pPr>
        <w:spacing w:line="400" w:lineRule="exact"/>
        <w:jc w:val="center"/>
        <w:outlineLvl w:val="1"/>
        <w:rPr>
          <w:rFonts w:hint="eastAsia" w:ascii="仿宋" w:hAnsi="仿宋" w:eastAsia="仿宋" w:cs="仿宋"/>
          <w:b/>
          <w:sz w:val="24"/>
          <w:szCs w:val="24"/>
          <w:highlight w:val="none"/>
        </w:rPr>
      </w:pPr>
      <w:bookmarkStart w:id="89" w:name="_Toc14914"/>
      <w:bookmarkStart w:id="90" w:name="_Toc18469"/>
      <w:bookmarkStart w:id="91" w:name="_Toc12135"/>
      <w:r>
        <w:rPr>
          <w:rFonts w:hint="eastAsia" w:ascii="仿宋" w:hAnsi="仿宋" w:eastAsia="仿宋" w:cs="仿宋"/>
          <w:b/>
          <w:sz w:val="24"/>
          <w:szCs w:val="24"/>
          <w:highlight w:val="none"/>
          <w:lang w:eastAsia="zh-CN"/>
        </w:rPr>
        <w:t>（四）</w:t>
      </w:r>
      <w:r>
        <w:rPr>
          <w:rFonts w:hint="eastAsia" w:ascii="仿宋" w:hAnsi="仿宋" w:eastAsia="仿宋" w:cs="仿宋"/>
          <w:b/>
          <w:sz w:val="24"/>
          <w:szCs w:val="24"/>
          <w:highlight w:val="none"/>
        </w:rPr>
        <w:t xml:space="preserve"> 比较与评价</w:t>
      </w:r>
      <w:bookmarkEnd w:id="89"/>
      <w:bookmarkEnd w:id="90"/>
      <w:bookmarkEnd w:id="91"/>
    </w:p>
    <w:p w14:paraId="7B5EB62F">
      <w:pPr>
        <w:spacing w:line="440" w:lineRule="exact"/>
        <w:ind w:firstLine="240" w:firstLineChars="100"/>
        <w:jc w:val="left"/>
        <w:outlineLvl w:val="2"/>
        <w:rPr>
          <w:rFonts w:hint="eastAsia" w:ascii="仿宋" w:hAnsi="仿宋" w:eastAsia="仿宋" w:cs="仿宋"/>
          <w:b/>
          <w:bCs/>
          <w:sz w:val="24"/>
          <w:szCs w:val="24"/>
          <w:highlight w:val="none"/>
          <w:lang w:val="en-US" w:eastAsia="zh-CN"/>
        </w:rPr>
      </w:pPr>
      <w:bookmarkStart w:id="92" w:name="_Toc24790"/>
      <w:r>
        <w:rPr>
          <w:rFonts w:hint="eastAsia" w:ascii="仿宋" w:hAnsi="仿宋" w:eastAsia="仿宋" w:cs="仿宋"/>
          <w:b/>
          <w:bCs/>
          <w:sz w:val="24"/>
          <w:szCs w:val="24"/>
          <w:highlight w:val="none"/>
          <w:lang w:val="en-US" w:eastAsia="zh-CN"/>
        </w:rPr>
        <w:t>10.</w:t>
      </w:r>
      <w:r>
        <w:rPr>
          <w:rFonts w:hint="eastAsia" w:ascii="仿宋" w:hAnsi="仿宋" w:eastAsia="仿宋" w:cs="仿宋"/>
          <w:b/>
          <w:bCs/>
          <w:sz w:val="24"/>
          <w:szCs w:val="24"/>
          <w:highlight w:val="none"/>
        </w:rPr>
        <w:t>评标方法和标准</w:t>
      </w:r>
      <w:bookmarkEnd w:id="92"/>
    </w:p>
    <w:p w14:paraId="5D1D24B7">
      <w:pPr>
        <w:tabs>
          <w:tab w:val="left" w:pos="720"/>
        </w:tabs>
        <w:spacing w:line="440" w:lineRule="exact"/>
        <w:ind w:firstLine="612" w:firstLineChars="255"/>
        <w:rPr>
          <w:rFonts w:hint="eastAsia" w:ascii="仿宋" w:hAnsi="仿宋" w:eastAsia="仿宋" w:cs="仿宋"/>
          <w:sz w:val="24"/>
          <w:szCs w:val="24"/>
          <w:highlight w:val="none"/>
        </w:rPr>
      </w:pPr>
      <w:bookmarkStart w:id="93" w:name="_Toc362983805"/>
      <w:r>
        <w:rPr>
          <w:rFonts w:hint="eastAsia" w:ascii="仿宋" w:hAnsi="仿宋" w:eastAsia="仿宋" w:cs="仿宋"/>
          <w:sz w:val="24"/>
          <w:szCs w:val="24"/>
          <w:highlight w:val="none"/>
        </w:rPr>
        <w:t>10.1评标委员会按磋商文件中规定的评标方法和标准，对资格性检查和符合性检查合格的投标文件进行商务和技术评估、综合比较与评价。</w:t>
      </w:r>
    </w:p>
    <w:p w14:paraId="48FC2F60">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rPr>
        <w:t>10.2评标委员会根据商务和技术评估的结果，采用综合评分法，分别对投标文件的商务、技术、价格等内容进行打分。其中，商务评估、技术评估、价格评估的评分权值（详见附件1）。</w:t>
      </w:r>
    </w:p>
    <w:p w14:paraId="0BC85419">
      <w:pPr>
        <w:spacing w:line="440" w:lineRule="exact"/>
        <w:ind w:firstLine="616" w:firstLineChars="257"/>
        <w:rPr>
          <w:rFonts w:hint="eastAsia" w:ascii="仿宋" w:hAnsi="仿宋" w:eastAsia="仿宋" w:cs="仿宋"/>
          <w:bCs/>
          <w:sz w:val="24"/>
          <w:szCs w:val="24"/>
          <w:highlight w:val="none"/>
        </w:rPr>
      </w:pPr>
      <w:r>
        <w:rPr>
          <w:rFonts w:hint="eastAsia" w:ascii="仿宋" w:hAnsi="仿宋" w:eastAsia="仿宋" w:cs="仿宋"/>
          <w:sz w:val="24"/>
          <w:szCs w:val="24"/>
          <w:highlight w:val="none"/>
          <w:lang w:val="en-US" w:eastAsia="zh-CN"/>
        </w:rPr>
        <w:t>10.2.1</w:t>
      </w:r>
      <w:r>
        <w:rPr>
          <w:rFonts w:hint="eastAsia" w:ascii="仿宋" w:hAnsi="仿宋" w:eastAsia="仿宋" w:cs="仿宋"/>
          <w:bCs/>
          <w:sz w:val="24"/>
          <w:szCs w:val="24"/>
          <w:highlight w:val="none"/>
        </w:rPr>
        <w:t>评委打分办法</w:t>
      </w:r>
    </w:p>
    <w:p w14:paraId="6876D130">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sz w:val="24"/>
          <w:szCs w:val="24"/>
          <w:highlight w:val="none"/>
        </w:rPr>
        <w:t>参加评分的评委应尽力体现客观、实事求是，避免学派偏见和个人偏好。</w:t>
      </w:r>
    </w:p>
    <w:p w14:paraId="27F0BFBF">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rPr>
        <w:t>（2）衡量、对比的依据，应以磋商文件、投标文件、提供的正式试验数据、质询澄清中的文字为准，口头回答和收集的资料只作为参考。</w:t>
      </w:r>
    </w:p>
    <w:p w14:paraId="739B702C">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rPr>
        <w:t>（3）评分主要是为比较各投标人的价格、商务和技术综合排序。</w:t>
      </w:r>
    </w:p>
    <w:p w14:paraId="43CF9523">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rPr>
        <w:t>（4）评委打分采取记名形式。</w:t>
      </w:r>
    </w:p>
    <w:p w14:paraId="7DFE04D8">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rPr>
        <w:t>（5）各评委根据提供的技术打分表独立自主打分，任何人不得要求评委统一打分或统一确定等次顺序。</w:t>
      </w:r>
    </w:p>
    <w:p w14:paraId="06C421BF">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rPr>
        <w:t>（6）对打分表中的每项条款，各评委应根据投标文件、澄清材料、磋商文件要求，按满足的程度给投标人打分。</w:t>
      </w:r>
    </w:p>
    <w:p w14:paraId="6325DEC4">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rPr>
        <w:t>（7）评分程序</w:t>
      </w:r>
    </w:p>
    <w:p w14:paraId="655CB866">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rPr>
        <w:t>1)就投标人的投标文件对照整理出商务、技术评标因素对比表、偏差表，并在经过校核的基础上逐项打分。</w:t>
      </w:r>
    </w:p>
    <w:p w14:paraId="7E127054">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rPr>
        <w:t>2)各评委独立完成打分后，</w:t>
      </w:r>
      <w:r>
        <w:rPr>
          <w:rFonts w:hint="eastAsia" w:ascii="仿宋" w:hAnsi="仿宋" w:eastAsia="仿宋" w:cs="仿宋"/>
          <w:sz w:val="24"/>
          <w:szCs w:val="24"/>
          <w:highlight w:val="none"/>
          <w:lang w:val="en-US" w:eastAsia="zh-CN"/>
        </w:rPr>
        <w:t>评标系统</w:t>
      </w:r>
      <w:r>
        <w:rPr>
          <w:rFonts w:hint="eastAsia" w:ascii="仿宋" w:hAnsi="仿宋" w:eastAsia="仿宋" w:cs="仿宋"/>
          <w:sz w:val="24"/>
          <w:szCs w:val="24"/>
          <w:highlight w:val="none"/>
        </w:rPr>
        <w:t>进行分数统计。</w:t>
      </w:r>
    </w:p>
    <w:p w14:paraId="5C106A15">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rPr>
        <w:t>3)最终汇总表中各投标人得分应为评委打分的算术平均值。</w:t>
      </w:r>
    </w:p>
    <w:p w14:paraId="24FBC0E8">
      <w:pPr>
        <w:rPr>
          <w:rFonts w:hint="eastAsia" w:ascii="仿宋" w:hAnsi="仿宋" w:eastAsia="仿宋" w:cs="仿宋"/>
          <w:sz w:val="24"/>
          <w:szCs w:val="24"/>
          <w:highlight w:val="none"/>
        </w:rPr>
      </w:pPr>
    </w:p>
    <w:p w14:paraId="2B01891F">
      <w:pPr>
        <w:rPr>
          <w:rFonts w:hint="eastAsia" w:ascii="仿宋" w:hAnsi="仿宋" w:eastAsia="仿宋" w:cs="仿宋"/>
          <w:sz w:val="24"/>
          <w:szCs w:val="24"/>
          <w:highlight w:val="none"/>
        </w:rPr>
      </w:pPr>
    </w:p>
    <w:p w14:paraId="74BDE365">
      <w:pPr>
        <w:rPr>
          <w:rFonts w:hint="eastAsia" w:ascii="仿宋" w:hAnsi="仿宋" w:eastAsia="仿宋" w:cs="仿宋"/>
          <w:sz w:val="24"/>
          <w:szCs w:val="24"/>
          <w:highlight w:val="none"/>
        </w:rPr>
      </w:pPr>
    </w:p>
    <w:p w14:paraId="79961711">
      <w:pPr>
        <w:rPr>
          <w:rFonts w:hint="eastAsia" w:ascii="仿宋" w:hAnsi="仿宋" w:eastAsia="仿宋" w:cs="仿宋"/>
          <w:sz w:val="24"/>
          <w:szCs w:val="24"/>
          <w:highlight w:val="none"/>
        </w:rPr>
      </w:pPr>
    </w:p>
    <w:p w14:paraId="27C87E4C">
      <w:pPr>
        <w:rPr>
          <w:rFonts w:hint="eastAsia" w:ascii="仿宋" w:hAnsi="仿宋" w:eastAsia="仿宋" w:cs="仿宋"/>
          <w:sz w:val="24"/>
          <w:szCs w:val="24"/>
          <w:highlight w:val="none"/>
        </w:rPr>
      </w:pPr>
    </w:p>
    <w:p w14:paraId="5A43BC0D">
      <w:pPr>
        <w:rPr>
          <w:rFonts w:hint="eastAsia" w:ascii="仿宋" w:hAnsi="仿宋" w:eastAsia="仿宋" w:cs="仿宋"/>
          <w:sz w:val="24"/>
          <w:szCs w:val="24"/>
          <w:highlight w:val="none"/>
        </w:rPr>
      </w:pPr>
    </w:p>
    <w:p w14:paraId="0B97BA7A">
      <w:pPr>
        <w:rPr>
          <w:rFonts w:hint="eastAsia" w:ascii="仿宋" w:hAnsi="仿宋" w:eastAsia="仿宋" w:cs="仿宋"/>
          <w:sz w:val="24"/>
          <w:szCs w:val="24"/>
          <w:highlight w:val="none"/>
        </w:rPr>
      </w:pPr>
    </w:p>
    <w:p w14:paraId="6C0962B4">
      <w:pPr>
        <w:rPr>
          <w:rFonts w:hint="eastAsia" w:ascii="仿宋" w:hAnsi="仿宋" w:eastAsia="仿宋" w:cs="仿宋"/>
          <w:sz w:val="24"/>
          <w:szCs w:val="24"/>
          <w:highlight w:val="none"/>
        </w:rPr>
      </w:pPr>
    </w:p>
    <w:p w14:paraId="01F9CE05">
      <w:pPr>
        <w:rPr>
          <w:rFonts w:hint="eastAsia" w:ascii="仿宋" w:hAnsi="仿宋" w:eastAsia="仿宋" w:cs="仿宋"/>
          <w:sz w:val="24"/>
          <w:szCs w:val="24"/>
          <w:highlight w:val="none"/>
        </w:rPr>
      </w:pPr>
    </w:p>
    <w:p w14:paraId="576A12EB">
      <w:pPr>
        <w:rPr>
          <w:rFonts w:hint="eastAsia" w:ascii="仿宋" w:hAnsi="仿宋" w:eastAsia="仿宋" w:cs="仿宋"/>
          <w:sz w:val="24"/>
          <w:szCs w:val="24"/>
          <w:highlight w:val="none"/>
        </w:rPr>
      </w:pPr>
    </w:p>
    <w:p w14:paraId="5B224FE3">
      <w:pPr>
        <w:numPr>
          <w:ilvl w:val="0"/>
          <w:numId w:val="10"/>
        </w:numPr>
        <w:rPr>
          <w:rFonts w:hint="eastAsia" w:ascii="仿宋" w:hAnsi="仿宋" w:eastAsia="仿宋" w:cs="仿宋"/>
          <w:sz w:val="24"/>
          <w:szCs w:val="24"/>
        </w:rPr>
      </w:pPr>
      <w:r>
        <w:rPr>
          <w:rFonts w:hint="eastAsia" w:ascii="仿宋" w:hAnsi="仿宋" w:eastAsia="仿宋" w:cs="仿宋"/>
          <w:sz w:val="24"/>
          <w:szCs w:val="24"/>
          <w:highlight w:val="none"/>
        </w:rPr>
        <w:t>评分标准和细则（综合评分法评分标准）</w:t>
      </w:r>
    </w:p>
    <w:p w14:paraId="32581BB3">
      <w:pPr>
        <w:spacing w:line="440" w:lineRule="exact"/>
        <w:ind w:firstLine="480" w:firstLineChars="200"/>
        <w:rPr>
          <w:rFonts w:hint="eastAsia" w:ascii="仿宋" w:hAnsi="仿宋" w:eastAsia="仿宋" w:cs="仿宋"/>
          <w:sz w:val="24"/>
          <w:szCs w:val="24"/>
          <w:highlight w:val="none"/>
        </w:rPr>
      </w:pPr>
    </w:p>
    <w:tbl>
      <w:tblPr>
        <w:tblStyle w:val="25"/>
        <w:tblpPr w:leftFromText="180" w:rightFromText="180" w:vertAnchor="text" w:horzAnchor="page" w:tblpX="1482" w:tblpY="25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1514"/>
        <w:gridCol w:w="7319"/>
        <w:gridCol w:w="607"/>
      </w:tblGrid>
      <w:tr w14:paraId="5672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4DFA3518">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序号</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46BF2D3">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主要评价指标</w:t>
            </w:r>
          </w:p>
        </w:tc>
        <w:tc>
          <w:tcPr>
            <w:tcW w:w="7319" w:type="dxa"/>
            <w:tcBorders>
              <w:top w:val="single" w:color="000000" w:sz="4" w:space="0"/>
              <w:left w:val="single" w:color="000000" w:sz="4" w:space="0"/>
              <w:bottom w:val="single" w:color="000000" w:sz="4" w:space="0"/>
              <w:right w:val="single" w:color="000000" w:sz="4" w:space="0"/>
            </w:tcBorders>
            <w:noWrap w:val="0"/>
            <w:vAlign w:val="center"/>
          </w:tcPr>
          <w:p w14:paraId="2414CE7D">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评分标准</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475D4D7F">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标准分</w:t>
            </w:r>
          </w:p>
        </w:tc>
      </w:tr>
      <w:tr w14:paraId="52CC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77B4ADD3">
            <w:pPr>
              <w:widowControl/>
              <w:jc w:val="center"/>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1</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0951D0A">
            <w:pPr>
              <w:widowControl/>
              <w:jc w:val="center"/>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利率水平</w:t>
            </w:r>
          </w:p>
          <w:p w14:paraId="1B7797BC">
            <w:pPr>
              <w:widowControl/>
              <w:jc w:val="center"/>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（权重20%）</w:t>
            </w:r>
          </w:p>
        </w:tc>
        <w:tc>
          <w:tcPr>
            <w:tcW w:w="7319" w:type="dxa"/>
            <w:tcBorders>
              <w:top w:val="single" w:color="000000" w:sz="4" w:space="0"/>
              <w:left w:val="single" w:color="000000" w:sz="4" w:space="0"/>
              <w:bottom w:val="single" w:color="000000" w:sz="4" w:space="0"/>
              <w:right w:val="single" w:color="000000" w:sz="4" w:space="0"/>
            </w:tcBorders>
            <w:noWrap w:val="0"/>
            <w:vAlign w:val="center"/>
          </w:tcPr>
          <w:p w14:paraId="279069F5">
            <w:pPr>
              <w:widowControl/>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指参与银行提供的执行年利率（完全满足磋商文件要求的投标报价中最高价为评标基准价，按照下列公式计算每个投标的投标价格得分）投标报价得分=（投标报价/基准价）×20%×100</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5644B3D5">
            <w:pPr>
              <w:widowControl/>
              <w:jc w:val="center"/>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20</w:t>
            </w:r>
          </w:p>
        </w:tc>
      </w:tr>
      <w:tr w14:paraId="029AE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35A4A768">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2</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731D632">
            <w:pPr>
              <w:widowControl/>
              <w:numPr>
                <w:ilvl w:val="0"/>
                <w:numId w:val="0"/>
              </w:numPr>
              <w:shd w:val="clear" w:color="auto" w:fill="auto"/>
              <w:ind w:leftChars="0" w:right="0"/>
              <w:jc w:val="left"/>
              <w:textAlignment w:val="center"/>
              <w:rPr>
                <w:rFonts w:hint="eastAsia" w:ascii="仿宋" w:hAnsi="仿宋" w:eastAsia="仿宋" w:cs="仿宋"/>
                <w:i w:val="0"/>
                <w:iCs w:val="0"/>
                <w:color w:val="auto"/>
                <w:spacing w:val="0"/>
                <w:w w:val="100"/>
                <w:kern w:val="0"/>
                <w:position w:val="0"/>
                <w:sz w:val="24"/>
                <w:szCs w:val="24"/>
                <w:u w:val="none"/>
                <w:shd w:val="clear" w:color="auto" w:fill="auto"/>
                <w:lang w:val="en-US" w:eastAsia="zh-CN"/>
              </w:rPr>
            </w:pPr>
            <w:r>
              <w:rPr>
                <w:rFonts w:hint="eastAsia" w:ascii="仿宋" w:hAnsi="仿宋" w:eastAsia="仿宋" w:cs="仿宋"/>
                <w:i w:val="0"/>
                <w:iCs w:val="0"/>
                <w:color w:val="auto"/>
                <w:spacing w:val="0"/>
                <w:w w:val="100"/>
                <w:kern w:val="0"/>
                <w:position w:val="0"/>
                <w:sz w:val="24"/>
                <w:szCs w:val="24"/>
                <w:u w:val="none"/>
                <w:shd w:val="clear" w:color="auto" w:fill="auto"/>
                <w:lang w:val="en-US" w:eastAsia="zh-CN"/>
              </w:rPr>
              <w:t>经营状况指标（权重10%）</w:t>
            </w:r>
          </w:p>
        </w:tc>
        <w:tc>
          <w:tcPr>
            <w:tcW w:w="7319" w:type="dxa"/>
            <w:tcBorders>
              <w:top w:val="single" w:color="000000" w:sz="4" w:space="0"/>
              <w:left w:val="single" w:color="000000" w:sz="4" w:space="0"/>
              <w:bottom w:val="single" w:color="000000" w:sz="4" w:space="0"/>
              <w:right w:val="single" w:color="000000" w:sz="4" w:space="0"/>
            </w:tcBorders>
            <w:noWrap w:val="0"/>
            <w:vAlign w:val="center"/>
          </w:tcPr>
          <w:p w14:paraId="236A8402">
            <w:pPr>
              <w:widowControl/>
              <w:numPr>
                <w:ilvl w:val="0"/>
                <w:numId w:val="0"/>
              </w:numPr>
              <w:shd w:val="clear" w:color="auto" w:fill="auto"/>
              <w:ind w:leftChars="0" w:right="0"/>
              <w:jc w:val="left"/>
              <w:textAlignment w:val="center"/>
              <w:rPr>
                <w:rFonts w:hint="eastAsia" w:ascii="仿宋" w:hAnsi="仿宋" w:eastAsia="仿宋" w:cs="仿宋"/>
                <w:i w:val="0"/>
                <w:iCs w:val="0"/>
                <w:color w:val="auto"/>
                <w:spacing w:val="0"/>
                <w:w w:val="100"/>
                <w:kern w:val="0"/>
                <w:position w:val="0"/>
                <w:sz w:val="24"/>
                <w:szCs w:val="24"/>
                <w:u w:val="none"/>
                <w:shd w:val="clear" w:color="auto" w:fill="auto"/>
                <w:lang w:val="en-US" w:eastAsia="zh-CN"/>
              </w:rPr>
            </w:pPr>
            <w:r>
              <w:rPr>
                <w:rFonts w:hint="eastAsia" w:ascii="仿宋" w:hAnsi="仿宋" w:eastAsia="仿宋" w:cs="仿宋"/>
                <w:i w:val="0"/>
                <w:iCs w:val="0"/>
                <w:color w:val="auto"/>
                <w:spacing w:val="0"/>
                <w:w w:val="100"/>
                <w:kern w:val="0"/>
                <w:position w:val="0"/>
                <w:sz w:val="24"/>
                <w:szCs w:val="24"/>
                <w:u w:val="none"/>
                <w:shd w:val="clear" w:color="auto" w:fill="auto"/>
                <w:lang w:val="en-US" w:eastAsia="zh-CN"/>
              </w:rPr>
              <w:t>主要根据不良贷款率、逾期贷款比率、</w:t>
            </w:r>
            <w:r>
              <w:rPr>
                <w:rFonts w:hint="eastAsia" w:ascii="仿宋" w:hAnsi="仿宋" w:eastAsia="仿宋" w:cs="仿宋"/>
                <w:i w:val="0"/>
                <w:iCs w:val="0"/>
                <w:color w:val="auto"/>
                <w:kern w:val="0"/>
                <w:sz w:val="24"/>
                <w:szCs w:val="24"/>
                <w:u w:val="none"/>
                <w:lang w:val="en-US" w:eastAsia="zh-CN"/>
              </w:rPr>
              <w:t>资本充足率、资本利润率、流动性比率等方面比较打分。优的得10分，良好的得8分，好的得6分，一般得4分，差的得2分。</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57AC2A76">
            <w:pPr>
              <w:widowControl/>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rPr>
              <w:t>10</w:t>
            </w:r>
          </w:p>
        </w:tc>
      </w:tr>
      <w:tr w14:paraId="0B16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312B6237">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3</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BD1F8C3">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服务水平（权重10%）</w:t>
            </w:r>
          </w:p>
        </w:tc>
        <w:tc>
          <w:tcPr>
            <w:tcW w:w="7319" w:type="dxa"/>
            <w:tcBorders>
              <w:top w:val="single" w:color="000000" w:sz="4" w:space="0"/>
              <w:left w:val="single" w:color="000000" w:sz="4" w:space="0"/>
              <w:bottom w:val="single" w:color="000000" w:sz="4" w:space="0"/>
              <w:right w:val="single" w:color="000000" w:sz="4" w:space="0"/>
            </w:tcBorders>
            <w:noWrap w:val="0"/>
            <w:vAlign w:val="center"/>
          </w:tcPr>
          <w:p w14:paraId="4B81977F">
            <w:pPr>
              <w:widowControl/>
              <w:jc w:val="left"/>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rPr>
              <w:t>对反映资金存放银行提供支付结算、金融服务、对账、分账核算等服务的能力和水平方面比较打分。优的得10分，良好的得8分，好的得6分，一般得4分，差的得2分。</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67587AAA">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10</w:t>
            </w:r>
          </w:p>
        </w:tc>
      </w:tr>
      <w:tr w14:paraId="22CB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4" w:type="dxa"/>
            <w:vMerge w:val="restart"/>
            <w:tcBorders>
              <w:top w:val="single" w:color="000000" w:sz="4" w:space="0"/>
              <w:left w:val="single" w:color="000000" w:sz="4" w:space="0"/>
              <w:right w:val="single" w:color="000000" w:sz="4" w:space="0"/>
            </w:tcBorders>
            <w:noWrap w:val="0"/>
            <w:vAlign w:val="center"/>
          </w:tcPr>
          <w:p w14:paraId="047CB4A7">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4</w:t>
            </w:r>
          </w:p>
        </w:tc>
        <w:tc>
          <w:tcPr>
            <w:tcW w:w="1514" w:type="dxa"/>
            <w:vMerge w:val="restart"/>
            <w:tcBorders>
              <w:top w:val="single" w:color="000000" w:sz="4" w:space="0"/>
              <w:left w:val="single" w:color="000000" w:sz="4" w:space="0"/>
              <w:right w:val="single" w:color="000000" w:sz="4" w:space="0"/>
            </w:tcBorders>
            <w:noWrap w:val="0"/>
            <w:vAlign w:val="center"/>
          </w:tcPr>
          <w:p w14:paraId="6ACCEDFA">
            <w:pPr>
              <w:widowControl/>
              <w:jc w:val="center"/>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贡献度指标</w:t>
            </w:r>
          </w:p>
          <w:p w14:paraId="34103491">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（权重60%）</w:t>
            </w:r>
          </w:p>
        </w:tc>
        <w:tc>
          <w:tcPr>
            <w:tcW w:w="7319" w:type="dxa"/>
            <w:tcBorders>
              <w:top w:val="single" w:color="000000" w:sz="4" w:space="0"/>
              <w:left w:val="single" w:color="000000" w:sz="4" w:space="0"/>
              <w:bottom w:val="single" w:color="000000" w:sz="4" w:space="0"/>
              <w:right w:val="single" w:color="000000" w:sz="4" w:space="0"/>
            </w:tcBorders>
            <w:noWrap w:val="0"/>
            <w:vAlign w:val="center"/>
          </w:tcPr>
          <w:p w14:paraId="322AC2D5">
            <w:pPr>
              <w:widowControl/>
              <w:jc w:val="left"/>
              <w:textAlignment w:val="center"/>
              <w:rPr>
                <w:rFonts w:hint="eastAsia" w:ascii="仿宋" w:hAnsi="仿宋" w:eastAsia="仿宋" w:cs="仿宋"/>
                <w:i w:val="0"/>
                <w:iCs w:val="0"/>
                <w:color w:val="auto"/>
                <w:sz w:val="24"/>
                <w:szCs w:val="24"/>
                <w:u w:val="none"/>
                <w:lang w:val="en-US"/>
              </w:rPr>
            </w:pPr>
            <w:r>
              <w:rPr>
                <w:rStyle w:val="66"/>
                <w:rFonts w:hint="eastAsia" w:ascii="仿宋" w:hAnsi="仿宋" w:eastAsia="仿宋" w:cs="仿宋"/>
                <w:color w:val="auto"/>
                <w:sz w:val="24"/>
                <w:szCs w:val="24"/>
                <w:lang w:val="en-US" w:eastAsia="zh-CN"/>
              </w:rPr>
              <w:t>1、以克州</w:t>
            </w:r>
            <w:r>
              <w:rPr>
                <w:rStyle w:val="66"/>
                <w:rFonts w:hint="eastAsia" w:ascii="仿宋" w:hAnsi="仿宋" w:eastAsia="仿宋" w:cs="仿宋"/>
                <w:b w:val="0"/>
                <w:bCs w:val="0"/>
                <w:color w:val="auto"/>
                <w:sz w:val="24"/>
                <w:szCs w:val="24"/>
                <w:lang w:val="en-US" w:eastAsia="zh-CN"/>
              </w:rPr>
              <w:t>《2025年下半年度克州银行业金融机构支持经济社会高质量发展评价结果的通报</w:t>
            </w:r>
            <w:r>
              <w:rPr>
                <w:rStyle w:val="66"/>
                <w:rFonts w:hint="eastAsia" w:ascii="仿宋" w:hAnsi="仿宋" w:eastAsia="仿宋" w:cs="仿宋"/>
                <w:color w:val="auto"/>
                <w:sz w:val="24"/>
                <w:szCs w:val="24"/>
                <w:lang w:val="en-US" w:eastAsia="zh-CN"/>
              </w:rPr>
              <w:t>》排名得分为打分依据，排名第一得50分，从第二名开始依次递减2分，</w:t>
            </w:r>
            <w:r>
              <w:rPr>
                <w:rFonts w:hint="eastAsia" w:ascii="仿宋" w:hAnsi="仿宋" w:eastAsia="仿宋" w:cs="仿宋"/>
                <w:i w:val="0"/>
                <w:iCs w:val="0"/>
                <w:color w:val="auto"/>
                <w:kern w:val="0"/>
                <w:sz w:val="24"/>
                <w:szCs w:val="24"/>
                <w:u w:val="none"/>
                <w:lang w:val="en-US" w:eastAsia="zh-CN"/>
              </w:rPr>
              <w:t>排名相同，按同档计分</w:t>
            </w:r>
            <w:r>
              <w:rPr>
                <w:rStyle w:val="66"/>
                <w:rFonts w:hint="eastAsia" w:ascii="仿宋" w:hAnsi="仿宋" w:eastAsia="仿宋" w:cs="仿宋"/>
                <w:color w:val="auto"/>
                <w:sz w:val="24"/>
                <w:szCs w:val="24"/>
                <w:lang w:val="en-US" w:eastAsia="zh-CN"/>
              </w:rPr>
              <w:t>。</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4B0A9AEE">
            <w:pPr>
              <w:widowControl/>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50</w:t>
            </w:r>
          </w:p>
        </w:tc>
      </w:tr>
      <w:tr w14:paraId="7DDB2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4" w:type="dxa"/>
            <w:vMerge w:val="continue"/>
            <w:tcBorders>
              <w:left w:val="single" w:color="000000" w:sz="4" w:space="0"/>
              <w:bottom w:val="single" w:color="000000" w:sz="4" w:space="0"/>
              <w:right w:val="single" w:color="000000" w:sz="4" w:space="0"/>
            </w:tcBorders>
            <w:noWrap w:val="0"/>
            <w:vAlign w:val="center"/>
          </w:tcPr>
          <w:p w14:paraId="2261FFF6">
            <w:pPr>
              <w:widowControl/>
              <w:jc w:val="center"/>
              <w:textAlignment w:val="center"/>
              <w:rPr>
                <w:rFonts w:hint="eastAsia" w:ascii="仿宋" w:hAnsi="仿宋" w:eastAsia="仿宋" w:cs="仿宋"/>
                <w:i w:val="0"/>
                <w:iCs w:val="0"/>
                <w:color w:val="auto"/>
                <w:kern w:val="0"/>
                <w:sz w:val="24"/>
                <w:szCs w:val="24"/>
                <w:u w:val="none"/>
                <w:lang w:val="en-US" w:eastAsia="zh-CN"/>
              </w:rPr>
            </w:pPr>
          </w:p>
        </w:tc>
        <w:tc>
          <w:tcPr>
            <w:tcW w:w="1514" w:type="dxa"/>
            <w:vMerge w:val="continue"/>
            <w:tcBorders>
              <w:left w:val="single" w:color="000000" w:sz="4" w:space="0"/>
              <w:bottom w:val="single" w:color="000000" w:sz="4" w:space="0"/>
              <w:right w:val="single" w:color="000000" w:sz="4" w:space="0"/>
            </w:tcBorders>
            <w:noWrap w:val="0"/>
            <w:vAlign w:val="center"/>
          </w:tcPr>
          <w:p w14:paraId="7E9905CF">
            <w:pPr>
              <w:widowControl/>
              <w:jc w:val="center"/>
              <w:textAlignment w:val="center"/>
              <w:rPr>
                <w:rFonts w:hint="eastAsia" w:ascii="仿宋" w:hAnsi="仿宋" w:eastAsia="仿宋" w:cs="仿宋"/>
                <w:i w:val="0"/>
                <w:iCs w:val="0"/>
                <w:color w:val="auto"/>
                <w:kern w:val="0"/>
                <w:sz w:val="24"/>
                <w:szCs w:val="24"/>
                <w:u w:val="none"/>
                <w:lang w:val="en-US" w:eastAsia="zh-CN"/>
              </w:rPr>
            </w:pPr>
          </w:p>
        </w:tc>
        <w:tc>
          <w:tcPr>
            <w:tcW w:w="7319" w:type="dxa"/>
            <w:tcBorders>
              <w:top w:val="single" w:color="000000" w:sz="4" w:space="0"/>
              <w:left w:val="single" w:color="000000" w:sz="4" w:space="0"/>
              <w:bottom w:val="single" w:color="000000" w:sz="4" w:space="0"/>
              <w:right w:val="single" w:color="000000" w:sz="4" w:space="0"/>
            </w:tcBorders>
            <w:noWrap w:val="0"/>
            <w:vAlign w:val="center"/>
          </w:tcPr>
          <w:p w14:paraId="291E1ADE">
            <w:pPr>
              <w:widowControl/>
              <w:jc w:val="left"/>
              <w:textAlignment w:val="center"/>
              <w:rPr>
                <w:rStyle w:val="66"/>
                <w:rFonts w:hint="eastAsia" w:ascii="仿宋" w:hAnsi="仿宋" w:eastAsia="仿宋" w:cs="仿宋"/>
                <w:color w:val="auto"/>
                <w:sz w:val="24"/>
                <w:szCs w:val="24"/>
                <w:lang w:val="en-US" w:eastAsia="zh-CN"/>
              </w:rPr>
            </w:pPr>
            <w:r>
              <w:rPr>
                <w:rStyle w:val="66"/>
                <w:rFonts w:hint="eastAsia" w:ascii="仿宋" w:hAnsi="仿宋" w:eastAsia="仿宋" w:cs="仿宋"/>
                <w:color w:val="auto"/>
                <w:sz w:val="24"/>
                <w:szCs w:val="24"/>
                <w:lang w:val="en-US" w:eastAsia="zh-CN"/>
              </w:rPr>
              <w:t>2、提供</w:t>
            </w:r>
            <w:r>
              <w:rPr>
                <w:rStyle w:val="66"/>
                <w:rFonts w:hint="eastAsia" w:ascii="仿宋" w:hAnsi="仿宋" w:eastAsia="仿宋" w:cs="仿宋"/>
                <w:b w:val="0"/>
                <w:bCs w:val="0"/>
                <w:color w:val="auto"/>
                <w:sz w:val="24"/>
                <w:szCs w:val="24"/>
                <w:lang w:val="en-US" w:eastAsia="zh-CN"/>
              </w:rPr>
              <w:t>2025年度以</w:t>
            </w:r>
            <w:r>
              <w:rPr>
                <w:rStyle w:val="66"/>
                <w:rFonts w:hint="eastAsia" w:ascii="仿宋" w:hAnsi="仿宋" w:eastAsia="仿宋" w:cs="仿宋"/>
                <w:color w:val="auto"/>
                <w:sz w:val="24"/>
                <w:szCs w:val="24"/>
                <w:lang w:val="en-US" w:eastAsia="zh-CN"/>
              </w:rPr>
              <w:t>来金融机构支持克州重大决策和重点项目贡献度指标相关证明材料横向比较打分，</w:t>
            </w:r>
            <w:r>
              <w:rPr>
                <w:rFonts w:hint="eastAsia" w:ascii="仿宋" w:hAnsi="仿宋" w:eastAsia="仿宋" w:cs="仿宋"/>
                <w:i w:val="0"/>
                <w:iCs w:val="0"/>
                <w:color w:val="auto"/>
                <w:kern w:val="0"/>
                <w:sz w:val="24"/>
                <w:szCs w:val="24"/>
                <w:u w:val="none"/>
                <w:lang w:val="en-US" w:eastAsia="zh-CN"/>
              </w:rPr>
              <w:t>优的得10分，良好的得8分，好的得6分，一般得4分，差的得2分。</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14:paraId="392B01FD">
            <w:pPr>
              <w:widowControl/>
              <w:jc w:val="center"/>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10</w:t>
            </w:r>
          </w:p>
        </w:tc>
      </w:tr>
    </w:tbl>
    <w:p w14:paraId="439735B7">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根据《政府采购服务和服务招投标管理办法》第87号令第六十条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1FE53D6">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供应商在评标过程中，所进行的力图影响评标结果的不符合招标规则的活动，可能导致其被取消中标资格。</w:t>
      </w:r>
    </w:p>
    <w:p w14:paraId="46BD9233">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与磋商文件有重大偏离的投标文件将被拒绝。</w:t>
      </w:r>
    </w:p>
    <w:p w14:paraId="4600D95D">
      <w:pPr>
        <w:spacing w:line="440" w:lineRule="exact"/>
        <w:ind w:firstLine="616" w:firstLineChars="257"/>
        <w:rPr>
          <w:rFonts w:hint="eastAsia" w:ascii="仿宋" w:hAnsi="仿宋" w:eastAsia="仿宋" w:cs="仿宋"/>
          <w:sz w:val="24"/>
          <w:szCs w:val="24"/>
          <w:highlight w:val="none"/>
        </w:rPr>
      </w:pPr>
      <w:r>
        <w:rPr>
          <w:rFonts w:hint="eastAsia" w:ascii="仿宋" w:hAnsi="仿宋" w:eastAsia="仿宋" w:cs="仿宋"/>
          <w:sz w:val="24"/>
          <w:szCs w:val="24"/>
          <w:highlight w:val="none"/>
        </w:rPr>
        <w:t>附：对于商务部分（投标报价）的评分，按以下方法进行：价格分统一采用</w:t>
      </w:r>
      <w:r>
        <w:rPr>
          <w:rFonts w:hint="eastAsia" w:ascii="仿宋" w:hAnsi="仿宋" w:eastAsia="仿宋" w:cs="仿宋"/>
          <w:sz w:val="24"/>
          <w:szCs w:val="24"/>
          <w:highlight w:val="none"/>
          <w:lang w:eastAsia="zh-CN"/>
        </w:rPr>
        <w:t>高</w:t>
      </w:r>
      <w:r>
        <w:rPr>
          <w:rFonts w:hint="eastAsia" w:ascii="仿宋" w:hAnsi="仿宋" w:eastAsia="仿宋" w:cs="仿宋"/>
          <w:sz w:val="24"/>
          <w:szCs w:val="24"/>
          <w:highlight w:val="none"/>
        </w:rPr>
        <w:t>价优先法计算，即满足磋商文件要求且评标价格最</w:t>
      </w:r>
      <w:r>
        <w:rPr>
          <w:rFonts w:hint="eastAsia" w:ascii="仿宋" w:hAnsi="仿宋" w:eastAsia="仿宋" w:cs="仿宋"/>
          <w:sz w:val="24"/>
          <w:szCs w:val="24"/>
          <w:highlight w:val="none"/>
          <w:lang w:eastAsia="zh-CN"/>
        </w:rPr>
        <w:t>高</w:t>
      </w:r>
      <w:r>
        <w:rPr>
          <w:rFonts w:hint="eastAsia" w:ascii="仿宋" w:hAnsi="仿宋" w:eastAsia="仿宋" w:cs="仿宋"/>
          <w:sz w:val="24"/>
          <w:szCs w:val="24"/>
          <w:highlight w:val="none"/>
        </w:rPr>
        <w:t>的报价为评标基准价，其价格分为满分。其他投标人的价格分统一按照下列公式计算：报价得分=(</w:t>
      </w:r>
      <w:r>
        <w:rPr>
          <w:rFonts w:hint="eastAsia" w:ascii="仿宋" w:hAnsi="仿宋" w:eastAsia="仿宋" w:cs="仿宋"/>
          <w:sz w:val="24"/>
          <w:szCs w:val="24"/>
          <w:highlight w:val="none"/>
          <w:lang w:val="en-US" w:eastAsia="zh-CN"/>
        </w:rPr>
        <w:t>投标报价/基准价</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价格权重</w:t>
      </w:r>
      <w:r>
        <w:rPr>
          <w:rFonts w:hint="eastAsia" w:ascii="仿宋" w:hAnsi="仿宋" w:eastAsia="仿宋" w:cs="仿宋"/>
          <w:sz w:val="24"/>
          <w:szCs w:val="24"/>
          <w:highlight w:val="none"/>
        </w:rPr>
        <w:t>×100</w:t>
      </w:r>
    </w:p>
    <w:bookmarkEnd w:id="93"/>
    <w:p w14:paraId="1AF90898">
      <w:pPr>
        <w:numPr>
          <w:ilvl w:val="0"/>
          <w:numId w:val="0"/>
        </w:numPr>
        <w:spacing w:line="440" w:lineRule="exact"/>
        <w:ind w:left="630" w:leftChars="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各评标委员会成员对每个投标人的上述指标的打分（除报价外）的算术平均分，加上经计算的报价得分，即为该投标人的最终综合评估分。评标委员会将按投标人得分顺序由高到低依次排名，得分相同的，按投标报价由</w:t>
      </w:r>
      <w:r>
        <w:rPr>
          <w:rFonts w:hint="eastAsia" w:ascii="仿宋" w:hAnsi="仿宋" w:eastAsia="仿宋" w:cs="仿宋"/>
          <w:sz w:val="24"/>
          <w:szCs w:val="24"/>
          <w:highlight w:val="none"/>
          <w:lang w:val="en-US" w:eastAsia="zh-CN"/>
        </w:rPr>
        <w:t>执行利率高的优先推荐</w:t>
      </w:r>
      <w:r>
        <w:rPr>
          <w:rFonts w:hint="eastAsia" w:ascii="仿宋" w:hAnsi="仿宋" w:eastAsia="仿宋" w:cs="仿宋"/>
          <w:sz w:val="24"/>
          <w:szCs w:val="24"/>
          <w:highlight w:val="none"/>
        </w:rPr>
        <w:t>排列。</w:t>
      </w:r>
    </w:p>
    <w:p w14:paraId="080CDA50">
      <w:pPr>
        <w:numPr>
          <w:ilvl w:val="0"/>
          <w:numId w:val="0"/>
        </w:num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报价不作为评标的唯一依据。</w:t>
      </w:r>
    </w:p>
    <w:bookmarkEnd w:id="70"/>
    <w:p w14:paraId="09047467">
      <w:pPr>
        <w:snapToGrid w:val="0"/>
        <w:spacing w:line="400" w:lineRule="exact"/>
        <w:ind w:firstLine="480" w:firstLineChars="200"/>
        <w:outlineLvl w:val="2"/>
        <w:rPr>
          <w:rFonts w:hint="eastAsia" w:ascii="仿宋" w:hAnsi="仿宋" w:eastAsia="仿宋" w:cs="仿宋"/>
          <w:b/>
          <w:sz w:val="24"/>
          <w:szCs w:val="24"/>
          <w:highlight w:val="none"/>
        </w:rPr>
      </w:pPr>
      <w:bookmarkStart w:id="94" w:name="_Toc32324"/>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en-US" w:eastAsia="zh-CN"/>
        </w:rPr>
        <w:t>1</w:t>
      </w:r>
      <w:r>
        <w:rPr>
          <w:rFonts w:hint="eastAsia" w:ascii="仿宋" w:hAnsi="仿宋" w:eastAsia="仿宋" w:cs="仿宋"/>
          <w:b/>
          <w:sz w:val="24"/>
          <w:szCs w:val="24"/>
          <w:highlight w:val="none"/>
        </w:rPr>
        <w:t>.无效投标条款</w:t>
      </w:r>
      <w:bookmarkEnd w:id="94"/>
    </w:p>
    <w:p w14:paraId="3F3E57FD">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.1投标文件有下列情形之一的,其投标文件拒收:</w:t>
      </w:r>
    </w:p>
    <w:p w14:paraId="197B4BC4">
      <w:pPr>
        <w:snapToGrid w:val="0"/>
        <w:spacing w:line="400" w:lineRule="exact"/>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b/>
          <w:bCs/>
          <w:sz w:val="24"/>
          <w:szCs w:val="24"/>
          <w:highlight w:val="none"/>
        </w:rPr>
        <w:t xml:space="preserve"> </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val="0"/>
          <w:bCs w:val="0"/>
          <w:sz w:val="24"/>
          <w:szCs w:val="24"/>
          <w:highlight w:val="none"/>
        </w:rPr>
        <w:t>(1) 未在开标截止时间前通过网上招标投标系统递交有效电子投标文件的，开标系统不予接收。</w:t>
      </w:r>
    </w:p>
    <w:p w14:paraId="5F6A37A1">
      <w:pPr>
        <w:snapToGrid w:val="0"/>
        <w:spacing w:line="400" w:lineRule="exact"/>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所有投标人应在规定时间里完成投标文件的解密工作【投标人使用其有效加密锁（CA锁）进行解密（因投标人原因未能提供有效CA锁对其投标文件进行解密的，其投标文件按无效标处理），以网上招投标系统解密倒计时为准】，因系统原因未能成功解密的投标文件，可导入备份投标文件。备份投标文件也无法导入的，则投标文件被否决。</w:t>
      </w:r>
    </w:p>
    <w:p w14:paraId="7969E035">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.2投标人有下列情形之一的,资格审查后其投标作无效投标处理：</w:t>
      </w:r>
    </w:p>
    <w:p w14:paraId="329D9C32">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)投标人为本项目提供招标代理服务的；</w:t>
      </w:r>
    </w:p>
    <w:p w14:paraId="191F9AF3">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)投标人与在本项目代理机构存在相互任职或工作的；</w:t>
      </w:r>
    </w:p>
    <w:p w14:paraId="04551CF4">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b w:val="0"/>
          <w:bCs w:val="0"/>
          <w:sz w:val="24"/>
          <w:szCs w:val="24"/>
          <w:highlight w:val="none"/>
        </w:rPr>
        <w:t>)评标专家无法查看并检验电子标书中相关资料的</w:t>
      </w:r>
      <w:r>
        <w:rPr>
          <w:rFonts w:hint="eastAsia" w:ascii="仿宋" w:hAnsi="仿宋" w:eastAsia="仿宋" w:cs="仿宋"/>
          <w:b/>
          <w:bCs/>
          <w:sz w:val="24"/>
          <w:szCs w:val="24"/>
          <w:highlight w:val="none"/>
        </w:rPr>
        <w:t>；</w:t>
      </w:r>
    </w:p>
    <w:p w14:paraId="6592192F">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)被暂停营业的；</w:t>
      </w:r>
    </w:p>
    <w:p w14:paraId="0A90B6D9">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)被暂停或取消投标资格的；</w:t>
      </w:r>
    </w:p>
    <w:p w14:paraId="1BD2A72A">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)财产被接管或冻结的；</w:t>
      </w:r>
    </w:p>
    <w:p w14:paraId="47EE4E13">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)投标人单位负责人为同一人或者存在控股、管理关系的不同单位的；</w:t>
      </w:r>
    </w:p>
    <w:p w14:paraId="59A9568A">
      <w:pPr>
        <w:snapToGrid w:val="0"/>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）投标人基本资格条件和特定资格条件中有一项及以上不符合要求的；</w:t>
      </w:r>
    </w:p>
    <w:p w14:paraId="4941409B">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）投标人使用相同的MAC地址进行报名的；</w:t>
      </w:r>
    </w:p>
    <w:p w14:paraId="0209CC77">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）其它情形，经评标委员会委提出按无效投标处理，并经公共资源交易监督部门核准的；</w:t>
      </w:r>
    </w:p>
    <w:p w14:paraId="5406ABC7">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）投标人使用相同IP地址报名的，一经发现，监管部门将进一步核实，查实后按串通投标处理；</w:t>
      </w:r>
    </w:p>
    <w:p w14:paraId="2E2FE958">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）采购文件规定的其它无效投标情形。</w:t>
      </w:r>
    </w:p>
    <w:p w14:paraId="5594F19F">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.3 投标人有下列情形之一的,符合性审查后其投标按无效投标处理：</w:t>
      </w:r>
    </w:p>
    <w:p w14:paraId="4F367564">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投标文件签字、盖章不全，经评标委员会一致认定对开评标内容有实质性影响并经监督部门核准的；</w:t>
      </w:r>
    </w:p>
    <w:p w14:paraId="5AC359F5">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(2)未按规定的格式填写，实质性内容不全或关键字迹模糊、无法辨认; 经监督部门核准的；</w:t>
      </w:r>
    </w:p>
    <w:p w14:paraId="7AC42567">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)同一投标人提交两个以上不同的投标文件或者投标报价，但采购文件规定提交备选方案的除外；</w:t>
      </w:r>
    </w:p>
    <w:p w14:paraId="4602162D">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)投标文件没有对采购文件的实质性要求和条件作出响应;</w:t>
      </w:r>
    </w:p>
    <w:p w14:paraId="0553212B">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)投标报价超出规定的投标限价或公布的采购预算的；注：投标人的投标报价各项单价均不得高于磋商文件给定的单价最高限价，否则，其投标文件将按无效投标处理。</w:t>
      </w:r>
    </w:p>
    <w:p w14:paraId="224E863E">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)不按评标委员会要求澄清、说明或补正的，或者评标委员会根据采购文件的规定对采购文件的计算错误进行修正后，投标人不接受修正的投标报价的。</w:t>
      </w:r>
    </w:p>
    <w:p w14:paraId="4E90AD79">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）其它情形，经评标委员会委提出按无效投标处理，并经公共资源交易监督部门核准的；</w:t>
      </w:r>
    </w:p>
    <w:p w14:paraId="0B2E2D40">
      <w:pPr>
        <w:widowControl/>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shd w:val="clear" w:color="auto" w:fill="FFFFFF"/>
          <w:lang w:bidi="ar"/>
        </w:rPr>
        <w:t>投标文件含有采购人不能接受的附加条件的;</w:t>
      </w:r>
    </w:p>
    <w:p w14:paraId="2D8998A7">
      <w:pPr>
        <w:tabs>
          <w:tab w:val="left" w:pos="1123"/>
        </w:tabs>
        <w:snapToGrid w:val="0"/>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）采购文件规定的其它无效投标情形。</w:t>
      </w:r>
    </w:p>
    <w:p w14:paraId="465783EA">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.4 投标人有下列情形之一的, 详细评审后其投标按无效投标处理：</w:t>
      </w:r>
    </w:p>
    <w:p w14:paraId="58B0D340">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(1)投标产品不符合必须强制执行的国家标准的；</w:t>
      </w:r>
    </w:p>
    <w:p w14:paraId="11A73EB7">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(2)投标人有串通投标、弄虚作假、行贿等违法行为；</w:t>
      </w:r>
    </w:p>
    <w:p w14:paraId="6AEE60E0">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(3)投标文件含有违反国家法律、法规的内容，或附有招标人不能接受的条件的；</w:t>
      </w:r>
    </w:p>
    <w:p w14:paraId="48C07408">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（4）在同一项目（或同一标段）中有多个投标人有效投标报价接近最高限价，且评标委员会认为报价出现异常的，可以宣布其投标无效；</w:t>
      </w:r>
    </w:p>
    <w:p w14:paraId="704BD8F0">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）拒不确认评标委员会评审修正的投标无效；</w:t>
      </w:r>
    </w:p>
    <w:p w14:paraId="12E855AD">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）其它情形，经评标委员会委提出按无效投标处理，并经公共资源交易监督部门核准的；</w:t>
      </w:r>
    </w:p>
    <w:p w14:paraId="1CE8F369">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）采购文件规定的其它无效投标情形。</w:t>
      </w:r>
    </w:p>
    <w:p w14:paraId="263D4132">
      <w:pPr>
        <w:pageBreakBefore/>
        <w:spacing w:line="360" w:lineRule="auto"/>
        <w:jc w:val="center"/>
        <w:outlineLvl w:val="0"/>
        <w:rPr>
          <w:rFonts w:hint="eastAsia" w:ascii="仿宋" w:hAnsi="仿宋" w:eastAsia="仿宋" w:cs="仿宋"/>
          <w:b/>
          <w:sz w:val="24"/>
          <w:szCs w:val="24"/>
          <w:highlight w:val="none"/>
        </w:rPr>
        <w:sectPr>
          <w:footerReference r:id="rId5" w:type="default"/>
          <w:pgSz w:w="11906" w:h="16838"/>
          <w:pgMar w:top="1157" w:right="969" w:bottom="1157" w:left="969" w:header="851" w:footer="992" w:gutter="0"/>
          <w:pgNumType w:fmt="decimal" w:start="1"/>
          <w:cols w:space="720" w:num="1"/>
          <w:docGrid w:type="linesAndChars" w:linePitch="312" w:charSpace="0"/>
        </w:sectPr>
      </w:pPr>
      <w:bookmarkStart w:id="95" w:name="OLE_LINK4"/>
    </w:p>
    <w:p w14:paraId="5334C2D3">
      <w:pPr>
        <w:pageBreakBefore/>
        <w:numPr>
          <w:ilvl w:val="0"/>
          <w:numId w:val="11"/>
        </w:numPr>
        <w:spacing w:line="360" w:lineRule="auto"/>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w:t>
      </w:r>
      <w:bookmarkEnd w:id="71"/>
      <w:bookmarkStart w:id="96" w:name="_Toc18014"/>
      <w:bookmarkStart w:id="97" w:name="_Toc16248"/>
      <w:r>
        <w:rPr>
          <w:rFonts w:hint="eastAsia" w:ascii="仿宋" w:hAnsi="仿宋" w:eastAsia="仿宋" w:cs="仿宋"/>
          <w:b/>
          <w:color w:val="auto"/>
          <w:sz w:val="24"/>
          <w:szCs w:val="24"/>
          <w:highlight w:val="none"/>
        </w:rPr>
        <w:t>招标项目技术要求及服务内容</w:t>
      </w:r>
      <w:bookmarkEnd w:id="96"/>
      <w:bookmarkEnd w:id="97"/>
    </w:p>
    <w:p w14:paraId="41A97C10">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本项目为</w:t>
      </w:r>
      <w:r>
        <w:rPr>
          <w:rFonts w:hint="eastAsia" w:ascii="仿宋" w:hAnsi="仿宋" w:eastAsia="仿宋" w:cs="仿宋"/>
          <w:color w:val="000000" w:themeColor="text1"/>
          <w:sz w:val="24"/>
          <w:szCs w:val="24"/>
          <w:highlight w:val="none"/>
          <w:lang w:eastAsia="zh-CN"/>
          <w14:textFill>
            <w14:solidFill>
              <w14:schemeClr w14:val="tx1"/>
            </w14:solidFill>
          </w14:textFill>
        </w:rPr>
        <w:t>2026年阿图什市机关事业单位基本养老保险保值增值定期存款项目（第二期）（二次</w:t>
      </w:r>
      <w:bookmarkStart w:id="163" w:name="_GoBack"/>
      <w:bookmarkEnd w:id="163"/>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，本次招标遵循公开、公平、公正的原则，相关参数及要求由采购人提供的清单为准，具体要求详见清单，如下：</w:t>
      </w:r>
    </w:p>
    <w:p w14:paraId="59F49ADE">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一、服务内容</w:t>
      </w:r>
    </w:p>
    <w:p w14:paraId="710289E7">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为进一步规范社会保险基金存放管理机制，推动财政资源优化配置，防范资金存放安全风险和廉政风险，提高社会保险基金存放综合效益，根据财政厅《关于转发&lt;财政部关于进一步加强财政部门和预算单位资金存放管理的指导意见&gt;的通知》（新财库〔2017〕61号）规定，结合《克州本级社会保险基金转为定期存款操作办法（试行）》及相关政策规定，参加本次竞争性磋商的供应商应严格遵照执行。</w:t>
      </w:r>
    </w:p>
    <w:p w14:paraId="088C92F6">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2.成交供应商对吸纳的定期存款的存放不得要求开立银行结算账户，成交供应商应加强对吸纳的定期存款的监督管理，确保定期存款资金安全。</w:t>
      </w:r>
    </w:p>
    <w:p w14:paraId="210F18D8">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3.成交供应商接受阿图什市财政局和上级财政部门对财政专户资金和社保基金存放管理的监督和检查，遇有重大情况及时向财政部门报告，并保证信息的真实性和准确性。 </w:t>
      </w:r>
    </w:p>
    <w:p w14:paraId="6762A21A">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4.定期存款（含大额定期存单）利率以各供应商成交时承诺的存款利率计算。</w:t>
      </w:r>
    </w:p>
    <w:p w14:paraId="381DC3DF">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5.存放资金的成交供应商应依法依规开展财政专户资金和社保基金存放业务，确保资金安全。未按规定办理资金存放业务，造成相关资金风险或损失的，要承担相应法律责任，并全额赔偿造成的损失。</w:t>
      </w:r>
    </w:p>
    <w:p w14:paraId="7FABE09A">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6.磋商活动结束后，阿图什市财政局将组织对成交供应商的数据真实性检查和比对，如经查实数据为虚假数据的，将停止该行参与资格2年，并收回已经存放的资金，收回的额度在其他成交候选供应商顺延分配。</w:t>
      </w:r>
    </w:p>
    <w:p w14:paraId="30B10218">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7.成交供应商出现以下行为或者情形之一的，应主动向财政局报告。财政局视情节轻重，将采取暂停资金存放业务、取消分配额度、收回已经存放资金等措施进行处理，同时成交供应商要承担违约责任。</w:t>
      </w:r>
    </w:p>
    <w:p w14:paraId="4647580A">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（1）未按规定及时足额汇划到期本息的；</w:t>
      </w:r>
    </w:p>
    <w:p w14:paraId="5B7967DE">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（2）出现重大违法违规，导致财务恶化或引起信用危机的；</w:t>
      </w:r>
    </w:p>
    <w:p w14:paraId="6C31E57F">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（3）出现重大安全风险事件或者经营状况影响资金存放安全的；</w:t>
      </w:r>
    </w:p>
    <w:p w14:paraId="272A7F9F">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（4）存在弄虚作假等严重不正当竞争行为的（包括提供文件资料和证明材料不真实，数据弄虚作假）；</w:t>
      </w:r>
    </w:p>
    <w:p w14:paraId="44CD0B5F">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（5）经核实未遵守廉政承诺或者在资金存放中存在其他利益输送行为的；</w:t>
      </w:r>
    </w:p>
    <w:p w14:paraId="1DC29481">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（6）可能危及财政专户资金和社保基金安全的其他情况。</w:t>
      </w:r>
    </w:p>
    <w:p w14:paraId="01C66C98">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 成交供应商指定的承办银行网点与定期存款最终存放银行网点一致，并承诺在中标后不得改变和转移。</w:t>
      </w:r>
    </w:p>
    <w:p w14:paraId="56C95EF2">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9.采购人根据工作需求，有权提前支取定期大额存款。</w:t>
      </w:r>
    </w:p>
    <w:p w14:paraId="0DEF0794">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10.严禁成交供应商将财政性资金存款购买理财产品。</w:t>
      </w:r>
    </w:p>
    <w:p w14:paraId="00CD7D22">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11.提供存款证明一式两份。</w:t>
      </w:r>
    </w:p>
    <w:p w14:paraId="3FC4C170">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12.本次竞争性磋商成交供应商1名。</w:t>
      </w:r>
    </w:p>
    <w:p w14:paraId="6B2239C2">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13.根据磋商小组综合打分情况，综合得分排名第一名的供应商为本采购项目资金存放的成交供应商，如出现并列名次，以支持国有企业和中小微企业发展得分较高的供应商作为优先排名。</w:t>
      </w:r>
    </w:p>
    <w:p w14:paraId="3FE485F0">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二、服务期限及地点：</w:t>
      </w:r>
    </w:p>
    <w:p w14:paraId="3491A3B2">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服务期限：本期存款期限一年。（在服务期限内，甲方可自行调整资金定期存款分配，如定期一年、定期六个月、定期三个月</w:t>
      </w:r>
      <w:r>
        <w:rPr>
          <w:rFonts w:hint="eastAsia" w:ascii="仿宋" w:hAnsi="仿宋" w:eastAsia="仿宋" w:cs="仿宋"/>
          <w:color w:val="000000" w:themeColor="text1"/>
          <w:sz w:val="24"/>
          <w:szCs w:val="24"/>
          <w:highlight w:val="none"/>
          <w:lang w:eastAsia="zh-CN"/>
          <w14:textFill>
            <w14:solidFill>
              <w14:schemeClr w14:val="tx1"/>
            </w14:solidFill>
          </w14:textFill>
        </w:rPr>
        <w:t>等</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存款银行应于存款到期日足额汇划本息至社会保险基金财政专户。</w:t>
      </w:r>
    </w:p>
    <w:p w14:paraId="3EE5F7BA">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服务地点：阿图什市。</w:t>
      </w:r>
    </w:p>
    <w:p w14:paraId="1EDFC0E6">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三、项目类型：本项目属于其他未列明行业项目。</w:t>
      </w:r>
    </w:p>
    <w:p w14:paraId="4AE0307F">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 、合同签订时间及地点：</w:t>
      </w:r>
    </w:p>
    <w:p w14:paraId="5170B835">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时间：采购人应当自成交通知书发出之日起30日内，按照招标文件和成交供应商投标文件的规定，与成交供应商签订书面合同。所签订的合同不得对招标文件确定的事项和成交供应商投标文件作实质性修改。</w:t>
      </w:r>
    </w:p>
    <w:p w14:paraId="7D5ACBD3">
      <w:pPr>
        <w:pStyle w:val="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地点：阿图什市财政局办公室</w:t>
      </w:r>
    </w:p>
    <w:p w14:paraId="5A73EEBF">
      <w:pPr>
        <w:pStyle w:val="40"/>
        <w:rPr>
          <w:rFonts w:hint="eastAsia" w:ascii="仿宋" w:hAnsi="仿宋" w:eastAsia="仿宋" w:cs="仿宋"/>
          <w:color w:val="000000" w:themeColor="text1"/>
          <w:sz w:val="24"/>
          <w:szCs w:val="24"/>
          <w:highlight w:val="none"/>
          <w14:textFill>
            <w14:solidFill>
              <w14:schemeClr w14:val="tx1"/>
            </w14:solidFill>
          </w14:textFill>
        </w:rPr>
      </w:pPr>
    </w:p>
    <w:bookmarkEnd w:id="95"/>
    <w:p w14:paraId="2C7A557E">
      <w:p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14:paraId="2EE648AB">
      <w:pPr>
        <w:numPr>
          <w:ilvl w:val="0"/>
          <w:numId w:val="11"/>
        </w:numPr>
        <w:spacing w:line="480" w:lineRule="exact"/>
        <w:ind w:left="0" w:leftChars="0" w:firstLine="0" w:firstLineChars="0"/>
        <w:jc w:val="center"/>
        <w:outlineLvl w:val="0"/>
        <w:rPr>
          <w:rFonts w:hint="eastAsia" w:ascii="仿宋" w:hAnsi="仿宋" w:eastAsia="仿宋" w:cs="仿宋"/>
          <w:b/>
          <w:sz w:val="24"/>
          <w:szCs w:val="24"/>
          <w:highlight w:val="none"/>
          <w:lang w:eastAsia="zh-CN"/>
        </w:rPr>
      </w:pPr>
      <w:bookmarkStart w:id="98" w:name="_Toc29918"/>
      <w:bookmarkStart w:id="99" w:name="_Toc26953"/>
      <w:bookmarkStart w:id="100" w:name="_Toc8627"/>
      <w:r>
        <w:rPr>
          <w:rFonts w:hint="eastAsia" w:ascii="仿宋" w:hAnsi="仿宋" w:eastAsia="仿宋" w:cs="仿宋"/>
          <w:b/>
          <w:sz w:val="24"/>
          <w:szCs w:val="24"/>
          <w:highlight w:val="none"/>
        </w:rPr>
        <w:t>合同</w:t>
      </w:r>
      <w:bookmarkEnd w:id="98"/>
      <w:bookmarkStart w:id="101" w:name="_Toc20669"/>
      <w:r>
        <w:rPr>
          <w:rFonts w:hint="eastAsia" w:ascii="仿宋" w:hAnsi="仿宋" w:eastAsia="仿宋" w:cs="仿宋"/>
          <w:b/>
          <w:sz w:val="24"/>
          <w:szCs w:val="24"/>
          <w:highlight w:val="none"/>
          <w:lang w:eastAsia="zh-CN"/>
        </w:rPr>
        <w:t>部分</w:t>
      </w:r>
      <w:bookmarkEnd w:id="99"/>
      <w:bookmarkEnd w:id="100"/>
    </w:p>
    <w:p w14:paraId="4BC142A6">
      <w:pPr>
        <w:spacing w:line="360" w:lineRule="auto"/>
        <w:ind w:left="-575" w:leftChars="-270" w:firstLine="486" w:firstLineChars="200"/>
        <w:jc w:val="center"/>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lang w:eastAsia="zh-CN"/>
        </w:rPr>
        <w:t>（合同样稿）</w:t>
      </w:r>
    </w:p>
    <w:p w14:paraId="79575BA4">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甲方：</w:t>
      </w:r>
    </w:p>
    <w:p w14:paraId="068D2D9D">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乙方：</w:t>
      </w:r>
    </w:p>
    <w:p w14:paraId="3479BE37">
      <w:pPr>
        <w:widowControl w:val="0"/>
        <w:wordWrap/>
        <w:adjustRightInd/>
        <w:snapToGrid/>
        <w:spacing w:line="440" w:lineRule="exact"/>
        <w:jc w:val="center"/>
        <w:textAlignment w:val="auto"/>
        <w:outlineLvl w:val="1"/>
        <w:rPr>
          <w:rFonts w:hint="eastAsia" w:ascii="仿宋" w:hAnsi="仿宋" w:eastAsia="仿宋" w:cs="仿宋"/>
          <w:b w:val="0"/>
          <w:bCs w:val="0"/>
          <w:color w:val="auto"/>
          <w:sz w:val="24"/>
          <w:szCs w:val="24"/>
          <w:highlight w:val="none"/>
        </w:rPr>
      </w:pPr>
      <w:bookmarkStart w:id="102" w:name="_Toc1255"/>
      <w:bookmarkStart w:id="103" w:name="_Toc21783"/>
      <w:bookmarkStart w:id="104" w:name="_Toc20772"/>
      <w:bookmarkStart w:id="105" w:name="_Toc31612"/>
      <w:r>
        <w:rPr>
          <w:rFonts w:hint="eastAsia" w:ascii="仿宋" w:hAnsi="仿宋" w:eastAsia="仿宋" w:cs="仿宋"/>
          <w:b w:val="0"/>
          <w:bCs w:val="0"/>
          <w:color w:val="auto"/>
          <w:sz w:val="24"/>
          <w:szCs w:val="24"/>
          <w:highlight w:val="none"/>
        </w:rPr>
        <w:t>第一条  总则</w:t>
      </w:r>
      <w:bookmarkEnd w:id="102"/>
      <w:bookmarkEnd w:id="103"/>
      <w:bookmarkEnd w:id="104"/>
      <w:bookmarkEnd w:id="105"/>
    </w:p>
    <w:p w14:paraId="61F9A57B">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根据《中华人民共和国</w:t>
      </w:r>
      <w:r>
        <w:rPr>
          <w:rFonts w:hint="eastAsia" w:ascii="仿宋" w:hAnsi="仿宋" w:eastAsia="仿宋" w:cs="仿宋"/>
          <w:b w:val="0"/>
          <w:bCs w:val="0"/>
          <w:color w:val="auto"/>
          <w:sz w:val="24"/>
          <w:szCs w:val="24"/>
          <w:highlight w:val="none"/>
          <w:lang w:val="en-US" w:eastAsia="zh-CN"/>
        </w:rPr>
        <w:t>民法典</w:t>
      </w:r>
      <w:r>
        <w:rPr>
          <w:rFonts w:hint="eastAsia" w:ascii="仿宋" w:hAnsi="仿宋" w:eastAsia="仿宋" w:cs="仿宋"/>
          <w:b w:val="0"/>
          <w:bCs w:val="0"/>
          <w:color w:val="auto"/>
          <w:sz w:val="24"/>
          <w:szCs w:val="24"/>
          <w:highlight w:val="none"/>
        </w:rPr>
        <w:t>》有关规定，甲方就</w:t>
      </w:r>
      <w:r>
        <w:rPr>
          <w:rFonts w:hint="eastAsia" w:ascii="仿宋" w:hAnsi="仿宋" w:eastAsia="仿宋" w:cs="仿宋"/>
          <w:b w:val="0"/>
          <w:bCs w:val="0"/>
          <w:color w:val="auto"/>
          <w:sz w:val="24"/>
          <w:szCs w:val="24"/>
          <w:highlight w:val="none"/>
          <w:lang w:eastAsia="zh-CN"/>
        </w:rPr>
        <w:t>2026年阿图什市机关事业单位基本养老保险保值增值定期存款项目（第二期）</w:t>
      </w:r>
      <w:r>
        <w:rPr>
          <w:rFonts w:hint="eastAsia" w:ascii="仿宋" w:hAnsi="仿宋" w:eastAsia="仿宋" w:cs="仿宋"/>
          <w:b w:val="0"/>
          <w:bCs w:val="0"/>
          <w:color w:val="auto"/>
          <w:sz w:val="24"/>
          <w:szCs w:val="24"/>
          <w:highlight w:val="none"/>
        </w:rPr>
        <w:t>，在乙方开展定期存款操作事宜，经甲乙双方平等协商，签订本协议。</w:t>
      </w:r>
    </w:p>
    <w:p w14:paraId="153DE086">
      <w:pPr>
        <w:widowControl w:val="0"/>
        <w:numPr>
          <w:ilvl w:val="0"/>
          <w:numId w:val="12"/>
        </w:numPr>
        <w:wordWrap/>
        <w:adjustRightInd/>
        <w:snapToGrid/>
        <w:spacing w:line="440" w:lineRule="exact"/>
        <w:jc w:val="center"/>
        <w:textAlignment w:val="auto"/>
        <w:outlineLvl w:val="1"/>
        <w:rPr>
          <w:rFonts w:hint="eastAsia" w:ascii="仿宋" w:hAnsi="仿宋" w:eastAsia="仿宋" w:cs="仿宋"/>
          <w:b w:val="0"/>
          <w:bCs w:val="0"/>
          <w:color w:val="auto"/>
          <w:sz w:val="24"/>
          <w:szCs w:val="24"/>
          <w:highlight w:val="none"/>
        </w:rPr>
      </w:pPr>
      <w:bookmarkStart w:id="106" w:name="_Toc26580"/>
      <w:bookmarkStart w:id="107" w:name="_Toc27849"/>
      <w:bookmarkStart w:id="108" w:name="_Toc11214"/>
      <w:bookmarkStart w:id="109" w:name="_Toc26688"/>
      <w:r>
        <w:rPr>
          <w:rFonts w:hint="eastAsia" w:ascii="仿宋" w:hAnsi="仿宋" w:eastAsia="仿宋" w:cs="仿宋"/>
          <w:b w:val="0"/>
          <w:bCs w:val="0"/>
          <w:color w:val="auto"/>
          <w:sz w:val="24"/>
          <w:szCs w:val="24"/>
          <w:highlight w:val="none"/>
        </w:rPr>
        <w:t>甲方权利和义务</w:t>
      </w:r>
      <w:bookmarkEnd w:id="106"/>
      <w:bookmarkEnd w:id="107"/>
      <w:bookmarkEnd w:id="108"/>
      <w:bookmarkEnd w:id="109"/>
      <w:bookmarkStart w:id="110" w:name="_Toc22131"/>
    </w:p>
    <w:p w14:paraId="426E3411">
      <w:pPr>
        <w:widowControl w:val="0"/>
        <w:numPr>
          <w:ilvl w:val="0"/>
          <w:numId w:val="0"/>
        </w:numPr>
        <w:wordWrap/>
        <w:adjustRightInd/>
        <w:snapToGrid/>
        <w:spacing w:line="440" w:lineRule="exact"/>
        <w:ind w:leftChars="0" w:right="0"/>
        <w:textAlignment w:val="auto"/>
        <w:outlineLvl w:val="2"/>
        <w:rPr>
          <w:rFonts w:hint="eastAsia" w:ascii="仿宋" w:hAnsi="仿宋" w:eastAsia="仿宋" w:cs="仿宋"/>
          <w:b w:val="0"/>
          <w:bCs w:val="0"/>
          <w:color w:val="auto"/>
          <w:sz w:val="24"/>
          <w:szCs w:val="24"/>
          <w:highlight w:val="none"/>
        </w:rPr>
      </w:pPr>
      <w:bookmarkStart w:id="111" w:name="_Toc15616"/>
      <w:bookmarkStart w:id="112" w:name="_Toc736"/>
      <w:r>
        <w:rPr>
          <w:rFonts w:hint="eastAsia" w:ascii="仿宋" w:hAnsi="仿宋" w:eastAsia="仿宋" w:cs="仿宋"/>
          <w:b w:val="0"/>
          <w:bCs w:val="0"/>
          <w:color w:val="auto"/>
          <w:sz w:val="24"/>
          <w:szCs w:val="24"/>
          <w:highlight w:val="none"/>
        </w:rPr>
        <w:t>（一）权利</w:t>
      </w:r>
      <w:bookmarkEnd w:id="110"/>
      <w:bookmarkEnd w:id="111"/>
      <w:bookmarkEnd w:id="112"/>
    </w:p>
    <w:p w14:paraId="0018AE4E">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1.组织实施</w:t>
      </w:r>
      <w:r>
        <w:rPr>
          <w:rFonts w:hint="eastAsia" w:ascii="仿宋" w:hAnsi="仿宋" w:eastAsia="仿宋" w:cs="仿宋"/>
          <w:b w:val="0"/>
          <w:bCs w:val="0"/>
          <w:color w:val="auto"/>
          <w:sz w:val="24"/>
          <w:szCs w:val="24"/>
          <w:highlight w:val="none"/>
          <w:lang w:eastAsia="zh-CN"/>
        </w:rPr>
        <w:t>阿图什市财政局2026年阿图什市机关事业单位基本养老保险保值增值定期存款项目（第二期）</w:t>
      </w:r>
      <w:r>
        <w:rPr>
          <w:rFonts w:hint="eastAsia" w:ascii="仿宋" w:hAnsi="仿宋" w:eastAsia="仿宋" w:cs="仿宋"/>
          <w:b w:val="0"/>
          <w:bCs w:val="0"/>
          <w:color w:val="auto"/>
          <w:sz w:val="24"/>
          <w:szCs w:val="24"/>
          <w:highlight w:val="none"/>
        </w:rPr>
        <w:t>管理工作；</w:t>
      </w:r>
    </w:p>
    <w:p w14:paraId="455DF28A">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2.依据中标结果，组织分配资金，确定资金存放开展时间和资金存放期限；</w:t>
      </w:r>
    </w:p>
    <w:p w14:paraId="48259955">
      <w:pPr>
        <w:widowControl w:val="0"/>
        <w:wordWrap/>
        <w:adjustRightInd/>
        <w:snapToGrid/>
        <w:spacing w:line="440" w:lineRule="exact"/>
        <w:ind w:left="213" w:leftChars="100" w:firstLine="243" w:firstLineChars="1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3.乙方未及时、足额划转到期的定期大额存款本息时，甲方有权向乙方催缴资金；到期日后的第2个工作日，乙方仍未足额划转存款本息，甲方按有关规定对乙方总行追索；</w:t>
      </w:r>
    </w:p>
    <w:p w14:paraId="5FDB7579">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4.对乙方参与财政专户资金的管理活动实施监督检查；</w:t>
      </w:r>
    </w:p>
    <w:p w14:paraId="71CBF282">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5.根据管理需要提前收回存放在乙方的全部或部分定期存款，存款利率按照已经存放的期限取整月执行中标利率执行；</w:t>
      </w:r>
    </w:p>
    <w:p w14:paraId="4C365183">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6.负责解释本协议的有关条款。</w:t>
      </w:r>
    </w:p>
    <w:p w14:paraId="449CB866">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7.对乙方有关违约行为进行认定和追责处理；</w:t>
      </w:r>
    </w:p>
    <w:p w14:paraId="27FB51A0">
      <w:pPr>
        <w:widowControl w:val="0"/>
        <w:wordWrap/>
        <w:adjustRightInd/>
        <w:snapToGrid/>
        <w:spacing w:line="440" w:lineRule="exact"/>
        <w:ind w:firstLine="243" w:firstLineChars="100"/>
        <w:jc w:val="both"/>
        <w:textAlignment w:val="auto"/>
        <w:outlineLvl w:val="2"/>
        <w:rPr>
          <w:rFonts w:hint="eastAsia" w:ascii="仿宋" w:hAnsi="仿宋" w:eastAsia="仿宋" w:cs="仿宋"/>
          <w:b w:val="0"/>
          <w:bCs w:val="0"/>
          <w:color w:val="auto"/>
          <w:sz w:val="24"/>
          <w:szCs w:val="24"/>
          <w:highlight w:val="none"/>
        </w:rPr>
      </w:pPr>
      <w:bookmarkStart w:id="113" w:name="_Toc24103"/>
      <w:bookmarkStart w:id="114" w:name="_Toc3762"/>
      <w:bookmarkStart w:id="115" w:name="_Toc26947"/>
      <w:r>
        <w:rPr>
          <w:rFonts w:hint="eastAsia" w:ascii="仿宋" w:hAnsi="仿宋" w:eastAsia="仿宋" w:cs="仿宋"/>
          <w:b w:val="0"/>
          <w:bCs w:val="0"/>
          <w:color w:val="auto"/>
          <w:sz w:val="24"/>
          <w:szCs w:val="24"/>
          <w:highlight w:val="none"/>
        </w:rPr>
        <w:t>（二）义务</w:t>
      </w:r>
      <w:bookmarkEnd w:id="113"/>
      <w:bookmarkEnd w:id="114"/>
      <w:bookmarkEnd w:id="115"/>
    </w:p>
    <w:p w14:paraId="5ADB51E9">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1.根据乙方中标结果，依据分配的额度，将定期存大额款拨付到乙方备案的定期大额存款收款账户；</w:t>
      </w:r>
    </w:p>
    <w:p w14:paraId="523DD5AB">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2.配合乙方开展定期大额存款资金存放手续履行，作好财政专户资金定期存款账务核算对账工作。</w:t>
      </w:r>
    </w:p>
    <w:p w14:paraId="4D6EE25E">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3.提前收回存款时，提前2个工作日通知乙方。</w:t>
      </w:r>
    </w:p>
    <w:p w14:paraId="0750DD7C">
      <w:pPr>
        <w:widowControl w:val="0"/>
        <w:wordWrap/>
        <w:adjustRightInd/>
        <w:snapToGrid/>
        <w:spacing w:line="440" w:lineRule="exact"/>
        <w:jc w:val="center"/>
        <w:textAlignment w:val="auto"/>
        <w:outlineLvl w:val="1"/>
        <w:rPr>
          <w:rFonts w:hint="eastAsia" w:ascii="仿宋" w:hAnsi="仿宋" w:eastAsia="仿宋" w:cs="仿宋"/>
          <w:b w:val="0"/>
          <w:bCs w:val="0"/>
          <w:color w:val="auto"/>
          <w:sz w:val="24"/>
          <w:szCs w:val="24"/>
          <w:highlight w:val="none"/>
        </w:rPr>
      </w:pPr>
      <w:bookmarkStart w:id="116" w:name="_Toc17699"/>
      <w:bookmarkStart w:id="117" w:name="_Toc24760"/>
      <w:bookmarkStart w:id="118" w:name="_Toc2350"/>
      <w:bookmarkStart w:id="119" w:name="_Toc19464"/>
      <w:r>
        <w:rPr>
          <w:rFonts w:hint="eastAsia" w:ascii="仿宋" w:hAnsi="仿宋" w:eastAsia="仿宋" w:cs="仿宋"/>
          <w:b w:val="0"/>
          <w:bCs w:val="0"/>
          <w:color w:val="auto"/>
          <w:sz w:val="24"/>
          <w:szCs w:val="24"/>
          <w:highlight w:val="none"/>
        </w:rPr>
        <w:t>第三条  乙方权利和义务</w:t>
      </w:r>
      <w:bookmarkEnd w:id="116"/>
      <w:bookmarkEnd w:id="117"/>
      <w:bookmarkEnd w:id="118"/>
      <w:bookmarkEnd w:id="119"/>
    </w:p>
    <w:p w14:paraId="449EA731">
      <w:pPr>
        <w:widowControl w:val="0"/>
        <w:wordWrap/>
        <w:adjustRightInd/>
        <w:snapToGrid/>
        <w:spacing w:line="440" w:lineRule="exact"/>
        <w:ind w:firstLine="486" w:firstLineChars="200"/>
        <w:textAlignment w:val="auto"/>
        <w:outlineLvl w:val="2"/>
        <w:rPr>
          <w:rFonts w:hint="eastAsia" w:ascii="仿宋" w:hAnsi="仿宋" w:eastAsia="仿宋" w:cs="仿宋"/>
          <w:b w:val="0"/>
          <w:bCs w:val="0"/>
          <w:color w:val="auto"/>
          <w:sz w:val="24"/>
          <w:szCs w:val="24"/>
          <w:highlight w:val="none"/>
        </w:rPr>
      </w:pPr>
      <w:bookmarkStart w:id="120" w:name="_Toc30353"/>
      <w:bookmarkStart w:id="121" w:name="_Toc31526"/>
      <w:bookmarkStart w:id="122" w:name="_Toc3382"/>
      <w:r>
        <w:rPr>
          <w:rFonts w:hint="eastAsia" w:ascii="仿宋" w:hAnsi="仿宋" w:eastAsia="仿宋" w:cs="仿宋"/>
          <w:b w:val="0"/>
          <w:bCs w:val="0"/>
          <w:color w:val="auto"/>
          <w:sz w:val="24"/>
          <w:szCs w:val="24"/>
          <w:highlight w:val="none"/>
        </w:rPr>
        <w:t>（一）权利</w:t>
      </w:r>
      <w:bookmarkEnd w:id="120"/>
      <w:bookmarkEnd w:id="121"/>
      <w:bookmarkEnd w:id="122"/>
    </w:p>
    <w:p w14:paraId="1CEC61E3">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1.中标后按照规定获得定期大额存款资金；</w:t>
      </w:r>
    </w:p>
    <w:p w14:paraId="1E43633E">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2.向甲方提出改进财政专户资金管理工作的政策建议；</w:t>
      </w:r>
    </w:p>
    <w:p w14:paraId="14EF36AD">
      <w:pPr>
        <w:widowControl w:val="0"/>
        <w:wordWrap/>
        <w:adjustRightInd/>
        <w:snapToGrid/>
        <w:spacing w:line="440" w:lineRule="exact"/>
        <w:ind w:firstLine="486" w:firstLineChars="200"/>
        <w:textAlignment w:val="auto"/>
        <w:outlineLvl w:val="2"/>
        <w:rPr>
          <w:rFonts w:hint="eastAsia" w:ascii="仿宋" w:hAnsi="仿宋" w:eastAsia="仿宋" w:cs="仿宋"/>
          <w:b w:val="0"/>
          <w:bCs w:val="0"/>
          <w:color w:val="auto"/>
          <w:sz w:val="24"/>
          <w:szCs w:val="24"/>
          <w:highlight w:val="none"/>
        </w:rPr>
      </w:pPr>
      <w:bookmarkStart w:id="123" w:name="_Toc6136"/>
      <w:bookmarkStart w:id="124" w:name="_Toc27208"/>
      <w:bookmarkStart w:id="125" w:name="_Toc21812"/>
      <w:r>
        <w:rPr>
          <w:rFonts w:hint="eastAsia" w:ascii="仿宋" w:hAnsi="仿宋" w:eastAsia="仿宋" w:cs="仿宋"/>
          <w:b w:val="0"/>
          <w:bCs w:val="0"/>
          <w:color w:val="auto"/>
          <w:sz w:val="24"/>
          <w:szCs w:val="24"/>
          <w:highlight w:val="none"/>
        </w:rPr>
        <w:t>（二）义务</w:t>
      </w:r>
      <w:bookmarkEnd w:id="123"/>
      <w:bookmarkEnd w:id="124"/>
      <w:bookmarkEnd w:id="125"/>
    </w:p>
    <w:p w14:paraId="6C672308">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1.服从甲方在财政专户资金开展定期大额存款操作中的管理和政策解读；</w:t>
      </w:r>
    </w:p>
    <w:p w14:paraId="09F4F4AF">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2.依据投标承诺的大额存款利率和服务要求，准确办理定期大额存款有关手续。</w:t>
      </w:r>
    </w:p>
    <w:p w14:paraId="6CC63368">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3.收到甲方划拨定期大额存款当天向甲方开具定期大额存款证明，当天起息；</w:t>
      </w:r>
    </w:p>
    <w:p w14:paraId="24CDD225">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3.按法律法规要求规范办理定期大额存款，确保资金安全；</w:t>
      </w:r>
    </w:p>
    <w:p w14:paraId="2B19C53C">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4.定期大额存款到期，及时将存款本金和利息足额分开划回至</w:t>
      </w:r>
      <w:r>
        <w:rPr>
          <w:rFonts w:hint="eastAsia" w:ascii="仿宋" w:hAnsi="仿宋" w:eastAsia="仿宋" w:cs="仿宋"/>
          <w:b w:val="0"/>
          <w:bCs w:val="0"/>
          <w:color w:val="auto"/>
          <w:sz w:val="24"/>
          <w:szCs w:val="24"/>
          <w:highlight w:val="none"/>
          <w:lang w:eastAsia="zh-CN"/>
        </w:rPr>
        <w:t>阿图什市财政局</w:t>
      </w:r>
      <w:r>
        <w:rPr>
          <w:rFonts w:hint="eastAsia" w:ascii="仿宋" w:hAnsi="仿宋" w:eastAsia="仿宋" w:cs="仿宋"/>
          <w:b w:val="0"/>
          <w:bCs w:val="0"/>
          <w:color w:val="auto"/>
          <w:sz w:val="24"/>
          <w:szCs w:val="24"/>
          <w:highlight w:val="none"/>
        </w:rPr>
        <w:t>指定账户；若</w:t>
      </w:r>
      <w:r>
        <w:rPr>
          <w:rFonts w:hint="eastAsia" w:ascii="仿宋" w:hAnsi="仿宋" w:eastAsia="仿宋" w:cs="仿宋"/>
          <w:b w:val="0"/>
          <w:bCs w:val="0"/>
          <w:color w:val="auto"/>
          <w:sz w:val="24"/>
          <w:szCs w:val="24"/>
          <w:highlight w:val="none"/>
          <w:lang w:eastAsia="zh-CN"/>
        </w:rPr>
        <w:t>甲方</w:t>
      </w:r>
      <w:r>
        <w:rPr>
          <w:rFonts w:hint="eastAsia" w:ascii="仿宋" w:hAnsi="仿宋" w:eastAsia="仿宋" w:cs="仿宋"/>
          <w:b w:val="0"/>
          <w:bCs w:val="0"/>
          <w:color w:val="auto"/>
          <w:sz w:val="24"/>
          <w:szCs w:val="24"/>
          <w:highlight w:val="none"/>
        </w:rPr>
        <w:t>提前支取，及时配合甲方办理；</w:t>
      </w:r>
    </w:p>
    <w:p w14:paraId="759465AD">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5.协议生效期间，接受甲方有关定期大额存款的监督与检查；</w:t>
      </w:r>
    </w:p>
    <w:p w14:paraId="10CE6EBE">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6.出现可能影响定期大额存款资金安全的特殊重大事项等情况时，及时报告甲方。</w:t>
      </w:r>
    </w:p>
    <w:p w14:paraId="4C3001E3">
      <w:pPr>
        <w:widowControl w:val="0"/>
        <w:wordWrap/>
        <w:adjustRightInd/>
        <w:snapToGrid/>
        <w:spacing w:line="440" w:lineRule="exact"/>
        <w:jc w:val="center"/>
        <w:textAlignment w:val="auto"/>
        <w:outlineLvl w:val="1"/>
        <w:rPr>
          <w:rFonts w:hint="eastAsia" w:ascii="仿宋" w:hAnsi="仿宋" w:eastAsia="仿宋" w:cs="仿宋"/>
          <w:b w:val="0"/>
          <w:bCs w:val="0"/>
          <w:color w:val="auto"/>
          <w:sz w:val="24"/>
          <w:szCs w:val="24"/>
          <w:highlight w:val="none"/>
        </w:rPr>
      </w:pPr>
      <w:bookmarkStart w:id="126" w:name="_Toc11863"/>
      <w:bookmarkStart w:id="127" w:name="_Toc18299"/>
      <w:bookmarkStart w:id="128" w:name="_Toc7989"/>
      <w:bookmarkStart w:id="129" w:name="_Toc1652"/>
      <w:r>
        <w:rPr>
          <w:rFonts w:hint="eastAsia" w:ascii="仿宋" w:hAnsi="仿宋" w:eastAsia="仿宋" w:cs="仿宋"/>
          <w:b w:val="0"/>
          <w:bCs w:val="0"/>
          <w:color w:val="auto"/>
          <w:sz w:val="24"/>
          <w:szCs w:val="24"/>
          <w:highlight w:val="none"/>
        </w:rPr>
        <w:t>第四条   违约责任</w:t>
      </w:r>
      <w:bookmarkEnd w:id="126"/>
      <w:bookmarkEnd w:id="127"/>
      <w:bookmarkEnd w:id="128"/>
      <w:bookmarkEnd w:id="129"/>
    </w:p>
    <w:p w14:paraId="4F2742CB">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1.乙方未及时按规定划回到期定期大额存款本金和利息的，按照逾期金额和时间，按日息0.05%向甲方支付违约金，直至全部资金收回。</w:t>
      </w:r>
    </w:p>
    <w:p w14:paraId="649E46C8">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2.乙方在办理定期大额存款过程中存在不遵守法律法规和有关制度办法规定造成甲方资金损失的，乙方赔偿甲方损失，甲方取消其有关财政业务代理资格。</w:t>
      </w:r>
    </w:p>
    <w:p w14:paraId="4C05B873">
      <w:pPr>
        <w:widowControl w:val="0"/>
        <w:wordWrap/>
        <w:adjustRightInd/>
        <w:snapToGrid/>
        <w:spacing w:line="440" w:lineRule="exact"/>
        <w:jc w:val="center"/>
        <w:textAlignment w:val="auto"/>
        <w:outlineLvl w:val="1"/>
        <w:rPr>
          <w:rFonts w:hint="eastAsia" w:ascii="仿宋" w:hAnsi="仿宋" w:eastAsia="仿宋" w:cs="仿宋"/>
          <w:b w:val="0"/>
          <w:bCs w:val="0"/>
          <w:color w:val="auto"/>
          <w:sz w:val="24"/>
          <w:szCs w:val="24"/>
          <w:highlight w:val="none"/>
        </w:rPr>
      </w:pPr>
      <w:bookmarkStart w:id="130" w:name="_Toc24994"/>
      <w:bookmarkStart w:id="131" w:name="_Toc9473"/>
      <w:bookmarkStart w:id="132" w:name="_Toc18296"/>
      <w:bookmarkStart w:id="133" w:name="_Toc17779"/>
      <w:r>
        <w:rPr>
          <w:rFonts w:hint="eastAsia" w:ascii="仿宋" w:hAnsi="仿宋" w:eastAsia="仿宋" w:cs="仿宋"/>
          <w:b w:val="0"/>
          <w:bCs w:val="0"/>
          <w:color w:val="auto"/>
          <w:sz w:val="24"/>
          <w:szCs w:val="24"/>
          <w:highlight w:val="none"/>
        </w:rPr>
        <w:t>第五条   附则</w:t>
      </w:r>
      <w:bookmarkEnd w:id="130"/>
      <w:bookmarkEnd w:id="131"/>
      <w:bookmarkEnd w:id="132"/>
      <w:bookmarkEnd w:id="133"/>
    </w:p>
    <w:p w14:paraId="2697F5AB">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1.本协议未定事宜及对本协议的修改和解释，由甲方以书面形式作出；如乙方对本协议产生异议，由双方根据相关规定协商解决。</w:t>
      </w:r>
    </w:p>
    <w:p w14:paraId="2BC0E9D7">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2.本协议签订后，如无重大政策变更，一年内开展的定期大额存款业务，延用本协议规定，不再逐次签订。</w:t>
      </w:r>
    </w:p>
    <w:p w14:paraId="6C13ABD1">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3.本协议经甲、乙双方法定代表人或授权代表</w:t>
      </w:r>
      <w:r>
        <w:rPr>
          <w:rFonts w:hint="eastAsia" w:ascii="仿宋" w:hAnsi="仿宋" w:eastAsia="仿宋" w:cs="仿宋"/>
          <w:b w:val="0"/>
          <w:bCs w:val="0"/>
          <w:color w:val="auto"/>
          <w:sz w:val="24"/>
          <w:szCs w:val="24"/>
          <w:highlight w:val="none"/>
          <w:lang w:eastAsia="zh-CN"/>
        </w:rPr>
        <w:t>签章</w:t>
      </w:r>
      <w:r>
        <w:rPr>
          <w:rFonts w:hint="eastAsia" w:ascii="仿宋" w:hAnsi="仿宋" w:eastAsia="仿宋" w:cs="仿宋"/>
          <w:b w:val="0"/>
          <w:bCs w:val="0"/>
          <w:color w:val="auto"/>
          <w:sz w:val="24"/>
          <w:szCs w:val="24"/>
          <w:highlight w:val="none"/>
        </w:rPr>
        <w:t>盖章后生效，定期存款到期后，甲方收回到期本息全部资金后失效。</w:t>
      </w:r>
    </w:p>
    <w:p w14:paraId="57307AE7">
      <w:pPr>
        <w:widowControl w:val="0"/>
        <w:wordWrap/>
        <w:adjustRightInd/>
        <w:snapToGrid/>
        <w:spacing w:line="440" w:lineRule="exact"/>
        <w:ind w:firstLine="486"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4.本协议一式肆份，甲、乙双方各执贰份，具有同等法律效力。</w:t>
      </w:r>
    </w:p>
    <w:p w14:paraId="2AD31ECA">
      <w:pPr>
        <w:widowControl w:val="0"/>
        <w:wordWrap/>
        <w:adjustRightInd/>
        <w:snapToGrid/>
        <w:spacing w:line="44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甲方代表签章:                      乙方代表签章:</w:t>
      </w:r>
    </w:p>
    <w:p w14:paraId="6DDEC2F3">
      <w:pPr>
        <w:widowControl w:val="0"/>
        <w:wordWrap/>
        <w:adjustRightInd/>
        <w:snapToGrid/>
        <w:spacing w:line="44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(公章)                             (公章)</w:t>
      </w:r>
    </w:p>
    <w:p w14:paraId="126CD361">
      <w:pPr>
        <w:pStyle w:val="40"/>
        <w:numPr>
          <w:ilvl w:val="0"/>
          <w:numId w:val="0"/>
        </w:numPr>
        <w:ind w:leftChars="0"/>
        <w:rPr>
          <w:rFonts w:hint="eastAsia" w:ascii="仿宋" w:hAnsi="仿宋" w:eastAsia="仿宋" w:cs="仿宋"/>
          <w:sz w:val="24"/>
          <w:szCs w:val="24"/>
          <w:highlight w:val="none"/>
          <w:lang w:eastAsia="zh-CN"/>
        </w:rPr>
      </w:pPr>
      <w:r>
        <w:rPr>
          <w:rFonts w:hint="eastAsia" w:ascii="仿宋" w:hAnsi="仿宋" w:eastAsia="仿宋" w:cs="仿宋"/>
          <w:b w:val="0"/>
          <w:bCs w:val="0"/>
          <w:color w:val="auto"/>
          <w:sz w:val="24"/>
          <w:szCs w:val="24"/>
          <w:highlight w:val="none"/>
        </w:rPr>
        <w:t>年    月    日                     年    月    日</w:t>
      </w:r>
    </w:p>
    <w:bookmarkEnd w:id="101"/>
    <w:p w14:paraId="1C927A90">
      <w:pPr>
        <w:pageBreakBefore/>
        <w:numPr>
          <w:ilvl w:val="0"/>
          <w:numId w:val="11"/>
        </w:numPr>
        <w:ind w:left="0" w:leftChars="0" w:firstLine="0" w:firstLineChars="0"/>
        <w:jc w:val="center"/>
        <w:outlineLvl w:val="0"/>
        <w:rPr>
          <w:rFonts w:hint="eastAsia" w:ascii="仿宋" w:hAnsi="仿宋" w:eastAsia="仿宋" w:cs="仿宋"/>
          <w:b/>
          <w:bCs/>
          <w:color w:val="auto"/>
          <w:sz w:val="24"/>
          <w:szCs w:val="24"/>
        </w:rPr>
      </w:pPr>
      <w:bookmarkStart w:id="134" w:name="_Toc7538"/>
      <w:r>
        <w:rPr>
          <w:rFonts w:hint="eastAsia" w:ascii="仿宋" w:hAnsi="仿宋" w:eastAsia="仿宋" w:cs="仿宋"/>
          <w:b/>
          <w:sz w:val="24"/>
          <w:szCs w:val="24"/>
          <w:highlight w:val="none"/>
        </w:rPr>
        <w:t xml:space="preserve"> </w:t>
      </w:r>
      <w:bookmarkEnd w:id="134"/>
      <w:bookmarkStart w:id="135" w:name="_Toc17257"/>
      <w:bookmarkStart w:id="136" w:name="_Toc2688"/>
      <w:r>
        <w:rPr>
          <w:rFonts w:hint="eastAsia" w:ascii="仿宋" w:hAnsi="仿宋" w:eastAsia="仿宋" w:cs="仿宋"/>
          <w:b/>
          <w:bCs/>
          <w:color w:val="auto"/>
          <w:spacing w:val="0"/>
          <w:w w:val="100"/>
          <w:position w:val="0"/>
          <w:sz w:val="24"/>
          <w:szCs w:val="24"/>
          <w:lang w:eastAsia="zh-CN"/>
        </w:rPr>
        <w:t>响应文件</w:t>
      </w:r>
      <w:r>
        <w:rPr>
          <w:rFonts w:hint="eastAsia" w:ascii="仿宋" w:hAnsi="仿宋" w:eastAsia="仿宋" w:cs="仿宋"/>
          <w:b/>
          <w:bCs/>
          <w:color w:val="auto"/>
          <w:spacing w:val="0"/>
          <w:w w:val="100"/>
          <w:position w:val="0"/>
          <w:sz w:val="24"/>
          <w:szCs w:val="24"/>
        </w:rPr>
        <w:t>格式</w:t>
      </w:r>
      <w:bookmarkEnd w:id="135"/>
      <w:bookmarkEnd w:id="136"/>
    </w:p>
    <w:p w14:paraId="79F14CC9">
      <w:pPr>
        <w:adjustRightInd w:val="0"/>
        <w:snapToGrid w:val="0"/>
        <w:spacing w:line="360" w:lineRule="auto"/>
        <w:jc w:val="center"/>
        <w:rPr>
          <w:rFonts w:hint="eastAsia" w:ascii="仿宋" w:hAnsi="仿宋" w:eastAsia="仿宋" w:cs="仿宋"/>
          <w:b/>
          <w:caps/>
          <w:color w:val="auto"/>
          <w:sz w:val="24"/>
          <w:szCs w:val="24"/>
        </w:rPr>
      </w:pPr>
    </w:p>
    <w:p w14:paraId="12F56935">
      <w:pPr>
        <w:adjustRightInd w:val="0"/>
        <w:snapToGrid w:val="0"/>
        <w:spacing w:line="360" w:lineRule="auto"/>
        <w:jc w:val="center"/>
        <w:outlineLvl w:val="9"/>
        <w:rPr>
          <w:rFonts w:hint="eastAsia" w:ascii="仿宋" w:hAnsi="仿宋" w:eastAsia="仿宋" w:cs="仿宋"/>
          <w:bCs/>
          <w:color w:val="auto"/>
          <w:sz w:val="24"/>
          <w:szCs w:val="24"/>
        </w:rPr>
      </w:pPr>
      <w:bookmarkStart w:id="137" w:name="_Toc4286"/>
      <w:r>
        <w:rPr>
          <w:rFonts w:hint="eastAsia" w:ascii="仿宋" w:hAnsi="仿宋" w:eastAsia="仿宋" w:cs="仿宋"/>
          <w:b/>
          <w:caps/>
          <w:color w:val="auto"/>
          <w:sz w:val="24"/>
          <w:szCs w:val="24"/>
        </w:rPr>
        <w:t>（项目名称）</w:t>
      </w:r>
      <w:bookmarkEnd w:id="137"/>
    </w:p>
    <w:p w14:paraId="3561751D">
      <w:pPr>
        <w:adjustRightInd w:val="0"/>
        <w:snapToGrid w:val="0"/>
        <w:spacing w:line="360" w:lineRule="auto"/>
        <w:jc w:val="both"/>
        <w:rPr>
          <w:rFonts w:hint="eastAsia" w:ascii="仿宋" w:hAnsi="仿宋" w:eastAsia="仿宋" w:cs="仿宋"/>
          <w:bCs/>
          <w:color w:val="auto"/>
          <w:sz w:val="24"/>
          <w:szCs w:val="24"/>
        </w:rPr>
      </w:pPr>
    </w:p>
    <w:p w14:paraId="42C91288">
      <w:pPr>
        <w:adjustRightInd w:val="0"/>
        <w:snapToGrid w:val="0"/>
        <w:spacing w:line="360" w:lineRule="auto"/>
        <w:jc w:val="center"/>
        <w:rPr>
          <w:rFonts w:hint="eastAsia" w:ascii="仿宋" w:hAnsi="仿宋" w:eastAsia="仿宋" w:cs="仿宋"/>
          <w:bCs/>
          <w:color w:val="auto"/>
          <w:sz w:val="24"/>
          <w:szCs w:val="24"/>
        </w:rPr>
      </w:pPr>
    </w:p>
    <w:p w14:paraId="3389FE18">
      <w:pPr>
        <w:adjustRightInd w:val="0"/>
        <w:snapToGrid w:val="0"/>
        <w:spacing w:line="360" w:lineRule="auto"/>
        <w:jc w:val="center"/>
        <w:rPr>
          <w:rFonts w:hint="eastAsia" w:ascii="仿宋" w:hAnsi="仿宋" w:eastAsia="仿宋" w:cs="仿宋"/>
          <w:bCs/>
          <w:color w:val="auto"/>
          <w:sz w:val="24"/>
          <w:szCs w:val="24"/>
        </w:rPr>
      </w:pPr>
      <w:r>
        <w:rPr>
          <w:rFonts w:hint="eastAsia" w:ascii="仿宋" w:hAnsi="仿宋" w:eastAsia="仿宋" w:cs="仿宋"/>
          <w:b/>
          <w:bCs/>
          <w:color w:val="auto"/>
          <w:sz w:val="24"/>
          <w:szCs w:val="24"/>
        </w:rPr>
        <w:t>响应文件</w:t>
      </w:r>
    </w:p>
    <w:p w14:paraId="3C84AEEF">
      <w:pPr>
        <w:adjustRightInd w:val="0"/>
        <w:snapToGrid w:val="0"/>
        <w:spacing w:line="360" w:lineRule="auto"/>
        <w:jc w:val="center"/>
        <w:rPr>
          <w:rFonts w:hint="eastAsia" w:ascii="仿宋" w:hAnsi="仿宋" w:eastAsia="仿宋" w:cs="仿宋"/>
          <w:bCs/>
          <w:color w:val="auto"/>
          <w:sz w:val="24"/>
          <w:szCs w:val="24"/>
        </w:rPr>
      </w:pPr>
    </w:p>
    <w:p w14:paraId="11D9793B">
      <w:pPr>
        <w:adjustRightInd w:val="0"/>
        <w:snapToGrid w:val="0"/>
        <w:spacing w:line="360" w:lineRule="auto"/>
        <w:jc w:val="both"/>
        <w:rPr>
          <w:rFonts w:hint="eastAsia" w:ascii="仿宋" w:hAnsi="仿宋" w:eastAsia="仿宋" w:cs="仿宋"/>
          <w:bCs/>
          <w:color w:val="auto"/>
          <w:sz w:val="24"/>
          <w:szCs w:val="24"/>
        </w:rPr>
      </w:pPr>
    </w:p>
    <w:p w14:paraId="0FE0D65D">
      <w:pPr>
        <w:adjustRightInd w:val="0"/>
        <w:snapToGrid w:val="0"/>
        <w:spacing w:line="360" w:lineRule="auto"/>
        <w:ind w:right="-136" w:rightChars="-64"/>
        <w:rPr>
          <w:rFonts w:hint="eastAsia" w:ascii="仿宋" w:hAnsi="仿宋" w:eastAsia="仿宋" w:cs="仿宋"/>
          <w:b/>
          <w:caps/>
          <w:color w:val="auto"/>
          <w:sz w:val="24"/>
          <w:szCs w:val="24"/>
        </w:rPr>
      </w:pPr>
      <w:r>
        <w:rPr>
          <w:rFonts w:hint="eastAsia" w:ascii="仿宋" w:hAnsi="仿宋" w:eastAsia="仿宋" w:cs="仿宋"/>
          <w:b/>
          <w:caps/>
          <w:color w:val="auto"/>
          <w:spacing w:val="22"/>
          <w:kern w:val="0"/>
          <w:sz w:val="24"/>
          <w:szCs w:val="24"/>
          <w:fitText w:val="2810" w:id="267797527"/>
        </w:rPr>
        <w:t>供应商名称（公章）</w:t>
      </w:r>
      <w:r>
        <w:rPr>
          <w:rFonts w:hint="eastAsia" w:ascii="仿宋" w:hAnsi="仿宋" w:eastAsia="仿宋" w:cs="仿宋"/>
          <w:b/>
          <w:caps/>
          <w:color w:val="auto"/>
          <w:spacing w:val="7"/>
          <w:kern w:val="0"/>
          <w:sz w:val="24"/>
          <w:szCs w:val="24"/>
          <w:fitText w:val="2810" w:id="267797527"/>
        </w:rPr>
        <w:t>：</w:t>
      </w:r>
    </w:p>
    <w:p w14:paraId="7A5B53CE">
      <w:pPr>
        <w:adjustRightInd w:val="0"/>
        <w:snapToGrid w:val="0"/>
        <w:spacing w:line="360" w:lineRule="auto"/>
        <w:ind w:right="-136" w:rightChars="-64"/>
        <w:rPr>
          <w:rFonts w:hint="eastAsia" w:ascii="仿宋" w:hAnsi="仿宋" w:eastAsia="仿宋" w:cs="仿宋"/>
          <w:b/>
          <w:caps/>
          <w:color w:val="auto"/>
          <w:sz w:val="24"/>
          <w:szCs w:val="24"/>
        </w:rPr>
      </w:pPr>
    </w:p>
    <w:p w14:paraId="17061768">
      <w:pPr>
        <w:adjustRightInd w:val="0"/>
        <w:snapToGrid w:val="0"/>
        <w:spacing w:line="360" w:lineRule="auto"/>
        <w:ind w:right="-136" w:rightChars="-64"/>
        <w:rPr>
          <w:rFonts w:hint="eastAsia" w:ascii="仿宋" w:hAnsi="仿宋" w:eastAsia="仿宋" w:cs="仿宋"/>
          <w:b/>
          <w:caps/>
          <w:color w:val="auto"/>
          <w:sz w:val="24"/>
          <w:szCs w:val="24"/>
        </w:rPr>
      </w:pPr>
      <w:r>
        <w:rPr>
          <w:rFonts w:hint="eastAsia" w:ascii="仿宋" w:hAnsi="仿宋" w:eastAsia="仿宋" w:cs="仿宋"/>
          <w:b/>
          <w:caps/>
          <w:color w:val="auto"/>
          <w:spacing w:val="0"/>
          <w:w w:val="90"/>
          <w:kern w:val="0"/>
          <w:sz w:val="24"/>
          <w:szCs w:val="24"/>
          <w:fitText w:val="2810" w:id="816806805"/>
        </w:rPr>
        <w:t>法定代表人（</w:t>
      </w:r>
      <w:r>
        <w:rPr>
          <w:rFonts w:hint="eastAsia" w:ascii="仿宋" w:hAnsi="仿宋" w:eastAsia="仿宋" w:cs="仿宋"/>
          <w:b/>
          <w:caps/>
          <w:color w:val="auto"/>
          <w:spacing w:val="0"/>
          <w:w w:val="90"/>
          <w:kern w:val="0"/>
          <w:sz w:val="24"/>
          <w:szCs w:val="24"/>
          <w:fitText w:val="2810" w:id="816806805"/>
          <w:lang w:eastAsia="zh-CN"/>
        </w:rPr>
        <w:t>签章</w:t>
      </w:r>
      <w:r>
        <w:rPr>
          <w:rFonts w:hint="eastAsia" w:ascii="仿宋" w:hAnsi="仿宋" w:eastAsia="仿宋" w:cs="仿宋"/>
          <w:b/>
          <w:caps/>
          <w:color w:val="auto"/>
          <w:spacing w:val="0"/>
          <w:w w:val="90"/>
          <w:kern w:val="0"/>
          <w:sz w:val="24"/>
          <w:szCs w:val="24"/>
          <w:fitText w:val="2810" w:id="816806805"/>
        </w:rPr>
        <w:t>或盖章）</w:t>
      </w:r>
      <w:r>
        <w:rPr>
          <w:rFonts w:hint="eastAsia" w:ascii="仿宋" w:hAnsi="仿宋" w:eastAsia="仿宋" w:cs="仿宋"/>
          <w:b/>
          <w:caps/>
          <w:color w:val="auto"/>
          <w:spacing w:val="-10"/>
          <w:w w:val="90"/>
          <w:kern w:val="0"/>
          <w:sz w:val="24"/>
          <w:szCs w:val="24"/>
          <w:fitText w:val="2810" w:id="816806805"/>
        </w:rPr>
        <w:t>：</w:t>
      </w:r>
    </w:p>
    <w:p w14:paraId="08B0C342">
      <w:pPr>
        <w:adjustRightInd w:val="0"/>
        <w:snapToGrid w:val="0"/>
        <w:spacing w:line="360" w:lineRule="auto"/>
        <w:ind w:right="-136" w:rightChars="-64"/>
        <w:rPr>
          <w:rFonts w:hint="eastAsia" w:ascii="仿宋" w:hAnsi="仿宋" w:eastAsia="仿宋" w:cs="仿宋"/>
          <w:b/>
          <w:caps/>
          <w:color w:val="auto"/>
          <w:sz w:val="24"/>
          <w:szCs w:val="24"/>
        </w:rPr>
      </w:pPr>
    </w:p>
    <w:p w14:paraId="7218C4FE">
      <w:pPr>
        <w:adjustRightInd w:val="0"/>
        <w:snapToGrid w:val="0"/>
        <w:spacing w:line="360" w:lineRule="auto"/>
        <w:ind w:right="-136" w:rightChars="-64"/>
        <w:rPr>
          <w:rFonts w:hint="eastAsia" w:ascii="仿宋" w:hAnsi="仿宋" w:eastAsia="仿宋" w:cs="仿宋"/>
          <w:b/>
          <w:caps/>
          <w:color w:val="auto"/>
          <w:sz w:val="24"/>
          <w:szCs w:val="24"/>
        </w:rPr>
      </w:pPr>
      <w:r>
        <w:rPr>
          <w:rFonts w:hint="eastAsia" w:ascii="仿宋" w:hAnsi="仿宋" w:eastAsia="仿宋" w:cs="仿宋"/>
          <w:b/>
          <w:caps/>
          <w:color w:val="auto"/>
          <w:spacing w:val="137"/>
          <w:kern w:val="0"/>
          <w:sz w:val="24"/>
          <w:szCs w:val="24"/>
          <w:fitText w:val="2810" w:id="1061107822"/>
        </w:rPr>
        <w:t>供应商地址</w:t>
      </w:r>
      <w:r>
        <w:rPr>
          <w:rFonts w:hint="eastAsia" w:ascii="仿宋" w:hAnsi="仿宋" w:eastAsia="仿宋" w:cs="仿宋"/>
          <w:b/>
          <w:caps/>
          <w:color w:val="auto"/>
          <w:spacing w:val="0"/>
          <w:kern w:val="0"/>
          <w:sz w:val="24"/>
          <w:szCs w:val="24"/>
          <w:fitText w:val="2810" w:id="1061107822"/>
        </w:rPr>
        <w:t>：</w:t>
      </w:r>
    </w:p>
    <w:p w14:paraId="01D926FE">
      <w:pPr>
        <w:adjustRightInd w:val="0"/>
        <w:snapToGrid w:val="0"/>
        <w:spacing w:line="360" w:lineRule="auto"/>
        <w:ind w:right="-136" w:rightChars="-64"/>
        <w:rPr>
          <w:rFonts w:hint="eastAsia" w:ascii="仿宋" w:hAnsi="仿宋" w:eastAsia="仿宋" w:cs="仿宋"/>
          <w:b/>
          <w:caps/>
          <w:color w:val="auto"/>
          <w:sz w:val="24"/>
          <w:szCs w:val="24"/>
        </w:rPr>
      </w:pPr>
    </w:p>
    <w:p w14:paraId="0833C2AF">
      <w:pPr>
        <w:adjustRightInd w:val="0"/>
        <w:snapToGrid w:val="0"/>
        <w:spacing w:line="360" w:lineRule="auto"/>
        <w:ind w:right="-136" w:rightChars="-64"/>
        <w:rPr>
          <w:rFonts w:hint="eastAsia" w:ascii="仿宋" w:hAnsi="仿宋" w:eastAsia="仿宋" w:cs="仿宋"/>
          <w:b/>
          <w:caps/>
          <w:color w:val="auto"/>
          <w:sz w:val="24"/>
          <w:szCs w:val="24"/>
        </w:rPr>
      </w:pPr>
      <w:r>
        <w:rPr>
          <w:rFonts w:hint="eastAsia" w:ascii="仿宋" w:hAnsi="仿宋" w:eastAsia="仿宋" w:cs="仿宋"/>
          <w:b/>
          <w:caps/>
          <w:color w:val="auto"/>
          <w:spacing w:val="308"/>
          <w:kern w:val="0"/>
          <w:sz w:val="24"/>
          <w:szCs w:val="24"/>
          <w:fitText w:val="2810" w:id="931616526"/>
        </w:rPr>
        <w:t>联系人</w:t>
      </w:r>
      <w:r>
        <w:rPr>
          <w:rFonts w:hint="eastAsia" w:ascii="仿宋" w:hAnsi="仿宋" w:eastAsia="仿宋" w:cs="仿宋"/>
          <w:b/>
          <w:caps/>
          <w:color w:val="auto"/>
          <w:spacing w:val="1"/>
          <w:kern w:val="0"/>
          <w:sz w:val="24"/>
          <w:szCs w:val="24"/>
          <w:fitText w:val="2810" w:id="931616526"/>
        </w:rPr>
        <w:t>：</w:t>
      </w:r>
    </w:p>
    <w:p w14:paraId="64E94F6F">
      <w:pPr>
        <w:adjustRightInd w:val="0"/>
        <w:snapToGrid w:val="0"/>
        <w:spacing w:line="360" w:lineRule="auto"/>
        <w:ind w:right="-136" w:rightChars="-64"/>
        <w:rPr>
          <w:rFonts w:hint="eastAsia" w:ascii="仿宋" w:hAnsi="仿宋" w:eastAsia="仿宋" w:cs="仿宋"/>
          <w:b/>
          <w:caps/>
          <w:color w:val="auto"/>
          <w:sz w:val="24"/>
          <w:szCs w:val="24"/>
        </w:rPr>
      </w:pPr>
    </w:p>
    <w:p w14:paraId="0EB90C1C">
      <w:pPr>
        <w:adjustRightInd w:val="0"/>
        <w:snapToGrid w:val="0"/>
        <w:spacing w:line="360" w:lineRule="auto"/>
        <w:ind w:right="-136" w:rightChars="-64"/>
        <w:rPr>
          <w:rFonts w:hint="eastAsia" w:ascii="仿宋" w:hAnsi="仿宋" w:eastAsia="仿宋" w:cs="仿宋"/>
          <w:b/>
          <w:caps/>
          <w:color w:val="auto"/>
          <w:sz w:val="24"/>
          <w:szCs w:val="24"/>
        </w:rPr>
      </w:pPr>
      <w:r>
        <w:rPr>
          <w:rFonts w:hint="eastAsia" w:ascii="仿宋" w:hAnsi="仿宋" w:eastAsia="仿宋" w:cs="仿宋"/>
          <w:b/>
          <w:caps/>
          <w:color w:val="auto"/>
          <w:spacing w:val="201"/>
          <w:kern w:val="0"/>
          <w:sz w:val="24"/>
          <w:szCs w:val="24"/>
          <w:fitText w:val="2810" w:id="1096046683"/>
        </w:rPr>
        <w:t>联系电话</w:t>
      </w:r>
      <w:r>
        <w:rPr>
          <w:rFonts w:hint="eastAsia" w:ascii="仿宋" w:hAnsi="仿宋" w:eastAsia="仿宋" w:cs="仿宋"/>
          <w:b/>
          <w:caps/>
          <w:color w:val="auto"/>
          <w:spacing w:val="1"/>
          <w:kern w:val="0"/>
          <w:sz w:val="24"/>
          <w:szCs w:val="24"/>
          <w:fitText w:val="2810" w:id="1096046683"/>
        </w:rPr>
        <w:t>：</w:t>
      </w:r>
    </w:p>
    <w:p w14:paraId="03FCB6F6">
      <w:pPr>
        <w:adjustRightInd w:val="0"/>
        <w:snapToGrid w:val="0"/>
        <w:spacing w:line="360" w:lineRule="auto"/>
        <w:jc w:val="center"/>
        <w:rPr>
          <w:rFonts w:hint="eastAsia" w:ascii="仿宋" w:hAnsi="仿宋" w:eastAsia="仿宋" w:cs="仿宋"/>
          <w:b/>
          <w:caps/>
          <w:color w:val="auto"/>
          <w:sz w:val="24"/>
          <w:szCs w:val="24"/>
          <w:u w:val="none"/>
        </w:rPr>
      </w:pPr>
    </w:p>
    <w:p w14:paraId="42C4E921">
      <w:pPr>
        <w:adjustRightInd w:val="0"/>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u w:val="single"/>
          <w:lang w:val="en-US" w:eastAsia="zh-CN"/>
        </w:rPr>
        <w:t>2026</w:t>
      </w:r>
      <w:r>
        <w:rPr>
          <w:rFonts w:hint="eastAsia" w:ascii="仿宋" w:hAnsi="仿宋" w:eastAsia="仿宋" w:cs="仿宋"/>
          <w:b/>
          <w:color w:val="auto"/>
          <w:sz w:val="24"/>
          <w:szCs w:val="24"/>
        </w:rPr>
        <w:t>年</w:t>
      </w:r>
      <w:r>
        <w:rPr>
          <w:rFonts w:hint="eastAsia" w:ascii="仿宋" w:hAnsi="仿宋" w:eastAsia="仿宋" w:cs="仿宋"/>
          <w:b/>
          <w:color w:val="auto"/>
          <w:sz w:val="24"/>
          <w:szCs w:val="24"/>
          <w:u w:val="single"/>
          <w:lang w:val="en-US" w:eastAsia="zh-CN"/>
        </w:rPr>
        <w:t xml:space="preserve">    </w:t>
      </w:r>
      <w:r>
        <w:rPr>
          <w:rFonts w:hint="eastAsia" w:ascii="仿宋" w:hAnsi="仿宋" w:eastAsia="仿宋" w:cs="仿宋"/>
          <w:b/>
          <w:color w:val="auto"/>
          <w:sz w:val="24"/>
          <w:szCs w:val="24"/>
        </w:rPr>
        <w:t>月</w:t>
      </w:r>
      <w:r>
        <w:rPr>
          <w:rFonts w:hint="eastAsia" w:ascii="仿宋" w:hAnsi="仿宋" w:eastAsia="仿宋" w:cs="仿宋"/>
          <w:b/>
          <w:color w:val="auto"/>
          <w:sz w:val="24"/>
          <w:szCs w:val="24"/>
          <w:u w:val="single"/>
          <w:lang w:val="en-US" w:eastAsia="zh-CN"/>
        </w:rPr>
        <w:t xml:space="preserve">     </w:t>
      </w:r>
      <w:r>
        <w:rPr>
          <w:rFonts w:hint="eastAsia" w:ascii="仿宋" w:hAnsi="仿宋" w:eastAsia="仿宋" w:cs="仿宋"/>
          <w:b/>
          <w:color w:val="auto"/>
          <w:sz w:val="24"/>
          <w:szCs w:val="24"/>
        </w:rPr>
        <w:t>日</w:t>
      </w:r>
    </w:p>
    <w:p w14:paraId="555B39A1">
      <w:pPr>
        <w:pStyle w:val="40"/>
        <w:numPr>
          <w:ilvl w:val="0"/>
          <w:numId w:val="0"/>
        </w:numPr>
        <w:ind w:leftChars="0"/>
        <w:rPr>
          <w:rFonts w:hint="eastAsia" w:ascii="仿宋" w:hAnsi="仿宋" w:eastAsia="仿宋" w:cs="仿宋"/>
          <w:sz w:val="24"/>
          <w:szCs w:val="24"/>
        </w:rPr>
      </w:pPr>
    </w:p>
    <w:p w14:paraId="59853BE0">
      <w:pPr>
        <w:pStyle w:val="40"/>
        <w:numPr>
          <w:ilvl w:val="0"/>
          <w:numId w:val="0"/>
        </w:numPr>
        <w:ind w:leftChars="0"/>
        <w:rPr>
          <w:rFonts w:hint="eastAsia" w:ascii="仿宋" w:hAnsi="仿宋" w:eastAsia="仿宋" w:cs="仿宋"/>
          <w:sz w:val="24"/>
          <w:szCs w:val="24"/>
        </w:rPr>
      </w:pPr>
    </w:p>
    <w:p w14:paraId="7651940F">
      <w:pPr>
        <w:pStyle w:val="40"/>
        <w:numPr>
          <w:ilvl w:val="0"/>
          <w:numId w:val="0"/>
        </w:numPr>
        <w:ind w:leftChars="0"/>
        <w:rPr>
          <w:rFonts w:hint="eastAsia" w:ascii="仿宋" w:hAnsi="仿宋" w:eastAsia="仿宋" w:cs="仿宋"/>
          <w:sz w:val="24"/>
          <w:szCs w:val="24"/>
        </w:rPr>
      </w:pPr>
    </w:p>
    <w:p w14:paraId="0BC6361A">
      <w:pPr>
        <w:pStyle w:val="40"/>
        <w:numPr>
          <w:ilvl w:val="0"/>
          <w:numId w:val="0"/>
        </w:numPr>
        <w:ind w:leftChars="0"/>
        <w:rPr>
          <w:rFonts w:hint="eastAsia" w:ascii="仿宋" w:hAnsi="仿宋" w:eastAsia="仿宋" w:cs="仿宋"/>
          <w:sz w:val="24"/>
          <w:szCs w:val="24"/>
        </w:rPr>
      </w:pPr>
    </w:p>
    <w:p w14:paraId="4952E73B">
      <w:pPr>
        <w:pStyle w:val="40"/>
        <w:numPr>
          <w:ilvl w:val="0"/>
          <w:numId w:val="0"/>
        </w:numPr>
        <w:ind w:leftChars="0"/>
        <w:rPr>
          <w:rFonts w:hint="eastAsia" w:ascii="仿宋" w:hAnsi="仿宋" w:eastAsia="仿宋" w:cs="仿宋"/>
          <w:sz w:val="24"/>
          <w:szCs w:val="24"/>
        </w:rPr>
      </w:pPr>
    </w:p>
    <w:p w14:paraId="08A9BDFA">
      <w:pPr>
        <w:pStyle w:val="40"/>
        <w:numPr>
          <w:ilvl w:val="0"/>
          <w:numId w:val="0"/>
        </w:numPr>
        <w:ind w:leftChars="0"/>
        <w:rPr>
          <w:rFonts w:hint="eastAsia" w:ascii="仿宋" w:hAnsi="仿宋" w:eastAsia="仿宋" w:cs="仿宋"/>
          <w:sz w:val="24"/>
          <w:szCs w:val="24"/>
        </w:rPr>
      </w:pPr>
    </w:p>
    <w:p w14:paraId="6EDAB570">
      <w:pPr>
        <w:pStyle w:val="40"/>
        <w:numPr>
          <w:ilvl w:val="0"/>
          <w:numId w:val="0"/>
        </w:numPr>
        <w:ind w:leftChars="0"/>
        <w:rPr>
          <w:rFonts w:hint="eastAsia" w:ascii="仿宋" w:hAnsi="仿宋" w:eastAsia="仿宋" w:cs="仿宋"/>
          <w:sz w:val="24"/>
          <w:szCs w:val="24"/>
        </w:rPr>
      </w:pPr>
    </w:p>
    <w:p w14:paraId="4D5BC335">
      <w:pPr>
        <w:pStyle w:val="40"/>
        <w:numPr>
          <w:ilvl w:val="0"/>
          <w:numId w:val="0"/>
        </w:numPr>
        <w:ind w:leftChars="0"/>
        <w:rPr>
          <w:rFonts w:hint="eastAsia" w:ascii="仿宋" w:hAnsi="仿宋" w:eastAsia="仿宋" w:cs="仿宋"/>
          <w:sz w:val="24"/>
          <w:szCs w:val="24"/>
        </w:rPr>
      </w:pPr>
    </w:p>
    <w:p w14:paraId="5AD54AA0">
      <w:pPr>
        <w:pStyle w:val="40"/>
        <w:numPr>
          <w:ilvl w:val="0"/>
          <w:numId w:val="0"/>
        </w:numPr>
        <w:ind w:leftChars="0"/>
        <w:rPr>
          <w:rFonts w:hint="eastAsia" w:ascii="仿宋" w:hAnsi="仿宋" w:eastAsia="仿宋" w:cs="仿宋"/>
          <w:sz w:val="24"/>
          <w:szCs w:val="24"/>
        </w:rPr>
      </w:pPr>
    </w:p>
    <w:p w14:paraId="1E2F6C1E">
      <w:pPr>
        <w:pStyle w:val="40"/>
        <w:numPr>
          <w:ilvl w:val="0"/>
          <w:numId w:val="0"/>
        </w:numPr>
        <w:ind w:leftChars="0"/>
        <w:rPr>
          <w:rFonts w:hint="eastAsia" w:ascii="仿宋" w:hAnsi="仿宋" w:eastAsia="仿宋" w:cs="仿宋"/>
          <w:sz w:val="24"/>
          <w:szCs w:val="24"/>
        </w:rPr>
      </w:pPr>
    </w:p>
    <w:p w14:paraId="5D89ACBD">
      <w:pPr>
        <w:pStyle w:val="40"/>
        <w:numPr>
          <w:ilvl w:val="0"/>
          <w:numId w:val="0"/>
        </w:numPr>
        <w:ind w:leftChars="0"/>
        <w:rPr>
          <w:rFonts w:hint="eastAsia" w:ascii="仿宋" w:hAnsi="仿宋" w:eastAsia="仿宋" w:cs="仿宋"/>
          <w:sz w:val="24"/>
          <w:szCs w:val="24"/>
        </w:rPr>
      </w:pPr>
    </w:p>
    <w:p w14:paraId="2BAC5369">
      <w:pPr>
        <w:pStyle w:val="40"/>
        <w:numPr>
          <w:ilvl w:val="0"/>
          <w:numId w:val="0"/>
        </w:numPr>
        <w:ind w:leftChars="0"/>
        <w:rPr>
          <w:rFonts w:hint="eastAsia" w:ascii="仿宋" w:hAnsi="仿宋" w:eastAsia="仿宋" w:cs="仿宋"/>
          <w:sz w:val="24"/>
          <w:szCs w:val="24"/>
        </w:rPr>
      </w:pPr>
    </w:p>
    <w:p w14:paraId="3B7EDB91">
      <w:pPr>
        <w:spacing w:line="240" w:lineRule="atLeast"/>
        <w:ind w:left="745" w:leftChars="350" w:firstLine="121" w:firstLineChars="50"/>
        <w:rPr>
          <w:rFonts w:hint="eastAsia" w:ascii="仿宋" w:hAnsi="仿宋" w:eastAsia="仿宋" w:cs="仿宋"/>
          <w:sz w:val="24"/>
          <w:szCs w:val="24"/>
          <w:highlight w:val="none"/>
        </w:rPr>
      </w:pPr>
    </w:p>
    <w:p w14:paraId="55189E8D">
      <w:pPr>
        <w:pStyle w:val="4"/>
        <w:numPr>
          <w:ilvl w:val="0"/>
          <w:numId w:val="0"/>
        </w:numPr>
        <w:shd w:val="clear" w:color="auto" w:fill="auto"/>
        <w:tabs>
          <w:tab w:val="left" w:pos="540"/>
        </w:tabs>
        <w:spacing w:before="0" w:line="240" w:lineRule="atLeast"/>
        <w:jc w:val="center"/>
        <w:rPr>
          <w:rFonts w:hint="eastAsia" w:ascii="仿宋" w:hAnsi="仿宋" w:eastAsia="仿宋" w:cs="仿宋"/>
          <w:color w:val="auto"/>
          <w:sz w:val="24"/>
          <w:szCs w:val="24"/>
          <w:highlight w:val="none"/>
        </w:rPr>
      </w:pPr>
      <w:bookmarkStart w:id="138" w:name="_Toc22208"/>
      <w:bookmarkStart w:id="139" w:name="_Toc6851"/>
      <w:r>
        <w:rPr>
          <w:rFonts w:hint="eastAsia" w:ascii="仿宋" w:hAnsi="仿宋" w:eastAsia="仿宋" w:cs="仿宋"/>
          <w:b/>
          <w:bCs/>
          <w:color w:val="auto"/>
          <w:sz w:val="24"/>
          <w:szCs w:val="24"/>
          <w:highlight w:val="none"/>
        </w:rPr>
        <w:t>第一</w:t>
      </w:r>
      <w:r>
        <w:rPr>
          <w:rFonts w:hint="eastAsia" w:ascii="仿宋" w:hAnsi="仿宋" w:eastAsia="仿宋" w:cs="仿宋"/>
          <w:b/>
          <w:bCs/>
          <w:color w:val="auto"/>
          <w:sz w:val="24"/>
          <w:szCs w:val="24"/>
          <w:highlight w:val="none"/>
          <w:lang w:val="en-US" w:eastAsia="zh-CN"/>
        </w:rPr>
        <w:t>部分</w:t>
      </w:r>
      <w:r>
        <w:rPr>
          <w:rFonts w:hint="eastAsia" w:ascii="仿宋" w:hAnsi="仿宋" w:eastAsia="仿宋" w:cs="仿宋"/>
          <w:b/>
          <w:bCs/>
          <w:color w:val="auto"/>
          <w:sz w:val="24"/>
          <w:szCs w:val="24"/>
          <w:highlight w:val="none"/>
        </w:rPr>
        <w:t xml:space="preserve"> 资格证明文件</w:t>
      </w:r>
      <w:bookmarkEnd w:id="138"/>
      <w:bookmarkEnd w:id="139"/>
    </w:p>
    <w:p w14:paraId="5E521498">
      <w:pPr>
        <w:pStyle w:val="44"/>
        <w:rPr>
          <w:rFonts w:hint="eastAsia" w:ascii="仿宋" w:hAnsi="仿宋" w:eastAsia="仿宋" w:cs="仿宋"/>
          <w:kern w:val="2"/>
          <w:sz w:val="24"/>
          <w:szCs w:val="24"/>
          <w:highlight w:val="none"/>
          <w:u w:color="000000"/>
          <w:lang w:val="en-US" w:eastAsia="zh-CN"/>
        </w:rPr>
      </w:pPr>
    </w:p>
    <w:p w14:paraId="64A0E862">
      <w:pPr>
        <w:pStyle w:val="44"/>
        <w:rPr>
          <w:rFonts w:hint="eastAsia" w:ascii="仿宋" w:hAnsi="仿宋" w:eastAsia="仿宋" w:cs="仿宋"/>
          <w:kern w:val="2"/>
          <w:sz w:val="24"/>
          <w:szCs w:val="24"/>
          <w:highlight w:val="none"/>
          <w:u w:color="000000"/>
          <w:lang w:val="en-US" w:eastAsia="zh-CN"/>
        </w:rPr>
      </w:pPr>
    </w:p>
    <w:p w14:paraId="4D84C363">
      <w:pPr>
        <w:pStyle w:val="44"/>
        <w:spacing w:line="360" w:lineRule="auto"/>
        <w:rPr>
          <w:rFonts w:hint="eastAsia" w:ascii="仿宋" w:hAnsi="仿宋" w:eastAsia="仿宋" w:cs="仿宋"/>
          <w:kern w:val="2"/>
          <w:sz w:val="24"/>
          <w:szCs w:val="24"/>
          <w:highlight w:val="none"/>
          <w:u w:color="000000"/>
          <w:lang w:val="en-US" w:eastAsia="zh-CN"/>
        </w:rPr>
      </w:pPr>
      <w:r>
        <w:rPr>
          <w:rFonts w:hint="eastAsia" w:ascii="仿宋" w:hAnsi="仿宋" w:eastAsia="仿宋" w:cs="仿宋"/>
          <w:kern w:val="2"/>
          <w:sz w:val="24"/>
          <w:szCs w:val="24"/>
          <w:highlight w:val="none"/>
          <w:u w:color="000000"/>
          <w:lang w:val="en-US" w:eastAsia="zh-CN"/>
        </w:rPr>
        <w:t>1）具备三证合一营业执照；</w:t>
      </w:r>
    </w:p>
    <w:p w14:paraId="3D628DA7">
      <w:pPr>
        <w:pStyle w:val="44"/>
        <w:spacing w:line="360" w:lineRule="auto"/>
        <w:rPr>
          <w:rFonts w:hint="eastAsia" w:ascii="仿宋" w:hAnsi="仿宋" w:eastAsia="仿宋" w:cs="仿宋"/>
          <w:kern w:val="2"/>
          <w:sz w:val="24"/>
          <w:szCs w:val="24"/>
          <w:highlight w:val="none"/>
          <w:u w:color="000000"/>
          <w:lang w:val="en-US" w:eastAsia="zh-CN"/>
        </w:rPr>
      </w:pPr>
      <w:r>
        <w:rPr>
          <w:rFonts w:hint="eastAsia" w:ascii="仿宋" w:hAnsi="仿宋" w:eastAsia="仿宋" w:cs="仿宋"/>
          <w:kern w:val="2"/>
          <w:sz w:val="24"/>
          <w:szCs w:val="24"/>
          <w:highlight w:val="none"/>
          <w:u w:color="000000"/>
          <w:lang w:val="en-US" w:eastAsia="zh-CN"/>
        </w:rPr>
        <w:t>2）法定代表人（负责人）参加提供法定代表人（负责人）证明书，委托代理人参加提供法人代表（负责人）授权委托书；投标银行为非法人机构的，提供上一级银行授权委托书。</w:t>
      </w:r>
    </w:p>
    <w:p w14:paraId="3CE8B5C5">
      <w:pPr>
        <w:pStyle w:val="44"/>
        <w:spacing w:line="360" w:lineRule="auto"/>
        <w:rPr>
          <w:rFonts w:hint="eastAsia" w:ascii="仿宋" w:hAnsi="仿宋" w:eastAsia="仿宋" w:cs="仿宋"/>
          <w:kern w:val="2"/>
          <w:sz w:val="24"/>
          <w:szCs w:val="24"/>
          <w:highlight w:val="none"/>
          <w:u w:color="000000"/>
          <w:lang w:val="en-US" w:eastAsia="zh-CN"/>
        </w:rPr>
      </w:pPr>
      <w:r>
        <w:rPr>
          <w:rFonts w:hint="eastAsia" w:ascii="仿宋" w:hAnsi="仿宋" w:eastAsia="仿宋" w:cs="仿宋"/>
          <w:kern w:val="2"/>
          <w:sz w:val="24"/>
          <w:szCs w:val="24"/>
          <w:highlight w:val="none"/>
          <w:u w:color="000000"/>
          <w:lang w:val="en-US" w:eastAsia="zh-CN"/>
        </w:rPr>
        <w:t>3）投标企业须提供投标人（被授权人）近6个月任意1个月的社保证明；</w:t>
      </w:r>
    </w:p>
    <w:p w14:paraId="19C364DE">
      <w:pPr>
        <w:pStyle w:val="44"/>
        <w:spacing w:line="360" w:lineRule="auto"/>
        <w:rPr>
          <w:rFonts w:hint="eastAsia" w:ascii="仿宋" w:hAnsi="仿宋" w:eastAsia="仿宋" w:cs="仿宋"/>
          <w:kern w:val="2"/>
          <w:sz w:val="24"/>
          <w:szCs w:val="24"/>
          <w:highlight w:val="none"/>
          <w:u w:color="000000"/>
          <w:lang w:val="en-US" w:eastAsia="zh-CN"/>
        </w:rPr>
      </w:pPr>
      <w:r>
        <w:rPr>
          <w:rFonts w:hint="eastAsia" w:ascii="仿宋" w:hAnsi="仿宋" w:eastAsia="仿宋" w:cs="仿宋"/>
          <w:kern w:val="2"/>
          <w:sz w:val="24"/>
          <w:szCs w:val="24"/>
          <w:highlight w:val="none"/>
          <w:u w:color="000000"/>
          <w:lang w:val="en-US" w:eastAsia="zh-CN"/>
        </w:rPr>
        <w:t>4）未被列入信用中国网（</w:t>
      </w:r>
      <w:r>
        <w:rPr>
          <w:rFonts w:hint="eastAsia" w:ascii="仿宋" w:hAnsi="仿宋" w:eastAsia="仿宋" w:cs="仿宋"/>
          <w:kern w:val="2"/>
          <w:sz w:val="24"/>
          <w:szCs w:val="24"/>
          <w:highlight w:val="none"/>
          <w:u w:color="000000"/>
          <w:lang w:val="en-US" w:eastAsia="zh-CN"/>
        </w:rPr>
        <w:fldChar w:fldCharType="begin"/>
      </w:r>
      <w:r>
        <w:rPr>
          <w:rFonts w:hint="eastAsia" w:ascii="仿宋" w:hAnsi="仿宋" w:eastAsia="仿宋" w:cs="仿宋"/>
          <w:kern w:val="2"/>
          <w:sz w:val="24"/>
          <w:szCs w:val="24"/>
          <w:highlight w:val="none"/>
          <w:u w:color="000000"/>
          <w:lang w:val="en-US" w:eastAsia="zh-CN"/>
        </w:rPr>
        <w:instrText xml:space="preserve"> HYPERLINK "http://www.creditchina.gov.cn/" </w:instrText>
      </w:r>
      <w:r>
        <w:rPr>
          <w:rFonts w:hint="eastAsia" w:ascii="仿宋" w:hAnsi="仿宋" w:eastAsia="仿宋" w:cs="仿宋"/>
          <w:kern w:val="2"/>
          <w:sz w:val="24"/>
          <w:szCs w:val="24"/>
          <w:highlight w:val="none"/>
          <w:u w:color="000000"/>
          <w:lang w:val="en-US" w:eastAsia="zh-CN"/>
        </w:rPr>
        <w:fldChar w:fldCharType="separate"/>
      </w:r>
      <w:r>
        <w:rPr>
          <w:rFonts w:hint="eastAsia" w:ascii="仿宋" w:hAnsi="仿宋" w:eastAsia="仿宋" w:cs="仿宋"/>
          <w:kern w:val="2"/>
          <w:sz w:val="24"/>
          <w:szCs w:val="24"/>
          <w:highlight w:val="none"/>
          <w:u w:color="000000"/>
          <w:lang w:val="en-US" w:eastAsia="zh-CN"/>
        </w:rPr>
        <w:t>www.creditchina.gov.cn</w:t>
      </w:r>
      <w:r>
        <w:rPr>
          <w:rFonts w:hint="eastAsia" w:ascii="仿宋" w:hAnsi="仿宋" w:eastAsia="仿宋" w:cs="仿宋"/>
          <w:kern w:val="2"/>
          <w:sz w:val="24"/>
          <w:szCs w:val="24"/>
          <w:highlight w:val="none"/>
          <w:u w:color="000000"/>
          <w:lang w:val="en-US" w:eastAsia="zh-CN"/>
        </w:rPr>
        <w:fldChar w:fldCharType="end"/>
      </w:r>
      <w:r>
        <w:rPr>
          <w:rFonts w:hint="eastAsia" w:ascii="仿宋" w:hAnsi="仿宋" w:eastAsia="仿宋" w:cs="仿宋"/>
          <w:kern w:val="2"/>
          <w:sz w:val="24"/>
          <w:szCs w:val="24"/>
          <w:highlight w:val="none"/>
          <w:u w:color="000000"/>
          <w:lang w:val="en-US" w:eastAsia="zh-CN"/>
        </w:rPr>
        <w:t>）及中国政府采购网 (</w:t>
      </w:r>
      <w:r>
        <w:rPr>
          <w:rFonts w:hint="eastAsia" w:ascii="仿宋" w:hAnsi="仿宋" w:eastAsia="仿宋" w:cs="仿宋"/>
          <w:kern w:val="2"/>
          <w:sz w:val="24"/>
          <w:szCs w:val="24"/>
          <w:highlight w:val="none"/>
          <w:u w:color="000000"/>
          <w:lang w:val="en-US" w:eastAsia="zh-CN"/>
        </w:rPr>
        <w:fldChar w:fldCharType="begin"/>
      </w:r>
      <w:r>
        <w:rPr>
          <w:rFonts w:hint="eastAsia" w:ascii="仿宋" w:hAnsi="仿宋" w:eastAsia="仿宋" w:cs="仿宋"/>
          <w:kern w:val="2"/>
          <w:sz w:val="24"/>
          <w:szCs w:val="24"/>
          <w:highlight w:val="none"/>
          <w:u w:color="000000"/>
          <w:lang w:val="en-US" w:eastAsia="zh-CN"/>
        </w:rPr>
        <w:instrText xml:space="preserve"> HYPERLINK "http://www.ccgp.gov.cn/" </w:instrText>
      </w:r>
      <w:r>
        <w:rPr>
          <w:rFonts w:hint="eastAsia" w:ascii="仿宋" w:hAnsi="仿宋" w:eastAsia="仿宋" w:cs="仿宋"/>
          <w:kern w:val="2"/>
          <w:sz w:val="24"/>
          <w:szCs w:val="24"/>
          <w:highlight w:val="none"/>
          <w:u w:color="000000"/>
          <w:lang w:val="en-US" w:eastAsia="zh-CN"/>
        </w:rPr>
        <w:fldChar w:fldCharType="separate"/>
      </w:r>
      <w:r>
        <w:rPr>
          <w:rFonts w:hint="eastAsia" w:ascii="仿宋" w:hAnsi="仿宋" w:eastAsia="仿宋" w:cs="仿宋"/>
          <w:kern w:val="2"/>
          <w:sz w:val="24"/>
          <w:szCs w:val="24"/>
          <w:highlight w:val="none"/>
          <w:u w:color="000000"/>
          <w:lang w:val="en-US" w:eastAsia="zh-CN"/>
        </w:rPr>
        <w:t>www.ccgp.gov.cn</w:t>
      </w:r>
      <w:r>
        <w:rPr>
          <w:rFonts w:hint="eastAsia" w:ascii="仿宋" w:hAnsi="仿宋" w:eastAsia="仿宋" w:cs="仿宋"/>
          <w:kern w:val="2"/>
          <w:sz w:val="24"/>
          <w:szCs w:val="24"/>
          <w:highlight w:val="none"/>
          <w:u w:color="000000"/>
          <w:lang w:val="en-US" w:eastAsia="zh-CN"/>
        </w:rPr>
        <w:fldChar w:fldCharType="end"/>
      </w:r>
      <w:r>
        <w:rPr>
          <w:rFonts w:hint="eastAsia" w:ascii="仿宋" w:hAnsi="仿宋" w:eastAsia="仿宋" w:cs="仿宋"/>
          <w:kern w:val="2"/>
          <w:sz w:val="24"/>
          <w:szCs w:val="24"/>
          <w:highlight w:val="none"/>
          <w:u w:color="000000"/>
          <w:lang w:val="en-US" w:eastAsia="zh-CN"/>
        </w:rPr>
        <w:t>）失信被执行人名单、重大税收违法失信主体、政府采购严重违法失信行为记录名单（提供查询结果网页截图并加盖供应商公章）</w:t>
      </w:r>
    </w:p>
    <w:p w14:paraId="4C4918A7">
      <w:pPr>
        <w:pStyle w:val="44"/>
        <w:spacing w:line="360" w:lineRule="auto"/>
        <w:rPr>
          <w:rFonts w:hint="eastAsia" w:ascii="仿宋" w:hAnsi="仿宋" w:eastAsia="仿宋" w:cs="仿宋"/>
          <w:kern w:val="2"/>
          <w:sz w:val="24"/>
          <w:szCs w:val="24"/>
          <w:highlight w:val="none"/>
          <w:u w:color="000000"/>
          <w:lang w:val="en-US" w:eastAsia="zh-CN"/>
        </w:rPr>
      </w:pPr>
      <w:r>
        <w:rPr>
          <w:rFonts w:hint="eastAsia" w:ascii="仿宋" w:hAnsi="仿宋" w:eastAsia="仿宋" w:cs="仿宋"/>
          <w:kern w:val="2"/>
          <w:sz w:val="24"/>
          <w:szCs w:val="24"/>
          <w:highlight w:val="none"/>
          <w:u w:color="000000"/>
          <w:lang w:val="en-US" w:eastAsia="zh-CN"/>
        </w:rPr>
        <w:t>5）投标企业需提供中国银行业监督管理委员会有效的《中华人民共和国金融许可证》或《金融机构营业许可证》</w:t>
      </w:r>
    </w:p>
    <w:p w14:paraId="2EDF51B9">
      <w:pPr>
        <w:pStyle w:val="44"/>
        <w:spacing w:line="360" w:lineRule="auto"/>
        <w:rPr>
          <w:rFonts w:hint="eastAsia" w:ascii="仿宋" w:hAnsi="仿宋" w:eastAsia="仿宋" w:cs="仿宋"/>
          <w:kern w:val="2"/>
          <w:sz w:val="24"/>
          <w:szCs w:val="24"/>
          <w:highlight w:val="none"/>
          <w:u w:color="000000"/>
          <w:lang w:val="en-US" w:eastAsia="zh-CN"/>
        </w:rPr>
      </w:pPr>
      <w:r>
        <w:rPr>
          <w:rFonts w:hint="eastAsia" w:ascii="仿宋" w:hAnsi="仿宋" w:eastAsia="仿宋" w:cs="仿宋"/>
          <w:kern w:val="2"/>
          <w:sz w:val="24"/>
          <w:szCs w:val="24"/>
          <w:highlight w:val="none"/>
          <w:u w:color="000000"/>
          <w:lang w:val="en-US" w:eastAsia="zh-CN"/>
        </w:rPr>
        <w:t>6）供应商须知资料表要求的其他资格证明文件</w:t>
      </w:r>
    </w:p>
    <w:p w14:paraId="24C712F7">
      <w:pPr>
        <w:pStyle w:val="44"/>
        <w:rPr>
          <w:rFonts w:hint="eastAsia" w:ascii="仿宋" w:hAnsi="仿宋" w:eastAsia="仿宋" w:cs="仿宋"/>
          <w:kern w:val="2"/>
          <w:sz w:val="24"/>
          <w:szCs w:val="24"/>
          <w:highlight w:val="none"/>
          <w:u w:color="000000"/>
          <w:lang w:val="en-US" w:eastAsia="zh-CN"/>
        </w:rPr>
      </w:pPr>
    </w:p>
    <w:p w14:paraId="523DCA6F">
      <w:pPr>
        <w:tabs>
          <w:tab w:val="left" w:pos="5580"/>
        </w:tabs>
        <w:spacing w:line="240" w:lineRule="atLeast"/>
        <w:ind w:left="1" w:firstLine="571" w:firstLineChars="235"/>
        <w:rPr>
          <w:rFonts w:hint="eastAsia" w:ascii="仿宋" w:hAnsi="仿宋" w:eastAsia="仿宋" w:cs="仿宋"/>
          <w:sz w:val="24"/>
          <w:szCs w:val="24"/>
          <w:highlight w:val="none"/>
        </w:rPr>
      </w:pPr>
    </w:p>
    <w:p w14:paraId="4854481A">
      <w:pPr>
        <w:tabs>
          <w:tab w:val="left" w:pos="5580"/>
        </w:tabs>
        <w:spacing w:line="240" w:lineRule="atLeast"/>
        <w:ind w:left="1" w:firstLine="571" w:firstLineChars="235"/>
        <w:rPr>
          <w:rFonts w:hint="eastAsia" w:ascii="仿宋" w:hAnsi="仿宋" w:eastAsia="仿宋" w:cs="仿宋"/>
          <w:sz w:val="24"/>
          <w:szCs w:val="24"/>
          <w:highlight w:val="none"/>
        </w:rPr>
      </w:pPr>
    </w:p>
    <w:p w14:paraId="1EABEE65">
      <w:pPr>
        <w:tabs>
          <w:tab w:val="left" w:pos="5580"/>
        </w:tabs>
        <w:spacing w:line="240" w:lineRule="atLeast"/>
        <w:ind w:left="1" w:firstLine="571" w:firstLineChars="235"/>
        <w:rPr>
          <w:rFonts w:hint="eastAsia" w:ascii="仿宋" w:hAnsi="仿宋" w:eastAsia="仿宋" w:cs="仿宋"/>
          <w:sz w:val="24"/>
          <w:szCs w:val="24"/>
          <w:highlight w:val="none"/>
        </w:rPr>
      </w:pPr>
    </w:p>
    <w:p w14:paraId="763DDD71">
      <w:pPr>
        <w:tabs>
          <w:tab w:val="left" w:pos="5580"/>
        </w:tabs>
        <w:spacing w:line="240" w:lineRule="atLeast"/>
        <w:ind w:left="1" w:firstLine="571" w:firstLineChars="235"/>
        <w:rPr>
          <w:rFonts w:hint="eastAsia" w:ascii="仿宋" w:hAnsi="仿宋" w:eastAsia="仿宋" w:cs="仿宋"/>
          <w:sz w:val="24"/>
          <w:szCs w:val="24"/>
          <w:highlight w:val="none"/>
        </w:rPr>
      </w:pPr>
    </w:p>
    <w:p w14:paraId="42C0B7FE">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7A9AAEF2">
      <w:pPr>
        <w:pStyle w:val="9"/>
        <w:numPr>
          <w:ilvl w:val="0"/>
          <w:numId w:val="0"/>
        </w:numPr>
        <w:kinsoku w:val="0"/>
        <w:overflowPunct w:val="0"/>
        <w:spacing w:before="34" w:line="440" w:lineRule="exact"/>
        <w:ind w:left="480" w:right="126"/>
        <w:jc w:val="center"/>
        <w:outlineLvl w:val="2"/>
        <w:rPr>
          <w:rFonts w:hint="eastAsia" w:ascii="仿宋" w:hAnsi="仿宋" w:eastAsia="仿宋" w:cs="仿宋"/>
          <w:b/>
          <w:bCs/>
          <w:color w:val="auto"/>
          <w:sz w:val="24"/>
          <w:szCs w:val="24"/>
          <w:highlight w:val="none"/>
        </w:rPr>
      </w:pPr>
      <w:bookmarkStart w:id="140" w:name="_Toc4000"/>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具备三证合一营业执照</w:t>
      </w:r>
      <w:bookmarkEnd w:id="140"/>
    </w:p>
    <w:p w14:paraId="2DA3DF05">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说明：1.提供有效的营业执照等证明文件复印件，复印件上应加盖本单位章。</w:t>
      </w:r>
    </w:p>
    <w:p w14:paraId="542D2BD3">
      <w:pPr>
        <w:pStyle w:val="12"/>
        <w:pageBreakBefore w:val="0"/>
        <w:widowControl w:val="0"/>
        <w:numPr>
          <w:ilvl w:val="0"/>
          <w:numId w:val="13"/>
        </w:numPr>
        <w:shd w:val="clear" w:color="auto" w:fill="auto"/>
        <w:tabs>
          <w:tab w:val="left" w:pos="5580"/>
        </w:tabs>
        <w:kinsoku/>
        <w:wordWrap/>
        <w:overflowPunct/>
        <w:topLinePunct w:val="0"/>
        <w:autoSpaceDE/>
        <w:autoSpaceDN/>
        <w:bidi w:val="0"/>
        <w:snapToGrid/>
        <w:spacing w:line="400" w:lineRule="exact"/>
        <w:ind w:left="1354"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投标人为自然人的，应提供身份证明的复印件。</w:t>
      </w:r>
    </w:p>
    <w:p w14:paraId="6B48176E">
      <w:pPr>
        <w:pStyle w:val="19"/>
        <w:numPr>
          <w:ilvl w:val="0"/>
          <w:numId w:val="0"/>
        </w:numPr>
        <w:ind w:left="1354" w:leftChars="0" w:right="0" w:rightChars="0"/>
        <w:jc w:val="center"/>
        <w:rPr>
          <w:rFonts w:hint="eastAsia" w:ascii="仿宋" w:hAnsi="仿宋" w:eastAsia="仿宋" w:cs="仿宋"/>
          <w:color w:val="auto"/>
          <w:sz w:val="24"/>
          <w:szCs w:val="24"/>
        </w:rPr>
      </w:pPr>
    </w:p>
    <w:p w14:paraId="52F5AF47">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（格式自拟）</w:t>
      </w:r>
    </w:p>
    <w:p w14:paraId="56A8AC6D">
      <w:pPr>
        <w:pStyle w:val="9"/>
        <w:numPr>
          <w:ilvl w:val="0"/>
          <w:numId w:val="0"/>
        </w:numPr>
        <w:kinsoku w:val="0"/>
        <w:overflowPunct w:val="0"/>
        <w:spacing w:before="34" w:line="440" w:lineRule="exact"/>
        <w:ind w:left="480" w:right="126"/>
        <w:jc w:val="center"/>
        <w:rPr>
          <w:rFonts w:hint="eastAsia" w:ascii="仿宋" w:hAnsi="仿宋" w:eastAsia="仿宋" w:cs="仿宋"/>
          <w:b/>
          <w:bCs/>
          <w:color w:val="auto"/>
          <w:sz w:val="24"/>
          <w:szCs w:val="24"/>
          <w:highlight w:val="none"/>
        </w:rPr>
      </w:pPr>
    </w:p>
    <w:p w14:paraId="18902A09">
      <w:pPr>
        <w:pStyle w:val="9"/>
        <w:numPr>
          <w:ilvl w:val="0"/>
          <w:numId w:val="0"/>
        </w:numPr>
        <w:kinsoku w:val="0"/>
        <w:overflowPunct w:val="0"/>
        <w:spacing w:before="34" w:line="440" w:lineRule="exact"/>
        <w:ind w:left="480" w:right="126"/>
        <w:jc w:val="center"/>
        <w:rPr>
          <w:rFonts w:hint="eastAsia" w:ascii="仿宋" w:hAnsi="仿宋" w:eastAsia="仿宋" w:cs="仿宋"/>
          <w:b/>
          <w:bCs/>
          <w:color w:val="auto"/>
          <w:sz w:val="24"/>
          <w:szCs w:val="24"/>
          <w:highlight w:val="none"/>
        </w:rPr>
      </w:pPr>
    </w:p>
    <w:p w14:paraId="7EA598D8">
      <w:pPr>
        <w:pStyle w:val="23"/>
        <w:rPr>
          <w:rFonts w:hint="eastAsia" w:ascii="仿宋" w:hAnsi="仿宋" w:eastAsia="仿宋" w:cs="仿宋"/>
          <w:b/>
          <w:bCs/>
          <w:color w:val="auto"/>
          <w:sz w:val="24"/>
          <w:szCs w:val="24"/>
          <w:highlight w:val="none"/>
        </w:rPr>
      </w:pPr>
    </w:p>
    <w:p w14:paraId="4CF2F563">
      <w:pPr>
        <w:pStyle w:val="23"/>
        <w:rPr>
          <w:rFonts w:hint="eastAsia" w:ascii="仿宋" w:hAnsi="仿宋" w:eastAsia="仿宋" w:cs="仿宋"/>
          <w:b/>
          <w:bCs/>
          <w:color w:val="auto"/>
          <w:sz w:val="24"/>
          <w:szCs w:val="24"/>
          <w:highlight w:val="none"/>
        </w:rPr>
      </w:pPr>
    </w:p>
    <w:p w14:paraId="40612770">
      <w:pPr>
        <w:pStyle w:val="23"/>
        <w:rPr>
          <w:rFonts w:hint="eastAsia" w:ascii="仿宋" w:hAnsi="仿宋" w:eastAsia="仿宋" w:cs="仿宋"/>
          <w:b/>
          <w:bCs/>
          <w:color w:val="auto"/>
          <w:sz w:val="24"/>
          <w:szCs w:val="24"/>
          <w:highlight w:val="none"/>
        </w:rPr>
      </w:pPr>
    </w:p>
    <w:p w14:paraId="4031CBE0">
      <w:pPr>
        <w:pStyle w:val="23"/>
        <w:rPr>
          <w:rFonts w:hint="eastAsia" w:ascii="仿宋" w:hAnsi="仿宋" w:eastAsia="仿宋" w:cs="仿宋"/>
          <w:b/>
          <w:bCs/>
          <w:color w:val="auto"/>
          <w:sz w:val="24"/>
          <w:szCs w:val="24"/>
          <w:highlight w:val="none"/>
        </w:rPr>
      </w:pPr>
    </w:p>
    <w:p w14:paraId="5552B1F1">
      <w:pPr>
        <w:pStyle w:val="23"/>
        <w:rPr>
          <w:rFonts w:hint="eastAsia" w:ascii="仿宋" w:hAnsi="仿宋" w:eastAsia="仿宋" w:cs="仿宋"/>
          <w:b/>
          <w:bCs/>
          <w:color w:val="auto"/>
          <w:sz w:val="24"/>
          <w:szCs w:val="24"/>
          <w:highlight w:val="none"/>
        </w:rPr>
      </w:pPr>
    </w:p>
    <w:p w14:paraId="446470A2">
      <w:pPr>
        <w:pStyle w:val="23"/>
        <w:rPr>
          <w:rFonts w:hint="eastAsia" w:ascii="仿宋" w:hAnsi="仿宋" w:eastAsia="仿宋" w:cs="仿宋"/>
          <w:b/>
          <w:bCs/>
          <w:color w:val="auto"/>
          <w:sz w:val="24"/>
          <w:szCs w:val="24"/>
          <w:highlight w:val="none"/>
        </w:rPr>
      </w:pPr>
    </w:p>
    <w:p w14:paraId="3B73C24A">
      <w:pPr>
        <w:pStyle w:val="23"/>
        <w:rPr>
          <w:rFonts w:hint="eastAsia" w:ascii="仿宋" w:hAnsi="仿宋" w:eastAsia="仿宋" w:cs="仿宋"/>
          <w:b/>
          <w:bCs/>
          <w:color w:val="auto"/>
          <w:sz w:val="24"/>
          <w:szCs w:val="24"/>
          <w:highlight w:val="none"/>
        </w:rPr>
      </w:pPr>
    </w:p>
    <w:p w14:paraId="36B87FD5">
      <w:pPr>
        <w:pStyle w:val="23"/>
        <w:rPr>
          <w:rFonts w:hint="eastAsia" w:ascii="仿宋" w:hAnsi="仿宋" w:eastAsia="仿宋" w:cs="仿宋"/>
          <w:b/>
          <w:bCs/>
          <w:color w:val="auto"/>
          <w:sz w:val="24"/>
          <w:szCs w:val="24"/>
          <w:highlight w:val="none"/>
        </w:rPr>
      </w:pPr>
    </w:p>
    <w:p w14:paraId="68211279">
      <w:pPr>
        <w:pStyle w:val="23"/>
        <w:rPr>
          <w:rFonts w:hint="eastAsia" w:ascii="仿宋" w:hAnsi="仿宋" w:eastAsia="仿宋" w:cs="仿宋"/>
          <w:b/>
          <w:bCs/>
          <w:color w:val="auto"/>
          <w:sz w:val="24"/>
          <w:szCs w:val="24"/>
          <w:highlight w:val="none"/>
        </w:rPr>
      </w:pPr>
    </w:p>
    <w:p w14:paraId="2BD2A153">
      <w:pPr>
        <w:pStyle w:val="23"/>
        <w:rPr>
          <w:rFonts w:hint="eastAsia" w:ascii="仿宋" w:hAnsi="仿宋" w:eastAsia="仿宋" w:cs="仿宋"/>
          <w:b/>
          <w:bCs/>
          <w:color w:val="auto"/>
          <w:sz w:val="24"/>
          <w:szCs w:val="24"/>
          <w:highlight w:val="none"/>
        </w:rPr>
      </w:pPr>
    </w:p>
    <w:p w14:paraId="253683EF">
      <w:pPr>
        <w:pStyle w:val="23"/>
        <w:rPr>
          <w:rFonts w:hint="eastAsia" w:ascii="仿宋" w:hAnsi="仿宋" w:eastAsia="仿宋" w:cs="仿宋"/>
          <w:b/>
          <w:bCs/>
          <w:color w:val="auto"/>
          <w:sz w:val="24"/>
          <w:szCs w:val="24"/>
          <w:highlight w:val="none"/>
        </w:rPr>
      </w:pPr>
    </w:p>
    <w:p w14:paraId="464AAC09">
      <w:pPr>
        <w:pStyle w:val="23"/>
        <w:rPr>
          <w:rFonts w:hint="eastAsia" w:ascii="仿宋" w:hAnsi="仿宋" w:eastAsia="仿宋" w:cs="仿宋"/>
          <w:b/>
          <w:bCs/>
          <w:color w:val="auto"/>
          <w:sz w:val="24"/>
          <w:szCs w:val="24"/>
          <w:highlight w:val="none"/>
        </w:rPr>
      </w:pPr>
    </w:p>
    <w:p w14:paraId="4432C2AC">
      <w:pPr>
        <w:pStyle w:val="23"/>
        <w:rPr>
          <w:rFonts w:hint="eastAsia" w:ascii="仿宋" w:hAnsi="仿宋" w:eastAsia="仿宋" w:cs="仿宋"/>
          <w:b/>
          <w:bCs/>
          <w:color w:val="auto"/>
          <w:sz w:val="24"/>
          <w:szCs w:val="24"/>
          <w:highlight w:val="none"/>
        </w:rPr>
      </w:pPr>
    </w:p>
    <w:p w14:paraId="5E9B13AC">
      <w:pPr>
        <w:pStyle w:val="23"/>
        <w:rPr>
          <w:rFonts w:hint="eastAsia" w:ascii="仿宋" w:hAnsi="仿宋" w:eastAsia="仿宋" w:cs="仿宋"/>
          <w:b/>
          <w:bCs/>
          <w:color w:val="auto"/>
          <w:sz w:val="24"/>
          <w:szCs w:val="24"/>
          <w:highlight w:val="none"/>
        </w:rPr>
      </w:pPr>
    </w:p>
    <w:p w14:paraId="738A9867">
      <w:pPr>
        <w:pStyle w:val="23"/>
        <w:rPr>
          <w:rFonts w:hint="eastAsia" w:ascii="仿宋" w:hAnsi="仿宋" w:eastAsia="仿宋" w:cs="仿宋"/>
          <w:b/>
          <w:bCs/>
          <w:color w:val="auto"/>
          <w:sz w:val="24"/>
          <w:szCs w:val="24"/>
          <w:highlight w:val="none"/>
        </w:rPr>
      </w:pPr>
    </w:p>
    <w:p w14:paraId="6F7583EE">
      <w:pPr>
        <w:pStyle w:val="23"/>
        <w:rPr>
          <w:rFonts w:hint="eastAsia" w:ascii="仿宋" w:hAnsi="仿宋" w:eastAsia="仿宋" w:cs="仿宋"/>
          <w:b/>
          <w:bCs/>
          <w:color w:val="auto"/>
          <w:sz w:val="24"/>
          <w:szCs w:val="24"/>
          <w:highlight w:val="none"/>
        </w:rPr>
      </w:pPr>
    </w:p>
    <w:p w14:paraId="1145F460">
      <w:pPr>
        <w:pStyle w:val="23"/>
        <w:rPr>
          <w:rFonts w:hint="eastAsia" w:ascii="仿宋" w:hAnsi="仿宋" w:eastAsia="仿宋" w:cs="仿宋"/>
          <w:b/>
          <w:bCs/>
          <w:color w:val="auto"/>
          <w:sz w:val="24"/>
          <w:szCs w:val="24"/>
          <w:highlight w:val="none"/>
        </w:rPr>
      </w:pPr>
    </w:p>
    <w:p w14:paraId="44065F37">
      <w:pPr>
        <w:pStyle w:val="23"/>
        <w:rPr>
          <w:rFonts w:hint="eastAsia" w:ascii="仿宋" w:hAnsi="仿宋" w:eastAsia="仿宋" w:cs="仿宋"/>
          <w:b/>
          <w:bCs/>
          <w:color w:val="auto"/>
          <w:sz w:val="24"/>
          <w:szCs w:val="24"/>
          <w:highlight w:val="none"/>
        </w:rPr>
      </w:pPr>
    </w:p>
    <w:p w14:paraId="6CDD4307">
      <w:pPr>
        <w:pStyle w:val="23"/>
        <w:rPr>
          <w:rFonts w:hint="eastAsia" w:ascii="仿宋" w:hAnsi="仿宋" w:eastAsia="仿宋" w:cs="仿宋"/>
          <w:b/>
          <w:bCs/>
          <w:color w:val="auto"/>
          <w:sz w:val="24"/>
          <w:szCs w:val="24"/>
          <w:highlight w:val="none"/>
        </w:rPr>
      </w:pPr>
    </w:p>
    <w:p w14:paraId="3838D400">
      <w:pPr>
        <w:pStyle w:val="23"/>
        <w:rPr>
          <w:rFonts w:hint="eastAsia" w:ascii="仿宋" w:hAnsi="仿宋" w:eastAsia="仿宋" w:cs="仿宋"/>
          <w:b/>
          <w:bCs/>
          <w:color w:val="auto"/>
          <w:sz w:val="24"/>
          <w:szCs w:val="24"/>
          <w:highlight w:val="none"/>
        </w:rPr>
      </w:pPr>
    </w:p>
    <w:p w14:paraId="5EFF0380">
      <w:pPr>
        <w:pStyle w:val="23"/>
        <w:rPr>
          <w:rFonts w:hint="eastAsia" w:ascii="仿宋" w:hAnsi="仿宋" w:eastAsia="仿宋" w:cs="仿宋"/>
          <w:b/>
          <w:bCs/>
          <w:color w:val="auto"/>
          <w:sz w:val="24"/>
          <w:szCs w:val="24"/>
          <w:highlight w:val="none"/>
        </w:rPr>
      </w:pPr>
    </w:p>
    <w:p w14:paraId="092BB390">
      <w:pPr>
        <w:pStyle w:val="23"/>
        <w:rPr>
          <w:rFonts w:hint="eastAsia" w:ascii="仿宋" w:hAnsi="仿宋" w:eastAsia="仿宋" w:cs="仿宋"/>
          <w:b/>
          <w:bCs/>
          <w:color w:val="auto"/>
          <w:sz w:val="24"/>
          <w:szCs w:val="24"/>
          <w:highlight w:val="none"/>
        </w:rPr>
      </w:pPr>
    </w:p>
    <w:p w14:paraId="54DFA68B">
      <w:pPr>
        <w:pStyle w:val="9"/>
        <w:numPr>
          <w:ilvl w:val="0"/>
          <w:numId w:val="0"/>
        </w:numPr>
        <w:kinsoku w:val="0"/>
        <w:overflowPunct w:val="0"/>
        <w:spacing w:before="34" w:line="440" w:lineRule="exact"/>
        <w:ind w:left="480" w:right="126"/>
        <w:jc w:val="center"/>
        <w:outlineLvl w:val="2"/>
        <w:rPr>
          <w:rFonts w:hint="eastAsia" w:ascii="仿宋" w:hAnsi="仿宋" w:eastAsia="仿宋" w:cs="仿宋"/>
          <w:color w:val="auto"/>
          <w:sz w:val="24"/>
          <w:szCs w:val="24"/>
          <w:highlight w:val="none"/>
        </w:rPr>
      </w:pPr>
      <w:bookmarkStart w:id="141" w:name="_Toc27385"/>
      <w:r>
        <w:rPr>
          <w:rFonts w:hint="eastAsia" w:ascii="仿宋" w:hAnsi="仿宋" w:eastAsia="仿宋" w:cs="仿宋"/>
          <w:b/>
          <w:bCs/>
          <w:color w:val="auto"/>
          <w:sz w:val="24"/>
          <w:szCs w:val="24"/>
          <w:highlight w:val="none"/>
          <w:lang w:val="en-US" w:eastAsia="zh-CN"/>
        </w:rPr>
        <w:t>2-1、</w:t>
      </w:r>
      <w:r>
        <w:rPr>
          <w:rFonts w:hint="eastAsia" w:ascii="仿宋" w:hAnsi="仿宋" w:eastAsia="仿宋" w:cs="仿宋"/>
          <w:b/>
          <w:bCs/>
          <w:color w:val="auto"/>
          <w:sz w:val="24"/>
          <w:szCs w:val="24"/>
          <w:highlight w:val="none"/>
        </w:rPr>
        <w:t>法定代表人身份证明</w:t>
      </w:r>
      <w:bookmarkEnd w:id="141"/>
    </w:p>
    <w:p w14:paraId="349BD490">
      <w:pPr>
        <w:spacing w:line="420" w:lineRule="exact"/>
        <w:ind w:firstLine="486"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投标单位名称：</w:t>
      </w:r>
      <w:r>
        <w:rPr>
          <w:rFonts w:hint="eastAsia" w:ascii="仿宋" w:hAnsi="仿宋" w:eastAsia="仿宋" w:cs="仿宋"/>
          <w:color w:val="auto"/>
          <w:sz w:val="24"/>
          <w:szCs w:val="24"/>
          <w:highlight w:val="none"/>
          <w:u w:val="single"/>
        </w:rPr>
        <w:t xml:space="preserve">                       </w:t>
      </w:r>
    </w:p>
    <w:p w14:paraId="71F43548">
      <w:pPr>
        <w:spacing w:line="420" w:lineRule="exact"/>
        <w:ind w:firstLine="486"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p>
    <w:p w14:paraId="10605B18">
      <w:pPr>
        <w:spacing w:line="420" w:lineRule="exact"/>
        <w:ind w:firstLine="486"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p>
    <w:p w14:paraId="3F1A16CF">
      <w:pPr>
        <w:spacing w:line="420" w:lineRule="exac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0E76064">
      <w:pPr>
        <w:spacing w:line="420" w:lineRule="exact"/>
        <w:ind w:firstLine="486"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p>
    <w:p w14:paraId="6AE44472">
      <w:pPr>
        <w:spacing w:line="420" w:lineRule="exact"/>
        <w:ind w:firstLine="486"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职务：</w:t>
      </w:r>
      <w:r>
        <w:rPr>
          <w:rFonts w:hint="eastAsia" w:ascii="仿宋" w:hAnsi="仿宋" w:eastAsia="仿宋" w:cs="仿宋"/>
          <w:color w:val="auto"/>
          <w:sz w:val="24"/>
          <w:szCs w:val="24"/>
          <w:highlight w:val="none"/>
          <w:u w:val="single"/>
        </w:rPr>
        <w:t xml:space="preserve">           </w:t>
      </w:r>
    </w:p>
    <w:p w14:paraId="30CB4FF3">
      <w:pPr>
        <w:spacing w:line="420" w:lineRule="exact"/>
        <w:ind w:firstLine="486"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14:paraId="22B8291C">
      <w:pPr>
        <w:spacing w:line="420" w:lineRule="exac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（投标单位名称）的法定代表人。</w:t>
      </w:r>
    </w:p>
    <w:p w14:paraId="6385B914">
      <w:pPr>
        <w:spacing w:line="420" w:lineRule="exact"/>
        <w:ind w:firstLine="972"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7D3DFD35">
      <w:pPr>
        <w:pStyle w:val="9"/>
        <w:numPr>
          <w:ilvl w:val="0"/>
          <w:numId w:val="0"/>
        </w:numPr>
        <w:kinsoku w:val="0"/>
        <w:overflowPunct w:val="0"/>
        <w:rPr>
          <w:rFonts w:hint="eastAsia" w:ascii="仿宋" w:hAnsi="仿宋" w:eastAsia="仿宋" w:cs="仿宋"/>
          <w:color w:val="auto"/>
          <w:sz w:val="24"/>
          <w:szCs w:val="24"/>
          <w:highlight w:val="none"/>
        </w:rPr>
      </w:pPr>
    </w:p>
    <w:p w14:paraId="497CC264">
      <w:pPr>
        <w:pStyle w:val="9"/>
        <w:numPr>
          <w:ilvl w:val="0"/>
          <w:numId w:val="0"/>
        </w:numPr>
        <w:kinsoku w:val="0"/>
        <w:overflowPunct w:val="0"/>
        <w:spacing w:before="7"/>
        <w:ind w:leftChars="0" w:right="0"/>
        <w:rPr>
          <w:rFonts w:hint="eastAsia" w:ascii="仿宋" w:hAnsi="仿宋" w:eastAsia="仿宋" w:cs="仿宋"/>
          <w:color w:val="auto"/>
          <w:sz w:val="24"/>
          <w:szCs w:val="24"/>
          <w:highlight w:val="none"/>
        </w:rPr>
      </w:pPr>
    </w:p>
    <w:p w14:paraId="11440264">
      <w:pPr>
        <w:pStyle w:val="9"/>
        <w:numPr>
          <w:ilvl w:val="0"/>
          <w:numId w:val="0"/>
        </w:numPr>
        <w:kinsoku w:val="0"/>
        <w:overflowPunct w:val="0"/>
        <w:spacing w:before="7"/>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shd w:val="clear" w:color="auto" w:fill="auto"/>
          <w:lang w:val="en-US" w:eastAsia="en-US" w:bidi="en-US"/>
        </w:rPr>
        <mc:AlternateContent>
          <mc:Choice Requires="wpg">
            <w:drawing>
              <wp:inline distT="0" distB="0" distL="114300" distR="114300">
                <wp:extent cx="5136515" cy="1458595"/>
                <wp:effectExtent l="1905" t="1905" r="5080" b="6350"/>
                <wp:docPr id="36" name="组合 36"/>
                <wp:cNvGraphicFramePr/>
                <a:graphic xmlns:a="http://schemas.openxmlformats.org/drawingml/2006/main">
                  <a:graphicData uri="http://schemas.microsoft.com/office/word/2010/wordprocessingGroup">
                    <wpg:wgp>
                      <wpg:cNvGrpSpPr/>
                      <wpg:grpSpPr>
                        <a:xfrm>
                          <a:off x="0" y="0"/>
                          <a:ext cx="5136515" cy="1458595"/>
                          <a:chOff x="4" y="4"/>
                          <a:chExt cx="8094" cy="2302"/>
                        </a:xfrm>
                      </wpg:grpSpPr>
                      <wps:wsp>
                        <wps:cNvPr id="24" name="任意多边形 2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5" name="任意多边形 2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26" name="任意多边形 26"/>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27" name="任意多边形 2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8" name="任意多边形 28"/>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9" name="任意多边形 29"/>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30" name="任意多边形 30"/>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31" name="任意多边形 31"/>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32" name="任意多边形 32"/>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33" name="任意多边形 33"/>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34" name="矩形 34"/>
                        <wps:cNvSpPr/>
                        <wps:spPr>
                          <a:xfrm>
                            <a:off x="19" y="19"/>
                            <a:ext cx="4025" cy="2258"/>
                          </a:xfrm>
                          <a:prstGeom prst="rect">
                            <a:avLst/>
                          </a:prstGeom>
                          <a:noFill/>
                          <a:ln>
                            <a:noFill/>
                          </a:ln>
                        </wps:spPr>
                        <wps:txbx>
                          <w:txbxContent>
                            <w:p w14:paraId="5B960F11">
                              <w:pPr>
                                <w:pStyle w:val="9"/>
                                <w:numPr>
                                  <w:ilvl w:val="0"/>
                                  <w:numId w:val="0"/>
                                </w:numPr>
                                <w:kinsoku w:val="0"/>
                                <w:overflowPunct w:val="0"/>
                                <w:spacing w:before="13"/>
                                <w:ind w:leftChars="0" w:right="0"/>
                                <w:rPr>
                                  <w:rFonts w:hint="eastAsia"/>
                                  <w:sz w:val="28"/>
                                  <w:szCs w:val="28"/>
                                </w:rPr>
                              </w:pPr>
                            </w:p>
                            <w:p w14:paraId="5ADF70A7">
                              <w:pPr>
                                <w:pStyle w:val="9"/>
                                <w:numPr>
                                  <w:ilvl w:val="0"/>
                                  <w:numId w:val="0"/>
                                </w:numPr>
                                <w:kinsoku w:val="0"/>
                                <w:overflowPunct w:val="0"/>
                                <w:ind w:right="0"/>
                                <w:jc w:val="center"/>
                              </w:pPr>
                              <w:r>
                                <w:rPr>
                                  <w:rFonts w:hint="eastAsia"/>
                                </w:rPr>
                                <w:t>法定代表人身份证复印件（正面）</w:t>
                              </w:r>
                            </w:p>
                          </w:txbxContent>
                        </wps:txbx>
                        <wps:bodyPr lIns="0" tIns="0" rIns="0" bIns="0" upright="1"/>
                      </wps:wsp>
                      <wps:wsp>
                        <wps:cNvPr id="35" name="矩形 35"/>
                        <wps:cNvSpPr/>
                        <wps:spPr>
                          <a:xfrm>
                            <a:off x="4044" y="19"/>
                            <a:ext cx="4025" cy="2258"/>
                          </a:xfrm>
                          <a:prstGeom prst="rect">
                            <a:avLst/>
                          </a:prstGeom>
                          <a:noFill/>
                          <a:ln>
                            <a:noFill/>
                          </a:ln>
                        </wps:spPr>
                        <wps:txbx>
                          <w:txbxContent>
                            <w:p w14:paraId="0BE44372">
                              <w:pPr>
                                <w:pStyle w:val="9"/>
                                <w:numPr>
                                  <w:ilvl w:val="0"/>
                                  <w:numId w:val="0"/>
                                </w:numPr>
                                <w:kinsoku w:val="0"/>
                                <w:overflowPunct w:val="0"/>
                                <w:spacing w:before="13"/>
                                <w:ind w:leftChars="0" w:right="0"/>
                                <w:rPr>
                                  <w:rFonts w:hint="eastAsia"/>
                                  <w:sz w:val="28"/>
                                  <w:szCs w:val="28"/>
                                </w:rPr>
                              </w:pPr>
                            </w:p>
                            <w:p w14:paraId="35B206BD">
                              <w:pPr>
                                <w:pStyle w:val="9"/>
                                <w:numPr>
                                  <w:ilvl w:val="0"/>
                                  <w:numId w:val="0"/>
                                </w:numPr>
                                <w:kinsoku w:val="0"/>
                                <w:overflowPunct w:val="0"/>
                                <w:ind w:right="0"/>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origin="4,4" coordsize="8094,2302"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">
                <o:lock v:ext="edit" aspectratio="f"/>
                <v:shape id="_x0000_s1026" o:spid="_x0000_s1026" o:spt="100" style="position:absolute;left:4;top:9;height:20;width:8079;" filled="f" stroked="t" coordsize="8079,20" o:gfxdata="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y7ni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TYA+87wAAADb&#10;AAAADwAAAGRycy9kb3ducmV2LnhtbEWPQYvCMBSE7wv+h/AEb2tSQXGr0YMiiIsH6/6AR/NsS5uX&#10;kkSt++s3Cwt7HGbmG2a9HWwnHuRD41hDNlUgiEtnGq40fF0P70sQISIb7ByThhcF2G5Gb2vMjXvy&#10;hR5FrESCcMhRQx1jn0sZyposhqnriZN3c95iTNJX0nh8Jrjt5EyphbTYcFqosaddTWVb3K2GvffX&#10;s+xvxffpc++ySrXzj6HVejLO1ApEpCH+h//aR6NhNoffL+kHyM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2APvO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vVKghLwAAADb&#10;AAAADwAAAGRycy9kb3ducmV2LnhtbEWPQYvCMBSE7wv+h/CEva1JBUWr0YMiLMoerP6AR/NsS5uX&#10;kkTt7q83Cwt7HGbmG2a9HWwnHuRD41hDNlEgiEtnGq40XC+HjwWIEJENdo5JwzcF2G5Gb2vMjXvy&#10;mR5FrESCcMhRQx1jn0sZyposhonriZN3c95iTNJX0nh8Jrjt5FSpubTYcFqosaddTWVb3K2GvfeX&#10;L9nfip/jae+ySrWz5dBq/T7O1ApEpCH+h//an0bDdA6/X9IPkJ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1SoIS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tCBwD70AAADb&#10;AAAADwAAAGRycy9kb3ducmV2LnhtbEWPT2sCMRTE74V+h/AK3mrigq1sjR6k/qE9VT14fGzebhY3&#10;L0sSdf32plDocZiZ3zDz5eA6caUQW88aJmMFgrjypuVGw/Gwfp2BiAnZYOeZNNwpwnLx/DTH0vgb&#10;/9B1nxqRIRxL1GBT6kspY2XJYRz7njh7tQ8OU5ahkSbgLcNdJwul3qTDlvOCxZ5Wlqrz/uI0fNd1&#10;cQ6q+Jputp+Iw7RtTnal9ehloj5AJBrSf/ivvTMainf4/Z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IHAP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szEw77gAAADb&#10;AAAADwAAAGRycy9kb3ducmV2LnhtbEVPy2oCMRTdF/yHcIVuiiYKyjgaXYgFoSvHdn+ZXCeDk5sx&#10;ic+vbxaFLg/nvdo8XCduFGLrWcNkrEAQ19603Gj4Pn6OChAxIRvsPJOGJ0XYrAdvKyyNv/OBblVq&#10;RA7hWKIGm1JfShlrSw7j2PfEmTv54DBlGBppAt5zuOvkVKm5dNhybrDY09ZSfa6uTsPr9LGf7Szu&#10;qrr4UV/FYnvBUGn9PpyoJYhEj/Qv/nPvjYZpHpu/5B8g1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zEw77gAAADbAAAA&#10;DwAAAAAAAAABACAAAAAiAAAAZHJzL2Rvd25yZXYueG1sUEsBAhQAFAAAAAgAh07iQDMvBZ47AAAA&#10;OQAAABAAAAAAAAAAAQAgAAAABwEAAGRycy9zaGFwZXhtbC54bWxQSwUGAAAAAAYABgBbAQAAsQMA&#10;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Sw69rr4AAADb&#10;AAAADwAAAGRycy9kb3ducmV2LnhtbEWPT4vCMBTE74LfIbwFL7JNFRGtjSK7CB6E9d9hvT2aZ1u3&#10;eSlNtPrtN4LgcZiZ3zDp4m4qcaPGlZYVDKIYBHFmdcm5guNh9TkB4TyyxsoyKXiQg8W820kx0bbl&#10;Hd32PhcBwi5BBYX3dSKlywoy6CJbEwfvbBuDPsgml7rBNsBNJYdxPJYGSw4LBdb0VVD2t78aBe36&#10;W5ZH/5P1893mMJr+LuvLaatU72MQz0B4uvt3+NVeawXDKTy/hB8g5/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69rr4A&#10;AADb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3lvR67cAAADb&#10;AAAADwAAAGRycy9kb3ducmV2LnhtbEVPy4rCMBTdC/MP4Q6407QWRTrGIoUBV8L42F+aO02xuWmT&#10;jI+/N4sBl4fz3lQP24sb+dA5VpDPMxDEjdMdtwrOp+/ZGkSIyBp7x6TgSQGq7cdkg6V2d/6h2zG2&#10;IoVwKFGBiXEopQyNIYth7gbixP06bzEm6FupPd5TuO3lIstW0mLHqcHgQLWh5nr8swp8E2o9FqO5&#10;1OPhwjsc3KpYKjX9zLMvEJEe8S3+d++1giKtT1/SD5Db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eW9HrtwAAANsAAAAP&#10;AAAAAAAAAAEAIAAAACIAAABkcnMvZG93bnJldi54bWxQSwECFAAUAAAACACHTuJAMy8FnjsAAAA5&#10;AAAAEAAAAAAAAAABACAAAAAGAQAAZHJzL3NoYXBleG1sLnhtbFBLBQYAAAAABgAGAFsBAACwAwAA&#10;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sRd0cLsAAADb&#10;AAAADwAAAGRycy9kb3ducmV2LnhtbEWPwWrDMBBE74X+g9hCb43smpjgRgnFUOipUCe5L9bGMrVW&#10;tqTG7t9XgUCOw8y8Ybb7xQ7iQj70jhXkqwwEcet0z52C4+HjZQMiRGSNg2NS8EcB9rvHhy1W2s38&#10;TZcmdiJBOFSowMQ4VlKG1pDFsHIjcfLOzluMSfpOao9zgttBvmZZKS32nBYMjlQban+aX6vAt6HW&#10;UzGZUz19nfgdR1cWa6Wen/LsDUSkJd7Dt/anVlDkcP2SfoD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d0cL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QcXqB7kAAADb&#10;AAAADwAAAGRycy9kb3ducmV2LnhtbEWPW4vCMBSE3wX/QziCb5pqUaQaZSkI+yR4ez80x6Zsc9Im&#10;8bL/3iws+DjMzDfMZveyrXiQD41jBbNpBoK4crrhWsHlvJ+sQISIrLF1TAp+KcBuOxxssNDuyUd6&#10;nGItEoRDgQpMjF0hZagMWQxT1xEn7+a8xZikr6X2+Exw28p5li2lxYbTgsGOSkPVz+luFfgqlLrP&#10;e3Mt+8OVv7Bzy3yh1Hg0y9YgIr3iJ/zf/tYK8jn8fU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HF6ge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uzfikr0AAADb&#10;AAAADwAAAGRycy9kb3ducmV2LnhtbEWPQWvCQBSE74L/YXkFb7qxKUVTV8Gi1ksRY6HXZ/aZDWbf&#10;huwa7b/vCoLHYWa+YWaLm61FR62vHCsYjxIQxIXTFZcKfg7r4QSED8gaa8ek4I88LOb93gwz7a68&#10;py4PpYgQ9hkqMCE0mZS+MGTRj1xDHL2Tay2GKNtS6havEW5r+Zok79JixXHBYEOfhopzfrEKzr4z&#10;y+Pb5muX8vR7kh9Xze9ppdTgZZx8gAh0C8/wo73VCtIU7l/iD5D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N+KS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rect id="_x0000_s1026" o:spid="_x0000_s1026" o:spt="1" style="position:absolute;left:19;top:19;height:2258;width:4025;" filled="f" stroked="f" coordsize="21600,21600" o:gfxdata="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H7b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B960F11">
                        <w:pPr>
                          <w:pStyle w:val="9"/>
                          <w:numPr>
                            <w:ilvl w:val="0"/>
                            <w:numId w:val="0"/>
                          </w:numPr>
                          <w:kinsoku w:val="0"/>
                          <w:overflowPunct w:val="0"/>
                          <w:spacing w:before="13"/>
                          <w:ind w:leftChars="0" w:right="0"/>
                          <w:rPr>
                            <w:rFonts w:hint="eastAsia"/>
                            <w:sz w:val="28"/>
                            <w:szCs w:val="28"/>
                          </w:rPr>
                        </w:pPr>
                      </w:p>
                      <w:p w14:paraId="5ADF70A7">
                        <w:pPr>
                          <w:pStyle w:val="9"/>
                          <w:numPr>
                            <w:ilvl w:val="0"/>
                            <w:numId w:val="0"/>
                          </w:numPr>
                          <w:kinsoku w:val="0"/>
                          <w:overflowPunct w:val="0"/>
                          <w:ind w:right="0"/>
                          <w:jc w:val="center"/>
                        </w:pPr>
                        <w:r>
                          <w:rPr>
                            <w:rFonts w:hint="eastAsia"/>
                          </w:rPr>
                          <w:t>法定代表人身份证复印件（正面）</w:t>
                        </w:r>
                      </w:p>
                    </w:txbxContent>
                  </v:textbox>
                </v:rect>
                <v:rect id="_x0000_s1026" o:spid="_x0000_s1026" o:spt="1" style="position:absolute;left:4044;top:19;height:2258;width:4025;" filled="f" stroked="f" coordsize="21600,21600" o:gfxdata="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1e9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BE44372">
                        <w:pPr>
                          <w:pStyle w:val="9"/>
                          <w:numPr>
                            <w:ilvl w:val="0"/>
                            <w:numId w:val="0"/>
                          </w:numPr>
                          <w:kinsoku w:val="0"/>
                          <w:overflowPunct w:val="0"/>
                          <w:spacing w:before="13"/>
                          <w:ind w:leftChars="0" w:right="0"/>
                          <w:rPr>
                            <w:rFonts w:hint="eastAsia"/>
                            <w:sz w:val="28"/>
                            <w:szCs w:val="28"/>
                          </w:rPr>
                        </w:pPr>
                      </w:p>
                      <w:p w14:paraId="35B206BD">
                        <w:pPr>
                          <w:pStyle w:val="9"/>
                          <w:numPr>
                            <w:ilvl w:val="0"/>
                            <w:numId w:val="0"/>
                          </w:numPr>
                          <w:kinsoku w:val="0"/>
                          <w:overflowPunct w:val="0"/>
                          <w:ind w:right="0"/>
                        </w:pPr>
                        <w:r>
                          <w:rPr>
                            <w:rFonts w:hint="eastAsia"/>
                          </w:rPr>
                          <w:t>法定代表人身份证复印件（反面）</w:t>
                        </w:r>
                      </w:p>
                    </w:txbxContent>
                  </v:textbox>
                </v:rect>
                <w10:wrap type="none"/>
                <w10:anchorlock/>
              </v:group>
            </w:pict>
          </mc:Fallback>
        </mc:AlternateContent>
      </w:r>
    </w:p>
    <w:p w14:paraId="7AA2E1FF">
      <w:pPr>
        <w:wordWrap w:val="0"/>
        <w:spacing w:line="420" w:lineRule="exact"/>
        <w:ind w:firstLine="486" w:firstLineChars="200"/>
        <w:jc w:val="right"/>
        <w:rPr>
          <w:rFonts w:hint="eastAsia" w:ascii="仿宋" w:hAnsi="仿宋" w:eastAsia="仿宋" w:cs="仿宋"/>
          <w:color w:val="auto"/>
          <w:sz w:val="24"/>
          <w:szCs w:val="24"/>
          <w:highlight w:val="none"/>
        </w:rPr>
      </w:pPr>
    </w:p>
    <w:p w14:paraId="6808C9C7">
      <w:pPr>
        <w:pStyle w:val="40"/>
        <w:wordWrap/>
        <w:rPr>
          <w:rFonts w:hint="eastAsia" w:ascii="仿宋" w:hAnsi="仿宋" w:eastAsia="仿宋" w:cs="仿宋"/>
          <w:color w:val="auto"/>
          <w:sz w:val="24"/>
          <w:szCs w:val="24"/>
          <w:highlight w:val="none"/>
        </w:rPr>
      </w:pPr>
    </w:p>
    <w:p w14:paraId="0A7ED0B9">
      <w:pPr>
        <w:pStyle w:val="40"/>
        <w:wordWrap/>
        <w:rPr>
          <w:rFonts w:hint="eastAsia" w:ascii="仿宋" w:hAnsi="仿宋" w:eastAsia="仿宋" w:cs="仿宋"/>
          <w:color w:val="auto"/>
          <w:sz w:val="24"/>
          <w:szCs w:val="24"/>
          <w:highlight w:val="none"/>
        </w:rPr>
      </w:pPr>
    </w:p>
    <w:p w14:paraId="1F790648">
      <w:pPr>
        <w:pStyle w:val="40"/>
        <w:wordWrap/>
        <w:rPr>
          <w:rFonts w:hint="eastAsia" w:ascii="仿宋" w:hAnsi="仿宋" w:eastAsia="仿宋" w:cs="仿宋"/>
          <w:color w:val="auto"/>
          <w:sz w:val="24"/>
          <w:szCs w:val="24"/>
          <w:highlight w:val="none"/>
        </w:rPr>
      </w:pPr>
    </w:p>
    <w:p w14:paraId="37FD889A">
      <w:pPr>
        <w:pStyle w:val="40"/>
        <w:wordWrap/>
        <w:rPr>
          <w:rFonts w:hint="eastAsia" w:ascii="仿宋" w:hAnsi="仿宋" w:eastAsia="仿宋" w:cs="仿宋"/>
          <w:color w:val="auto"/>
          <w:sz w:val="24"/>
          <w:szCs w:val="24"/>
          <w:highlight w:val="none"/>
        </w:rPr>
      </w:pPr>
    </w:p>
    <w:p w14:paraId="28FAB3C8">
      <w:pPr>
        <w:spacing w:line="420" w:lineRule="exact"/>
        <w:ind w:firstLine="486" w:firstLineChars="200"/>
        <w:jc w:val="right"/>
        <w:rPr>
          <w:rFonts w:hint="eastAsia" w:ascii="仿宋" w:hAnsi="仿宋" w:eastAsia="仿宋" w:cs="仿宋"/>
          <w:color w:val="auto"/>
          <w:sz w:val="24"/>
          <w:szCs w:val="24"/>
          <w:highlight w:val="none"/>
        </w:rPr>
      </w:pPr>
    </w:p>
    <w:p w14:paraId="274B63BC">
      <w:pPr>
        <w:spacing w:line="420" w:lineRule="exact"/>
        <w:ind w:firstLine="486"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（公章）</w:t>
      </w:r>
    </w:p>
    <w:p w14:paraId="1104AD51">
      <w:pPr>
        <w:pStyle w:val="6"/>
        <w:ind w:firstLine="5103" w:firstLineChars="2100"/>
        <w:rPr>
          <w:rFonts w:hint="eastAsia" w:ascii="仿宋" w:hAnsi="仿宋" w:eastAsia="仿宋" w:cs="仿宋"/>
          <w:b w:val="0"/>
          <w:bCs w:val="0"/>
          <w:color w:val="auto"/>
          <w:sz w:val="24"/>
          <w:szCs w:val="24"/>
          <w:highlight w:val="none"/>
          <w:u w:val="single"/>
          <w:lang w:eastAsia="zh-CN"/>
        </w:rPr>
      </w:pPr>
      <w:bookmarkStart w:id="142" w:name="_Toc27409"/>
      <w:r>
        <w:rPr>
          <w:rFonts w:hint="eastAsia" w:ascii="仿宋" w:hAnsi="仿宋" w:eastAsia="仿宋" w:cs="仿宋"/>
          <w:b w:val="0"/>
          <w:bCs w:val="0"/>
          <w:color w:val="auto"/>
          <w:sz w:val="24"/>
          <w:szCs w:val="24"/>
          <w:highlight w:val="none"/>
        </w:rPr>
        <w:t>法定代表人（</w:t>
      </w:r>
      <w:r>
        <w:rPr>
          <w:rFonts w:hint="eastAsia" w:ascii="仿宋" w:hAnsi="仿宋" w:eastAsia="仿宋" w:cs="仿宋"/>
          <w:b w:val="0"/>
          <w:bCs w:val="0"/>
          <w:color w:val="auto"/>
          <w:sz w:val="24"/>
          <w:szCs w:val="24"/>
          <w:highlight w:val="none"/>
          <w:lang w:eastAsia="zh-CN"/>
        </w:rPr>
        <w:t>签章</w:t>
      </w:r>
      <w:r>
        <w:rPr>
          <w:rFonts w:hint="eastAsia" w:ascii="仿宋" w:hAnsi="仿宋" w:eastAsia="仿宋" w:cs="仿宋"/>
          <w:b w:val="0"/>
          <w:bCs w:val="0"/>
          <w:color w:val="auto"/>
          <w:sz w:val="24"/>
          <w:szCs w:val="24"/>
          <w:highlight w:val="none"/>
        </w:rPr>
        <w:t>）：</w:t>
      </w:r>
      <w:bookmarkEnd w:id="142"/>
      <w:r>
        <w:rPr>
          <w:rFonts w:hint="eastAsia" w:ascii="仿宋" w:hAnsi="仿宋" w:eastAsia="仿宋" w:cs="仿宋"/>
          <w:b w:val="0"/>
          <w:bCs w:val="0"/>
          <w:color w:val="auto"/>
          <w:sz w:val="24"/>
          <w:szCs w:val="24"/>
          <w:highlight w:val="none"/>
          <w:lang w:eastAsia="zh-CN"/>
        </w:rPr>
        <w:t xml:space="preserve"> </w:t>
      </w:r>
      <w:r>
        <w:rPr>
          <w:rFonts w:hint="eastAsia" w:ascii="仿宋" w:hAnsi="仿宋" w:eastAsia="仿宋" w:cs="仿宋"/>
          <w:b w:val="0"/>
          <w:bCs w:val="0"/>
          <w:color w:val="auto"/>
          <w:sz w:val="24"/>
          <w:szCs w:val="24"/>
          <w:highlight w:val="none"/>
          <w:u w:val="single"/>
          <w:lang w:eastAsia="zh-CN"/>
        </w:rPr>
        <w:t xml:space="preserve">         </w:t>
      </w:r>
    </w:p>
    <w:p w14:paraId="4BA0D266">
      <w:pPr>
        <w:wordWrap w:val="0"/>
        <w:spacing w:line="420" w:lineRule="exact"/>
        <w:ind w:right="480" w:firstLine="486"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69D29503">
      <w:pPr>
        <w:pStyle w:val="9"/>
        <w:numPr>
          <w:ilvl w:val="0"/>
          <w:numId w:val="0"/>
        </w:numPr>
        <w:kinsoku w:val="0"/>
        <w:overflowPunct w:val="0"/>
        <w:spacing w:before="34" w:line="357" w:lineRule="auto"/>
        <w:ind w:left="480" w:right="126"/>
        <w:jc w:val="center"/>
        <w:outlineLvl w:val="2"/>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bookmarkStart w:id="143" w:name="_Toc13457"/>
      <w:r>
        <w:rPr>
          <w:rFonts w:hint="eastAsia" w:ascii="仿宋" w:hAnsi="仿宋" w:eastAsia="仿宋" w:cs="仿宋"/>
          <w:b/>
          <w:bCs/>
          <w:color w:val="auto"/>
          <w:sz w:val="24"/>
          <w:szCs w:val="24"/>
          <w:highlight w:val="none"/>
          <w:lang w:val="en-US" w:eastAsia="zh-CN"/>
        </w:rPr>
        <w:t>2-2、</w:t>
      </w:r>
      <w:r>
        <w:rPr>
          <w:rFonts w:hint="eastAsia" w:ascii="仿宋" w:hAnsi="仿宋" w:eastAsia="仿宋" w:cs="仿宋"/>
          <w:b/>
          <w:bCs/>
          <w:color w:val="auto"/>
          <w:sz w:val="24"/>
          <w:szCs w:val="24"/>
          <w:highlight w:val="none"/>
        </w:rPr>
        <w:t>授权委托书</w:t>
      </w:r>
      <w:bookmarkEnd w:id="143"/>
    </w:p>
    <w:p w14:paraId="36827FF6">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致：采购人名称 </w:t>
      </w:r>
    </w:p>
    <w:p w14:paraId="1EBC2418">
      <w:pPr>
        <w:spacing w:line="420" w:lineRule="exac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本授权书声明：注册于</w:t>
      </w:r>
      <w:r>
        <w:rPr>
          <w:rFonts w:hint="eastAsia" w:ascii="仿宋" w:hAnsi="仿宋" w:eastAsia="仿宋" w:cs="仿宋"/>
          <w:color w:val="auto"/>
          <w:sz w:val="24"/>
          <w:szCs w:val="24"/>
          <w:highlight w:val="none"/>
          <w:u w:val="single"/>
        </w:rPr>
        <w:t>（投标人地址）</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rPr>
        <w:t>法定代表人（负责人）</w:t>
      </w:r>
      <w:r>
        <w:rPr>
          <w:rFonts w:hint="eastAsia" w:ascii="仿宋" w:hAnsi="仿宋" w:eastAsia="仿宋" w:cs="仿宋"/>
          <w:color w:val="auto"/>
          <w:sz w:val="24"/>
          <w:szCs w:val="24"/>
          <w:highlight w:val="none"/>
          <w:u w:val="single"/>
        </w:rPr>
        <w:t>姓名、职务或职称）</w:t>
      </w:r>
      <w:r>
        <w:rPr>
          <w:rFonts w:hint="eastAsia" w:ascii="仿宋" w:hAnsi="仿宋" w:eastAsia="仿宋" w:cs="仿宋"/>
          <w:color w:val="auto"/>
          <w:sz w:val="24"/>
          <w:szCs w:val="24"/>
          <w:highlight w:val="none"/>
        </w:rPr>
        <w:t>代表本公司授权</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为本单位的合法代理人，参与贵方组织的</w:t>
      </w:r>
      <w:r>
        <w:rPr>
          <w:rFonts w:hint="eastAsia" w:ascii="仿宋" w:hAnsi="仿宋" w:eastAsia="仿宋" w:cs="仿宋"/>
          <w:color w:val="auto"/>
          <w:sz w:val="24"/>
          <w:szCs w:val="24"/>
          <w:highlight w:val="none"/>
          <w:u w:val="single"/>
        </w:rPr>
        <w:t>（项目名称及项目编号）</w:t>
      </w:r>
      <w:r>
        <w:rPr>
          <w:rFonts w:hint="eastAsia" w:ascii="仿宋" w:hAnsi="仿宋" w:eastAsia="仿宋" w:cs="仿宋"/>
          <w:color w:val="auto"/>
          <w:sz w:val="24"/>
          <w:szCs w:val="24"/>
          <w:highlight w:val="none"/>
        </w:rPr>
        <w:t xml:space="preserve"> 的投标、谈判、签约等具体工作，并签署全部有关文件、协议及合同。</w:t>
      </w:r>
    </w:p>
    <w:p w14:paraId="24853F5A">
      <w:pPr>
        <w:adjustRightInd w:val="0"/>
        <w:snapToGrid w:val="0"/>
        <w:spacing w:line="420" w:lineRule="exac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我单位对被授权人的上述经济活动负全部责任。在撤销授权的书面通知前，本授权书一直有效。被授权人在授权书有效期内签署的所有文件不因授权的撤消而失效。</w:t>
      </w:r>
    </w:p>
    <w:p w14:paraId="791DF96F">
      <w:pPr>
        <w:pStyle w:val="9"/>
        <w:numPr>
          <w:ilvl w:val="0"/>
          <w:numId w:val="0"/>
        </w:numPr>
        <w:kinsoku w:val="0"/>
        <w:overflowPunct w:val="0"/>
        <w:adjustRightInd w:val="0"/>
        <w:snapToGrid w:val="0"/>
        <w:spacing w:line="200" w:lineRule="atLeast"/>
        <w:ind w:right="1693" w:rightChars="795"/>
        <w:jc w:val="center"/>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shd w:val="clear" w:color="auto" w:fill="auto"/>
          <w:lang w:val="en-US" w:eastAsia="en-US" w:bidi="en-US"/>
        </w:rPr>
        <mc:AlternateContent>
          <mc:Choice Requires="wpg">
            <w:drawing>
              <wp:inline distT="0" distB="0" distL="114300" distR="114300">
                <wp:extent cx="5136515" cy="1458595"/>
                <wp:effectExtent l="1905" t="1905" r="5080" b="6350"/>
                <wp:docPr id="23" name="组合 23"/>
                <wp:cNvGraphicFramePr/>
                <a:graphic xmlns:a="http://schemas.openxmlformats.org/drawingml/2006/main">
                  <a:graphicData uri="http://schemas.microsoft.com/office/word/2010/wordprocessingGroup">
                    <wpg:wgp>
                      <wpg:cNvGrpSpPr/>
                      <wpg:grpSpPr>
                        <a:xfrm>
                          <a:off x="0" y="0"/>
                          <a:ext cx="5136515" cy="1458595"/>
                          <a:chOff x="4" y="4"/>
                          <a:chExt cx="8094" cy="2302"/>
                        </a:xfrm>
                      </wpg:grpSpPr>
                      <wps:wsp>
                        <wps:cNvPr id="11" name="任意多边形 1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2" name="任意多边形 1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3" name="任意多边形 1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4" name="任意多边形 1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6" name="任意多边形 1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7" name="任意多边形 1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8" name="任意多边形 1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9" name="任意多边形 1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0" name="任意多边形 2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21" name="矩形 21"/>
                        <wps:cNvSpPr/>
                        <wps:spPr>
                          <a:xfrm>
                            <a:off x="19" y="19"/>
                            <a:ext cx="4025" cy="2258"/>
                          </a:xfrm>
                          <a:prstGeom prst="rect">
                            <a:avLst/>
                          </a:prstGeom>
                          <a:noFill/>
                          <a:ln>
                            <a:noFill/>
                          </a:ln>
                        </wps:spPr>
                        <wps:txbx>
                          <w:txbxContent>
                            <w:p w14:paraId="31088A25">
                              <w:pPr>
                                <w:pStyle w:val="9"/>
                                <w:numPr>
                                  <w:ilvl w:val="0"/>
                                  <w:numId w:val="0"/>
                                </w:numPr>
                                <w:kinsoku w:val="0"/>
                                <w:overflowPunct w:val="0"/>
                                <w:spacing w:before="12"/>
                                <w:ind w:leftChars="0" w:right="0"/>
                                <w:rPr>
                                  <w:rFonts w:hint="eastAsia"/>
                                  <w:sz w:val="28"/>
                                  <w:szCs w:val="28"/>
                                </w:rPr>
                              </w:pPr>
                            </w:p>
                            <w:p w14:paraId="1D18D3F6">
                              <w:pPr>
                                <w:pStyle w:val="9"/>
                                <w:numPr>
                                  <w:ilvl w:val="0"/>
                                  <w:numId w:val="0"/>
                                </w:numPr>
                                <w:kinsoku w:val="0"/>
                                <w:overflowPunct w:val="0"/>
                                <w:ind w:right="0"/>
                                <w:jc w:val="center"/>
                                <w:rPr>
                                  <w:rFonts w:hint="eastAsia"/>
                                </w:rPr>
                              </w:pPr>
                            </w:p>
                            <w:p w14:paraId="02B3C437">
                              <w:pPr>
                                <w:pStyle w:val="9"/>
                                <w:numPr>
                                  <w:ilvl w:val="0"/>
                                  <w:numId w:val="0"/>
                                </w:numPr>
                                <w:kinsoku w:val="0"/>
                                <w:overflowPunct w:val="0"/>
                                <w:ind w:right="0"/>
                                <w:jc w:val="center"/>
                              </w:pPr>
                              <w:r>
                                <w:rPr>
                                  <w:rFonts w:hint="eastAsia"/>
                                </w:rPr>
                                <w:t>授权人身份证复印件（正面）</w:t>
                              </w:r>
                            </w:p>
                          </w:txbxContent>
                        </wps:txbx>
                        <wps:bodyPr lIns="0" tIns="0" rIns="0" bIns="0" upright="1"/>
                      </wps:wsp>
                      <wps:wsp>
                        <wps:cNvPr id="22" name="矩形 22"/>
                        <wps:cNvSpPr/>
                        <wps:spPr>
                          <a:xfrm>
                            <a:off x="4044" y="19"/>
                            <a:ext cx="4025" cy="2258"/>
                          </a:xfrm>
                          <a:prstGeom prst="rect">
                            <a:avLst/>
                          </a:prstGeom>
                          <a:noFill/>
                          <a:ln>
                            <a:noFill/>
                          </a:ln>
                        </wps:spPr>
                        <wps:txbx>
                          <w:txbxContent>
                            <w:p w14:paraId="26219932">
                              <w:pPr>
                                <w:pStyle w:val="9"/>
                                <w:numPr>
                                  <w:ilvl w:val="0"/>
                                  <w:numId w:val="0"/>
                                </w:numPr>
                                <w:kinsoku w:val="0"/>
                                <w:overflowPunct w:val="0"/>
                                <w:ind w:right="0"/>
                                <w:rPr>
                                  <w:rFonts w:hint="eastAsia"/>
                                </w:rPr>
                              </w:pPr>
                            </w:p>
                            <w:p w14:paraId="58221CF5">
                              <w:pPr>
                                <w:pStyle w:val="9"/>
                                <w:numPr>
                                  <w:ilvl w:val="0"/>
                                  <w:numId w:val="0"/>
                                </w:numPr>
                                <w:kinsoku w:val="0"/>
                                <w:overflowPunct w:val="0"/>
                                <w:ind w:right="0"/>
                                <w:rPr>
                                  <w:rFonts w:hint="eastAsia"/>
                                </w:rPr>
                              </w:pPr>
                            </w:p>
                            <w:p w14:paraId="14BE1C97">
                              <w:pPr>
                                <w:pStyle w:val="9"/>
                                <w:numPr>
                                  <w:ilvl w:val="0"/>
                                  <w:numId w:val="0"/>
                                </w:numPr>
                                <w:kinsoku w:val="0"/>
                                <w:overflowPunct w:val="0"/>
                                <w:ind w:right="0"/>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origin="4,4" coordsize="8094,2302"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">
                <o:lock v:ext="edit" aspectratio="f"/>
                <v:shape id="_x0000_s1026" o:spid="_x0000_s1026" o:spt="100" style="position:absolute;left:4;top:9;height:20;width:8079;" filled="f" stroked="t" coordsize="8079,20" o:gfxdata="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6Ydd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DAVsOroAAADb&#10;AAAADwAAAGRycy9kb3ducmV2LnhtbEVPzYrCMBC+L/gOYQRva1LBZa1GD4ogLnvY6gMMzdiWNpOS&#10;RK0+vVlY2Nt8fL+z2gy2EzfyoXGsIZsqEMSlMw1XGs6n/fsniBCRDXaOScODAmzWo7cV5sbd+Ydu&#10;RaxECuGQo4Y6xj6XMpQ1WQxT1xMn7uK8xZigr6TxeE/htpMzpT6kxYZTQ409bWsq2+JqNey8P33L&#10;/lI8j187l1WqnS+GVuvJOFNLEJGG+C/+cx9Mmj+D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BWw6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Y0nJoboAAADb&#10;AAAADwAAAGRycy9kb3ducmV2LnhtbEVPzWoCMRC+C75DmEJvmmyLxW6NHhRBFA9d+wDDZtxddjNZ&#10;klRXn94UCt7m4/udxWqwnbiQD41jDdlUgSAunWm40vBz2k7mIEJENtg5Jg03CrBajkcLzI278jdd&#10;iliJFMIhRw11jH0uZShrshimridO3Nl5izFBX0nj8ZrCbSfflPqQFhtODTX2tK6pbItfq2Hj/eko&#10;+3Nx3x82LqtUO/scWq1fXzL1BSLSEJ/if/fOpPnv8PdLOk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Scmh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k1xVzLkAAADb&#10;AAAADwAAAGRycy9kb3ducmV2LnhtbEVPTWsCMRC9C/6HMAUvUhMFy7o1ehALgie3eh8242bpZrIm&#10;qdr+eiMUepvH+5zl+u46caUQW88aphMFgrj2puVGw/Hz47UAEROywc4zafihCOvVcLDE0vgbH+ha&#10;pUbkEI4larAp9aWUsbbkME58T5y5sw8OU4ahkSbgLYe7Ts6UepMOW84NFnvaWKq/qm+n4fc83s23&#10;FrdVXZzUvlhsLhgqrUcvU/UOItE9/Yv/3DuT58/h+Us+QK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NcVcy5AAAA2wAA&#10;AA8AAAAAAAAAAQAgAAAAIgAAAGRycy9kb3ducmV2LnhtbFBLAQIUABQAAAAIAIdO4kAzLwWeOwAA&#10;ADkAAAAQAAAAAAAAAAEAIAAAAAgBAABkcnMvc2hhcGV4bWwueG1sUEsFBgAAAAAGAAYAWwEAALID&#10;A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9P3jYbwAAADb&#10;AAAADwAAAGRycy9kb3ducmV2LnhtbEVPS4vCMBC+L/gfwgheFk2VRbQ2iuwi9LDg+jjobWjGttpM&#10;ShOt/nsjLHibj+85yeJuKnGjxpWWFQwHEQjizOqScwX73ao/AeE8ssbKMil4kIPFvPORYKxtyxu6&#10;bX0uQgi7GBUU3texlC4ryKAb2Jo4cCfbGPQBNrnUDbYh3FRyFEVjabDk0FBgTd8FZZft1Sho0x9Z&#10;7v06+8w3v7uv6WFZn49/SvW6w2gGwtPdv8X/7lSH+WN4/RIO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942G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GgcV/7gAAADb&#10;AAAADwAAAGRycy9kb3ducmV2LnhtbEVPS4vCMBC+C/sfwgh701RFd6lGWQoLexJ89D40Y1NsJm0S&#10;H/vvjSB4m4/vOavN3bbiSj40jhVMxhkI4srphmsFx8Pv6BtEiMgaW8ek4J8CbNYfgxXm2t14R9d9&#10;rEUK4ZCjAhNjl0sZKkMWw9h1xIk7OW8xJuhrqT3eUrht5TTLFtJiw6nBYEeFoeq8v1gFvgqF7me9&#10;KYt+W/IPdm4xmyv1OZxkSxCR7vEtfrn/dJr/Bc9f0gFy/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gcV/7gAAADb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a5iBjbsAAADb&#10;AAAADwAAAGRycy9kb3ducmV2LnhtbEWPT2vDMAzF74N+B6PCbqvTlZaS1QkjUNhpsG65i1iLw2I5&#10;sd0/+/bTYdCbxHt676dDffOjulBMQ2AD61UBirgLduDewNfn8WkPKmVki2NgMvBLCepq8XDA0oYr&#10;f9DllHslIZxKNOBynkqtU+fIY1qFiVi07xA9Zlljr23Eq4T7UT8XxU57HFgaHE7UOOp+TmdvIHap&#10;sfNmdm0zv7f8ilPYbbbGPC7XxQuoTLd8N/9fv1nBF1j5RQbQ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5iBj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BNQkFrgAAADb&#10;AAAADwAAAGRycy9kb3ducmV2LnhtbEVPS4vCMBC+C/sfwgh701RF2a1GWQoLexJ89D40Y1NsJm0S&#10;H/vvjSB4m4/vOavN3bbiSj40jhVMxhkI4srphmsFx8Pv6AtEiMgaW8ek4J8CbNYfgxXm2t14R9d9&#10;rEUK4ZCjAhNjl0sZKkMWw9h1xIk7OW8xJuhrqT3eUrht5TTLFtJiw6nBYEeFoeq8v1gFvgqF7me9&#10;KYt+W/IPdm4xmyv1OZxkSxCR7vEtfrn/dJr/Dc9f0gFy/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NQkFrgAAADb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zjzqOLoAAADb&#10;AAAADwAAAGRycy9kb3ducmV2LnhtbEVPy4rCMBTdD/gP4QruxlQdBq1GQfG1GcQquL0216bY3JQm&#10;VufvzWJglofzni1ethItNb50rGDQT0AQ506XXCg4nzafYxA+IGusHJOCX/KwmHc+Zphq9+QjtVko&#10;RAxhn6ICE0KdSulzQxZ939XEkbu5xmKIsCmkbvAZw20lh0nyLS2WHBsM1rQylN+zh1Vw961ZXr+2&#10;u8OIJz/j7LquL7e1Ur3uIJmCCPQK/+I/914rGMb18Uv8AXL+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POo4ugAAANsA&#10;AAAPAAAAAAAAAAEAIAAAACIAAABkcnMvZG93bnJldi54bWxQSwECFAAUAAAACACHTuJAMy8FnjsA&#10;AAA5AAAAEAAAAAAAAAABACAAAAAJAQAAZHJzL3NoYXBleG1sLnhtbFBLBQYAAAAABgAGAFsBAACz&#10;AwAAAAA=&#10;" path="m0,0l0,2277e">
                  <v:fill on="f" focussize="0,0"/>
                  <v:stroke weight="0.48pt" color="#000000" joinstyle="round"/>
                  <v:imagedata o:title=""/>
                  <o:lock v:ext="edit" aspectratio="f"/>
                </v:shape>
                <v:rect id="_x0000_s1026" o:spid="_x0000_s1026" o:spt="1" style="position:absolute;left:19;top:19;height:2258;width:4025;" filled="f" stroked="f" coordsize="21600,21600" o:gfxdata="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O/OK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1088A25">
                        <w:pPr>
                          <w:pStyle w:val="9"/>
                          <w:numPr>
                            <w:ilvl w:val="0"/>
                            <w:numId w:val="0"/>
                          </w:numPr>
                          <w:kinsoku w:val="0"/>
                          <w:overflowPunct w:val="0"/>
                          <w:spacing w:before="12"/>
                          <w:ind w:leftChars="0" w:right="0"/>
                          <w:rPr>
                            <w:rFonts w:hint="eastAsia"/>
                            <w:sz w:val="28"/>
                            <w:szCs w:val="28"/>
                          </w:rPr>
                        </w:pPr>
                      </w:p>
                      <w:p w14:paraId="1D18D3F6">
                        <w:pPr>
                          <w:pStyle w:val="9"/>
                          <w:numPr>
                            <w:ilvl w:val="0"/>
                            <w:numId w:val="0"/>
                          </w:numPr>
                          <w:kinsoku w:val="0"/>
                          <w:overflowPunct w:val="0"/>
                          <w:ind w:right="0"/>
                          <w:jc w:val="center"/>
                          <w:rPr>
                            <w:rFonts w:hint="eastAsia"/>
                          </w:rPr>
                        </w:pPr>
                      </w:p>
                      <w:p w14:paraId="02B3C437">
                        <w:pPr>
                          <w:pStyle w:val="9"/>
                          <w:numPr>
                            <w:ilvl w:val="0"/>
                            <w:numId w:val="0"/>
                          </w:numPr>
                          <w:kinsoku w:val="0"/>
                          <w:overflowPunct w:val="0"/>
                          <w:ind w:right="0"/>
                          <w:jc w:val="center"/>
                        </w:pPr>
                        <w:r>
                          <w:rPr>
                            <w:rFonts w:hint="eastAsia"/>
                          </w:rPr>
                          <w:t>授权人身份证复印件（正面）</w:t>
                        </w:r>
                      </w:p>
                    </w:txbxContent>
                  </v:textbox>
                </v:rect>
                <v:rect id="_x0000_s1026" o:spid="_x0000_s1026" o:spt="1" style="position:absolute;left:4044;top:19;height:2258;width:4025;" filled="f" stroked="f" coordsize="21600,21600" o:gfxdata="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D1QX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6219932">
                        <w:pPr>
                          <w:pStyle w:val="9"/>
                          <w:numPr>
                            <w:ilvl w:val="0"/>
                            <w:numId w:val="0"/>
                          </w:numPr>
                          <w:kinsoku w:val="0"/>
                          <w:overflowPunct w:val="0"/>
                          <w:ind w:right="0"/>
                          <w:rPr>
                            <w:rFonts w:hint="eastAsia"/>
                          </w:rPr>
                        </w:pPr>
                      </w:p>
                      <w:p w14:paraId="58221CF5">
                        <w:pPr>
                          <w:pStyle w:val="9"/>
                          <w:numPr>
                            <w:ilvl w:val="0"/>
                            <w:numId w:val="0"/>
                          </w:numPr>
                          <w:kinsoku w:val="0"/>
                          <w:overflowPunct w:val="0"/>
                          <w:ind w:right="0"/>
                          <w:rPr>
                            <w:rFonts w:hint="eastAsia"/>
                          </w:rPr>
                        </w:pPr>
                      </w:p>
                      <w:p w14:paraId="14BE1C97">
                        <w:pPr>
                          <w:pStyle w:val="9"/>
                          <w:numPr>
                            <w:ilvl w:val="0"/>
                            <w:numId w:val="0"/>
                          </w:numPr>
                          <w:kinsoku w:val="0"/>
                          <w:overflowPunct w:val="0"/>
                          <w:ind w:right="0"/>
                        </w:pPr>
                        <w:r>
                          <w:rPr>
                            <w:rFonts w:hint="eastAsia"/>
                          </w:rPr>
                          <w:t>授权人身份证复印件（反面）</w:t>
                        </w:r>
                      </w:p>
                    </w:txbxContent>
                  </v:textbox>
                </v:rect>
                <w10:wrap type="none"/>
                <w10:anchorlock/>
              </v:group>
            </w:pict>
          </mc:Fallback>
        </mc:AlternateContent>
      </w:r>
    </w:p>
    <w:p w14:paraId="4065EE1A">
      <w:pPr>
        <w:pStyle w:val="9"/>
        <w:numPr>
          <w:ilvl w:val="0"/>
          <w:numId w:val="0"/>
        </w:numPr>
        <w:kinsoku w:val="0"/>
        <w:overflowPunct w:val="0"/>
        <w:adjustRightInd w:val="0"/>
        <w:snapToGrid w:val="0"/>
        <w:spacing w:line="200" w:lineRule="atLeast"/>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shd w:val="clear" w:color="auto" w:fill="auto"/>
          <w:lang w:val="en-US" w:eastAsia="en-US" w:bidi="en-US"/>
        </w:rPr>
        <mc:AlternateContent>
          <mc:Choice Requires="wpg">
            <w:drawing>
              <wp:inline distT="0" distB="0" distL="114300" distR="114300">
                <wp:extent cx="5136515" cy="1384935"/>
                <wp:effectExtent l="1905" t="1905" r="5080" b="3810"/>
                <wp:docPr id="49" name="组合 49"/>
                <wp:cNvGraphicFramePr/>
                <a:graphic xmlns:a="http://schemas.openxmlformats.org/drawingml/2006/main">
                  <a:graphicData uri="http://schemas.microsoft.com/office/word/2010/wordprocessingGroup">
                    <wpg:wgp>
                      <wpg:cNvGrpSpPr/>
                      <wpg:grpSpPr>
                        <a:xfrm>
                          <a:off x="0" y="0"/>
                          <a:ext cx="5136515" cy="1384935"/>
                          <a:chOff x="4" y="4"/>
                          <a:chExt cx="8094" cy="2186"/>
                        </a:xfrm>
                      </wpg:grpSpPr>
                      <wps:wsp>
                        <wps:cNvPr id="37" name="任意多边形 37"/>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8"/>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9"/>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40"/>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41"/>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42"/>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3"/>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4"/>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5"/>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6"/>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矩形 47"/>
                        <wps:cNvSpPr/>
                        <wps:spPr>
                          <a:xfrm>
                            <a:off x="19" y="19"/>
                            <a:ext cx="4025" cy="2142"/>
                          </a:xfrm>
                          <a:prstGeom prst="rect">
                            <a:avLst/>
                          </a:prstGeom>
                          <a:noFill/>
                          <a:ln>
                            <a:noFill/>
                          </a:ln>
                        </wps:spPr>
                        <wps:txbx>
                          <w:txbxContent>
                            <w:p w14:paraId="259688B9">
                              <w:pPr>
                                <w:pStyle w:val="9"/>
                                <w:numPr>
                                  <w:ilvl w:val="0"/>
                                  <w:numId w:val="0"/>
                                </w:numPr>
                                <w:kinsoku w:val="0"/>
                                <w:overflowPunct w:val="0"/>
                                <w:ind w:right="0"/>
                                <w:rPr>
                                  <w:rFonts w:hint="eastAsia"/>
                                </w:rPr>
                              </w:pPr>
                            </w:p>
                            <w:p w14:paraId="4C091DF6">
                              <w:pPr>
                                <w:pStyle w:val="9"/>
                                <w:numPr>
                                  <w:ilvl w:val="0"/>
                                  <w:numId w:val="0"/>
                                </w:numPr>
                                <w:kinsoku w:val="0"/>
                                <w:overflowPunct w:val="0"/>
                                <w:ind w:right="0"/>
                                <w:rPr>
                                  <w:rFonts w:hint="eastAsia"/>
                                </w:rPr>
                              </w:pPr>
                            </w:p>
                            <w:p w14:paraId="40A259FF">
                              <w:pPr>
                                <w:pStyle w:val="9"/>
                                <w:numPr>
                                  <w:ilvl w:val="0"/>
                                  <w:numId w:val="0"/>
                                </w:numPr>
                                <w:kinsoku w:val="0"/>
                                <w:overflowPunct w:val="0"/>
                                <w:ind w:right="0"/>
                                <w:jc w:val="center"/>
                              </w:pPr>
                              <w:r>
                                <w:rPr>
                                  <w:rFonts w:hint="eastAsia"/>
                                </w:rPr>
                                <w:t>被授权代表身份证复印件（正面）</w:t>
                              </w:r>
                            </w:p>
                          </w:txbxContent>
                        </wps:txbx>
                        <wps:bodyPr lIns="0" tIns="0" rIns="0" bIns="0" upright="1"/>
                      </wps:wsp>
                      <wps:wsp>
                        <wps:cNvPr id="48" name="矩形 48"/>
                        <wps:cNvSpPr/>
                        <wps:spPr>
                          <a:xfrm>
                            <a:off x="4044" y="19"/>
                            <a:ext cx="4025" cy="2142"/>
                          </a:xfrm>
                          <a:prstGeom prst="rect">
                            <a:avLst/>
                          </a:prstGeom>
                          <a:noFill/>
                          <a:ln>
                            <a:noFill/>
                          </a:ln>
                        </wps:spPr>
                        <wps:txbx>
                          <w:txbxContent>
                            <w:p w14:paraId="76176B61">
                              <w:pPr>
                                <w:pStyle w:val="9"/>
                                <w:numPr>
                                  <w:ilvl w:val="0"/>
                                  <w:numId w:val="0"/>
                                </w:numPr>
                                <w:kinsoku w:val="0"/>
                                <w:overflowPunct w:val="0"/>
                                <w:ind w:right="0"/>
                                <w:rPr>
                                  <w:rFonts w:hint="eastAsia"/>
                                </w:rPr>
                              </w:pPr>
                            </w:p>
                            <w:p w14:paraId="789729B0">
                              <w:pPr>
                                <w:pStyle w:val="9"/>
                                <w:numPr>
                                  <w:ilvl w:val="0"/>
                                  <w:numId w:val="0"/>
                                </w:numPr>
                                <w:kinsoku w:val="0"/>
                                <w:overflowPunct w:val="0"/>
                                <w:ind w:right="0"/>
                                <w:rPr>
                                  <w:rFonts w:hint="eastAsia"/>
                                </w:rPr>
                              </w:pPr>
                            </w:p>
                            <w:p w14:paraId="3E74F5E3">
                              <w:pPr>
                                <w:pStyle w:val="9"/>
                                <w:numPr>
                                  <w:ilvl w:val="0"/>
                                  <w:numId w:val="0"/>
                                </w:numPr>
                                <w:kinsoku w:val="0"/>
                                <w:overflowPunct w:val="0"/>
                                <w:ind w:right="0"/>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origin="4,4" coordsize="8094,2186"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">
                <o:lock v:ext="edit" aspectratio="f"/>
                <v:shape id="_x0000_s1026"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rect id="_x0000_s1026" o:spid="_x0000_s1026" o:spt="1" style="position:absolute;left:19;top:19;height:2142;width:4025;" filled="f" stroked="f" coordsize="21600,21600" o:gfxdata="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ZUWZ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59688B9">
                        <w:pPr>
                          <w:pStyle w:val="9"/>
                          <w:numPr>
                            <w:ilvl w:val="0"/>
                            <w:numId w:val="0"/>
                          </w:numPr>
                          <w:kinsoku w:val="0"/>
                          <w:overflowPunct w:val="0"/>
                          <w:ind w:right="0"/>
                          <w:rPr>
                            <w:rFonts w:hint="eastAsia"/>
                          </w:rPr>
                        </w:pPr>
                      </w:p>
                      <w:p w14:paraId="4C091DF6">
                        <w:pPr>
                          <w:pStyle w:val="9"/>
                          <w:numPr>
                            <w:ilvl w:val="0"/>
                            <w:numId w:val="0"/>
                          </w:numPr>
                          <w:kinsoku w:val="0"/>
                          <w:overflowPunct w:val="0"/>
                          <w:ind w:right="0"/>
                          <w:rPr>
                            <w:rFonts w:hint="eastAsia"/>
                          </w:rPr>
                        </w:pPr>
                      </w:p>
                      <w:p w14:paraId="40A259FF">
                        <w:pPr>
                          <w:pStyle w:val="9"/>
                          <w:numPr>
                            <w:ilvl w:val="0"/>
                            <w:numId w:val="0"/>
                          </w:numPr>
                          <w:kinsoku w:val="0"/>
                          <w:overflowPunct w:val="0"/>
                          <w:ind w:right="0"/>
                          <w:jc w:val="center"/>
                        </w:pPr>
                        <w:r>
                          <w:rPr>
                            <w:rFonts w:hint="eastAsia"/>
                          </w:rPr>
                          <w:t>被授权代表身份证复印件（正面）</w:t>
                        </w:r>
                      </w:p>
                    </w:txbxContent>
                  </v:textbox>
                </v:rect>
                <v:rect id="_x0000_s1026" o:spid="_x0000_s1026" o:spt="1" style="position:absolute;left:4044;top:19;height:2142;width:4025;" filled="f" stroked="f" coordsize="21600,21600" o:gfxdata="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CoIU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6176B61">
                        <w:pPr>
                          <w:pStyle w:val="9"/>
                          <w:numPr>
                            <w:ilvl w:val="0"/>
                            <w:numId w:val="0"/>
                          </w:numPr>
                          <w:kinsoku w:val="0"/>
                          <w:overflowPunct w:val="0"/>
                          <w:ind w:right="0"/>
                          <w:rPr>
                            <w:rFonts w:hint="eastAsia"/>
                          </w:rPr>
                        </w:pPr>
                      </w:p>
                      <w:p w14:paraId="789729B0">
                        <w:pPr>
                          <w:pStyle w:val="9"/>
                          <w:numPr>
                            <w:ilvl w:val="0"/>
                            <w:numId w:val="0"/>
                          </w:numPr>
                          <w:kinsoku w:val="0"/>
                          <w:overflowPunct w:val="0"/>
                          <w:ind w:right="0"/>
                          <w:rPr>
                            <w:rFonts w:hint="eastAsia"/>
                          </w:rPr>
                        </w:pPr>
                      </w:p>
                      <w:p w14:paraId="3E74F5E3">
                        <w:pPr>
                          <w:pStyle w:val="9"/>
                          <w:numPr>
                            <w:ilvl w:val="0"/>
                            <w:numId w:val="0"/>
                          </w:numPr>
                          <w:kinsoku w:val="0"/>
                          <w:overflowPunct w:val="0"/>
                          <w:ind w:right="0"/>
                        </w:pPr>
                        <w:r>
                          <w:rPr>
                            <w:rFonts w:hint="eastAsia"/>
                          </w:rPr>
                          <w:t>被授权代表身份证复印件（反面）</w:t>
                        </w:r>
                      </w:p>
                    </w:txbxContent>
                  </v:textbox>
                </v:rect>
                <w10:wrap type="none"/>
                <w10:anchorlock/>
              </v:group>
            </w:pict>
          </mc:Fallback>
        </mc:AlternateContent>
      </w:r>
    </w:p>
    <w:p w14:paraId="0BD1AC30">
      <w:pPr>
        <w:rPr>
          <w:rFonts w:hint="eastAsia" w:ascii="仿宋" w:hAnsi="仿宋" w:eastAsia="仿宋" w:cs="仿宋"/>
          <w:color w:val="auto"/>
          <w:sz w:val="24"/>
          <w:szCs w:val="24"/>
          <w:highlight w:val="none"/>
        </w:rPr>
      </w:pPr>
    </w:p>
    <w:p w14:paraId="6E688124">
      <w:pPr>
        <w:pStyle w:val="40"/>
        <w:rPr>
          <w:rFonts w:hint="eastAsia" w:ascii="仿宋" w:hAnsi="仿宋" w:eastAsia="仿宋" w:cs="仿宋"/>
          <w:color w:val="auto"/>
          <w:sz w:val="24"/>
          <w:szCs w:val="24"/>
          <w:highlight w:val="none"/>
        </w:rPr>
      </w:pPr>
    </w:p>
    <w:p w14:paraId="55D13F85">
      <w:pPr>
        <w:pStyle w:val="9"/>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hint="eastAsia" w:ascii="仿宋" w:hAnsi="仿宋" w:eastAsia="仿宋" w:cs="仿宋"/>
          <w:color w:val="auto"/>
          <w:sz w:val="24"/>
          <w:szCs w:val="24"/>
          <w:highlight w:val="none"/>
        </w:rPr>
      </w:pPr>
    </w:p>
    <w:p w14:paraId="3E3DA9F2">
      <w:pPr>
        <w:pStyle w:val="9"/>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（盖章）</w:t>
      </w:r>
    </w:p>
    <w:p w14:paraId="1968C024">
      <w:pPr>
        <w:pStyle w:val="9"/>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被授权代表（</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投标人法定代表人（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w:t>
      </w:r>
    </w:p>
    <w:p w14:paraId="2A8C1159">
      <w:pPr>
        <w:pStyle w:val="9"/>
        <w:numPr>
          <w:ilvl w:val="0"/>
          <w:numId w:val="0"/>
        </w:numPr>
        <w:tabs>
          <w:tab w:val="left" w:pos="1098"/>
          <w:tab w:val="left" w:pos="5298"/>
          <w:tab w:val="left" w:pos="5778"/>
        </w:tabs>
        <w:kinsoku w:val="0"/>
        <w:overflowPunct w:val="0"/>
        <w:adjustRightInd w:val="0"/>
        <w:snapToGrid w:val="0"/>
        <w:spacing w:line="360" w:lineRule="auto"/>
        <w:ind w:left="70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职</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务：</w:t>
      </w:r>
    </w:p>
    <w:p w14:paraId="19FB9551">
      <w:pPr>
        <w:pStyle w:val="9"/>
        <w:numPr>
          <w:ilvl w:val="0"/>
          <w:numId w:val="0"/>
        </w:numPr>
        <w:tabs>
          <w:tab w:val="left" w:pos="1098"/>
          <w:tab w:val="left" w:pos="5298"/>
          <w:tab w:val="left" w:pos="5778"/>
        </w:tabs>
        <w:kinsoku w:val="0"/>
        <w:overflowPunct w:val="0"/>
        <w:adjustRightInd w:val="0"/>
        <w:snapToGrid w:val="0"/>
        <w:spacing w:line="360" w:lineRule="auto"/>
        <w:ind w:left="70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话：</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话：</w:t>
      </w:r>
    </w:p>
    <w:p w14:paraId="5F194B9D">
      <w:pPr>
        <w:rPr>
          <w:rFonts w:hint="eastAsia" w:ascii="仿宋" w:hAnsi="仿宋" w:eastAsia="仿宋" w:cs="仿宋"/>
          <w:color w:val="auto"/>
          <w:sz w:val="24"/>
          <w:szCs w:val="24"/>
          <w:highlight w:val="none"/>
        </w:rPr>
      </w:pPr>
    </w:p>
    <w:p w14:paraId="552E6CE1">
      <w:pPr>
        <w:pStyle w:val="9"/>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06" w:leftChars="50" w:right="238" w:firstLine="2916" w:firstLineChars="1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13A7D1A7">
      <w:pPr>
        <w:rPr>
          <w:rFonts w:hint="eastAsia" w:ascii="仿宋" w:hAnsi="仿宋" w:eastAsia="仿宋" w:cs="仿宋"/>
          <w:color w:val="auto"/>
          <w:sz w:val="24"/>
          <w:szCs w:val="24"/>
          <w:highlight w:val="none"/>
        </w:rPr>
      </w:pPr>
    </w:p>
    <w:p w14:paraId="1D01085D">
      <w:pPr>
        <w:pStyle w:val="9"/>
        <w:numPr>
          <w:ilvl w:val="0"/>
          <w:numId w:val="0"/>
        </w:numPr>
        <w:kinsoku w:val="0"/>
        <w:overflowPunct w:val="0"/>
        <w:spacing w:before="34" w:line="357" w:lineRule="auto"/>
        <w:ind w:right="126"/>
        <w:jc w:val="center"/>
        <w:outlineLvl w:val="2"/>
        <w:rPr>
          <w:rFonts w:hint="eastAsia" w:ascii="仿宋" w:hAnsi="仿宋" w:eastAsia="仿宋" w:cs="仿宋"/>
          <w:b/>
          <w:bCs/>
          <w:color w:val="auto"/>
          <w:sz w:val="24"/>
          <w:szCs w:val="24"/>
          <w:highlight w:val="none"/>
        </w:rPr>
      </w:pPr>
      <w:bookmarkStart w:id="144" w:name="_Toc14885"/>
      <w:r>
        <w:rPr>
          <w:rFonts w:hint="eastAsia" w:ascii="仿宋" w:hAnsi="仿宋" w:eastAsia="仿宋" w:cs="仿宋"/>
          <w:b/>
          <w:bCs/>
          <w:color w:val="auto"/>
          <w:sz w:val="24"/>
          <w:szCs w:val="24"/>
          <w:highlight w:val="none"/>
          <w:lang w:val="en-US" w:eastAsia="zh-CN"/>
        </w:rPr>
        <w:t>2-3</w:t>
      </w:r>
      <w:r>
        <w:rPr>
          <w:rFonts w:hint="eastAsia" w:ascii="仿宋" w:hAnsi="仿宋" w:eastAsia="仿宋" w:cs="仿宋"/>
          <w:b/>
          <w:bCs/>
          <w:color w:val="auto"/>
          <w:sz w:val="24"/>
          <w:szCs w:val="24"/>
          <w:highlight w:val="none"/>
        </w:rPr>
        <w:t>上级银行授权委托书</w:t>
      </w:r>
      <w:bookmarkEnd w:id="144"/>
    </w:p>
    <w:p w14:paraId="224B5202">
      <w:pPr>
        <w:snapToGrid w:val="0"/>
        <w:spacing w:line="440" w:lineRule="exact"/>
        <w:ind w:right="-222"/>
        <w:rPr>
          <w:rFonts w:hint="eastAsia" w:ascii="仿宋" w:hAnsi="仿宋" w:eastAsia="仿宋" w:cs="仿宋"/>
          <w:b/>
          <w:color w:val="auto"/>
          <w:sz w:val="24"/>
          <w:szCs w:val="24"/>
          <w:highlight w:val="none"/>
        </w:rPr>
      </w:pPr>
    </w:p>
    <w:p w14:paraId="727EAE49">
      <w:pPr>
        <w:autoSpaceDE w:val="0"/>
        <w:autoSpaceDN w:val="0"/>
        <w:adjustRightInd w:val="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rPr>
        <w:t xml:space="preserve">    </w:t>
      </w:r>
    </w:p>
    <w:p w14:paraId="7A40F4CA">
      <w:pPr>
        <w:widowControl/>
        <w:snapToGrid w:val="0"/>
        <w:spacing w:line="540" w:lineRule="exact"/>
        <w:ind w:firstLine="48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w:t>
      </w:r>
    </w:p>
    <w:p w14:paraId="636BF588">
      <w:pPr>
        <w:spacing w:line="560" w:lineRule="exac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根据贵局关于</w:t>
      </w:r>
      <w:r>
        <w:rPr>
          <w:rFonts w:hint="eastAsia" w:ascii="仿宋" w:hAnsi="仿宋" w:eastAsia="仿宋" w:cs="仿宋"/>
          <w:color w:val="auto"/>
          <w:sz w:val="24"/>
          <w:szCs w:val="24"/>
          <w:highlight w:val="none"/>
          <w:lang w:eastAsia="zh-CN"/>
        </w:rPr>
        <w:t>阿图什市财政局</w:t>
      </w:r>
      <w:r>
        <w:rPr>
          <w:rFonts w:hint="eastAsia" w:ascii="仿宋" w:hAnsi="仿宋" w:eastAsia="仿宋" w:cs="仿宋"/>
          <w:b/>
          <w:bCs/>
          <w:color w:val="auto"/>
          <w:sz w:val="24"/>
          <w:szCs w:val="24"/>
          <w:highlight w:val="none"/>
          <w:u w:val="single"/>
          <w:lang w:eastAsia="zh-CN"/>
        </w:rPr>
        <w:t>2026年阿图什市机关事业单位基本养老保险保值增值定期存款项目（第二期）（二次）</w:t>
      </w:r>
      <w:r>
        <w:rPr>
          <w:rFonts w:hint="eastAsia" w:ascii="仿宋" w:hAnsi="仿宋" w:eastAsia="仿宋" w:cs="仿宋"/>
          <w:color w:val="auto"/>
          <w:sz w:val="24"/>
          <w:szCs w:val="24"/>
          <w:highlight w:val="none"/>
        </w:rPr>
        <w:t>招标的要求，兹指派和授权</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作为授权人唯一代表行参加该项目竞标中的相关工作。</w:t>
      </w:r>
    </w:p>
    <w:p w14:paraId="4B6F4703">
      <w:pPr>
        <w:spacing w:line="560" w:lineRule="exac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授权权限：参加投标、开标，负责合同的签订、执行，以本行名义处理一切与之有关的事务。</w:t>
      </w:r>
    </w:p>
    <w:p w14:paraId="16674270">
      <w:pPr>
        <w:spacing w:line="560" w:lineRule="exac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授权期限：本授权自   年  月  日至  年  月  日有效。</w:t>
      </w:r>
    </w:p>
    <w:p w14:paraId="68349234">
      <w:pPr>
        <w:ind w:firstLine="486" w:firstLineChars="200"/>
        <w:rPr>
          <w:rFonts w:hint="eastAsia" w:ascii="仿宋" w:hAnsi="仿宋" w:eastAsia="仿宋" w:cs="仿宋"/>
          <w:color w:val="auto"/>
          <w:sz w:val="24"/>
          <w:szCs w:val="24"/>
          <w:highlight w:val="none"/>
        </w:rPr>
      </w:pPr>
    </w:p>
    <w:p w14:paraId="6F2D8FD4">
      <w:pPr>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3CD7F37A">
      <w:pPr>
        <w:ind w:left="4678" w:leftChars="200" w:hanging="4252" w:hanging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授权人（盖章）：</w:t>
      </w:r>
    </w:p>
    <w:p w14:paraId="6275DCED">
      <w:pPr>
        <w:snapToGrid w:val="0"/>
        <w:spacing w:line="540" w:lineRule="exact"/>
        <w:ind w:right="138"/>
        <w:rPr>
          <w:rFonts w:hint="eastAsia" w:ascii="仿宋" w:hAnsi="仿宋" w:eastAsia="仿宋" w:cs="仿宋"/>
          <w:color w:val="auto"/>
          <w:sz w:val="24"/>
          <w:szCs w:val="24"/>
          <w:highlight w:val="none"/>
        </w:rPr>
      </w:pPr>
    </w:p>
    <w:p w14:paraId="2F357B50">
      <w:pPr>
        <w:ind w:left="4153" w:leftChars="19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8400967">
      <w:pPr>
        <w:pStyle w:val="69"/>
        <w:rPr>
          <w:rFonts w:hint="eastAsia" w:ascii="仿宋" w:hAnsi="仿宋" w:eastAsia="仿宋" w:cs="仿宋"/>
          <w:color w:val="auto"/>
          <w:sz w:val="24"/>
          <w:szCs w:val="24"/>
          <w:highlight w:val="none"/>
        </w:rPr>
      </w:pPr>
    </w:p>
    <w:p w14:paraId="7B18C1D3">
      <w:pPr>
        <w:rPr>
          <w:rFonts w:hint="eastAsia" w:ascii="仿宋" w:hAnsi="仿宋" w:eastAsia="仿宋" w:cs="仿宋"/>
          <w:color w:val="auto"/>
          <w:sz w:val="24"/>
          <w:szCs w:val="24"/>
          <w:highlight w:val="none"/>
        </w:rPr>
      </w:pPr>
    </w:p>
    <w:p w14:paraId="6909251B">
      <w:pPr>
        <w:rPr>
          <w:rFonts w:hint="eastAsia" w:ascii="仿宋" w:hAnsi="仿宋" w:eastAsia="仿宋" w:cs="仿宋"/>
          <w:color w:val="auto"/>
          <w:sz w:val="24"/>
          <w:szCs w:val="24"/>
          <w:highlight w:val="none"/>
        </w:rPr>
      </w:pPr>
    </w:p>
    <w:p w14:paraId="1E1FDE2C">
      <w:pPr>
        <w:rPr>
          <w:rFonts w:hint="eastAsia" w:ascii="仿宋" w:hAnsi="仿宋" w:eastAsia="仿宋" w:cs="仿宋"/>
          <w:color w:val="auto"/>
          <w:sz w:val="24"/>
          <w:szCs w:val="24"/>
          <w:highlight w:val="none"/>
        </w:rPr>
      </w:pPr>
    </w:p>
    <w:p w14:paraId="79BF8685">
      <w:pPr>
        <w:rPr>
          <w:rFonts w:hint="eastAsia" w:ascii="仿宋" w:hAnsi="仿宋" w:eastAsia="仿宋" w:cs="仿宋"/>
          <w:color w:val="auto"/>
          <w:sz w:val="24"/>
          <w:szCs w:val="24"/>
          <w:highlight w:val="none"/>
        </w:rPr>
      </w:pPr>
    </w:p>
    <w:p w14:paraId="58119AE7">
      <w:pPr>
        <w:rPr>
          <w:rFonts w:hint="eastAsia" w:ascii="仿宋" w:hAnsi="仿宋" w:eastAsia="仿宋" w:cs="仿宋"/>
          <w:color w:val="auto"/>
          <w:sz w:val="24"/>
          <w:szCs w:val="24"/>
          <w:highlight w:val="none"/>
        </w:rPr>
      </w:pPr>
    </w:p>
    <w:p w14:paraId="43BAA045">
      <w:pPr>
        <w:rPr>
          <w:rFonts w:hint="eastAsia" w:ascii="仿宋" w:hAnsi="仿宋" w:eastAsia="仿宋" w:cs="仿宋"/>
          <w:color w:val="auto"/>
          <w:sz w:val="24"/>
          <w:szCs w:val="24"/>
          <w:highlight w:val="none"/>
        </w:rPr>
      </w:pPr>
    </w:p>
    <w:p w14:paraId="72D21FB5">
      <w:pPr>
        <w:rPr>
          <w:rFonts w:hint="eastAsia" w:ascii="仿宋" w:hAnsi="仿宋" w:eastAsia="仿宋" w:cs="仿宋"/>
          <w:color w:val="auto"/>
          <w:sz w:val="24"/>
          <w:szCs w:val="24"/>
          <w:highlight w:val="none"/>
        </w:rPr>
      </w:pPr>
    </w:p>
    <w:p w14:paraId="48E8427F">
      <w:pPr>
        <w:rPr>
          <w:rFonts w:hint="eastAsia" w:ascii="仿宋" w:hAnsi="仿宋" w:eastAsia="仿宋" w:cs="仿宋"/>
          <w:color w:val="auto"/>
          <w:sz w:val="24"/>
          <w:szCs w:val="24"/>
          <w:highlight w:val="none"/>
        </w:rPr>
      </w:pPr>
    </w:p>
    <w:p w14:paraId="2978ADED">
      <w:pPr>
        <w:rPr>
          <w:rFonts w:hint="eastAsia" w:ascii="仿宋" w:hAnsi="仿宋" w:eastAsia="仿宋" w:cs="仿宋"/>
          <w:color w:val="auto"/>
          <w:sz w:val="24"/>
          <w:szCs w:val="24"/>
          <w:highlight w:val="none"/>
        </w:rPr>
      </w:pPr>
    </w:p>
    <w:p w14:paraId="0F3ECDCF">
      <w:pPr>
        <w:rPr>
          <w:rFonts w:hint="eastAsia" w:ascii="仿宋" w:hAnsi="仿宋" w:eastAsia="仿宋" w:cs="仿宋"/>
          <w:color w:val="auto"/>
          <w:sz w:val="24"/>
          <w:szCs w:val="24"/>
          <w:highlight w:val="none"/>
        </w:rPr>
      </w:pPr>
    </w:p>
    <w:p w14:paraId="0A8A8F4C">
      <w:pPr>
        <w:rPr>
          <w:rFonts w:hint="eastAsia" w:ascii="仿宋" w:hAnsi="仿宋" w:eastAsia="仿宋" w:cs="仿宋"/>
          <w:color w:val="auto"/>
          <w:sz w:val="24"/>
          <w:szCs w:val="24"/>
          <w:highlight w:val="none"/>
        </w:rPr>
      </w:pPr>
    </w:p>
    <w:p w14:paraId="6EC605E3">
      <w:pPr>
        <w:rPr>
          <w:rFonts w:hint="eastAsia" w:ascii="仿宋" w:hAnsi="仿宋" w:eastAsia="仿宋" w:cs="仿宋"/>
          <w:color w:val="auto"/>
          <w:sz w:val="24"/>
          <w:szCs w:val="24"/>
          <w:highlight w:val="none"/>
        </w:rPr>
      </w:pPr>
    </w:p>
    <w:p w14:paraId="204F2DB9">
      <w:pPr>
        <w:rPr>
          <w:rFonts w:hint="eastAsia" w:ascii="仿宋" w:hAnsi="仿宋" w:eastAsia="仿宋" w:cs="仿宋"/>
          <w:color w:val="auto"/>
          <w:sz w:val="24"/>
          <w:szCs w:val="24"/>
          <w:highlight w:val="none"/>
        </w:rPr>
      </w:pPr>
    </w:p>
    <w:p w14:paraId="20F452D0">
      <w:pPr>
        <w:pStyle w:val="6"/>
        <w:rPr>
          <w:rFonts w:hint="eastAsia"/>
        </w:rPr>
      </w:pPr>
    </w:p>
    <w:p w14:paraId="08818DE1">
      <w:pPr>
        <w:rPr>
          <w:rFonts w:hint="eastAsia" w:ascii="仿宋" w:hAnsi="仿宋" w:eastAsia="仿宋" w:cs="仿宋"/>
          <w:color w:val="auto"/>
          <w:sz w:val="24"/>
          <w:szCs w:val="24"/>
          <w:highlight w:val="none"/>
        </w:rPr>
      </w:pPr>
    </w:p>
    <w:p w14:paraId="07986598">
      <w:pPr>
        <w:rPr>
          <w:rFonts w:hint="eastAsia" w:ascii="仿宋" w:hAnsi="仿宋" w:eastAsia="仿宋" w:cs="仿宋"/>
          <w:color w:val="auto"/>
          <w:sz w:val="24"/>
          <w:szCs w:val="24"/>
          <w:highlight w:val="none"/>
        </w:rPr>
      </w:pPr>
    </w:p>
    <w:p w14:paraId="15035688">
      <w:pPr>
        <w:rPr>
          <w:rFonts w:hint="eastAsia" w:ascii="仿宋" w:hAnsi="仿宋" w:eastAsia="仿宋" w:cs="仿宋"/>
          <w:color w:val="auto"/>
          <w:sz w:val="24"/>
          <w:szCs w:val="24"/>
          <w:highlight w:val="none"/>
        </w:rPr>
      </w:pPr>
    </w:p>
    <w:p w14:paraId="7DBC5506">
      <w:pPr>
        <w:pStyle w:val="9"/>
        <w:numPr>
          <w:ilvl w:val="0"/>
          <w:numId w:val="0"/>
        </w:numPr>
        <w:kinsoku w:val="0"/>
        <w:overflowPunct w:val="0"/>
        <w:spacing w:before="34" w:line="357" w:lineRule="auto"/>
        <w:ind w:right="126"/>
        <w:jc w:val="left"/>
        <w:outlineLvl w:val="2"/>
        <w:rPr>
          <w:rFonts w:hint="eastAsia" w:ascii="仿宋" w:hAnsi="仿宋" w:eastAsia="仿宋" w:cs="仿宋"/>
          <w:b/>
          <w:bCs/>
          <w:color w:val="auto"/>
          <w:sz w:val="24"/>
          <w:szCs w:val="24"/>
          <w:highlight w:val="none"/>
          <w:lang w:val="en-US" w:eastAsia="zh-CN"/>
        </w:rPr>
      </w:pPr>
      <w:bookmarkStart w:id="145" w:name="_Toc1244"/>
      <w:r>
        <w:rPr>
          <w:rFonts w:hint="eastAsia" w:ascii="仿宋" w:hAnsi="仿宋" w:eastAsia="仿宋" w:cs="仿宋"/>
          <w:b/>
          <w:bCs/>
          <w:color w:val="auto"/>
          <w:kern w:val="2"/>
          <w:sz w:val="24"/>
          <w:szCs w:val="24"/>
          <w:highlight w:val="none"/>
          <w:lang w:val="en-US" w:eastAsia="zh-CN" w:bidi="ar-SA"/>
        </w:rPr>
        <w:t>3、投标企业须提供投标人（被授权人）近6个月任意1个月的社保证明；</w:t>
      </w:r>
      <w:bookmarkEnd w:id="145"/>
    </w:p>
    <w:p w14:paraId="7E0F6BAA">
      <w:pPr>
        <w:pStyle w:val="9"/>
        <w:numPr>
          <w:ilvl w:val="0"/>
          <w:numId w:val="0"/>
        </w:numPr>
        <w:kinsoku w:val="0"/>
        <w:overflowPunct w:val="0"/>
        <w:spacing w:before="34" w:line="357" w:lineRule="auto"/>
        <w:ind w:right="126"/>
        <w:jc w:val="center"/>
        <w:rPr>
          <w:rFonts w:hint="eastAsia" w:ascii="仿宋" w:hAnsi="仿宋" w:eastAsia="仿宋" w:cs="仿宋"/>
          <w:b/>
          <w:bCs/>
          <w:color w:val="auto"/>
          <w:sz w:val="24"/>
          <w:szCs w:val="24"/>
          <w:highlight w:val="none"/>
          <w:lang w:val="en-US" w:eastAsia="zh-CN"/>
        </w:rPr>
      </w:pPr>
    </w:p>
    <w:p w14:paraId="1D0D71C5">
      <w:pPr>
        <w:pStyle w:val="9"/>
        <w:numPr>
          <w:ilvl w:val="0"/>
          <w:numId w:val="0"/>
        </w:numPr>
        <w:kinsoku w:val="0"/>
        <w:overflowPunct w:val="0"/>
        <w:spacing w:before="34" w:line="357" w:lineRule="auto"/>
        <w:ind w:right="126"/>
        <w:jc w:val="center"/>
        <w:rPr>
          <w:rFonts w:hint="eastAsia" w:ascii="仿宋" w:hAnsi="仿宋" w:eastAsia="仿宋" w:cs="仿宋"/>
          <w:b/>
          <w:bCs/>
          <w:color w:val="auto"/>
          <w:sz w:val="24"/>
          <w:szCs w:val="24"/>
          <w:highlight w:val="none"/>
          <w:lang w:val="en-US" w:eastAsia="zh-CN"/>
        </w:rPr>
      </w:pPr>
    </w:p>
    <w:p w14:paraId="51E978A5">
      <w:pPr>
        <w:pStyle w:val="9"/>
        <w:numPr>
          <w:ilvl w:val="0"/>
          <w:numId w:val="0"/>
        </w:numPr>
        <w:kinsoku w:val="0"/>
        <w:overflowPunct w:val="0"/>
        <w:spacing w:before="34" w:line="357" w:lineRule="auto"/>
        <w:ind w:right="126"/>
        <w:jc w:val="both"/>
        <w:rPr>
          <w:rFonts w:hint="eastAsia" w:ascii="仿宋" w:hAnsi="仿宋" w:eastAsia="仿宋" w:cs="仿宋"/>
          <w:b/>
          <w:bCs/>
          <w:color w:val="auto"/>
          <w:sz w:val="24"/>
          <w:szCs w:val="24"/>
          <w:highlight w:val="none"/>
          <w:lang w:val="en-US" w:eastAsia="zh-CN"/>
        </w:rPr>
      </w:pPr>
    </w:p>
    <w:p w14:paraId="74667C79">
      <w:pPr>
        <w:pStyle w:val="9"/>
        <w:numPr>
          <w:ilvl w:val="0"/>
          <w:numId w:val="0"/>
        </w:numPr>
        <w:kinsoku w:val="0"/>
        <w:overflowPunct w:val="0"/>
        <w:spacing w:before="34" w:line="357" w:lineRule="auto"/>
        <w:ind w:right="126"/>
        <w:jc w:val="left"/>
        <w:outlineLvl w:val="2"/>
        <w:rPr>
          <w:rFonts w:hint="eastAsia" w:ascii="仿宋" w:hAnsi="仿宋" w:eastAsia="仿宋" w:cs="仿宋"/>
          <w:b/>
          <w:bCs/>
          <w:color w:val="auto"/>
          <w:sz w:val="24"/>
          <w:szCs w:val="24"/>
          <w:highlight w:val="none"/>
          <w:lang w:val="en-US" w:eastAsia="zh-CN"/>
        </w:rPr>
      </w:pPr>
      <w:bookmarkStart w:id="146" w:name="_Toc19794"/>
      <w:r>
        <w:rPr>
          <w:rFonts w:hint="eastAsia" w:ascii="仿宋" w:hAnsi="仿宋" w:eastAsia="仿宋" w:cs="仿宋"/>
          <w:b/>
          <w:bCs/>
          <w:color w:val="auto"/>
          <w:sz w:val="24"/>
          <w:szCs w:val="24"/>
          <w:highlight w:val="none"/>
          <w:lang w:val="en-US" w:eastAsia="zh-CN"/>
        </w:rPr>
        <w:t>4、未被列入信用中国网（</w:t>
      </w:r>
      <w:r>
        <w:rPr>
          <w:rFonts w:hint="eastAsia" w:ascii="仿宋" w:hAnsi="仿宋" w:eastAsia="仿宋" w:cs="仿宋"/>
          <w:b/>
          <w:bCs/>
          <w:color w:val="auto"/>
          <w:sz w:val="24"/>
          <w:szCs w:val="24"/>
          <w:highlight w:val="none"/>
          <w:lang w:val="en-US" w:eastAsia="zh-CN"/>
        </w:rPr>
        <w:fldChar w:fldCharType="begin"/>
      </w:r>
      <w:r>
        <w:rPr>
          <w:rFonts w:hint="eastAsia" w:ascii="仿宋" w:hAnsi="仿宋" w:eastAsia="仿宋" w:cs="仿宋"/>
          <w:b/>
          <w:bCs/>
          <w:color w:val="auto"/>
          <w:sz w:val="24"/>
          <w:szCs w:val="24"/>
          <w:highlight w:val="none"/>
          <w:lang w:val="en-US" w:eastAsia="zh-CN"/>
        </w:rPr>
        <w:instrText xml:space="preserve"> HYPERLINK "http://www.creditchina.gov.cn/" </w:instrText>
      </w:r>
      <w:r>
        <w:rPr>
          <w:rFonts w:hint="eastAsia" w:ascii="仿宋" w:hAnsi="仿宋" w:eastAsia="仿宋" w:cs="仿宋"/>
          <w:b/>
          <w:bCs/>
          <w:color w:val="auto"/>
          <w:sz w:val="24"/>
          <w:szCs w:val="24"/>
          <w:highlight w:val="none"/>
          <w:lang w:val="en-US" w:eastAsia="zh-CN"/>
        </w:rPr>
        <w:fldChar w:fldCharType="separate"/>
      </w:r>
      <w:r>
        <w:rPr>
          <w:rFonts w:hint="eastAsia" w:ascii="仿宋" w:hAnsi="仿宋" w:eastAsia="仿宋" w:cs="仿宋"/>
          <w:b/>
          <w:bCs/>
          <w:color w:val="auto"/>
          <w:sz w:val="24"/>
          <w:szCs w:val="24"/>
          <w:highlight w:val="none"/>
          <w:lang w:val="en-US" w:eastAsia="zh-CN"/>
        </w:rPr>
        <w:t>www.creditchina.gov.cn</w:t>
      </w:r>
      <w:r>
        <w:rPr>
          <w:rFonts w:hint="eastAsia" w:ascii="仿宋" w:hAnsi="仿宋" w:eastAsia="仿宋" w:cs="仿宋"/>
          <w:b/>
          <w:bCs/>
          <w:color w:val="auto"/>
          <w:sz w:val="24"/>
          <w:szCs w:val="24"/>
          <w:highlight w:val="none"/>
          <w:lang w:val="en-US" w:eastAsia="zh-CN"/>
        </w:rPr>
        <w:fldChar w:fldCharType="end"/>
      </w:r>
      <w:r>
        <w:rPr>
          <w:rFonts w:hint="eastAsia" w:ascii="仿宋" w:hAnsi="仿宋" w:eastAsia="仿宋" w:cs="仿宋"/>
          <w:b/>
          <w:bCs/>
          <w:color w:val="auto"/>
          <w:sz w:val="24"/>
          <w:szCs w:val="24"/>
          <w:highlight w:val="none"/>
          <w:lang w:val="en-US" w:eastAsia="zh-CN"/>
        </w:rPr>
        <w:t>）及中国政府采购网 (</w:t>
      </w:r>
      <w:r>
        <w:rPr>
          <w:rFonts w:hint="eastAsia" w:ascii="仿宋" w:hAnsi="仿宋" w:eastAsia="仿宋" w:cs="仿宋"/>
          <w:b/>
          <w:bCs/>
          <w:color w:val="auto"/>
          <w:sz w:val="24"/>
          <w:szCs w:val="24"/>
          <w:highlight w:val="none"/>
          <w:lang w:val="en-US" w:eastAsia="zh-CN"/>
        </w:rPr>
        <w:fldChar w:fldCharType="begin"/>
      </w:r>
      <w:r>
        <w:rPr>
          <w:rFonts w:hint="eastAsia" w:ascii="仿宋" w:hAnsi="仿宋" w:eastAsia="仿宋" w:cs="仿宋"/>
          <w:b/>
          <w:bCs/>
          <w:color w:val="auto"/>
          <w:sz w:val="24"/>
          <w:szCs w:val="24"/>
          <w:highlight w:val="none"/>
          <w:lang w:val="en-US" w:eastAsia="zh-CN"/>
        </w:rPr>
        <w:instrText xml:space="preserve"> HYPERLINK "http://www.ccgp.gov.cn/" </w:instrText>
      </w:r>
      <w:r>
        <w:rPr>
          <w:rFonts w:hint="eastAsia" w:ascii="仿宋" w:hAnsi="仿宋" w:eastAsia="仿宋" w:cs="仿宋"/>
          <w:b/>
          <w:bCs/>
          <w:color w:val="auto"/>
          <w:sz w:val="24"/>
          <w:szCs w:val="24"/>
          <w:highlight w:val="none"/>
          <w:lang w:val="en-US" w:eastAsia="zh-CN"/>
        </w:rPr>
        <w:fldChar w:fldCharType="separate"/>
      </w:r>
      <w:r>
        <w:rPr>
          <w:rFonts w:hint="eastAsia" w:ascii="仿宋" w:hAnsi="仿宋" w:eastAsia="仿宋" w:cs="仿宋"/>
          <w:b/>
          <w:bCs/>
          <w:color w:val="auto"/>
          <w:sz w:val="24"/>
          <w:szCs w:val="24"/>
          <w:highlight w:val="none"/>
          <w:lang w:val="en-US" w:eastAsia="zh-CN"/>
        </w:rPr>
        <w:t>www.ccgp.gov.cn</w:t>
      </w:r>
      <w:r>
        <w:rPr>
          <w:rFonts w:hint="eastAsia" w:ascii="仿宋" w:hAnsi="仿宋" w:eastAsia="仿宋" w:cs="仿宋"/>
          <w:b/>
          <w:bCs/>
          <w:color w:val="auto"/>
          <w:sz w:val="24"/>
          <w:szCs w:val="24"/>
          <w:highlight w:val="none"/>
          <w:lang w:val="en-US" w:eastAsia="zh-CN"/>
        </w:rPr>
        <w:fldChar w:fldCharType="end"/>
      </w:r>
      <w:r>
        <w:rPr>
          <w:rFonts w:hint="eastAsia" w:ascii="仿宋" w:hAnsi="仿宋" w:eastAsia="仿宋" w:cs="仿宋"/>
          <w:b/>
          <w:bCs/>
          <w:color w:val="auto"/>
          <w:sz w:val="24"/>
          <w:szCs w:val="24"/>
          <w:highlight w:val="none"/>
          <w:lang w:val="en-US" w:eastAsia="zh-CN"/>
        </w:rPr>
        <w:t>）失信被执行人名单、重大税收违法失信主体、政府采购严重违法失信行为记录名单（提供查询结果网页截图并加盖供应商公章）；</w:t>
      </w:r>
      <w:bookmarkEnd w:id="146"/>
    </w:p>
    <w:p w14:paraId="5D088B63">
      <w:pPr>
        <w:pStyle w:val="9"/>
        <w:numPr>
          <w:ilvl w:val="0"/>
          <w:numId w:val="0"/>
        </w:numPr>
        <w:kinsoku w:val="0"/>
        <w:overflowPunct w:val="0"/>
        <w:spacing w:before="34" w:line="357" w:lineRule="auto"/>
        <w:ind w:right="126"/>
        <w:jc w:val="center"/>
        <w:rPr>
          <w:rFonts w:hint="eastAsia" w:ascii="仿宋" w:hAnsi="仿宋" w:eastAsia="仿宋" w:cs="仿宋"/>
          <w:b/>
          <w:bCs/>
          <w:color w:val="auto"/>
          <w:sz w:val="24"/>
          <w:szCs w:val="24"/>
          <w:highlight w:val="none"/>
          <w:lang w:val="en-US" w:eastAsia="zh-CN"/>
        </w:rPr>
      </w:pPr>
    </w:p>
    <w:p w14:paraId="23CCE45C">
      <w:pPr>
        <w:pStyle w:val="9"/>
        <w:numPr>
          <w:ilvl w:val="0"/>
          <w:numId w:val="0"/>
        </w:numPr>
        <w:kinsoku w:val="0"/>
        <w:overflowPunct w:val="0"/>
        <w:spacing w:before="34" w:line="357" w:lineRule="auto"/>
        <w:ind w:right="126"/>
        <w:jc w:val="center"/>
        <w:rPr>
          <w:rFonts w:hint="eastAsia" w:ascii="仿宋" w:hAnsi="仿宋" w:eastAsia="仿宋" w:cs="仿宋"/>
          <w:b/>
          <w:bCs/>
          <w:color w:val="auto"/>
          <w:sz w:val="24"/>
          <w:szCs w:val="24"/>
          <w:highlight w:val="none"/>
          <w:lang w:val="en-US" w:eastAsia="zh-CN"/>
        </w:rPr>
      </w:pPr>
    </w:p>
    <w:p w14:paraId="5A5C1170">
      <w:pPr>
        <w:pStyle w:val="9"/>
        <w:numPr>
          <w:ilvl w:val="0"/>
          <w:numId w:val="0"/>
        </w:numPr>
        <w:kinsoku w:val="0"/>
        <w:overflowPunct w:val="0"/>
        <w:spacing w:before="34" w:line="357" w:lineRule="auto"/>
        <w:ind w:right="126"/>
        <w:jc w:val="center"/>
        <w:rPr>
          <w:rFonts w:hint="eastAsia" w:ascii="仿宋" w:hAnsi="仿宋" w:eastAsia="仿宋" w:cs="仿宋"/>
          <w:b/>
          <w:bCs/>
          <w:color w:val="auto"/>
          <w:sz w:val="24"/>
          <w:szCs w:val="24"/>
          <w:highlight w:val="none"/>
          <w:lang w:val="en-US" w:eastAsia="zh-CN"/>
        </w:rPr>
      </w:pPr>
    </w:p>
    <w:p w14:paraId="146AEC38">
      <w:pPr>
        <w:numPr>
          <w:ilvl w:val="1"/>
          <w:numId w:val="0"/>
        </w:numPr>
        <w:tabs>
          <w:tab w:val="left" w:pos="540"/>
        </w:tabs>
        <w:spacing w:line="240" w:lineRule="atLeast"/>
        <w:outlineLvl w:val="2"/>
        <w:rPr>
          <w:rFonts w:hint="eastAsia" w:ascii="仿宋" w:hAnsi="仿宋" w:eastAsia="仿宋" w:cs="仿宋"/>
          <w:b/>
          <w:bCs/>
          <w:color w:val="auto"/>
          <w:kern w:val="2"/>
          <w:sz w:val="24"/>
          <w:szCs w:val="24"/>
          <w:highlight w:val="none"/>
          <w:lang w:val="en-US" w:eastAsia="zh-CN" w:bidi="ar-SA"/>
        </w:rPr>
      </w:pPr>
      <w:bookmarkStart w:id="147" w:name="_Toc10146"/>
      <w:bookmarkStart w:id="148" w:name="bookmark225"/>
      <w:bookmarkStart w:id="149" w:name="bookmark226"/>
      <w:bookmarkStart w:id="150" w:name="bookmark228"/>
      <w:bookmarkStart w:id="151" w:name="bookmark233"/>
      <w:bookmarkStart w:id="152" w:name="bookmark235"/>
      <w:bookmarkStart w:id="153" w:name="bookmark234"/>
      <w:bookmarkStart w:id="154" w:name="bookmark236"/>
      <w:r>
        <w:rPr>
          <w:rFonts w:hint="eastAsia" w:ascii="仿宋" w:hAnsi="仿宋" w:eastAsia="仿宋" w:cs="仿宋"/>
          <w:b/>
          <w:bCs/>
          <w:color w:val="auto"/>
          <w:kern w:val="2"/>
          <w:sz w:val="24"/>
          <w:szCs w:val="24"/>
          <w:highlight w:val="none"/>
          <w:lang w:val="en-US" w:eastAsia="zh-CN" w:bidi="ar-SA"/>
        </w:rPr>
        <w:t>5、投标企业需提供中国银行业监督管理委员会有效的《中华人民共和国金融许可证》或《金融机构营业许可证》</w:t>
      </w:r>
    </w:p>
    <w:p w14:paraId="4B54F083">
      <w:pPr>
        <w:numPr>
          <w:ilvl w:val="1"/>
          <w:numId w:val="0"/>
        </w:numPr>
        <w:tabs>
          <w:tab w:val="left" w:pos="540"/>
        </w:tabs>
        <w:spacing w:line="240" w:lineRule="atLeast"/>
        <w:ind w:left="431" w:leftChars="0"/>
        <w:outlineLvl w:val="2"/>
        <w:rPr>
          <w:rFonts w:hint="eastAsia" w:ascii="仿宋" w:hAnsi="仿宋" w:eastAsia="仿宋" w:cs="仿宋"/>
          <w:b/>
          <w:bCs/>
          <w:color w:val="auto"/>
          <w:kern w:val="2"/>
          <w:sz w:val="24"/>
          <w:szCs w:val="24"/>
          <w:highlight w:val="none"/>
          <w:lang w:val="en-US" w:eastAsia="zh-CN" w:bidi="ar-SA"/>
        </w:rPr>
      </w:pPr>
    </w:p>
    <w:p w14:paraId="6F78FB66">
      <w:pPr>
        <w:numPr>
          <w:ilvl w:val="1"/>
          <w:numId w:val="0"/>
        </w:numPr>
        <w:tabs>
          <w:tab w:val="left" w:pos="540"/>
        </w:tabs>
        <w:spacing w:line="240" w:lineRule="atLeast"/>
        <w:outlineLvl w:val="2"/>
        <w:rPr>
          <w:rFonts w:hint="eastAsia" w:ascii="仿宋" w:hAnsi="仿宋" w:eastAsia="仿宋" w:cs="仿宋"/>
          <w:b/>
          <w:bCs/>
          <w:color w:val="auto"/>
          <w:kern w:val="2"/>
          <w:sz w:val="24"/>
          <w:szCs w:val="24"/>
          <w:highlight w:val="none"/>
          <w:lang w:val="en-US" w:eastAsia="zh-CN" w:bidi="ar-SA"/>
        </w:rPr>
      </w:pPr>
    </w:p>
    <w:p w14:paraId="469171B0">
      <w:pPr>
        <w:numPr>
          <w:ilvl w:val="1"/>
          <w:numId w:val="0"/>
        </w:numPr>
        <w:tabs>
          <w:tab w:val="left" w:pos="540"/>
        </w:tabs>
        <w:spacing w:line="240" w:lineRule="atLeast"/>
        <w:outlineLvl w:val="2"/>
        <w:rPr>
          <w:rFonts w:hint="eastAsia" w:ascii="仿宋" w:hAnsi="仿宋" w:eastAsia="仿宋" w:cs="仿宋"/>
          <w:b/>
          <w:bCs/>
          <w:color w:val="auto"/>
          <w:kern w:val="2"/>
          <w:sz w:val="24"/>
          <w:szCs w:val="24"/>
          <w:highlight w:val="none"/>
          <w:lang w:val="en-US" w:eastAsia="zh-CN" w:bidi="ar-SA"/>
        </w:rPr>
      </w:pPr>
    </w:p>
    <w:p w14:paraId="1804402D">
      <w:pPr>
        <w:numPr>
          <w:ilvl w:val="1"/>
          <w:numId w:val="0"/>
        </w:numPr>
        <w:tabs>
          <w:tab w:val="left" w:pos="540"/>
        </w:tabs>
        <w:spacing w:line="240" w:lineRule="atLeast"/>
        <w:outlineLvl w:val="2"/>
        <w:rPr>
          <w:rFonts w:hint="eastAsia" w:ascii="仿宋" w:hAnsi="仿宋" w:eastAsia="仿宋" w:cs="仿宋"/>
          <w:b/>
          <w:bCs/>
          <w:color w:val="auto"/>
          <w:kern w:val="2"/>
          <w:sz w:val="24"/>
          <w:szCs w:val="24"/>
          <w:highlight w:val="none"/>
          <w:lang w:val="en-US" w:eastAsia="zh-CN" w:bidi="ar-SA"/>
        </w:rPr>
      </w:pPr>
    </w:p>
    <w:p w14:paraId="5154BFBD">
      <w:pPr>
        <w:numPr>
          <w:ilvl w:val="1"/>
          <w:numId w:val="0"/>
        </w:numPr>
        <w:tabs>
          <w:tab w:val="left" w:pos="540"/>
        </w:tabs>
        <w:spacing w:line="240" w:lineRule="atLeast"/>
        <w:outlineLvl w:val="2"/>
        <w:rPr>
          <w:rFonts w:hint="eastAsia" w:ascii="仿宋" w:hAnsi="仿宋" w:eastAsia="仿宋" w:cs="仿宋"/>
          <w:b/>
          <w:bCs/>
          <w:color w:val="auto"/>
          <w:kern w:val="2"/>
          <w:sz w:val="24"/>
          <w:szCs w:val="24"/>
          <w:highlight w:val="none"/>
          <w:lang w:val="en-US" w:eastAsia="zh-CN" w:bidi="ar-SA"/>
        </w:rPr>
      </w:pPr>
    </w:p>
    <w:p w14:paraId="05FFF5C9">
      <w:pPr>
        <w:numPr>
          <w:ilvl w:val="1"/>
          <w:numId w:val="0"/>
        </w:numPr>
        <w:tabs>
          <w:tab w:val="left" w:pos="540"/>
        </w:tabs>
        <w:spacing w:line="240" w:lineRule="atLeast"/>
        <w:outlineLvl w:val="2"/>
        <w:rPr>
          <w:rFonts w:hint="eastAsia" w:ascii="仿宋" w:hAnsi="仿宋" w:eastAsia="仿宋" w:cs="仿宋"/>
          <w:b/>
          <w:bCs/>
          <w:color w:val="auto"/>
          <w:kern w:val="2"/>
          <w:sz w:val="24"/>
          <w:szCs w:val="24"/>
          <w:highlight w:val="none"/>
          <w:lang w:val="en-US" w:eastAsia="zh-CN" w:bidi="ar-SA"/>
        </w:rPr>
      </w:pPr>
    </w:p>
    <w:p w14:paraId="55E41403">
      <w:pPr>
        <w:numPr>
          <w:ilvl w:val="1"/>
          <w:numId w:val="0"/>
        </w:numPr>
        <w:tabs>
          <w:tab w:val="left" w:pos="540"/>
        </w:tabs>
        <w:spacing w:line="240" w:lineRule="atLeast"/>
        <w:outlineLvl w:val="2"/>
        <w:rPr>
          <w:rFonts w:hint="eastAsia" w:ascii="仿宋" w:hAnsi="仿宋" w:eastAsia="仿宋" w:cs="仿宋"/>
          <w:b/>
          <w:bCs/>
          <w:color w:val="auto"/>
          <w:kern w:val="2"/>
          <w:sz w:val="24"/>
          <w:szCs w:val="24"/>
          <w:highlight w:val="none"/>
          <w:lang w:val="en-US" w:eastAsia="zh-CN" w:bidi="ar-SA"/>
        </w:rPr>
      </w:pPr>
    </w:p>
    <w:p w14:paraId="15C6DF0F">
      <w:pPr>
        <w:numPr>
          <w:ilvl w:val="1"/>
          <w:numId w:val="0"/>
        </w:numPr>
        <w:tabs>
          <w:tab w:val="left" w:pos="540"/>
        </w:tabs>
        <w:spacing w:line="240" w:lineRule="atLeast"/>
        <w:outlineLvl w:val="2"/>
        <w:rPr>
          <w:rFonts w:hint="eastAsia" w:ascii="仿宋" w:hAnsi="仿宋" w:eastAsia="仿宋" w:cs="仿宋"/>
          <w:b/>
          <w:bCs/>
          <w:color w:val="auto"/>
          <w:kern w:val="2"/>
          <w:sz w:val="24"/>
          <w:szCs w:val="24"/>
          <w:highlight w:val="none"/>
          <w:lang w:val="en-US" w:eastAsia="zh-CN" w:bidi="ar-SA"/>
        </w:rPr>
      </w:pPr>
    </w:p>
    <w:p w14:paraId="4ACD9ECC">
      <w:pPr>
        <w:numPr>
          <w:ilvl w:val="1"/>
          <w:numId w:val="0"/>
        </w:numPr>
        <w:tabs>
          <w:tab w:val="left" w:pos="540"/>
        </w:tabs>
        <w:spacing w:line="240" w:lineRule="atLeast"/>
        <w:outlineLvl w:val="2"/>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6、供应商须知资料表要求的其他资格证明文件</w:t>
      </w:r>
      <w:bookmarkEnd w:id="147"/>
    </w:p>
    <w:p w14:paraId="2B469235">
      <w:pPr>
        <w:pStyle w:val="70"/>
        <w:keepNext/>
        <w:keepLines/>
        <w:spacing w:before="0" w:after="660"/>
        <w:ind w:firstLine="420"/>
        <w:outlineLvl w:val="2"/>
        <w:rPr>
          <w:rFonts w:hint="eastAsia" w:ascii="仿宋" w:hAnsi="仿宋" w:eastAsia="仿宋" w:cs="仿宋"/>
          <w:color w:val="auto"/>
          <w:sz w:val="24"/>
          <w:szCs w:val="24"/>
          <w:highlight w:val="none"/>
          <w:lang w:eastAsia="zh-CN"/>
        </w:rPr>
      </w:pPr>
    </w:p>
    <w:p w14:paraId="05F6550F">
      <w:pPr>
        <w:pStyle w:val="70"/>
        <w:keepNext/>
        <w:keepLines/>
        <w:spacing w:before="0" w:after="660"/>
        <w:jc w:val="both"/>
        <w:rPr>
          <w:rFonts w:hint="eastAsia" w:ascii="仿宋" w:hAnsi="仿宋" w:eastAsia="仿宋" w:cs="仿宋"/>
          <w:color w:val="auto"/>
          <w:sz w:val="24"/>
          <w:szCs w:val="24"/>
          <w:highlight w:val="none"/>
          <w:lang w:eastAsia="zh-CN"/>
        </w:rPr>
      </w:pPr>
    </w:p>
    <w:p w14:paraId="2E4AEE5D">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14:paraId="1C099F83">
      <w:pPr>
        <w:pStyle w:val="4"/>
        <w:numPr>
          <w:ilvl w:val="0"/>
          <w:numId w:val="0"/>
        </w:numPr>
        <w:shd w:val="clear" w:color="auto" w:fill="auto"/>
        <w:tabs>
          <w:tab w:val="left" w:pos="540"/>
        </w:tabs>
        <w:spacing w:before="0" w:line="240" w:lineRule="atLeast"/>
        <w:jc w:val="center"/>
        <w:rPr>
          <w:rFonts w:hint="eastAsia" w:ascii="仿宋" w:hAnsi="仿宋" w:eastAsia="仿宋" w:cs="仿宋"/>
          <w:b/>
          <w:bCs/>
          <w:color w:val="auto"/>
          <w:sz w:val="24"/>
          <w:szCs w:val="24"/>
          <w:highlight w:val="none"/>
        </w:rPr>
      </w:pPr>
      <w:bookmarkStart w:id="155" w:name="_Toc22265"/>
      <w:bookmarkStart w:id="156" w:name="_Toc24188"/>
      <w:r>
        <w:rPr>
          <w:rFonts w:hint="eastAsia" w:ascii="仿宋" w:hAnsi="仿宋" w:eastAsia="仿宋" w:cs="仿宋"/>
          <w:b/>
          <w:bCs/>
          <w:color w:val="auto"/>
          <w:sz w:val="24"/>
          <w:szCs w:val="24"/>
          <w:highlight w:val="none"/>
          <w:lang w:val="en-US" w:eastAsia="zh-CN"/>
        </w:rPr>
        <w:t>第二部分</w:t>
      </w:r>
      <w:r>
        <w:rPr>
          <w:rFonts w:hint="eastAsia" w:ascii="仿宋" w:hAnsi="仿宋" w:eastAsia="仿宋" w:cs="仿宋"/>
          <w:b/>
          <w:bCs/>
          <w:color w:val="auto"/>
          <w:sz w:val="24"/>
          <w:szCs w:val="24"/>
          <w:highlight w:val="none"/>
        </w:rPr>
        <w:t>商务及技术文件</w:t>
      </w:r>
      <w:bookmarkEnd w:id="155"/>
      <w:bookmarkEnd w:id="156"/>
    </w:p>
    <w:p w14:paraId="505F059E">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087" w:leftChars="257" w:hanging="54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w:t>
      </w:r>
      <w:r>
        <w:rPr>
          <w:rFonts w:hint="eastAsia" w:ascii="仿宋" w:hAnsi="仿宋" w:eastAsia="仿宋" w:cs="仿宋"/>
          <w:color w:val="auto"/>
          <w:sz w:val="24"/>
          <w:szCs w:val="24"/>
          <w:highlight w:val="none"/>
          <w:lang w:eastAsia="zh-CN"/>
        </w:rPr>
        <w:t>函</w:t>
      </w:r>
    </w:p>
    <w:p w14:paraId="172D4918">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087" w:leftChars="257" w:hanging="540"/>
        <w:jc w:val="both"/>
        <w:textAlignment w:val="auto"/>
        <w:rPr>
          <w:rFonts w:hint="eastAsia" w:ascii="仿宋" w:hAnsi="仿宋" w:eastAsia="仿宋" w:cs="仿宋"/>
          <w:color w:val="auto"/>
          <w:spacing w:val="0"/>
          <w:w w:val="100"/>
          <w:kern w:val="0"/>
          <w:position w:val="0"/>
          <w:sz w:val="24"/>
          <w:szCs w:val="24"/>
          <w:u w:val="none" w:color="000000"/>
          <w:shd w:val="clear" w:color="auto" w:fill="auto"/>
          <w:lang w:val="en-US" w:eastAsia="zh-CN" w:bidi="en-US"/>
        </w:rPr>
      </w:pPr>
      <w:r>
        <w:rPr>
          <w:rFonts w:hint="eastAsia" w:ascii="仿宋" w:hAnsi="仿宋" w:eastAsia="仿宋" w:cs="仿宋"/>
          <w:color w:val="auto"/>
          <w:spacing w:val="0"/>
          <w:w w:val="100"/>
          <w:kern w:val="0"/>
          <w:position w:val="0"/>
          <w:sz w:val="24"/>
          <w:szCs w:val="24"/>
          <w:u w:val="none" w:color="000000"/>
          <w:shd w:val="clear" w:color="auto" w:fill="auto"/>
          <w:lang w:val="en-US" w:eastAsia="zh-CN" w:bidi="en-US"/>
        </w:rPr>
        <w:t>2、开标一览表</w:t>
      </w:r>
    </w:p>
    <w:p w14:paraId="315837ED">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087" w:leftChars="257" w:hanging="540"/>
        <w:jc w:val="both"/>
        <w:textAlignment w:val="auto"/>
        <w:rPr>
          <w:rFonts w:hint="eastAsia" w:ascii="仿宋" w:hAnsi="仿宋" w:eastAsia="仿宋" w:cs="仿宋"/>
          <w:color w:val="auto"/>
          <w:spacing w:val="0"/>
          <w:w w:val="100"/>
          <w:kern w:val="0"/>
          <w:position w:val="0"/>
          <w:sz w:val="24"/>
          <w:szCs w:val="24"/>
          <w:u w:val="none" w:color="000000"/>
          <w:shd w:val="clear" w:color="auto" w:fill="auto"/>
          <w:lang w:val="en-US" w:eastAsia="zh-CN" w:bidi="en-US"/>
        </w:rPr>
      </w:pPr>
      <w:r>
        <w:rPr>
          <w:rFonts w:hint="eastAsia" w:ascii="仿宋" w:hAnsi="仿宋" w:eastAsia="仿宋" w:cs="仿宋"/>
          <w:color w:val="auto"/>
          <w:spacing w:val="0"/>
          <w:w w:val="100"/>
          <w:kern w:val="0"/>
          <w:position w:val="0"/>
          <w:sz w:val="24"/>
          <w:szCs w:val="24"/>
          <w:u w:val="none" w:color="000000"/>
          <w:shd w:val="clear" w:color="auto" w:fill="auto"/>
          <w:lang w:val="en-US" w:eastAsia="zh-CN" w:bidi="en-US"/>
        </w:rPr>
        <w:t>3、投标人基本情况</w:t>
      </w:r>
    </w:p>
    <w:p w14:paraId="45508648">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087" w:leftChars="257" w:hanging="54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商务条款偏离表</w:t>
      </w:r>
    </w:p>
    <w:p w14:paraId="4FE4F0CD">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087" w:leftChars="257" w:hanging="54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5、技术部分</w:t>
      </w:r>
    </w:p>
    <w:p w14:paraId="31E3DE1E">
      <w:pPr>
        <w:pStyle w:val="12"/>
        <w:keepNext w:val="0"/>
        <w:keepLines w:val="0"/>
        <w:pageBreakBefore w:val="0"/>
        <w:widowControl w:val="0"/>
        <w:shd w:val="clear" w:color="auto" w:fill="auto"/>
        <w:kinsoku/>
        <w:wordWrap/>
        <w:overflowPunct/>
        <w:topLinePunct w:val="0"/>
        <w:autoSpaceDE/>
        <w:autoSpaceDN/>
        <w:bidi w:val="0"/>
        <w:adjustRightInd/>
        <w:snapToGrid/>
        <w:spacing w:line="360" w:lineRule="auto"/>
        <w:ind w:left="1087" w:leftChars="257" w:hanging="54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6、投标人认为需要提交的技术资料</w:t>
      </w:r>
      <w:r>
        <w:rPr>
          <w:rFonts w:hint="eastAsia" w:ascii="仿宋" w:hAnsi="仿宋" w:eastAsia="仿宋" w:cs="仿宋"/>
          <w:color w:val="auto"/>
          <w:spacing w:val="0"/>
          <w:w w:val="100"/>
          <w:position w:val="0"/>
          <w:sz w:val="24"/>
          <w:szCs w:val="24"/>
          <w:highlight w:val="none"/>
          <w:shd w:val="clear" w:color="auto" w:fill="auto"/>
          <w:lang w:val="en-US" w:eastAsia="zh-CN" w:bidi="ar-SA"/>
        </w:rPr>
        <w:t xml:space="preserve"> </w:t>
      </w:r>
      <w:r>
        <w:rPr>
          <w:rFonts w:hint="eastAsia" w:ascii="仿宋" w:hAnsi="仿宋" w:eastAsia="仿宋" w:cs="仿宋"/>
          <w:color w:val="auto"/>
          <w:sz w:val="24"/>
          <w:szCs w:val="24"/>
          <w:highlight w:val="none"/>
          <w:lang w:eastAsia="zh-CN"/>
        </w:rPr>
        <w:t>（格式自拟）</w:t>
      </w:r>
    </w:p>
    <w:p w14:paraId="1681FA26">
      <w:pPr>
        <w:pStyle w:val="70"/>
        <w:keepNext/>
        <w:keepLines/>
        <w:spacing w:before="0" w:after="660"/>
        <w:ind w:firstLine="420"/>
        <w:rPr>
          <w:rFonts w:hint="eastAsia" w:ascii="仿宋" w:hAnsi="仿宋" w:eastAsia="仿宋" w:cs="仿宋"/>
          <w:color w:val="auto"/>
          <w:sz w:val="24"/>
          <w:szCs w:val="24"/>
          <w:highlight w:val="none"/>
          <w:lang w:eastAsia="zh-CN"/>
        </w:rPr>
      </w:pPr>
    </w:p>
    <w:p w14:paraId="349C23BD">
      <w:pPr>
        <w:pStyle w:val="70"/>
        <w:keepNext/>
        <w:keepLines/>
        <w:spacing w:before="0" w:after="660"/>
        <w:jc w:val="both"/>
        <w:rPr>
          <w:rFonts w:hint="eastAsia" w:ascii="仿宋" w:hAnsi="仿宋" w:eastAsia="仿宋" w:cs="仿宋"/>
          <w:color w:val="auto"/>
          <w:sz w:val="24"/>
          <w:szCs w:val="24"/>
          <w:highlight w:val="none"/>
          <w:lang w:eastAsia="zh-CN"/>
        </w:rPr>
      </w:pPr>
    </w:p>
    <w:p w14:paraId="0B1EB784">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13539854">
      <w:pPr>
        <w:pStyle w:val="9"/>
        <w:numPr>
          <w:ilvl w:val="0"/>
          <w:numId w:val="0"/>
        </w:numPr>
        <w:kinsoku w:val="0"/>
        <w:overflowPunct w:val="0"/>
        <w:spacing w:before="130" w:line="355" w:lineRule="auto"/>
        <w:ind w:left="480" w:leftChars="0" w:right="7" w:rightChars="0"/>
        <w:jc w:val="center"/>
        <w:outlineLvl w:val="2"/>
        <w:rPr>
          <w:rFonts w:hint="eastAsia" w:ascii="仿宋" w:hAnsi="仿宋" w:eastAsia="仿宋" w:cs="仿宋"/>
          <w:b/>
          <w:bCs/>
          <w:color w:val="auto"/>
          <w:sz w:val="24"/>
          <w:szCs w:val="24"/>
        </w:rPr>
      </w:pPr>
      <w:bookmarkStart w:id="157" w:name="_Toc10861"/>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、投标函</w:t>
      </w:r>
      <w:bookmarkEnd w:id="157"/>
    </w:p>
    <w:p w14:paraId="1A45E8D0">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rPr>
        <w:t>致：</w:t>
      </w:r>
      <w:r>
        <w:rPr>
          <w:rFonts w:hint="eastAsia" w:ascii="仿宋" w:hAnsi="仿宋" w:eastAsia="仿宋" w:cs="仿宋"/>
          <w:color w:val="auto"/>
          <w:kern w:val="0"/>
          <w:sz w:val="24"/>
          <w:szCs w:val="24"/>
          <w:u w:val="single"/>
        </w:rPr>
        <w:t xml:space="preserve">                     </w:t>
      </w:r>
    </w:p>
    <w:p w14:paraId="2C051EE7">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为响应你方组织的</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项目的招标[项目编号为：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]，我方愿参与投标。</w:t>
      </w:r>
    </w:p>
    <w:p w14:paraId="0B224280">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我方确认收到贵方提供的</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none"/>
        </w:rPr>
        <w:t>招标</w:t>
      </w:r>
      <w:r>
        <w:rPr>
          <w:rFonts w:hint="eastAsia" w:ascii="仿宋" w:hAnsi="仿宋" w:eastAsia="仿宋" w:cs="仿宋"/>
          <w:color w:val="auto"/>
          <w:kern w:val="0"/>
          <w:sz w:val="24"/>
          <w:szCs w:val="24"/>
        </w:rPr>
        <w:t>文件的全部内容。</w:t>
      </w:r>
    </w:p>
    <w:p w14:paraId="38E3DB1B">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14:paraId="0E9848E5">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u w:val="single"/>
        </w:rPr>
        <w:t xml:space="preserve">      (投标人名称)      </w:t>
      </w:r>
      <w:r>
        <w:rPr>
          <w:rFonts w:hint="eastAsia" w:ascii="仿宋" w:hAnsi="仿宋" w:eastAsia="仿宋" w:cs="仿宋"/>
          <w:color w:val="auto"/>
          <w:kern w:val="0"/>
          <w:sz w:val="24"/>
          <w:szCs w:val="24"/>
        </w:rPr>
        <w:t>作为投标人正式授权</w:t>
      </w:r>
      <w:r>
        <w:rPr>
          <w:rFonts w:hint="eastAsia" w:ascii="仿宋" w:hAnsi="仿宋" w:eastAsia="仿宋" w:cs="仿宋"/>
          <w:color w:val="auto"/>
          <w:kern w:val="0"/>
          <w:sz w:val="24"/>
          <w:szCs w:val="24"/>
          <w:u w:val="single"/>
        </w:rPr>
        <w:t xml:space="preserve">  (授权代表全名, 职务)  </w:t>
      </w:r>
      <w:r>
        <w:rPr>
          <w:rFonts w:hint="eastAsia" w:ascii="仿宋" w:hAnsi="仿宋" w:eastAsia="仿宋" w:cs="仿宋"/>
          <w:color w:val="auto"/>
          <w:kern w:val="0"/>
          <w:sz w:val="24"/>
          <w:szCs w:val="24"/>
        </w:rPr>
        <w:t>代表我方全权处理有关本报价的一切事宜。</w:t>
      </w:r>
    </w:p>
    <w:p w14:paraId="43BA29DF">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我方已完全明白招标文件的所有条款要求，并申明如下：</w:t>
      </w:r>
    </w:p>
    <w:p w14:paraId="5A72720B">
      <w:pPr>
        <w:spacing w:line="480" w:lineRule="exact"/>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（一）按招标文件提供的全部相关服务的投标总价详见《报价一览表》。</w:t>
      </w:r>
    </w:p>
    <w:p w14:paraId="4995A784">
      <w:pPr>
        <w:spacing w:line="480" w:lineRule="exact"/>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（二）本投标文件的有效期为投标截止时间起</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3DBDB39E">
      <w:pPr>
        <w:spacing w:line="480" w:lineRule="exact"/>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（三）我方同意按照贵方可能提出的要求而提供与投标有关的任何其它数据、信息或资料。</w:t>
      </w:r>
    </w:p>
    <w:p w14:paraId="07D3748F">
      <w:pPr>
        <w:spacing w:line="480" w:lineRule="exact"/>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四</w:t>
      </w:r>
      <w:r>
        <w:rPr>
          <w:rFonts w:hint="eastAsia" w:ascii="仿宋" w:hAnsi="仿宋" w:eastAsia="仿宋" w:cs="仿宋"/>
          <w:color w:val="auto"/>
          <w:kern w:val="0"/>
          <w:sz w:val="24"/>
          <w:szCs w:val="24"/>
        </w:rPr>
        <w:t>）我方理解贵方不一定接受最低投标价或任何贵方可能收到的投标。</w:t>
      </w:r>
    </w:p>
    <w:p w14:paraId="3B938B35">
      <w:pPr>
        <w:spacing w:line="480" w:lineRule="exact"/>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五</w:t>
      </w:r>
      <w:r>
        <w:rPr>
          <w:rFonts w:hint="eastAsia" w:ascii="仿宋" w:hAnsi="仿宋" w:eastAsia="仿宋" w:cs="仿宋"/>
          <w:color w:val="auto"/>
          <w:kern w:val="0"/>
          <w:sz w:val="24"/>
          <w:szCs w:val="24"/>
        </w:rPr>
        <w:t>）我方如果中标，将保证履行招标文件及其澄清、修改文件（如果有）中的全部责任和义务，按质、按量、按期完成《招标内容》及《合同书》中的全部任务。</w:t>
      </w:r>
    </w:p>
    <w:p w14:paraId="001F0D16">
      <w:pPr>
        <w:spacing w:line="480" w:lineRule="exact"/>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六</w:t>
      </w:r>
      <w:r>
        <w:rPr>
          <w:rFonts w:hint="eastAsia" w:ascii="仿宋" w:hAnsi="仿宋" w:eastAsia="仿宋" w:cs="仿宋"/>
          <w:color w:val="auto"/>
          <w:kern w:val="0"/>
          <w:sz w:val="24"/>
          <w:szCs w:val="24"/>
        </w:rPr>
        <w:t>）如我方被授予合同，我方承诺支付就本次招标应支付或将支付的中标服务费（详见按招标文件要求格式填写的《中标服务费支付承诺书》）。</w:t>
      </w:r>
    </w:p>
    <w:p w14:paraId="46585138">
      <w:pPr>
        <w:spacing w:line="480" w:lineRule="exact"/>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七</w:t>
      </w:r>
      <w:r>
        <w:rPr>
          <w:rFonts w:hint="eastAsia" w:ascii="仿宋" w:hAnsi="仿宋" w:eastAsia="仿宋" w:cs="仿宋"/>
          <w:color w:val="auto"/>
          <w:kern w:val="0"/>
          <w:sz w:val="24"/>
          <w:szCs w:val="24"/>
        </w:rPr>
        <w:t>）我方作为在法律、财务和运作上独立于采购人、招标代理机构的投标人，在此保证所提交的所有文件和全部说明是真实的和正确的。</w:t>
      </w:r>
    </w:p>
    <w:p w14:paraId="5D0EFA1D">
      <w:pPr>
        <w:spacing w:line="480" w:lineRule="exact"/>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八</w:t>
      </w:r>
      <w:r>
        <w:rPr>
          <w:rFonts w:hint="eastAsia" w:ascii="仿宋" w:hAnsi="仿宋" w:eastAsia="仿宋" w:cs="仿宋"/>
          <w:color w:val="auto"/>
          <w:kern w:val="0"/>
          <w:sz w:val="24"/>
          <w:szCs w:val="24"/>
        </w:rPr>
        <w:t>）我方投标报价已包含应向知识产权所有权人支付的所有相关税费，并保证采购人在中国使用我方提供的货物时</w:t>
      </w:r>
      <w:r>
        <w:rPr>
          <w:rFonts w:hint="eastAsia" w:ascii="仿宋" w:hAnsi="仿宋" w:eastAsia="仿宋" w:cs="仿宋"/>
          <w:color w:val="auto"/>
          <w:kern w:val="0"/>
          <w:sz w:val="24"/>
          <w:szCs w:val="24"/>
          <w:lang w:eastAsia="zh-CN"/>
        </w:rPr>
        <w:t>或服务时</w:t>
      </w:r>
      <w:r>
        <w:rPr>
          <w:rFonts w:hint="eastAsia" w:ascii="仿宋" w:hAnsi="仿宋" w:eastAsia="仿宋" w:cs="仿宋"/>
          <w:color w:val="auto"/>
          <w:kern w:val="0"/>
          <w:sz w:val="24"/>
          <w:szCs w:val="24"/>
        </w:rPr>
        <w:t>，如有第三方提出侵犯其知识产权主张的，责任由我方承担。</w:t>
      </w:r>
    </w:p>
    <w:p w14:paraId="5C9BFA32">
      <w:pPr>
        <w:spacing w:line="480" w:lineRule="exact"/>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九</w:t>
      </w:r>
      <w:r>
        <w:rPr>
          <w:rFonts w:hint="eastAsia" w:ascii="仿宋" w:hAnsi="仿宋" w:eastAsia="仿宋" w:cs="仿宋"/>
          <w:color w:val="auto"/>
          <w:kern w:val="0"/>
          <w:sz w:val="24"/>
          <w:szCs w:val="24"/>
        </w:rPr>
        <w:t>）我方与其他投标人不存在单位负责人为同一人或者存在直接控股、管理关系。</w:t>
      </w:r>
    </w:p>
    <w:p w14:paraId="053DDC84">
      <w:pPr>
        <w:spacing w:line="480" w:lineRule="exact"/>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（十）我方承诺未为本项目提供整体设计、规范编制或者项目管理、监理、检测等服务。</w:t>
      </w:r>
    </w:p>
    <w:p w14:paraId="18A2B60D">
      <w:pPr>
        <w:spacing w:line="480" w:lineRule="exact"/>
        <w:ind w:firstLine="486"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（十</w:t>
      </w:r>
      <w:r>
        <w:rPr>
          <w:rFonts w:hint="eastAsia" w:ascii="仿宋" w:hAnsi="仿宋" w:eastAsia="仿宋" w:cs="仿宋"/>
          <w:color w:val="auto"/>
          <w:kern w:val="0"/>
          <w:sz w:val="24"/>
          <w:szCs w:val="24"/>
          <w:lang w:eastAsia="zh-CN"/>
        </w:rPr>
        <w:t>一</w:t>
      </w:r>
      <w:r>
        <w:rPr>
          <w:rFonts w:hint="eastAsia" w:ascii="仿宋" w:hAnsi="仿宋" w:eastAsia="仿宋" w:cs="仿宋"/>
          <w:color w:val="auto"/>
          <w:kern w:val="0"/>
          <w:sz w:val="24"/>
          <w:szCs w:val="24"/>
        </w:rPr>
        <w:t>）我方具备《政府采购法》第二十二条规定的条件，承诺如下：</w:t>
      </w:r>
    </w:p>
    <w:p w14:paraId="061D9F40">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（1）我方已依法缴纳了各项税费及社会保险费用，如有需要，可随时向采购人提供近三个月内的相关缴费证明，以便核查。</w:t>
      </w:r>
    </w:p>
    <w:p w14:paraId="3EBD4021">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（2）我方已依法建立健全的财务会计制度，如有需要，可随时向采购人提供相关的证明材料，以便核查。</w:t>
      </w:r>
    </w:p>
    <w:p w14:paraId="25F3BEA7">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（3）我方参加本项目政府采购活动前3年内在经营活动中没有重大违法记录。</w:t>
      </w:r>
    </w:p>
    <w:p w14:paraId="520B51CB">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（4）我方具备履行合同所必需的设备和专业技术能力。</w:t>
      </w:r>
    </w:p>
    <w:p w14:paraId="04F07B68">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（5）我方符合法律、行政法规规定的其他条件。</w:t>
      </w:r>
    </w:p>
    <w:p w14:paraId="21C0B0E5">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以上内容如有虚假或与事实不符的，评审委员会可将我方做无效投标处理，我方愿意承担相应的法律责任。</w:t>
      </w:r>
    </w:p>
    <w:p w14:paraId="68994F7B">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（十三）我方对在本函及投标文件中所作的所有承诺承担法律责任。</w:t>
      </w:r>
    </w:p>
    <w:p w14:paraId="3CB21A04">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（十四）所有与本招标有关的函件请发往下列地址：</w:t>
      </w:r>
    </w:p>
    <w:p w14:paraId="7495FDCC">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    址：</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.邮政编码：</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14:paraId="41681F2E">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    话：</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14:paraId="4E7C7FE0">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传    真：</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14:paraId="0007F21E">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代表姓名：</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.职    务：</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14:paraId="35DD7F03">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color w:val="auto"/>
          <w:kern w:val="0"/>
          <w:sz w:val="24"/>
          <w:szCs w:val="24"/>
        </w:rPr>
      </w:pPr>
    </w:p>
    <w:p w14:paraId="5E574DD7">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color w:val="auto"/>
          <w:kern w:val="0"/>
          <w:sz w:val="24"/>
          <w:szCs w:val="24"/>
        </w:rPr>
      </w:pPr>
    </w:p>
    <w:p w14:paraId="520F21F5">
      <w:pPr>
        <w:keepNext w:val="0"/>
        <w:keepLines w:val="0"/>
        <w:pageBreakBefore w:val="0"/>
        <w:widowControl w:val="0"/>
        <w:topLinePunct w:val="0"/>
        <w:autoSpaceDE/>
        <w:autoSpaceDN/>
        <w:bidi w:val="0"/>
        <w:adjustRightInd/>
        <w:snapToGrid/>
        <w:spacing w:line="360" w:lineRule="auto"/>
        <w:ind w:right="48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投标人：</w:t>
      </w:r>
      <w:r>
        <w:rPr>
          <w:rFonts w:hint="eastAsia" w:ascii="仿宋" w:hAnsi="仿宋" w:eastAsia="仿宋" w:cs="仿宋"/>
          <w:color w:val="auto"/>
          <w:kern w:val="0"/>
          <w:sz w:val="24"/>
          <w:szCs w:val="24"/>
          <w:u w:val="single"/>
        </w:rPr>
        <w:tab/>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（公章） </w:t>
      </w:r>
    </w:p>
    <w:p w14:paraId="03DC2327">
      <w:pPr>
        <w:keepNext w:val="0"/>
        <w:keepLines w:val="0"/>
        <w:pageBreakBefore w:val="0"/>
        <w:widowControl w:val="0"/>
        <w:wordWrap w:val="0"/>
        <w:topLinePunct w:val="0"/>
        <w:autoSpaceDE/>
        <w:autoSpaceDN/>
        <w:bidi w:val="0"/>
        <w:adjustRightInd/>
        <w:snapToGrid/>
        <w:spacing w:line="360" w:lineRule="auto"/>
        <w:ind w:firstLine="3888" w:firstLineChars="1600"/>
        <w:jc w:val="both"/>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rPr>
        <w:t>法定代表人：</w:t>
      </w:r>
      <w:r>
        <w:rPr>
          <w:rFonts w:hint="eastAsia" w:ascii="仿宋" w:hAnsi="仿宋" w:eastAsia="仿宋" w:cs="仿宋"/>
          <w:color w:val="auto"/>
          <w:kern w:val="0"/>
          <w:sz w:val="24"/>
          <w:szCs w:val="24"/>
          <w:u w:val="single"/>
        </w:rPr>
        <w:tab/>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rPr>
        <w:t>（</w:t>
      </w:r>
      <w:r>
        <w:rPr>
          <w:rFonts w:hint="eastAsia" w:ascii="仿宋" w:hAnsi="仿宋" w:eastAsia="仿宋" w:cs="仿宋"/>
          <w:color w:val="auto"/>
          <w:kern w:val="0"/>
          <w:sz w:val="24"/>
          <w:szCs w:val="24"/>
          <w:u w:val="none"/>
          <w:lang w:eastAsia="zh-CN"/>
        </w:rPr>
        <w:t>签章</w:t>
      </w:r>
      <w:r>
        <w:rPr>
          <w:rFonts w:hint="eastAsia" w:ascii="仿宋" w:hAnsi="仿宋" w:eastAsia="仿宋" w:cs="仿宋"/>
          <w:color w:val="auto"/>
          <w:kern w:val="0"/>
          <w:sz w:val="24"/>
          <w:szCs w:val="24"/>
          <w:u w:val="none"/>
        </w:rPr>
        <w:t>）</w:t>
      </w:r>
    </w:p>
    <w:p w14:paraId="4491D47D">
      <w:pPr>
        <w:keepNext w:val="0"/>
        <w:keepLines w:val="0"/>
        <w:pageBreakBefore w:val="0"/>
        <w:widowControl w:val="0"/>
        <w:wordWrap w:val="0"/>
        <w:topLinePunct w:val="0"/>
        <w:autoSpaceDE/>
        <w:autoSpaceDN/>
        <w:bidi w:val="0"/>
        <w:adjustRightInd/>
        <w:snapToGrid/>
        <w:spacing w:line="360" w:lineRule="auto"/>
        <w:ind w:firstLine="3888" w:firstLineChars="1600"/>
        <w:jc w:val="both"/>
        <w:textAlignment w:val="auto"/>
        <w:rPr>
          <w:rFonts w:hint="eastAsia" w:ascii="仿宋" w:hAnsi="仿宋" w:eastAsia="仿宋" w:cs="仿宋"/>
          <w:color w:val="auto"/>
          <w:kern w:val="0"/>
          <w:sz w:val="24"/>
          <w:szCs w:val="24"/>
          <w:u w:val="none"/>
          <w:lang w:val="en-US" w:eastAsia="zh-CN"/>
        </w:rPr>
      </w:pPr>
      <w:r>
        <w:rPr>
          <w:rFonts w:hint="eastAsia" w:ascii="仿宋" w:hAnsi="仿宋" w:eastAsia="仿宋" w:cs="仿宋"/>
          <w:color w:val="auto"/>
          <w:kern w:val="0"/>
          <w:sz w:val="24"/>
          <w:szCs w:val="24"/>
          <w:lang w:val="zh-CN"/>
        </w:rPr>
        <w:t>授权代理人：</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lang w:val="zh-CN"/>
        </w:rPr>
        <w:t>（签字）</w:t>
      </w:r>
    </w:p>
    <w:p w14:paraId="1DA7E299">
      <w:pPr>
        <w:keepNext w:val="0"/>
        <w:keepLines w:val="0"/>
        <w:pageBreakBefore w:val="0"/>
        <w:widowControl w:val="0"/>
        <w:wordWrap w:val="0"/>
        <w:topLinePunct w:val="0"/>
        <w:autoSpaceDE/>
        <w:autoSpaceDN/>
        <w:bidi w:val="0"/>
        <w:adjustRightInd/>
        <w:snapToGrid/>
        <w:spacing w:line="360" w:lineRule="auto"/>
        <w:ind w:firstLine="486" w:firstLineChars="20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u w:val="non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rPr>
        <w:tab/>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u w:val="single"/>
        </w:rPr>
        <w:tab/>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日</w:t>
      </w:r>
    </w:p>
    <w:p w14:paraId="50B18A92">
      <w:pPr>
        <w:pStyle w:val="9"/>
        <w:numPr>
          <w:ilvl w:val="0"/>
          <w:numId w:val="0"/>
        </w:numPr>
        <w:kinsoku w:val="0"/>
        <w:overflowPunct w:val="0"/>
        <w:spacing w:before="130" w:line="355" w:lineRule="auto"/>
        <w:ind w:right="7" w:rightChars="0" w:firstLine="1701" w:firstLineChars="700"/>
        <w:jc w:val="both"/>
        <w:outlineLvl w:val="2"/>
        <w:rPr>
          <w:rFonts w:hint="eastAsia" w:ascii="仿宋" w:hAnsi="仿宋" w:eastAsia="仿宋" w:cs="仿宋"/>
          <w:b/>
          <w:bCs/>
          <w:color w:val="auto"/>
          <w:sz w:val="24"/>
          <w:szCs w:val="24"/>
          <w:lang w:val="en-US" w:eastAsia="zh-CN"/>
        </w:rPr>
      </w:pPr>
      <w:bookmarkStart w:id="158" w:name="_Toc17232"/>
    </w:p>
    <w:p w14:paraId="51541BA3">
      <w:pPr>
        <w:pStyle w:val="9"/>
        <w:numPr>
          <w:ilvl w:val="0"/>
          <w:numId w:val="0"/>
        </w:numPr>
        <w:kinsoku w:val="0"/>
        <w:overflowPunct w:val="0"/>
        <w:spacing w:before="130" w:line="355" w:lineRule="auto"/>
        <w:ind w:right="7" w:rightChars="0" w:firstLine="1701" w:firstLineChars="700"/>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w:t>
      </w:r>
      <w:bookmarkEnd w:id="148"/>
      <w:bookmarkEnd w:id="149"/>
      <w:bookmarkEnd w:id="150"/>
      <w:r>
        <w:rPr>
          <w:rFonts w:hint="eastAsia" w:ascii="仿宋" w:hAnsi="仿宋" w:eastAsia="仿宋" w:cs="仿宋"/>
          <w:b/>
          <w:bCs/>
          <w:color w:val="auto"/>
          <w:sz w:val="24"/>
          <w:szCs w:val="24"/>
          <w:lang w:val="en-US" w:eastAsia="zh-CN"/>
        </w:rPr>
        <w:t>开标一览表</w:t>
      </w:r>
      <w:bookmarkEnd w:id="158"/>
    </w:p>
    <w:p w14:paraId="3CD42645">
      <w:pPr>
        <w:pStyle w:val="71"/>
        <w:tabs>
          <w:tab w:val="left" w:leader="underscore" w:pos="4122"/>
        </w:tabs>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价格单位：</w:t>
      </w:r>
      <w:r>
        <w:rPr>
          <w:rFonts w:hint="eastAsia" w:ascii="仿宋" w:hAnsi="仿宋" w:eastAsia="仿宋" w:cs="仿宋"/>
          <w:color w:val="auto"/>
          <w:sz w:val="24"/>
          <w:szCs w:val="24"/>
          <w:highlight w:val="none"/>
          <w:lang w:val="en-US" w:eastAsia="zh-CN"/>
        </w:rPr>
        <w:t>%</w:t>
      </w:r>
    </w:p>
    <w:p w14:paraId="28373D45">
      <w:pPr>
        <w:pStyle w:val="71"/>
        <w:tabs>
          <w:tab w:val="left" w:leader="underscore" w:pos="4122"/>
        </w:tabs>
        <w:ind w:left="421"/>
        <w:rPr>
          <w:rFonts w:hint="eastAsia" w:ascii="仿宋" w:hAnsi="仿宋" w:eastAsia="仿宋" w:cs="仿宋"/>
          <w:color w:val="auto"/>
          <w:sz w:val="24"/>
          <w:szCs w:val="24"/>
          <w:highlight w:val="none"/>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2412"/>
        <w:gridCol w:w="6768"/>
      </w:tblGrid>
      <w:tr w14:paraId="6072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42" w:hRule="exact"/>
          <w:jc w:val="center"/>
        </w:trPr>
        <w:tc>
          <w:tcPr>
            <w:tcW w:w="2412" w:type="dxa"/>
            <w:tcBorders>
              <w:top w:val="single" w:color="auto" w:sz="4" w:space="0"/>
              <w:left w:val="single" w:color="auto" w:sz="4" w:space="0"/>
            </w:tcBorders>
            <w:shd w:val="clear" w:color="auto" w:fill="FFFFFF"/>
            <w:noWrap w:val="0"/>
            <w:vAlign w:val="center"/>
          </w:tcPr>
          <w:p w14:paraId="62824C3F">
            <w:pPr>
              <w:pStyle w:val="72"/>
              <w:widowControl w:val="0"/>
              <w:shd w:val="clear" w:color="auto" w:fill="auto"/>
              <w:spacing w:before="0" w:after="0" w:line="240" w:lineRule="auto"/>
              <w:ind w:left="0" w:right="0" w:firstLine="0"/>
              <w:jc w:val="center"/>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项目名称</w:t>
            </w:r>
          </w:p>
        </w:tc>
        <w:tc>
          <w:tcPr>
            <w:tcW w:w="6768" w:type="dxa"/>
            <w:tcBorders>
              <w:top w:val="single" w:color="auto" w:sz="4" w:space="0"/>
              <w:left w:val="single" w:color="auto" w:sz="4" w:space="0"/>
              <w:right w:val="single" w:color="auto" w:sz="4" w:space="0"/>
            </w:tcBorders>
            <w:shd w:val="clear" w:color="auto" w:fill="FFFFFF"/>
            <w:noWrap w:val="0"/>
            <w:vAlign w:val="bottom"/>
          </w:tcPr>
          <w:p w14:paraId="181ABFAC">
            <w:pPr>
              <w:pStyle w:val="72"/>
              <w:widowControl w:val="0"/>
              <w:shd w:val="clear" w:color="auto" w:fill="auto"/>
              <w:spacing w:before="0" w:after="0" w:line="240" w:lineRule="auto"/>
              <w:ind w:left="0" w:right="0" w:firstLine="0"/>
              <w:jc w:val="left"/>
              <w:rPr>
                <w:rFonts w:hint="eastAsia" w:ascii="仿宋" w:hAnsi="仿宋" w:eastAsia="仿宋" w:cs="仿宋"/>
                <w:color w:val="auto"/>
                <w:sz w:val="24"/>
                <w:szCs w:val="24"/>
                <w:highlight w:val="none"/>
              </w:rPr>
            </w:pPr>
          </w:p>
        </w:tc>
      </w:tr>
      <w:tr w14:paraId="7763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055" w:hRule="exact"/>
          <w:jc w:val="center"/>
        </w:trPr>
        <w:tc>
          <w:tcPr>
            <w:tcW w:w="2412" w:type="dxa"/>
            <w:tcBorders>
              <w:top w:val="single" w:color="auto" w:sz="4" w:space="0"/>
              <w:left w:val="single" w:color="auto" w:sz="4" w:space="0"/>
            </w:tcBorders>
            <w:shd w:val="clear" w:color="auto" w:fill="FFFFFF"/>
            <w:noWrap w:val="0"/>
            <w:vAlign w:val="center"/>
          </w:tcPr>
          <w:p w14:paraId="42F8023C">
            <w:pPr>
              <w:pStyle w:val="72"/>
              <w:widowControl w:val="0"/>
              <w:shd w:val="clear" w:color="auto" w:fill="auto"/>
              <w:spacing w:before="0" w:after="0" w:line="240" w:lineRule="auto"/>
              <w:ind w:left="0" w:right="0" w:firstLine="0"/>
              <w:jc w:val="center"/>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投标总价</w:t>
            </w:r>
          </w:p>
        </w:tc>
        <w:tc>
          <w:tcPr>
            <w:tcW w:w="6768" w:type="dxa"/>
            <w:tcBorders>
              <w:top w:val="single" w:color="auto" w:sz="4" w:space="0"/>
              <w:left w:val="single" w:color="auto" w:sz="4" w:space="0"/>
              <w:right w:val="single" w:color="auto" w:sz="4" w:space="0"/>
            </w:tcBorders>
            <w:shd w:val="clear" w:color="auto" w:fill="FFFFFF"/>
            <w:noWrap w:val="0"/>
            <w:vAlign w:val="center"/>
          </w:tcPr>
          <w:p w14:paraId="688CF584">
            <w:pPr>
              <w:pStyle w:val="72"/>
              <w:widowControl w:val="0"/>
              <w:shd w:val="clear" w:color="auto" w:fill="auto"/>
              <w:tabs>
                <w:tab w:val="left" w:leader="underscore" w:pos="4331"/>
              </w:tabs>
              <w:spacing w:before="0" w:after="0" w:line="240" w:lineRule="auto"/>
              <w:ind w:left="0" w:right="0" w:firstLine="0"/>
              <w:jc w:val="left"/>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lang w:val="en-US" w:eastAsia="zh-CN"/>
              </w:rPr>
              <w:t>执行利率（年）</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lang w:val="en-US" w:eastAsia="zh-CN"/>
              </w:rPr>
              <w:t>%</w:t>
            </w:r>
          </w:p>
        </w:tc>
      </w:tr>
      <w:tr w14:paraId="45E31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24" w:hRule="exact"/>
          <w:jc w:val="center"/>
        </w:trPr>
        <w:tc>
          <w:tcPr>
            <w:tcW w:w="2412" w:type="dxa"/>
            <w:tcBorders>
              <w:top w:val="single" w:color="auto" w:sz="4" w:space="0"/>
              <w:left w:val="single" w:color="auto" w:sz="4" w:space="0"/>
            </w:tcBorders>
            <w:shd w:val="clear" w:color="auto" w:fill="FFFFFF"/>
            <w:noWrap w:val="0"/>
            <w:vAlign w:val="center"/>
          </w:tcPr>
          <w:p w14:paraId="1C6FBCC1">
            <w:pPr>
              <w:pStyle w:val="72"/>
              <w:widowControl w:val="0"/>
              <w:shd w:val="clear" w:color="auto" w:fill="auto"/>
              <w:spacing w:before="0" w:after="0" w:line="240" w:lineRule="auto"/>
              <w:ind w:left="0" w:right="0" w:firstLine="0"/>
              <w:jc w:val="center"/>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服务期</w:t>
            </w:r>
          </w:p>
        </w:tc>
        <w:tc>
          <w:tcPr>
            <w:tcW w:w="6768" w:type="dxa"/>
            <w:tcBorders>
              <w:top w:val="single" w:color="auto" w:sz="4" w:space="0"/>
              <w:left w:val="single" w:color="auto" w:sz="4" w:space="0"/>
              <w:right w:val="single" w:color="auto" w:sz="4" w:space="0"/>
            </w:tcBorders>
            <w:shd w:val="clear" w:color="auto" w:fill="FFFFFF"/>
            <w:noWrap w:val="0"/>
            <w:vAlign w:val="center"/>
          </w:tcPr>
          <w:p w14:paraId="39CB924C">
            <w:pPr>
              <w:pStyle w:val="72"/>
              <w:widowControl w:val="0"/>
              <w:shd w:val="clear" w:color="auto" w:fill="auto"/>
              <w:spacing w:before="0" w:after="0" w:line="240" w:lineRule="auto"/>
              <w:ind w:left="0" w:right="0" w:firstLine="0"/>
              <w:jc w:val="left"/>
              <w:rPr>
                <w:rFonts w:hint="eastAsia" w:ascii="仿宋" w:hAnsi="仿宋" w:eastAsia="仿宋" w:cs="仿宋"/>
                <w:color w:val="auto"/>
                <w:sz w:val="24"/>
                <w:szCs w:val="24"/>
                <w:highlight w:val="none"/>
              </w:rPr>
            </w:pPr>
          </w:p>
        </w:tc>
      </w:tr>
      <w:tr w14:paraId="13F6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188" w:hRule="exact"/>
          <w:jc w:val="center"/>
        </w:trPr>
        <w:tc>
          <w:tcPr>
            <w:tcW w:w="9180"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14:paraId="462DEBE2">
            <w:pPr>
              <w:pStyle w:val="72"/>
              <w:widowControl w:val="0"/>
              <w:shd w:val="clear" w:color="auto" w:fill="auto"/>
              <w:spacing w:before="140" w:after="0" w:line="240" w:lineRule="auto"/>
              <w:ind w:left="0" w:right="0" w:firstLine="0"/>
              <w:jc w:val="left"/>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备注：</w:t>
            </w:r>
          </w:p>
        </w:tc>
      </w:tr>
    </w:tbl>
    <w:p w14:paraId="6C8040B6">
      <w:pPr>
        <w:pStyle w:val="71"/>
        <w:spacing w:line="470" w:lineRule="exact"/>
        <w:rPr>
          <w:rFonts w:hint="eastAsia" w:ascii="仿宋" w:hAnsi="仿宋" w:eastAsia="仿宋" w:cs="仿宋"/>
          <w:color w:val="auto"/>
          <w:sz w:val="24"/>
          <w:szCs w:val="24"/>
          <w:highlight w:val="none"/>
        </w:rPr>
      </w:pPr>
    </w:p>
    <w:p w14:paraId="27687494">
      <w:pPr>
        <w:pStyle w:val="71"/>
        <w:spacing w:line="470" w:lineRule="exact"/>
        <w:ind w:left="446"/>
        <w:rPr>
          <w:rFonts w:hint="eastAsia" w:ascii="仿宋" w:hAnsi="仿宋" w:eastAsia="仿宋" w:cs="仿宋"/>
          <w:color w:val="auto"/>
          <w:sz w:val="24"/>
          <w:szCs w:val="24"/>
          <w:highlight w:val="none"/>
        </w:rPr>
      </w:pPr>
    </w:p>
    <w:p w14:paraId="0C149754">
      <w:pPr>
        <w:pStyle w:val="9"/>
        <w:numPr>
          <w:ilvl w:val="0"/>
          <w:numId w:val="0"/>
        </w:numPr>
        <w:tabs>
          <w:tab w:val="left" w:pos="8227"/>
        </w:tabs>
        <w:kinsoku w:val="0"/>
        <w:overflowPunct w:val="0"/>
        <w:spacing w:line="381" w:lineRule="auto"/>
        <w:ind w:left="1680" w:right="1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u w:val="single"/>
        </w:rPr>
        <w:tab/>
      </w:r>
      <w:r>
        <w:rPr>
          <w:rFonts w:hint="eastAsia" w:ascii="仿宋" w:hAnsi="仿宋" w:eastAsia="仿宋" w:cs="仿宋"/>
          <w:color w:val="auto"/>
          <w:w w:val="95"/>
          <w:sz w:val="24"/>
          <w:szCs w:val="24"/>
          <w:highlight w:val="none"/>
        </w:rPr>
        <w:t>（盖章）</w:t>
      </w:r>
      <w:r>
        <w:rPr>
          <w:rFonts w:hint="eastAsia" w:ascii="仿宋" w:hAnsi="仿宋" w:eastAsia="仿宋" w:cs="仿宋"/>
          <w:color w:val="auto"/>
          <w:sz w:val="24"/>
          <w:szCs w:val="24"/>
          <w:highlight w:val="none"/>
        </w:rPr>
        <w:t xml:space="preserve"> </w:t>
      </w:r>
    </w:p>
    <w:p w14:paraId="30F84C6B">
      <w:pPr>
        <w:pStyle w:val="9"/>
        <w:numPr>
          <w:ilvl w:val="0"/>
          <w:numId w:val="0"/>
        </w:numPr>
        <w:tabs>
          <w:tab w:val="left" w:pos="8227"/>
        </w:tabs>
        <w:kinsoku w:val="0"/>
        <w:overflowPunct w:val="0"/>
        <w:spacing w:line="381" w:lineRule="auto"/>
        <w:ind w:left="1680" w:right="118"/>
        <w:rPr>
          <w:rFonts w:hint="eastAsia" w:ascii="仿宋" w:hAnsi="仿宋" w:eastAsia="仿宋" w:cs="仿宋"/>
          <w:color w:val="auto"/>
          <w:w w:val="95"/>
          <w:sz w:val="24"/>
          <w:szCs w:val="24"/>
          <w:highlight w:val="none"/>
        </w:rPr>
      </w:pPr>
      <w:r>
        <w:rPr>
          <w:rFonts w:hint="eastAsia" w:ascii="仿宋" w:hAnsi="仿宋" w:eastAsia="仿宋" w:cs="仿宋"/>
          <w:color w:val="auto"/>
          <w:sz w:val="24"/>
          <w:szCs w:val="24"/>
          <w:highlight w:val="none"/>
        </w:rPr>
        <w:t>法定代表人或被授权人：</w:t>
      </w:r>
      <w:r>
        <w:rPr>
          <w:rFonts w:hint="eastAsia" w:ascii="仿宋" w:hAnsi="仿宋" w:eastAsia="仿宋" w:cs="仿宋"/>
          <w:color w:val="auto"/>
          <w:sz w:val="24"/>
          <w:szCs w:val="24"/>
          <w:highlight w:val="none"/>
          <w:u w:val="single"/>
        </w:rPr>
        <w:tab/>
      </w:r>
      <w:r>
        <w:rPr>
          <w:rFonts w:hint="eastAsia" w:ascii="仿宋" w:hAnsi="仿宋" w:eastAsia="仿宋" w:cs="仿宋"/>
          <w:color w:val="auto"/>
          <w:w w:val="95"/>
          <w:sz w:val="24"/>
          <w:szCs w:val="24"/>
          <w:highlight w:val="none"/>
        </w:rPr>
        <w:t>（</w:t>
      </w:r>
      <w:r>
        <w:rPr>
          <w:rFonts w:hint="eastAsia" w:ascii="仿宋" w:hAnsi="仿宋" w:eastAsia="仿宋" w:cs="仿宋"/>
          <w:color w:val="auto"/>
          <w:w w:val="95"/>
          <w:sz w:val="24"/>
          <w:szCs w:val="24"/>
          <w:highlight w:val="none"/>
          <w:lang w:eastAsia="zh-CN"/>
        </w:rPr>
        <w:t>签章</w:t>
      </w:r>
      <w:r>
        <w:rPr>
          <w:rFonts w:hint="eastAsia" w:ascii="仿宋" w:hAnsi="仿宋" w:eastAsia="仿宋" w:cs="仿宋"/>
          <w:color w:val="auto"/>
          <w:w w:val="95"/>
          <w:sz w:val="24"/>
          <w:szCs w:val="24"/>
          <w:highlight w:val="none"/>
        </w:rPr>
        <w:t>）</w:t>
      </w:r>
    </w:p>
    <w:p w14:paraId="66861F94">
      <w:pPr>
        <w:ind w:firstLine="6318" w:firstLineChars="2600"/>
        <w:rPr>
          <w:rFonts w:hint="eastAsia" w:ascii="仿宋" w:hAnsi="仿宋" w:eastAsia="仿宋" w:cs="仿宋"/>
          <w:color w:val="auto"/>
          <w:sz w:val="24"/>
          <w:szCs w:val="24"/>
          <w:highlight w:val="none"/>
        </w:rPr>
      </w:pPr>
    </w:p>
    <w:p w14:paraId="77A33A9C">
      <w:pPr>
        <w:ind w:firstLine="6318" w:firstLineChars="2600"/>
        <w:rPr>
          <w:rFonts w:hint="eastAsia" w:ascii="仿宋" w:hAnsi="仿宋" w:eastAsia="仿宋" w:cs="仿宋"/>
          <w:color w:val="auto"/>
          <w:sz w:val="24"/>
          <w:szCs w:val="24"/>
          <w:highlight w:val="none"/>
        </w:rPr>
      </w:pPr>
    </w:p>
    <w:p w14:paraId="36A54584">
      <w:pPr>
        <w:ind w:firstLine="6318" w:firstLineChars="2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日</w:t>
      </w:r>
    </w:p>
    <w:p w14:paraId="4CD9712E">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br w:type="page"/>
      </w:r>
    </w:p>
    <w:p w14:paraId="27D8850F">
      <w:pPr>
        <w:pStyle w:val="9"/>
        <w:numPr>
          <w:ilvl w:val="0"/>
          <w:numId w:val="0"/>
        </w:numPr>
        <w:kinsoku w:val="0"/>
        <w:overflowPunct w:val="0"/>
        <w:spacing w:before="34" w:line="357" w:lineRule="auto"/>
        <w:ind w:right="126"/>
        <w:jc w:val="center"/>
        <w:outlineLvl w:val="2"/>
        <w:rPr>
          <w:rFonts w:hint="eastAsia" w:ascii="仿宋" w:hAnsi="仿宋" w:eastAsia="仿宋" w:cs="仿宋"/>
          <w:b/>
          <w:bCs/>
          <w:color w:val="auto"/>
          <w:sz w:val="24"/>
          <w:szCs w:val="24"/>
          <w:highlight w:val="none"/>
        </w:rPr>
      </w:pPr>
      <w:bookmarkStart w:id="159" w:name="_Toc22515"/>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投标人基本情况</w:t>
      </w:r>
      <w:bookmarkEnd w:id="159"/>
    </w:p>
    <w:p w14:paraId="17FF36AD">
      <w:pPr>
        <w:pStyle w:val="9"/>
        <w:numPr>
          <w:ilvl w:val="0"/>
          <w:numId w:val="0"/>
        </w:numPr>
        <w:kinsoku w:val="0"/>
        <w:overflowPunct w:val="0"/>
        <w:spacing w:before="34" w:line="357" w:lineRule="auto"/>
        <w:ind w:left="480" w:right="126"/>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）投标人基本情况表</w:t>
      </w:r>
    </w:p>
    <w:p w14:paraId="303A9F17">
      <w:pPr>
        <w:pStyle w:val="9"/>
        <w:numPr>
          <w:ilvl w:val="0"/>
          <w:numId w:val="0"/>
        </w:numPr>
        <w:kinsoku w:val="0"/>
        <w:overflowPunct w:val="0"/>
        <w:spacing w:before="5"/>
        <w:rPr>
          <w:rFonts w:hint="eastAsia" w:ascii="仿宋" w:hAnsi="仿宋" w:eastAsia="仿宋" w:cs="仿宋"/>
          <w:b/>
          <w:bCs/>
          <w:color w:val="auto"/>
          <w:sz w:val="24"/>
          <w:szCs w:val="24"/>
          <w:highlight w:val="none"/>
        </w:rPr>
      </w:pPr>
    </w:p>
    <w:tbl>
      <w:tblPr>
        <w:tblStyle w:val="25"/>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41714616">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452FAC9">
            <w:pPr>
              <w:pStyle w:val="63"/>
              <w:kinsoku w:val="0"/>
              <w:overflowPunct w:val="0"/>
              <w:spacing w:before="145"/>
              <w:ind w:left="13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14:paraId="46F4373D">
            <w:pPr>
              <w:rPr>
                <w:rFonts w:hint="eastAsia" w:ascii="仿宋" w:hAnsi="仿宋" w:eastAsia="仿宋" w:cs="仿宋"/>
                <w:color w:val="auto"/>
                <w:sz w:val="24"/>
                <w:szCs w:val="24"/>
                <w:highlight w:val="none"/>
              </w:rPr>
            </w:pPr>
          </w:p>
        </w:tc>
      </w:tr>
      <w:tr w14:paraId="589B680E">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971685B">
            <w:pPr>
              <w:pStyle w:val="63"/>
              <w:kinsoku w:val="0"/>
              <w:overflowPunct w:val="0"/>
              <w:spacing w:before="145"/>
              <w:ind w:left="13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14:paraId="260FD13F">
            <w:pPr>
              <w:rPr>
                <w:rFonts w:hint="eastAsia" w:ascii="仿宋" w:hAnsi="仿宋" w:eastAsia="仿宋" w:cs="仿宋"/>
                <w:color w:val="auto"/>
                <w:sz w:val="24"/>
                <w:szCs w:val="24"/>
                <w:highlight w:val="none"/>
              </w:rPr>
            </w:pPr>
          </w:p>
        </w:tc>
      </w:tr>
      <w:tr w14:paraId="2FD91BF6">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1EF6F59E">
            <w:pPr>
              <w:pStyle w:val="63"/>
              <w:kinsoku w:val="0"/>
              <w:overflowPunct w:val="0"/>
              <w:spacing w:before="145"/>
              <w:ind w:left="13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14:paraId="58C71067">
            <w:pPr>
              <w:rPr>
                <w:rFonts w:hint="eastAsia" w:ascii="仿宋" w:hAnsi="仿宋" w:eastAsia="仿宋" w:cs="仿宋"/>
                <w:color w:val="auto"/>
                <w:sz w:val="24"/>
                <w:szCs w:val="24"/>
                <w:highlight w:val="none"/>
              </w:rPr>
            </w:pPr>
          </w:p>
        </w:tc>
      </w:tr>
      <w:tr w14:paraId="519F5D5C">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E529812">
            <w:pPr>
              <w:pStyle w:val="63"/>
              <w:kinsoku w:val="0"/>
              <w:overflowPunct w:val="0"/>
              <w:spacing w:before="145"/>
              <w:ind w:left="13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14:paraId="2E571046">
            <w:pPr>
              <w:rPr>
                <w:rFonts w:hint="eastAsia" w:ascii="仿宋" w:hAnsi="仿宋" w:eastAsia="仿宋" w:cs="仿宋"/>
                <w:color w:val="auto"/>
                <w:sz w:val="24"/>
                <w:szCs w:val="24"/>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tcPr>
          <w:p w14:paraId="18EBF149">
            <w:pPr>
              <w:pStyle w:val="63"/>
              <w:kinsoku w:val="0"/>
              <w:overflowPunct w:val="0"/>
              <w:spacing w:before="145"/>
              <w:ind w:left="1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14:paraId="21C505E6">
            <w:pPr>
              <w:rPr>
                <w:rFonts w:hint="eastAsia" w:ascii="仿宋" w:hAnsi="仿宋" w:eastAsia="仿宋" w:cs="仿宋"/>
                <w:color w:val="auto"/>
                <w:sz w:val="24"/>
                <w:szCs w:val="24"/>
                <w:highlight w:val="none"/>
              </w:rPr>
            </w:pPr>
          </w:p>
        </w:tc>
      </w:tr>
      <w:tr w14:paraId="17E92892">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3B1A3FA2">
            <w:pPr>
              <w:pStyle w:val="63"/>
              <w:kinsoku w:val="0"/>
              <w:overflowPunct w:val="0"/>
              <w:spacing w:before="146"/>
              <w:ind w:left="13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14:paraId="1094479E">
            <w:pPr>
              <w:rPr>
                <w:rFonts w:hint="eastAsia" w:ascii="仿宋" w:hAnsi="仿宋" w:eastAsia="仿宋" w:cs="仿宋"/>
                <w:color w:val="auto"/>
                <w:sz w:val="24"/>
                <w:szCs w:val="24"/>
                <w:highlight w:val="none"/>
              </w:rPr>
            </w:pPr>
          </w:p>
        </w:tc>
      </w:tr>
      <w:tr w14:paraId="2D3EE1B1">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8995244">
            <w:pPr>
              <w:pStyle w:val="63"/>
              <w:kinsoku w:val="0"/>
              <w:overflowPunct w:val="0"/>
              <w:spacing w:before="141" w:line="312" w:lineRule="exact"/>
              <w:ind w:left="257" w:right="133" w:hanging="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14:paraId="513A4BC0">
            <w:pPr>
              <w:rPr>
                <w:rFonts w:hint="eastAsia" w:ascii="仿宋" w:hAnsi="仿宋" w:eastAsia="仿宋" w:cs="仿宋"/>
                <w:color w:val="auto"/>
                <w:sz w:val="24"/>
                <w:szCs w:val="24"/>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tcPr>
          <w:p w14:paraId="001345BB">
            <w:pPr>
              <w:pStyle w:val="63"/>
              <w:kinsoku w:val="0"/>
              <w:overflowPunct w:val="0"/>
              <w:ind w:left="366"/>
              <w:rPr>
                <w:rFonts w:hint="eastAsia" w:ascii="仿宋" w:hAnsi="仿宋" w:eastAsia="仿宋" w:cs="仿宋"/>
                <w:color w:val="auto"/>
                <w:sz w:val="24"/>
                <w:szCs w:val="24"/>
                <w:highlight w:val="none"/>
              </w:rPr>
            </w:pPr>
          </w:p>
          <w:p w14:paraId="756E48F3">
            <w:pPr>
              <w:pStyle w:val="63"/>
              <w:kinsoku w:val="0"/>
              <w:overflowPunct w:val="0"/>
              <w:ind w:left="3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14:paraId="44599F3A">
            <w:pPr>
              <w:rPr>
                <w:rFonts w:hint="eastAsia" w:ascii="仿宋" w:hAnsi="仿宋" w:eastAsia="仿宋" w:cs="仿宋"/>
                <w:color w:val="auto"/>
                <w:sz w:val="24"/>
                <w:szCs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tcPr>
          <w:p w14:paraId="31A54D0B">
            <w:pPr>
              <w:pStyle w:val="63"/>
              <w:kinsoku w:val="0"/>
              <w:overflowPunct w:val="0"/>
              <w:ind w:left="383"/>
              <w:rPr>
                <w:rFonts w:hint="eastAsia" w:ascii="仿宋" w:hAnsi="仿宋" w:eastAsia="仿宋" w:cs="仿宋"/>
                <w:color w:val="auto"/>
                <w:sz w:val="24"/>
                <w:szCs w:val="24"/>
                <w:highlight w:val="none"/>
              </w:rPr>
            </w:pPr>
          </w:p>
          <w:p w14:paraId="6AECFBEC">
            <w:pPr>
              <w:pStyle w:val="63"/>
              <w:kinsoku w:val="0"/>
              <w:overflowPunct w:val="0"/>
              <w:ind w:left="3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1965" w:type="dxa"/>
            <w:tcBorders>
              <w:top w:val="single" w:color="000000" w:sz="4" w:space="0"/>
              <w:left w:val="single" w:color="000000" w:sz="4" w:space="0"/>
              <w:bottom w:val="single" w:color="000000" w:sz="4" w:space="0"/>
              <w:right w:val="single" w:color="000000" w:sz="4" w:space="0"/>
            </w:tcBorders>
          </w:tcPr>
          <w:p w14:paraId="2D32952E">
            <w:pPr>
              <w:rPr>
                <w:rFonts w:hint="eastAsia" w:ascii="仿宋" w:hAnsi="仿宋" w:eastAsia="仿宋" w:cs="仿宋"/>
                <w:color w:val="auto"/>
                <w:sz w:val="24"/>
                <w:szCs w:val="24"/>
                <w:highlight w:val="none"/>
              </w:rPr>
            </w:pPr>
          </w:p>
        </w:tc>
      </w:tr>
      <w:tr w14:paraId="31007B56">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14:paraId="130C301D">
            <w:pPr>
              <w:pStyle w:val="63"/>
              <w:kinsoku w:val="0"/>
              <w:overflowPunct w:val="0"/>
              <w:rPr>
                <w:rFonts w:hint="eastAsia" w:ascii="仿宋" w:hAnsi="仿宋" w:eastAsia="仿宋" w:cs="仿宋"/>
                <w:b/>
                <w:bCs/>
                <w:color w:val="auto"/>
                <w:sz w:val="24"/>
                <w:szCs w:val="24"/>
                <w:highlight w:val="none"/>
              </w:rPr>
            </w:pPr>
          </w:p>
          <w:p w14:paraId="0136AF4C">
            <w:pPr>
              <w:pStyle w:val="63"/>
              <w:kinsoku w:val="0"/>
              <w:overflowPunct w:val="0"/>
              <w:rPr>
                <w:rFonts w:hint="eastAsia" w:ascii="仿宋" w:hAnsi="仿宋" w:eastAsia="仿宋" w:cs="仿宋"/>
                <w:b/>
                <w:bCs/>
                <w:color w:val="auto"/>
                <w:sz w:val="24"/>
                <w:szCs w:val="24"/>
                <w:highlight w:val="none"/>
              </w:rPr>
            </w:pPr>
          </w:p>
          <w:p w14:paraId="65C2ADCE">
            <w:pPr>
              <w:pStyle w:val="63"/>
              <w:kinsoku w:val="0"/>
              <w:overflowPunct w:val="0"/>
              <w:rPr>
                <w:rFonts w:hint="eastAsia" w:ascii="仿宋" w:hAnsi="仿宋" w:eastAsia="仿宋" w:cs="仿宋"/>
                <w:b/>
                <w:bCs/>
                <w:color w:val="auto"/>
                <w:sz w:val="24"/>
                <w:szCs w:val="24"/>
                <w:highlight w:val="none"/>
              </w:rPr>
            </w:pPr>
          </w:p>
          <w:p w14:paraId="66C40D30">
            <w:pPr>
              <w:pStyle w:val="63"/>
              <w:kinsoku w:val="0"/>
              <w:overflowPunct w:val="0"/>
              <w:spacing w:line="475" w:lineRule="auto"/>
              <w:ind w:left="497" w:right="493"/>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tcPr>
          <w:p w14:paraId="4773B1B9">
            <w:pPr>
              <w:pStyle w:val="63"/>
              <w:kinsoku w:val="0"/>
              <w:overflowPunct w:val="0"/>
              <w:spacing w:before="144"/>
              <w:ind w:left="23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14:paraId="18C155D1">
            <w:pPr>
              <w:rPr>
                <w:rFonts w:hint="eastAsia" w:ascii="仿宋" w:hAnsi="仿宋" w:eastAsia="仿宋" w:cs="仿宋"/>
                <w:color w:val="auto"/>
                <w:sz w:val="24"/>
                <w:szCs w:val="24"/>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tcPr>
          <w:p w14:paraId="6E11E612">
            <w:pPr>
              <w:pStyle w:val="63"/>
              <w:kinsoku w:val="0"/>
              <w:overflowPunct w:val="0"/>
              <w:spacing w:before="144"/>
              <w:ind w:left="1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14:paraId="396B8008">
            <w:pPr>
              <w:rPr>
                <w:rFonts w:hint="eastAsia" w:ascii="仿宋" w:hAnsi="仿宋" w:eastAsia="仿宋" w:cs="仿宋"/>
                <w:color w:val="auto"/>
                <w:sz w:val="24"/>
                <w:szCs w:val="24"/>
                <w:highlight w:val="none"/>
              </w:rPr>
            </w:pPr>
          </w:p>
        </w:tc>
      </w:tr>
      <w:tr w14:paraId="255127FC">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7E22FF46">
            <w:pPr>
              <w:rPr>
                <w:rFonts w:hint="eastAsia" w:ascii="仿宋" w:hAnsi="仿宋" w:eastAsia="仿宋" w:cs="仿宋"/>
                <w:color w:val="auto"/>
                <w:sz w:val="24"/>
                <w:szCs w:val="24"/>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tcPr>
          <w:p w14:paraId="37656438">
            <w:pPr>
              <w:pStyle w:val="63"/>
              <w:kinsoku w:val="0"/>
              <w:overflowPunct w:val="0"/>
              <w:spacing w:before="14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单位行政和技术负责人</w:t>
            </w:r>
          </w:p>
        </w:tc>
      </w:tr>
      <w:tr w14:paraId="3E3337F7">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07359646">
            <w:pPr>
              <w:pStyle w:val="63"/>
              <w:kinsoku w:val="0"/>
              <w:overflowPunct w:val="0"/>
              <w:spacing w:before="145"/>
              <w:jc w:val="center"/>
              <w:rPr>
                <w:rFonts w:hint="eastAsia" w:ascii="仿宋" w:hAnsi="仿宋" w:eastAsia="仿宋" w:cs="仿宋"/>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54B049EF">
            <w:pPr>
              <w:pStyle w:val="63"/>
              <w:kinsoku w:val="0"/>
              <w:overflowPunct w:val="0"/>
              <w:spacing w:before="145"/>
              <w:ind w:left="4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14:paraId="755B4403">
            <w:pPr>
              <w:pStyle w:val="63"/>
              <w:kinsoku w:val="0"/>
              <w:overflowPunct w:val="0"/>
              <w:spacing w:before="145"/>
              <w:ind w:left="4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14:paraId="12D5921F">
            <w:pPr>
              <w:pStyle w:val="63"/>
              <w:kinsoku w:val="0"/>
              <w:overflowPunct w:val="0"/>
              <w:spacing w:before="145"/>
              <w:ind w:left="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14:paraId="017ECEC0">
            <w:pPr>
              <w:pStyle w:val="63"/>
              <w:tabs>
                <w:tab w:val="left" w:pos="479"/>
              </w:tabs>
              <w:kinsoku w:val="0"/>
              <w:overflowPunct w:val="0"/>
              <w:spacing w:before="145"/>
              <w:ind w:right="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业</w:t>
            </w:r>
          </w:p>
        </w:tc>
      </w:tr>
      <w:tr w14:paraId="642391F4">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332C59D1">
            <w:pPr>
              <w:pStyle w:val="63"/>
              <w:tabs>
                <w:tab w:val="left" w:pos="479"/>
              </w:tabs>
              <w:kinsoku w:val="0"/>
              <w:overflowPunct w:val="0"/>
              <w:spacing w:before="145"/>
              <w:ind w:right="1"/>
              <w:jc w:val="center"/>
              <w:rPr>
                <w:rFonts w:hint="eastAsia" w:ascii="仿宋" w:hAnsi="仿宋" w:eastAsia="仿宋" w:cs="仿宋"/>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2EAEA24F">
            <w:pPr>
              <w:rPr>
                <w:rFonts w:hint="eastAsia" w:ascii="仿宋" w:hAnsi="仿宋" w:eastAsia="仿宋" w:cs="仿宋"/>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6AF636A0">
            <w:pPr>
              <w:rPr>
                <w:rFonts w:hint="eastAsia" w:ascii="仿宋" w:hAnsi="仿宋" w:eastAsia="仿宋" w:cs="仿宋"/>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1FF75903">
            <w:pPr>
              <w:rPr>
                <w:rFonts w:hint="eastAsia" w:ascii="仿宋" w:hAnsi="仿宋" w:eastAsia="仿宋" w:cs="仿宋"/>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43C61061">
            <w:pPr>
              <w:rPr>
                <w:rFonts w:hint="eastAsia" w:ascii="仿宋" w:hAnsi="仿宋" w:eastAsia="仿宋" w:cs="仿宋"/>
                <w:color w:val="auto"/>
                <w:sz w:val="24"/>
                <w:szCs w:val="24"/>
                <w:highlight w:val="none"/>
              </w:rPr>
            </w:pPr>
          </w:p>
        </w:tc>
      </w:tr>
      <w:tr w14:paraId="7354B131">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0648B1AD">
            <w:pPr>
              <w:rPr>
                <w:rFonts w:hint="eastAsia" w:ascii="仿宋" w:hAnsi="仿宋" w:eastAsia="仿宋" w:cs="仿宋"/>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43391496">
            <w:pPr>
              <w:rPr>
                <w:rFonts w:hint="eastAsia" w:ascii="仿宋" w:hAnsi="仿宋" w:eastAsia="仿宋" w:cs="仿宋"/>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4B6CD0D8">
            <w:pPr>
              <w:rPr>
                <w:rFonts w:hint="eastAsia" w:ascii="仿宋" w:hAnsi="仿宋" w:eastAsia="仿宋" w:cs="仿宋"/>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5F1043B9">
            <w:pPr>
              <w:rPr>
                <w:rFonts w:hint="eastAsia" w:ascii="仿宋" w:hAnsi="仿宋" w:eastAsia="仿宋" w:cs="仿宋"/>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103D0833">
            <w:pPr>
              <w:rPr>
                <w:rFonts w:hint="eastAsia" w:ascii="仿宋" w:hAnsi="仿宋" w:eastAsia="仿宋" w:cs="仿宋"/>
                <w:color w:val="auto"/>
                <w:sz w:val="24"/>
                <w:szCs w:val="24"/>
                <w:highlight w:val="none"/>
              </w:rPr>
            </w:pPr>
          </w:p>
        </w:tc>
      </w:tr>
      <w:tr w14:paraId="12180916">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741EA518">
            <w:pPr>
              <w:rPr>
                <w:rFonts w:hint="eastAsia" w:ascii="仿宋" w:hAnsi="仿宋" w:eastAsia="仿宋" w:cs="仿宋"/>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29B3C26E">
            <w:pPr>
              <w:rPr>
                <w:rFonts w:hint="eastAsia" w:ascii="仿宋" w:hAnsi="仿宋" w:eastAsia="仿宋" w:cs="仿宋"/>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1BECC2F3">
            <w:pPr>
              <w:rPr>
                <w:rFonts w:hint="eastAsia" w:ascii="仿宋" w:hAnsi="仿宋" w:eastAsia="仿宋" w:cs="仿宋"/>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2F08E63E">
            <w:pPr>
              <w:rPr>
                <w:rFonts w:hint="eastAsia" w:ascii="仿宋" w:hAnsi="仿宋" w:eastAsia="仿宋" w:cs="仿宋"/>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595A48E5">
            <w:pPr>
              <w:rPr>
                <w:rFonts w:hint="eastAsia" w:ascii="仿宋" w:hAnsi="仿宋" w:eastAsia="仿宋" w:cs="仿宋"/>
                <w:color w:val="auto"/>
                <w:sz w:val="24"/>
                <w:szCs w:val="24"/>
                <w:highlight w:val="none"/>
              </w:rPr>
            </w:pPr>
          </w:p>
        </w:tc>
      </w:tr>
      <w:tr w14:paraId="4D5185BF">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6DE9BD6A">
            <w:pPr>
              <w:pStyle w:val="63"/>
              <w:kinsoku w:val="0"/>
              <w:overflowPunct w:val="0"/>
              <w:rPr>
                <w:rFonts w:hint="eastAsia" w:ascii="仿宋" w:hAnsi="仿宋" w:eastAsia="仿宋" w:cs="仿宋"/>
                <w:b/>
                <w:bCs/>
                <w:color w:val="auto"/>
                <w:sz w:val="24"/>
                <w:szCs w:val="24"/>
                <w:highlight w:val="none"/>
              </w:rPr>
            </w:pPr>
          </w:p>
          <w:p w14:paraId="3466A0F5">
            <w:pPr>
              <w:pStyle w:val="63"/>
              <w:kinsoku w:val="0"/>
              <w:overflowPunct w:val="0"/>
              <w:spacing w:before="1"/>
              <w:rPr>
                <w:rFonts w:hint="eastAsia" w:ascii="仿宋" w:hAnsi="仿宋" w:eastAsia="仿宋" w:cs="仿宋"/>
                <w:b/>
                <w:bCs/>
                <w:color w:val="auto"/>
                <w:sz w:val="24"/>
                <w:szCs w:val="24"/>
                <w:highlight w:val="none"/>
              </w:rPr>
            </w:pPr>
          </w:p>
          <w:p w14:paraId="56FC9389">
            <w:pPr>
              <w:pStyle w:val="63"/>
              <w:kinsoku w:val="0"/>
              <w:overflowPunct w:val="0"/>
              <w:spacing w:line="237" w:lineRule="auto"/>
              <w:ind w:left="497" w:right="493"/>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14:paraId="3ED5F20A">
            <w:pPr>
              <w:rPr>
                <w:rFonts w:hint="eastAsia" w:ascii="仿宋" w:hAnsi="仿宋" w:eastAsia="仿宋" w:cs="仿宋"/>
                <w:color w:val="auto"/>
                <w:sz w:val="24"/>
                <w:szCs w:val="24"/>
                <w:highlight w:val="none"/>
              </w:rPr>
            </w:pPr>
          </w:p>
        </w:tc>
      </w:tr>
    </w:tbl>
    <w:p w14:paraId="57E4A3CC">
      <w:pPr>
        <w:pStyle w:val="9"/>
        <w:numPr>
          <w:ilvl w:val="0"/>
          <w:numId w:val="0"/>
        </w:numPr>
        <w:kinsoku w:val="0"/>
        <w:overflowPunct w:val="0"/>
        <w:spacing w:before="26" w:line="320" w:lineRule="auto"/>
        <w:ind w:left="1680"/>
        <w:rPr>
          <w:rFonts w:hint="eastAsia" w:ascii="仿宋" w:hAnsi="仿宋" w:eastAsia="仿宋" w:cs="仿宋"/>
          <w:b/>
          <w:bCs/>
          <w:color w:val="auto"/>
          <w:w w:val="95"/>
          <w:sz w:val="24"/>
          <w:szCs w:val="24"/>
          <w:highlight w:val="none"/>
        </w:rPr>
      </w:pPr>
    </w:p>
    <w:p w14:paraId="1E519015">
      <w:pPr>
        <w:pStyle w:val="73"/>
        <w:spacing w:line="440" w:lineRule="exact"/>
        <w:ind w:firstLine="0"/>
        <w:jc w:val="both"/>
        <w:rPr>
          <w:rFonts w:hint="eastAsia" w:ascii="仿宋" w:hAnsi="仿宋" w:eastAsia="仿宋" w:cs="仿宋"/>
          <w:color w:val="auto"/>
          <w:sz w:val="24"/>
          <w:szCs w:val="24"/>
          <w:highlight w:val="none"/>
        </w:rPr>
      </w:pPr>
      <w:r>
        <w:rPr>
          <w:rFonts w:hint="eastAsia" w:ascii="仿宋" w:hAnsi="仿宋" w:eastAsia="仿宋" w:cs="仿宋"/>
          <w:b/>
          <w:bCs/>
          <w:color w:val="auto"/>
          <w:w w:val="95"/>
          <w:sz w:val="24"/>
          <w:szCs w:val="24"/>
          <w:highlight w:val="none"/>
        </w:rPr>
        <w:br w:type="page"/>
      </w:r>
      <w:bookmarkEnd w:id="151"/>
      <w:bookmarkEnd w:id="152"/>
      <w:bookmarkEnd w:id="153"/>
      <w:bookmarkEnd w:id="154"/>
    </w:p>
    <w:p w14:paraId="185301BC">
      <w:pPr>
        <w:pStyle w:val="74"/>
        <w:spacing w:after="0"/>
        <w:ind w:left="0" w:leftChars="0" w:firstLine="0" w:firstLineChars="0"/>
        <w:jc w:val="center"/>
        <w:outlineLvl w:val="2"/>
        <w:rPr>
          <w:rFonts w:hint="eastAsia" w:ascii="仿宋" w:hAnsi="仿宋" w:eastAsia="仿宋" w:cs="仿宋"/>
          <w:b/>
          <w:bCs/>
          <w:color w:val="auto"/>
          <w:kern w:val="2"/>
          <w:sz w:val="24"/>
          <w:szCs w:val="24"/>
          <w:highlight w:val="none"/>
          <w:lang w:val="en-US" w:eastAsia="zh-CN" w:bidi="ar-SA"/>
        </w:rPr>
      </w:pPr>
      <w:bookmarkStart w:id="160" w:name="_Toc15318"/>
      <w:r>
        <w:rPr>
          <w:rFonts w:hint="eastAsia" w:ascii="仿宋" w:hAnsi="仿宋" w:eastAsia="仿宋" w:cs="仿宋"/>
          <w:b/>
          <w:bCs/>
          <w:color w:val="auto"/>
          <w:kern w:val="2"/>
          <w:sz w:val="24"/>
          <w:szCs w:val="24"/>
          <w:highlight w:val="none"/>
          <w:lang w:val="en-US" w:eastAsia="zh-CN" w:bidi="ar-SA"/>
        </w:rPr>
        <w:t>4、商务条款偏离表</w:t>
      </w:r>
      <w:bookmarkEnd w:id="160"/>
    </w:p>
    <w:tbl>
      <w:tblPr>
        <w:tblStyle w:val="25"/>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269"/>
        <w:gridCol w:w="1134"/>
        <w:gridCol w:w="2658"/>
      </w:tblGrid>
      <w:tr w14:paraId="2C71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DFA2C33">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序号</w:t>
            </w:r>
          </w:p>
        </w:tc>
        <w:tc>
          <w:tcPr>
            <w:tcW w:w="2154" w:type="dxa"/>
            <w:vAlign w:val="center"/>
          </w:tcPr>
          <w:p w14:paraId="3AF8465C">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一般商务条款序号</w:t>
            </w:r>
          </w:p>
        </w:tc>
        <w:tc>
          <w:tcPr>
            <w:tcW w:w="2269" w:type="dxa"/>
            <w:vAlign w:val="center"/>
          </w:tcPr>
          <w:p w14:paraId="2F994455">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条款内容</w:t>
            </w:r>
          </w:p>
        </w:tc>
        <w:tc>
          <w:tcPr>
            <w:tcW w:w="1134" w:type="dxa"/>
            <w:vAlign w:val="center"/>
          </w:tcPr>
          <w:p w14:paraId="4A5D57D8">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是否响应</w:t>
            </w:r>
          </w:p>
        </w:tc>
        <w:tc>
          <w:tcPr>
            <w:tcW w:w="2658" w:type="dxa"/>
            <w:vAlign w:val="center"/>
          </w:tcPr>
          <w:p w14:paraId="7BAACF55">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偏离说明</w:t>
            </w:r>
          </w:p>
        </w:tc>
      </w:tr>
      <w:tr w14:paraId="57F5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B3C6481">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w:t>
            </w:r>
          </w:p>
        </w:tc>
        <w:tc>
          <w:tcPr>
            <w:tcW w:w="2154" w:type="dxa"/>
            <w:vAlign w:val="center"/>
          </w:tcPr>
          <w:p w14:paraId="54A75D73">
            <w:pPr>
              <w:rPr>
                <w:rFonts w:hint="eastAsia" w:ascii="仿宋" w:hAnsi="仿宋" w:eastAsia="仿宋" w:cs="仿宋"/>
                <w:color w:val="auto"/>
                <w:spacing w:val="-1"/>
                <w:sz w:val="24"/>
                <w:szCs w:val="24"/>
                <w:highlight w:val="none"/>
              </w:rPr>
            </w:pPr>
          </w:p>
        </w:tc>
        <w:tc>
          <w:tcPr>
            <w:tcW w:w="2269" w:type="dxa"/>
            <w:vAlign w:val="center"/>
          </w:tcPr>
          <w:p w14:paraId="77256F3F">
            <w:pPr>
              <w:rPr>
                <w:rFonts w:hint="eastAsia" w:ascii="仿宋" w:hAnsi="仿宋" w:eastAsia="仿宋" w:cs="仿宋"/>
                <w:color w:val="auto"/>
                <w:spacing w:val="-1"/>
                <w:sz w:val="24"/>
                <w:szCs w:val="24"/>
                <w:highlight w:val="none"/>
              </w:rPr>
            </w:pPr>
          </w:p>
        </w:tc>
        <w:tc>
          <w:tcPr>
            <w:tcW w:w="1134" w:type="dxa"/>
            <w:vAlign w:val="center"/>
          </w:tcPr>
          <w:p w14:paraId="6F9EA80B">
            <w:pPr>
              <w:rPr>
                <w:rFonts w:hint="eastAsia" w:ascii="仿宋" w:hAnsi="仿宋" w:eastAsia="仿宋" w:cs="仿宋"/>
                <w:color w:val="auto"/>
                <w:spacing w:val="-1"/>
                <w:sz w:val="24"/>
                <w:szCs w:val="24"/>
                <w:highlight w:val="none"/>
              </w:rPr>
            </w:pPr>
          </w:p>
        </w:tc>
        <w:tc>
          <w:tcPr>
            <w:tcW w:w="2658" w:type="dxa"/>
            <w:vAlign w:val="center"/>
          </w:tcPr>
          <w:p w14:paraId="732EF4BB">
            <w:pPr>
              <w:rPr>
                <w:rFonts w:hint="eastAsia" w:ascii="仿宋" w:hAnsi="仿宋" w:eastAsia="仿宋" w:cs="仿宋"/>
                <w:color w:val="auto"/>
                <w:spacing w:val="-1"/>
                <w:sz w:val="24"/>
                <w:szCs w:val="24"/>
                <w:highlight w:val="none"/>
              </w:rPr>
            </w:pPr>
          </w:p>
        </w:tc>
      </w:tr>
      <w:tr w14:paraId="4251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287D4A3">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2</w:t>
            </w:r>
          </w:p>
        </w:tc>
        <w:tc>
          <w:tcPr>
            <w:tcW w:w="2154" w:type="dxa"/>
            <w:vAlign w:val="center"/>
          </w:tcPr>
          <w:p w14:paraId="3EC4538D">
            <w:pPr>
              <w:rPr>
                <w:rFonts w:hint="eastAsia" w:ascii="仿宋" w:hAnsi="仿宋" w:eastAsia="仿宋" w:cs="仿宋"/>
                <w:color w:val="auto"/>
                <w:spacing w:val="-1"/>
                <w:sz w:val="24"/>
                <w:szCs w:val="24"/>
                <w:highlight w:val="none"/>
              </w:rPr>
            </w:pPr>
          </w:p>
        </w:tc>
        <w:tc>
          <w:tcPr>
            <w:tcW w:w="2269" w:type="dxa"/>
            <w:vAlign w:val="center"/>
          </w:tcPr>
          <w:p w14:paraId="00A5AD57">
            <w:pPr>
              <w:rPr>
                <w:rFonts w:hint="eastAsia" w:ascii="仿宋" w:hAnsi="仿宋" w:eastAsia="仿宋" w:cs="仿宋"/>
                <w:color w:val="auto"/>
                <w:spacing w:val="-1"/>
                <w:sz w:val="24"/>
                <w:szCs w:val="24"/>
                <w:highlight w:val="none"/>
              </w:rPr>
            </w:pPr>
          </w:p>
        </w:tc>
        <w:tc>
          <w:tcPr>
            <w:tcW w:w="1134" w:type="dxa"/>
            <w:vAlign w:val="center"/>
          </w:tcPr>
          <w:p w14:paraId="3995B745">
            <w:pPr>
              <w:rPr>
                <w:rFonts w:hint="eastAsia" w:ascii="仿宋" w:hAnsi="仿宋" w:eastAsia="仿宋" w:cs="仿宋"/>
                <w:color w:val="auto"/>
                <w:spacing w:val="-1"/>
                <w:sz w:val="24"/>
                <w:szCs w:val="24"/>
                <w:highlight w:val="none"/>
              </w:rPr>
            </w:pPr>
          </w:p>
        </w:tc>
        <w:tc>
          <w:tcPr>
            <w:tcW w:w="2658" w:type="dxa"/>
            <w:vAlign w:val="center"/>
          </w:tcPr>
          <w:p w14:paraId="55B26DBB">
            <w:pPr>
              <w:rPr>
                <w:rFonts w:hint="eastAsia" w:ascii="仿宋" w:hAnsi="仿宋" w:eastAsia="仿宋" w:cs="仿宋"/>
                <w:color w:val="auto"/>
                <w:spacing w:val="-1"/>
                <w:sz w:val="24"/>
                <w:szCs w:val="24"/>
                <w:highlight w:val="none"/>
              </w:rPr>
            </w:pPr>
          </w:p>
        </w:tc>
      </w:tr>
      <w:tr w14:paraId="625A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01D5C83">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3</w:t>
            </w:r>
          </w:p>
        </w:tc>
        <w:tc>
          <w:tcPr>
            <w:tcW w:w="2154" w:type="dxa"/>
            <w:vAlign w:val="center"/>
          </w:tcPr>
          <w:p w14:paraId="31DE31B9">
            <w:pPr>
              <w:rPr>
                <w:rFonts w:hint="eastAsia" w:ascii="仿宋" w:hAnsi="仿宋" w:eastAsia="仿宋" w:cs="仿宋"/>
                <w:color w:val="auto"/>
                <w:spacing w:val="-1"/>
                <w:sz w:val="24"/>
                <w:szCs w:val="24"/>
                <w:highlight w:val="none"/>
              </w:rPr>
            </w:pPr>
          </w:p>
        </w:tc>
        <w:tc>
          <w:tcPr>
            <w:tcW w:w="2269" w:type="dxa"/>
            <w:vAlign w:val="center"/>
          </w:tcPr>
          <w:p w14:paraId="04CCAD51">
            <w:pPr>
              <w:rPr>
                <w:rFonts w:hint="eastAsia" w:ascii="仿宋" w:hAnsi="仿宋" w:eastAsia="仿宋" w:cs="仿宋"/>
                <w:color w:val="auto"/>
                <w:spacing w:val="-1"/>
                <w:sz w:val="24"/>
                <w:szCs w:val="24"/>
                <w:highlight w:val="none"/>
              </w:rPr>
            </w:pPr>
          </w:p>
        </w:tc>
        <w:tc>
          <w:tcPr>
            <w:tcW w:w="1134" w:type="dxa"/>
            <w:vAlign w:val="center"/>
          </w:tcPr>
          <w:p w14:paraId="0ACE373E">
            <w:pPr>
              <w:rPr>
                <w:rFonts w:hint="eastAsia" w:ascii="仿宋" w:hAnsi="仿宋" w:eastAsia="仿宋" w:cs="仿宋"/>
                <w:color w:val="auto"/>
                <w:spacing w:val="-1"/>
                <w:sz w:val="24"/>
                <w:szCs w:val="24"/>
                <w:highlight w:val="none"/>
              </w:rPr>
            </w:pPr>
          </w:p>
        </w:tc>
        <w:tc>
          <w:tcPr>
            <w:tcW w:w="2658" w:type="dxa"/>
            <w:vAlign w:val="center"/>
          </w:tcPr>
          <w:p w14:paraId="56160486">
            <w:pPr>
              <w:rPr>
                <w:rFonts w:hint="eastAsia" w:ascii="仿宋" w:hAnsi="仿宋" w:eastAsia="仿宋" w:cs="仿宋"/>
                <w:color w:val="auto"/>
                <w:spacing w:val="-1"/>
                <w:sz w:val="24"/>
                <w:szCs w:val="24"/>
                <w:highlight w:val="none"/>
              </w:rPr>
            </w:pPr>
          </w:p>
        </w:tc>
      </w:tr>
      <w:tr w14:paraId="5C5B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E2AA899">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4</w:t>
            </w:r>
          </w:p>
        </w:tc>
        <w:tc>
          <w:tcPr>
            <w:tcW w:w="2154" w:type="dxa"/>
            <w:vAlign w:val="center"/>
          </w:tcPr>
          <w:p w14:paraId="43D985B7">
            <w:pPr>
              <w:rPr>
                <w:rFonts w:hint="eastAsia" w:ascii="仿宋" w:hAnsi="仿宋" w:eastAsia="仿宋" w:cs="仿宋"/>
                <w:color w:val="auto"/>
                <w:spacing w:val="-1"/>
                <w:sz w:val="24"/>
                <w:szCs w:val="24"/>
                <w:highlight w:val="none"/>
              </w:rPr>
            </w:pPr>
          </w:p>
        </w:tc>
        <w:tc>
          <w:tcPr>
            <w:tcW w:w="2269" w:type="dxa"/>
            <w:vAlign w:val="center"/>
          </w:tcPr>
          <w:p w14:paraId="07B9E79F">
            <w:pPr>
              <w:rPr>
                <w:rFonts w:hint="eastAsia" w:ascii="仿宋" w:hAnsi="仿宋" w:eastAsia="仿宋" w:cs="仿宋"/>
                <w:color w:val="auto"/>
                <w:spacing w:val="-1"/>
                <w:sz w:val="24"/>
                <w:szCs w:val="24"/>
                <w:highlight w:val="none"/>
              </w:rPr>
            </w:pPr>
          </w:p>
        </w:tc>
        <w:tc>
          <w:tcPr>
            <w:tcW w:w="1134" w:type="dxa"/>
            <w:vAlign w:val="center"/>
          </w:tcPr>
          <w:p w14:paraId="5688CF4A">
            <w:pPr>
              <w:rPr>
                <w:rFonts w:hint="eastAsia" w:ascii="仿宋" w:hAnsi="仿宋" w:eastAsia="仿宋" w:cs="仿宋"/>
                <w:color w:val="auto"/>
                <w:spacing w:val="-1"/>
                <w:sz w:val="24"/>
                <w:szCs w:val="24"/>
                <w:highlight w:val="none"/>
              </w:rPr>
            </w:pPr>
          </w:p>
        </w:tc>
        <w:tc>
          <w:tcPr>
            <w:tcW w:w="2658" w:type="dxa"/>
            <w:vAlign w:val="center"/>
          </w:tcPr>
          <w:p w14:paraId="527FA8BC">
            <w:pPr>
              <w:rPr>
                <w:rFonts w:hint="eastAsia" w:ascii="仿宋" w:hAnsi="仿宋" w:eastAsia="仿宋" w:cs="仿宋"/>
                <w:color w:val="auto"/>
                <w:spacing w:val="-1"/>
                <w:sz w:val="24"/>
                <w:szCs w:val="24"/>
                <w:highlight w:val="none"/>
              </w:rPr>
            </w:pPr>
          </w:p>
        </w:tc>
      </w:tr>
      <w:tr w14:paraId="3CE7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5D80C44">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5</w:t>
            </w:r>
          </w:p>
        </w:tc>
        <w:tc>
          <w:tcPr>
            <w:tcW w:w="2154" w:type="dxa"/>
            <w:vAlign w:val="center"/>
          </w:tcPr>
          <w:p w14:paraId="4D84FCE5">
            <w:pPr>
              <w:rPr>
                <w:rFonts w:hint="eastAsia" w:ascii="仿宋" w:hAnsi="仿宋" w:eastAsia="仿宋" w:cs="仿宋"/>
                <w:color w:val="auto"/>
                <w:spacing w:val="-1"/>
                <w:sz w:val="24"/>
                <w:szCs w:val="24"/>
                <w:highlight w:val="none"/>
              </w:rPr>
            </w:pPr>
          </w:p>
        </w:tc>
        <w:tc>
          <w:tcPr>
            <w:tcW w:w="2269" w:type="dxa"/>
            <w:vAlign w:val="center"/>
          </w:tcPr>
          <w:p w14:paraId="33491C2D">
            <w:pPr>
              <w:rPr>
                <w:rFonts w:hint="eastAsia" w:ascii="仿宋" w:hAnsi="仿宋" w:eastAsia="仿宋" w:cs="仿宋"/>
                <w:color w:val="auto"/>
                <w:spacing w:val="-1"/>
                <w:sz w:val="24"/>
                <w:szCs w:val="24"/>
                <w:highlight w:val="none"/>
              </w:rPr>
            </w:pPr>
          </w:p>
        </w:tc>
        <w:tc>
          <w:tcPr>
            <w:tcW w:w="1134" w:type="dxa"/>
            <w:vAlign w:val="center"/>
          </w:tcPr>
          <w:p w14:paraId="6F567A70">
            <w:pPr>
              <w:rPr>
                <w:rFonts w:hint="eastAsia" w:ascii="仿宋" w:hAnsi="仿宋" w:eastAsia="仿宋" w:cs="仿宋"/>
                <w:color w:val="auto"/>
                <w:spacing w:val="-1"/>
                <w:sz w:val="24"/>
                <w:szCs w:val="24"/>
                <w:highlight w:val="none"/>
              </w:rPr>
            </w:pPr>
          </w:p>
        </w:tc>
        <w:tc>
          <w:tcPr>
            <w:tcW w:w="2658" w:type="dxa"/>
            <w:vAlign w:val="center"/>
          </w:tcPr>
          <w:p w14:paraId="0E9B5ADF">
            <w:pPr>
              <w:rPr>
                <w:rFonts w:hint="eastAsia" w:ascii="仿宋" w:hAnsi="仿宋" w:eastAsia="仿宋" w:cs="仿宋"/>
                <w:color w:val="auto"/>
                <w:spacing w:val="-1"/>
                <w:sz w:val="24"/>
                <w:szCs w:val="24"/>
                <w:highlight w:val="none"/>
              </w:rPr>
            </w:pPr>
          </w:p>
        </w:tc>
      </w:tr>
      <w:tr w14:paraId="41A6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203AC6B">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6</w:t>
            </w:r>
          </w:p>
        </w:tc>
        <w:tc>
          <w:tcPr>
            <w:tcW w:w="2154" w:type="dxa"/>
            <w:vAlign w:val="center"/>
          </w:tcPr>
          <w:p w14:paraId="33563E2F">
            <w:pPr>
              <w:rPr>
                <w:rFonts w:hint="eastAsia" w:ascii="仿宋" w:hAnsi="仿宋" w:eastAsia="仿宋" w:cs="仿宋"/>
                <w:color w:val="auto"/>
                <w:spacing w:val="-1"/>
                <w:sz w:val="24"/>
                <w:szCs w:val="24"/>
                <w:highlight w:val="none"/>
              </w:rPr>
            </w:pPr>
          </w:p>
        </w:tc>
        <w:tc>
          <w:tcPr>
            <w:tcW w:w="2269" w:type="dxa"/>
            <w:vAlign w:val="center"/>
          </w:tcPr>
          <w:p w14:paraId="05F30886">
            <w:pPr>
              <w:rPr>
                <w:rFonts w:hint="eastAsia" w:ascii="仿宋" w:hAnsi="仿宋" w:eastAsia="仿宋" w:cs="仿宋"/>
                <w:color w:val="auto"/>
                <w:spacing w:val="-1"/>
                <w:sz w:val="24"/>
                <w:szCs w:val="24"/>
                <w:highlight w:val="none"/>
              </w:rPr>
            </w:pPr>
          </w:p>
        </w:tc>
        <w:tc>
          <w:tcPr>
            <w:tcW w:w="1134" w:type="dxa"/>
            <w:vAlign w:val="center"/>
          </w:tcPr>
          <w:p w14:paraId="47B8A75E">
            <w:pPr>
              <w:rPr>
                <w:rFonts w:hint="eastAsia" w:ascii="仿宋" w:hAnsi="仿宋" w:eastAsia="仿宋" w:cs="仿宋"/>
                <w:color w:val="auto"/>
                <w:spacing w:val="-1"/>
                <w:sz w:val="24"/>
                <w:szCs w:val="24"/>
                <w:highlight w:val="none"/>
              </w:rPr>
            </w:pPr>
          </w:p>
        </w:tc>
        <w:tc>
          <w:tcPr>
            <w:tcW w:w="2658" w:type="dxa"/>
            <w:vAlign w:val="center"/>
          </w:tcPr>
          <w:p w14:paraId="07B918E0">
            <w:pPr>
              <w:rPr>
                <w:rFonts w:hint="eastAsia" w:ascii="仿宋" w:hAnsi="仿宋" w:eastAsia="仿宋" w:cs="仿宋"/>
                <w:color w:val="auto"/>
                <w:spacing w:val="-1"/>
                <w:sz w:val="24"/>
                <w:szCs w:val="24"/>
                <w:highlight w:val="none"/>
              </w:rPr>
            </w:pPr>
          </w:p>
        </w:tc>
      </w:tr>
      <w:tr w14:paraId="1029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132EC9E">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7</w:t>
            </w:r>
          </w:p>
        </w:tc>
        <w:tc>
          <w:tcPr>
            <w:tcW w:w="2154" w:type="dxa"/>
            <w:vAlign w:val="center"/>
          </w:tcPr>
          <w:p w14:paraId="48DB45A0">
            <w:pPr>
              <w:rPr>
                <w:rFonts w:hint="eastAsia" w:ascii="仿宋" w:hAnsi="仿宋" w:eastAsia="仿宋" w:cs="仿宋"/>
                <w:color w:val="auto"/>
                <w:spacing w:val="-1"/>
                <w:sz w:val="24"/>
                <w:szCs w:val="24"/>
                <w:highlight w:val="none"/>
              </w:rPr>
            </w:pPr>
          </w:p>
        </w:tc>
        <w:tc>
          <w:tcPr>
            <w:tcW w:w="2269" w:type="dxa"/>
            <w:vAlign w:val="center"/>
          </w:tcPr>
          <w:p w14:paraId="64DC246A">
            <w:pPr>
              <w:rPr>
                <w:rFonts w:hint="eastAsia" w:ascii="仿宋" w:hAnsi="仿宋" w:eastAsia="仿宋" w:cs="仿宋"/>
                <w:color w:val="auto"/>
                <w:spacing w:val="-1"/>
                <w:sz w:val="24"/>
                <w:szCs w:val="24"/>
                <w:highlight w:val="none"/>
              </w:rPr>
            </w:pPr>
          </w:p>
        </w:tc>
        <w:tc>
          <w:tcPr>
            <w:tcW w:w="1134" w:type="dxa"/>
            <w:vAlign w:val="center"/>
          </w:tcPr>
          <w:p w14:paraId="201131D1">
            <w:pPr>
              <w:rPr>
                <w:rFonts w:hint="eastAsia" w:ascii="仿宋" w:hAnsi="仿宋" w:eastAsia="仿宋" w:cs="仿宋"/>
                <w:color w:val="auto"/>
                <w:spacing w:val="-1"/>
                <w:sz w:val="24"/>
                <w:szCs w:val="24"/>
                <w:highlight w:val="none"/>
              </w:rPr>
            </w:pPr>
          </w:p>
        </w:tc>
        <w:tc>
          <w:tcPr>
            <w:tcW w:w="2658" w:type="dxa"/>
            <w:vAlign w:val="center"/>
          </w:tcPr>
          <w:p w14:paraId="6FACD2B4">
            <w:pPr>
              <w:rPr>
                <w:rFonts w:hint="eastAsia" w:ascii="仿宋" w:hAnsi="仿宋" w:eastAsia="仿宋" w:cs="仿宋"/>
                <w:color w:val="auto"/>
                <w:spacing w:val="-1"/>
                <w:sz w:val="24"/>
                <w:szCs w:val="24"/>
                <w:highlight w:val="none"/>
              </w:rPr>
            </w:pPr>
          </w:p>
        </w:tc>
      </w:tr>
      <w:tr w14:paraId="5E16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49901D2">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8</w:t>
            </w:r>
          </w:p>
        </w:tc>
        <w:tc>
          <w:tcPr>
            <w:tcW w:w="2154" w:type="dxa"/>
            <w:vAlign w:val="center"/>
          </w:tcPr>
          <w:p w14:paraId="5379C625">
            <w:pPr>
              <w:rPr>
                <w:rFonts w:hint="eastAsia" w:ascii="仿宋" w:hAnsi="仿宋" w:eastAsia="仿宋" w:cs="仿宋"/>
                <w:color w:val="auto"/>
                <w:spacing w:val="-1"/>
                <w:sz w:val="24"/>
                <w:szCs w:val="24"/>
                <w:highlight w:val="none"/>
              </w:rPr>
            </w:pPr>
          </w:p>
        </w:tc>
        <w:tc>
          <w:tcPr>
            <w:tcW w:w="2269" w:type="dxa"/>
            <w:vAlign w:val="center"/>
          </w:tcPr>
          <w:p w14:paraId="380BAF16">
            <w:pPr>
              <w:rPr>
                <w:rFonts w:hint="eastAsia" w:ascii="仿宋" w:hAnsi="仿宋" w:eastAsia="仿宋" w:cs="仿宋"/>
                <w:color w:val="auto"/>
                <w:spacing w:val="-1"/>
                <w:sz w:val="24"/>
                <w:szCs w:val="24"/>
                <w:highlight w:val="none"/>
              </w:rPr>
            </w:pPr>
          </w:p>
        </w:tc>
        <w:tc>
          <w:tcPr>
            <w:tcW w:w="1134" w:type="dxa"/>
            <w:vAlign w:val="center"/>
          </w:tcPr>
          <w:p w14:paraId="417D3BEC">
            <w:pPr>
              <w:rPr>
                <w:rFonts w:hint="eastAsia" w:ascii="仿宋" w:hAnsi="仿宋" w:eastAsia="仿宋" w:cs="仿宋"/>
                <w:color w:val="auto"/>
                <w:spacing w:val="-1"/>
                <w:sz w:val="24"/>
                <w:szCs w:val="24"/>
                <w:highlight w:val="none"/>
              </w:rPr>
            </w:pPr>
          </w:p>
        </w:tc>
        <w:tc>
          <w:tcPr>
            <w:tcW w:w="2658" w:type="dxa"/>
            <w:vAlign w:val="center"/>
          </w:tcPr>
          <w:p w14:paraId="169903A0">
            <w:pPr>
              <w:rPr>
                <w:rFonts w:hint="eastAsia" w:ascii="仿宋" w:hAnsi="仿宋" w:eastAsia="仿宋" w:cs="仿宋"/>
                <w:color w:val="auto"/>
                <w:spacing w:val="-1"/>
                <w:sz w:val="24"/>
                <w:szCs w:val="24"/>
                <w:highlight w:val="none"/>
              </w:rPr>
            </w:pPr>
          </w:p>
        </w:tc>
      </w:tr>
      <w:tr w14:paraId="2083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3FB383A">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9</w:t>
            </w:r>
          </w:p>
        </w:tc>
        <w:tc>
          <w:tcPr>
            <w:tcW w:w="2154" w:type="dxa"/>
            <w:vAlign w:val="center"/>
          </w:tcPr>
          <w:p w14:paraId="4AAE2C10">
            <w:pPr>
              <w:rPr>
                <w:rFonts w:hint="eastAsia" w:ascii="仿宋" w:hAnsi="仿宋" w:eastAsia="仿宋" w:cs="仿宋"/>
                <w:color w:val="auto"/>
                <w:spacing w:val="-1"/>
                <w:sz w:val="24"/>
                <w:szCs w:val="24"/>
                <w:highlight w:val="none"/>
              </w:rPr>
            </w:pPr>
          </w:p>
        </w:tc>
        <w:tc>
          <w:tcPr>
            <w:tcW w:w="2269" w:type="dxa"/>
            <w:vAlign w:val="center"/>
          </w:tcPr>
          <w:p w14:paraId="2470D891">
            <w:pPr>
              <w:rPr>
                <w:rFonts w:hint="eastAsia" w:ascii="仿宋" w:hAnsi="仿宋" w:eastAsia="仿宋" w:cs="仿宋"/>
                <w:color w:val="auto"/>
                <w:spacing w:val="-1"/>
                <w:sz w:val="24"/>
                <w:szCs w:val="24"/>
                <w:highlight w:val="none"/>
              </w:rPr>
            </w:pPr>
          </w:p>
        </w:tc>
        <w:tc>
          <w:tcPr>
            <w:tcW w:w="1134" w:type="dxa"/>
            <w:vAlign w:val="center"/>
          </w:tcPr>
          <w:p w14:paraId="258BC1DF">
            <w:pPr>
              <w:rPr>
                <w:rFonts w:hint="eastAsia" w:ascii="仿宋" w:hAnsi="仿宋" w:eastAsia="仿宋" w:cs="仿宋"/>
                <w:color w:val="auto"/>
                <w:spacing w:val="-1"/>
                <w:sz w:val="24"/>
                <w:szCs w:val="24"/>
                <w:highlight w:val="none"/>
              </w:rPr>
            </w:pPr>
          </w:p>
        </w:tc>
        <w:tc>
          <w:tcPr>
            <w:tcW w:w="2658" w:type="dxa"/>
            <w:vAlign w:val="center"/>
          </w:tcPr>
          <w:p w14:paraId="78EF2C65">
            <w:pPr>
              <w:rPr>
                <w:rFonts w:hint="eastAsia" w:ascii="仿宋" w:hAnsi="仿宋" w:eastAsia="仿宋" w:cs="仿宋"/>
                <w:color w:val="auto"/>
                <w:spacing w:val="-1"/>
                <w:sz w:val="24"/>
                <w:szCs w:val="24"/>
                <w:highlight w:val="none"/>
              </w:rPr>
            </w:pPr>
          </w:p>
        </w:tc>
      </w:tr>
      <w:tr w14:paraId="39F7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9C7B26B">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10</w:t>
            </w:r>
          </w:p>
        </w:tc>
        <w:tc>
          <w:tcPr>
            <w:tcW w:w="2154" w:type="dxa"/>
            <w:vAlign w:val="center"/>
          </w:tcPr>
          <w:p w14:paraId="58955AE1">
            <w:pPr>
              <w:rPr>
                <w:rFonts w:hint="eastAsia" w:ascii="仿宋" w:hAnsi="仿宋" w:eastAsia="仿宋" w:cs="仿宋"/>
                <w:color w:val="auto"/>
                <w:spacing w:val="-1"/>
                <w:sz w:val="24"/>
                <w:szCs w:val="24"/>
                <w:highlight w:val="none"/>
              </w:rPr>
            </w:pPr>
          </w:p>
        </w:tc>
        <w:tc>
          <w:tcPr>
            <w:tcW w:w="2269" w:type="dxa"/>
            <w:vAlign w:val="center"/>
          </w:tcPr>
          <w:p w14:paraId="097CB138">
            <w:pPr>
              <w:rPr>
                <w:rFonts w:hint="eastAsia" w:ascii="仿宋" w:hAnsi="仿宋" w:eastAsia="仿宋" w:cs="仿宋"/>
                <w:color w:val="auto"/>
                <w:spacing w:val="-1"/>
                <w:sz w:val="24"/>
                <w:szCs w:val="24"/>
                <w:highlight w:val="none"/>
              </w:rPr>
            </w:pPr>
          </w:p>
        </w:tc>
        <w:tc>
          <w:tcPr>
            <w:tcW w:w="1134" w:type="dxa"/>
            <w:vAlign w:val="center"/>
          </w:tcPr>
          <w:p w14:paraId="7DBD598C">
            <w:pPr>
              <w:rPr>
                <w:rFonts w:hint="eastAsia" w:ascii="仿宋" w:hAnsi="仿宋" w:eastAsia="仿宋" w:cs="仿宋"/>
                <w:color w:val="auto"/>
                <w:spacing w:val="-1"/>
                <w:sz w:val="24"/>
                <w:szCs w:val="24"/>
                <w:highlight w:val="none"/>
              </w:rPr>
            </w:pPr>
          </w:p>
        </w:tc>
        <w:tc>
          <w:tcPr>
            <w:tcW w:w="2658" w:type="dxa"/>
            <w:vAlign w:val="center"/>
          </w:tcPr>
          <w:p w14:paraId="05341ABF">
            <w:pPr>
              <w:rPr>
                <w:rFonts w:hint="eastAsia" w:ascii="仿宋" w:hAnsi="仿宋" w:eastAsia="仿宋" w:cs="仿宋"/>
                <w:color w:val="auto"/>
                <w:spacing w:val="-1"/>
                <w:sz w:val="24"/>
                <w:szCs w:val="24"/>
                <w:highlight w:val="none"/>
              </w:rPr>
            </w:pPr>
          </w:p>
        </w:tc>
      </w:tr>
      <w:tr w14:paraId="04D7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DBCAAD5">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11</w:t>
            </w:r>
          </w:p>
        </w:tc>
        <w:tc>
          <w:tcPr>
            <w:tcW w:w="2154" w:type="dxa"/>
            <w:vAlign w:val="center"/>
          </w:tcPr>
          <w:p w14:paraId="2C03AA3A">
            <w:pPr>
              <w:rPr>
                <w:rFonts w:hint="eastAsia" w:ascii="仿宋" w:hAnsi="仿宋" w:eastAsia="仿宋" w:cs="仿宋"/>
                <w:color w:val="auto"/>
                <w:spacing w:val="-1"/>
                <w:sz w:val="24"/>
                <w:szCs w:val="24"/>
                <w:highlight w:val="none"/>
              </w:rPr>
            </w:pPr>
          </w:p>
        </w:tc>
        <w:tc>
          <w:tcPr>
            <w:tcW w:w="2269" w:type="dxa"/>
            <w:vAlign w:val="center"/>
          </w:tcPr>
          <w:p w14:paraId="70093DDB">
            <w:pPr>
              <w:rPr>
                <w:rFonts w:hint="eastAsia" w:ascii="仿宋" w:hAnsi="仿宋" w:eastAsia="仿宋" w:cs="仿宋"/>
                <w:color w:val="auto"/>
                <w:spacing w:val="-1"/>
                <w:sz w:val="24"/>
                <w:szCs w:val="24"/>
                <w:highlight w:val="none"/>
              </w:rPr>
            </w:pPr>
          </w:p>
        </w:tc>
        <w:tc>
          <w:tcPr>
            <w:tcW w:w="1134" w:type="dxa"/>
            <w:vAlign w:val="center"/>
          </w:tcPr>
          <w:p w14:paraId="27C87886">
            <w:pPr>
              <w:rPr>
                <w:rFonts w:hint="eastAsia" w:ascii="仿宋" w:hAnsi="仿宋" w:eastAsia="仿宋" w:cs="仿宋"/>
                <w:color w:val="auto"/>
                <w:spacing w:val="-1"/>
                <w:sz w:val="24"/>
                <w:szCs w:val="24"/>
                <w:highlight w:val="none"/>
              </w:rPr>
            </w:pPr>
          </w:p>
        </w:tc>
        <w:tc>
          <w:tcPr>
            <w:tcW w:w="2658" w:type="dxa"/>
            <w:vAlign w:val="center"/>
          </w:tcPr>
          <w:p w14:paraId="46C6E6FA">
            <w:pPr>
              <w:rPr>
                <w:rFonts w:hint="eastAsia" w:ascii="仿宋" w:hAnsi="仿宋" w:eastAsia="仿宋" w:cs="仿宋"/>
                <w:color w:val="auto"/>
                <w:spacing w:val="-1"/>
                <w:sz w:val="24"/>
                <w:szCs w:val="24"/>
                <w:highlight w:val="none"/>
              </w:rPr>
            </w:pPr>
          </w:p>
        </w:tc>
      </w:tr>
      <w:tr w14:paraId="7621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AC0FA7C">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12</w:t>
            </w:r>
          </w:p>
        </w:tc>
        <w:tc>
          <w:tcPr>
            <w:tcW w:w="2154" w:type="dxa"/>
            <w:vAlign w:val="center"/>
          </w:tcPr>
          <w:p w14:paraId="165B582F">
            <w:pPr>
              <w:rPr>
                <w:rFonts w:hint="eastAsia" w:ascii="仿宋" w:hAnsi="仿宋" w:eastAsia="仿宋" w:cs="仿宋"/>
                <w:color w:val="auto"/>
                <w:spacing w:val="-1"/>
                <w:sz w:val="24"/>
                <w:szCs w:val="24"/>
                <w:highlight w:val="none"/>
              </w:rPr>
            </w:pPr>
          </w:p>
        </w:tc>
        <w:tc>
          <w:tcPr>
            <w:tcW w:w="2269" w:type="dxa"/>
            <w:vAlign w:val="center"/>
          </w:tcPr>
          <w:p w14:paraId="2392A8C1">
            <w:pPr>
              <w:rPr>
                <w:rFonts w:hint="eastAsia" w:ascii="仿宋" w:hAnsi="仿宋" w:eastAsia="仿宋" w:cs="仿宋"/>
                <w:color w:val="auto"/>
                <w:spacing w:val="-1"/>
                <w:sz w:val="24"/>
                <w:szCs w:val="24"/>
                <w:highlight w:val="none"/>
              </w:rPr>
            </w:pPr>
          </w:p>
        </w:tc>
        <w:tc>
          <w:tcPr>
            <w:tcW w:w="1134" w:type="dxa"/>
            <w:vAlign w:val="center"/>
          </w:tcPr>
          <w:p w14:paraId="377EBCA5">
            <w:pPr>
              <w:rPr>
                <w:rFonts w:hint="eastAsia" w:ascii="仿宋" w:hAnsi="仿宋" w:eastAsia="仿宋" w:cs="仿宋"/>
                <w:color w:val="auto"/>
                <w:spacing w:val="-1"/>
                <w:sz w:val="24"/>
                <w:szCs w:val="24"/>
                <w:highlight w:val="none"/>
              </w:rPr>
            </w:pPr>
          </w:p>
        </w:tc>
        <w:tc>
          <w:tcPr>
            <w:tcW w:w="2658" w:type="dxa"/>
            <w:vAlign w:val="center"/>
          </w:tcPr>
          <w:p w14:paraId="656D5AD5">
            <w:pPr>
              <w:rPr>
                <w:rFonts w:hint="eastAsia" w:ascii="仿宋" w:hAnsi="仿宋" w:eastAsia="仿宋" w:cs="仿宋"/>
                <w:color w:val="auto"/>
                <w:spacing w:val="-1"/>
                <w:sz w:val="24"/>
                <w:szCs w:val="24"/>
                <w:highlight w:val="none"/>
              </w:rPr>
            </w:pPr>
          </w:p>
        </w:tc>
      </w:tr>
      <w:tr w14:paraId="58FF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ACD794C">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13</w:t>
            </w:r>
          </w:p>
        </w:tc>
        <w:tc>
          <w:tcPr>
            <w:tcW w:w="2154" w:type="dxa"/>
            <w:vAlign w:val="center"/>
          </w:tcPr>
          <w:p w14:paraId="7D0D299B">
            <w:pPr>
              <w:rPr>
                <w:rFonts w:hint="eastAsia" w:ascii="仿宋" w:hAnsi="仿宋" w:eastAsia="仿宋" w:cs="仿宋"/>
                <w:color w:val="auto"/>
                <w:spacing w:val="-1"/>
                <w:sz w:val="24"/>
                <w:szCs w:val="24"/>
                <w:highlight w:val="none"/>
              </w:rPr>
            </w:pPr>
          </w:p>
        </w:tc>
        <w:tc>
          <w:tcPr>
            <w:tcW w:w="2269" w:type="dxa"/>
            <w:vAlign w:val="center"/>
          </w:tcPr>
          <w:p w14:paraId="2A39DDB2">
            <w:pPr>
              <w:rPr>
                <w:rFonts w:hint="eastAsia" w:ascii="仿宋" w:hAnsi="仿宋" w:eastAsia="仿宋" w:cs="仿宋"/>
                <w:color w:val="auto"/>
                <w:spacing w:val="-1"/>
                <w:sz w:val="24"/>
                <w:szCs w:val="24"/>
                <w:highlight w:val="none"/>
              </w:rPr>
            </w:pPr>
          </w:p>
        </w:tc>
        <w:tc>
          <w:tcPr>
            <w:tcW w:w="1134" w:type="dxa"/>
            <w:vAlign w:val="center"/>
          </w:tcPr>
          <w:p w14:paraId="42254595">
            <w:pPr>
              <w:rPr>
                <w:rFonts w:hint="eastAsia" w:ascii="仿宋" w:hAnsi="仿宋" w:eastAsia="仿宋" w:cs="仿宋"/>
                <w:color w:val="auto"/>
                <w:spacing w:val="-1"/>
                <w:sz w:val="24"/>
                <w:szCs w:val="24"/>
                <w:highlight w:val="none"/>
              </w:rPr>
            </w:pPr>
          </w:p>
        </w:tc>
        <w:tc>
          <w:tcPr>
            <w:tcW w:w="2658" w:type="dxa"/>
            <w:vAlign w:val="center"/>
          </w:tcPr>
          <w:p w14:paraId="195E8DD6">
            <w:pPr>
              <w:rPr>
                <w:rFonts w:hint="eastAsia" w:ascii="仿宋" w:hAnsi="仿宋" w:eastAsia="仿宋" w:cs="仿宋"/>
                <w:color w:val="auto"/>
                <w:spacing w:val="-1"/>
                <w:sz w:val="24"/>
                <w:szCs w:val="24"/>
                <w:highlight w:val="none"/>
              </w:rPr>
            </w:pPr>
          </w:p>
        </w:tc>
      </w:tr>
      <w:tr w14:paraId="32C4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427492C">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14</w:t>
            </w:r>
          </w:p>
        </w:tc>
        <w:tc>
          <w:tcPr>
            <w:tcW w:w="2154" w:type="dxa"/>
            <w:vAlign w:val="center"/>
          </w:tcPr>
          <w:p w14:paraId="456F9CC8">
            <w:pPr>
              <w:rPr>
                <w:rFonts w:hint="eastAsia" w:ascii="仿宋" w:hAnsi="仿宋" w:eastAsia="仿宋" w:cs="仿宋"/>
                <w:color w:val="auto"/>
                <w:spacing w:val="-1"/>
                <w:sz w:val="24"/>
                <w:szCs w:val="24"/>
                <w:highlight w:val="none"/>
              </w:rPr>
            </w:pPr>
          </w:p>
        </w:tc>
        <w:tc>
          <w:tcPr>
            <w:tcW w:w="2269" w:type="dxa"/>
            <w:vAlign w:val="center"/>
          </w:tcPr>
          <w:p w14:paraId="1E39643F">
            <w:pPr>
              <w:rPr>
                <w:rFonts w:hint="eastAsia" w:ascii="仿宋" w:hAnsi="仿宋" w:eastAsia="仿宋" w:cs="仿宋"/>
                <w:color w:val="auto"/>
                <w:spacing w:val="-1"/>
                <w:sz w:val="24"/>
                <w:szCs w:val="24"/>
                <w:highlight w:val="none"/>
              </w:rPr>
            </w:pPr>
          </w:p>
        </w:tc>
        <w:tc>
          <w:tcPr>
            <w:tcW w:w="1134" w:type="dxa"/>
            <w:vAlign w:val="center"/>
          </w:tcPr>
          <w:p w14:paraId="5BC0DB19">
            <w:pPr>
              <w:rPr>
                <w:rFonts w:hint="eastAsia" w:ascii="仿宋" w:hAnsi="仿宋" w:eastAsia="仿宋" w:cs="仿宋"/>
                <w:color w:val="auto"/>
                <w:spacing w:val="-1"/>
                <w:sz w:val="24"/>
                <w:szCs w:val="24"/>
                <w:highlight w:val="none"/>
              </w:rPr>
            </w:pPr>
          </w:p>
        </w:tc>
        <w:tc>
          <w:tcPr>
            <w:tcW w:w="2658" w:type="dxa"/>
            <w:vAlign w:val="center"/>
          </w:tcPr>
          <w:p w14:paraId="1008AA15">
            <w:pPr>
              <w:rPr>
                <w:rFonts w:hint="eastAsia" w:ascii="仿宋" w:hAnsi="仿宋" w:eastAsia="仿宋" w:cs="仿宋"/>
                <w:color w:val="auto"/>
                <w:spacing w:val="-1"/>
                <w:sz w:val="24"/>
                <w:szCs w:val="24"/>
                <w:highlight w:val="none"/>
              </w:rPr>
            </w:pPr>
          </w:p>
        </w:tc>
      </w:tr>
      <w:tr w14:paraId="13C7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31D9D2B">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15</w:t>
            </w:r>
          </w:p>
        </w:tc>
        <w:tc>
          <w:tcPr>
            <w:tcW w:w="2154" w:type="dxa"/>
            <w:vAlign w:val="center"/>
          </w:tcPr>
          <w:p w14:paraId="18C8B6A5">
            <w:pPr>
              <w:rPr>
                <w:rFonts w:hint="eastAsia" w:ascii="仿宋" w:hAnsi="仿宋" w:eastAsia="仿宋" w:cs="仿宋"/>
                <w:color w:val="auto"/>
                <w:spacing w:val="-1"/>
                <w:sz w:val="24"/>
                <w:szCs w:val="24"/>
                <w:highlight w:val="none"/>
              </w:rPr>
            </w:pPr>
          </w:p>
        </w:tc>
        <w:tc>
          <w:tcPr>
            <w:tcW w:w="2269" w:type="dxa"/>
            <w:vAlign w:val="center"/>
          </w:tcPr>
          <w:p w14:paraId="50CB0BF6">
            <w:pPr>
              <w:rPr>
                <w:rFonts w:hint="eastAsia" w:ascii="仿宋" w:hAnsi="仿宋" w:eastAsia="仿宋" w:cs="仿宋"/>
                <w:color w:val="auto"/>
                <w:spacing w:val="-1"/>
                <w:sz w:val="24"/>
                <w:szCs w:val="24"/>
                <w:highlight w:val="none"/>
              </w:rPr>
            </w:pPr>
          </w:p>
        </w:tc>
        <w:tc>
          <w:tcPr>
            <w:tcW w:w="1134" w:type="dxa"/>
            <w:vAlign w:val="center"/>
          </w:tcPr>
          <w:p w14:paraId="262705AF">
            <w:pPr>
              <w:rPr>
                <w:rFonts w:hint="eastAsia" w:ascii="仿宋" w:hAnsi="仿宋" w:eastAsia="仿宋" w:cs="仿宋"/>
                <w:color w:val="auto"/>
                <w:spacing w:val="-1"/>
                <w:sz w:val="24"/>
                <w:szCs w:val="24"/>
                <w:highlight w:val="none"/>
              </w:rPr>
            </w:pPr>
          </w:p>
        </w:tc>
        <w:tc>
          <w:tcPr>
            <w:tcW w:w="2658" w:type="dxa"/>
            <w:vAlign w:val="center"/>
          </w:tcPr>
          <w:p w14:paraId="53BAD2FD">
            <w:pPr>
              <w:rPr>
                <w:rFonts w:hint="eastAsia" w:ascii="仿宋" w:hAnsi="仿宋" w:eastAsia="仿宋" w:cs="仿宋"/>
                <w:color w:val="auto"/>
                <w:spacing w:val="-1"/>
                <w:sz w:val="24"/>
                <w:szCs w:val="24"/>
                <w:highlight w:val="none"/>
              </w:rPr>
            </w:pPr>
          </w:p>
        </w:tc>
      </w:tr>
    </w:tbl>
    <w:p w14:paraId="08BDCDAE">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注：请在“偏离说明”栏内扼要说明偏离情况，如无偏离则不需列明。</w:t>
      </w:r>
    </w:p>
    <w:p w14:paraId="0EA608B1">
      <w:pPr>
        <w:pStyle w:val="9"/>
        <w:numPr>
          <w:ilvl w:val="0"/>
          <w:numId w:val="0"/>
        </w:numPr>
        <w:tabs>
          <w:tab w:val="left" w:pos="8227"/>
        </w:tabs>
        <w:kinsoku w:val="0"/>
        <w:overflowPunct w:val="0"/>
        <w:spacing w:line="381" w:lineRule="auto"/>
        <w:ind w:left="1680" w:right="118"/>
        <w:rPr>
          <w:rFonts w:hint="eastAsia" w:ascii="仿宋" w:hAnsi="仿宋" w:eastAsia="仿宋" w:cs="仿宋"/>
          <w:color w:val="auto"/>
          <w:sz w:val="24"/>
          <w:szCs w:val="24"/>
          <w:highlight w:val="none"/>
        </w:rPr>
      </w:pPr>
    </w:p>
    <w:p w14:paraId="58D737E4">
      <w:pPr>
        <w:pStyle w:val="9"/>
        <w:numPr>
          <w:ilvl w:val="0"/>
          <w:numId w:val="0"/>
        </w:numPr>
        <w:tabs>
          <w:tab w:val="left" w:pos="8227"/>
        </w:tabs>
        <w:kinsoku w:val="0"/>
        <w:overflowPunct w:val="0"/>
        <w:spacing w:line="381" w:lineRule="auto"/>
        <w:ind w:left="1680" w:right="118"/>
        <w:rPr>
          <w:rFonts w:hint="eastAsia" w:ascii="仿宋" w:hAnsi="仿宋" w:eastAsia="仿宋" w:cs="仿宋"/>
          <w:color w:val="auto"/>
          <w:sz w:val="24"/>
          <w:szCs w:val="24"/>
          <w:highlight w:val="none"/>
        </w:rPr>
      </w:pPr>
    </w:p>
    <w:p w14:paraId="1EF6135D">
      <w:pPr>
        <w:pStyle w:val="9"/>
        <w:numPr>
          <w:ilvl w:val="0"/>
          <w:numId w:val="0"/>
        </w:numPr>
        <w:tabs>
          <w:tab w:val="left" w:pos="8227"/>
        </w:tabs>
        <w:kinsoku w:val="0"/>
        <w:overflowPunct w:val="0"/>
        <w:spacing w:line="381" w:lineRule="auto"/>
        <w:ind w:left="1680" w:right="118"/>
        <w:rPr>
          <w:rFonts w:hint="eastAsia" w:ascii="仿宋" w:hAnsi="仿宋" w:eastAsia="仿宋" w:cs="仿宋"/>
          <w:color w:val="auto"/>
          <w:sz w:val="24"/>
          <w:szCs w:val="24"/>
          <w:highlight w:val="none"/>
        </w:rPr>
      </w:pPr>
    </w:p>
    <w:p w14:paraId="6A6ED843">
      <w:pPr>
        <w:pStyle w:val="9"/>
        <w:numPr>
          <w:ilvl w:val="0"/>
          <w:numId w:val="0"/>
        </w:numPr>
        <w:tabs>
          <w:tab w:val="left" w:pos="8227"/>
        </w:tabs>
        <w:kinsoku w:val="0"/>
        <w:overflowPunct w:val="0"/>
        <w:spacing w:line="381" w:lineRule="auto"/>
        <w:ind w:left="1680" w:right="1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u w:val="single"/>
        </w:rPr>
        <w:tab/>
      </w:r>
      <w:r>
        <w:rPr>
          <w:rFonts w:hint="eastAsia" w:ascii="仿宋" w:hAnsi="仿宋" w:eastAsia="仿宋" w:cs="仿宋"/>
          <w:color w:val="auto"/>
          <w:w w:val="95"/>
          <w:sz w:val="24"/>
          <w:szCs w:val="24"/>
          <w:highlight w:val="none"/>
        </w:rPr>
        <w:t>（盖章）</w:t>
      </w:r>
      <w:r>
        <w:rPr>
          <w:rFonts w:hint="eastAsia" w:ascii="仿宋" w:hAnsi="仿宋" w:eastAsia="仿宋" w:cs="仿宋"/>
          <w:color w:val="auto"/>
          <w:sz w:val="24"/>
          <w:szCs w:val="24"/>
          <w:highlight w:val="none"/>
        </w:rPr>
        <w:t xml:space="preserve"> </w:t>
      </w:r>
    </w:p>
    <w:p w14:paraId="28D3A638">
      <w:pPr>
        <w:pStyle w:val="9"/>
        <w:numPr>
          <w:ilvl w:val="0"/>
          <w:numId w:val="0"/>
        </w:numPr>
        <w:tabs>
          <w:tab w:val="left" w:pos="8227"/>
        </w:tabs>
        <w:kinsoku w:val="0"/>
        <w:overflowPunct w:val="0"/>
        <w:spacing w:line="381" w:lineRule="auto"/>
        <w:ind w:left="1680" w:right="118"/>
        <w:rPr>
          <w:rFonts w:hint="eastAsia" w:ascii="仿宋" w:hAnsi="仿宋" w:eastAsia="仿宋" w:cs="仿宋"/>
          <w:color w:val="auto"/>
          <w:w w:val="95"/>
          <w:sz w:val="24"/>
          <w:szCs w:val="24"/>
          <w:highlight w:val="none"/>
        </w:rPr>
      </w:pPr>
      <w:r>
        <w:rPr>
          <w:rFonts w:hint="eastAsia" w:ascii="仿宋" w:hAnsi="仿宋" w:eastAsia="仿宋" w:cs="仿宋"/>
          <w:color w:val="auto"/>
          <w:sz w:val="24"/>
          <w:szCs w:val="24"/>
          <w:highlight w:val="none"/>
        </w:rPr>
        <w:t>法定代表人或被授权人：</w:t>
      </w:r>
      <w:r>
        <w:rPr>
          <w:rFonts w:hint="eastAsia" w:ascii="仿宋" w:hAnsi="仿宋" w:eastAsia="仿宋" w:cs="仿宋"/>
          <w:color w:val="auto"/>
          <w:sz w:val="24"/>
          <w:szCs w:val="24"/>
          <w:highlight w:val="none"/>
          <w:u w:val="single"/>
        </w:rPr>
        <w:tab/>
      </w:r>
      <w:r>
        <w:rPr>
          <w:rFonts w:hint="eastAsia" w:ascii="仿宋" w:hAnsi="仿宋" w:eastAsia="仿宋" w:cs="仿宋"/>
          <w:color w:val="auto"/>
          <w:w w:val="95"/>
          <w:sz w:val="24"/>
          <w:szCs w:val="24"/>
          <w:highlight w:val="none"/>
        </w:rPr>
        <w:t>（</w:t>
      </w:r>
      <w:r>
        <w:rPr>
          <w:rFonts w:hint="eastAsia" w:ascii="仿宋" w:hAnsi="仿宋" w:eastAsia="仿宋" w:cs="仿宋"/>
          <w:color w:val="auto"/>
          <w:w w:val="95"/>
          <w:sz w:val="24"/>
          <w:szCs w:val="24"/>
          <w:highlight w:val="none"/>
          <w:lang w:eastAsia="zh-CN"/>
        </w:rPr>
        <w:t>签章</w:t>
      </w:r>
      <w:r>
        <w:rPr>
          <w:rFonts w:hint="eastAsia" w:ascii="仿宋" w:hAnsi="仿宋" w:eastAsia="仿宋" w:cs="仿宋"/>
          <w:color w:val="auto"/>
          <w:w w:val="95"/>
          <w:sz w:val="24"/>
          <w:szCs w:val="24"/>
          <w:highlight w:val="none"/>
        </w:rPr>
        <w:t>）</w:t>
      </w:r>
    </w:p>
    <w:p w14:paraId="468683D4">
      <w:pPr>
        <w:pStyle w:val="74"/>
        <w:spacing w:after="0"/>
        <w:ind w:firstLine="4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7295855E">
      <w:pPr>
        <w:pStyle w:val="74"/>
        <w:spacing w:after="0"/>
        <w:ind w:firstLine="420"/>
        <w:jc w:val="center"/>
        <w:rPr>
          <w:rFonts w:hint="eastAsia" w:ascii="仿宋" w:hAnsi="仿宋" w:eastAsia="仿宋" w:cs="仿宋"/>
          <w:color w:val="auto"/>
          <w:sz w:val="24"/>
          <w:szCs w:val="24"/>
          <w:highlight w:val="none"/>
        </w:rPr>
      </w:pPr>
    </w:p>
    <w:p w14:paraId="20022D89">
      <w:pPr>
        <w:pStyle w:val="74"/>
        <w:spacing w:after="0"/>
        <w:ind w:firstLine="420"/>
        <w:jc w:val="center"/>
        <w:rPr>
          <w:rFonts w:hint="eastAsia" w:ascii="仿宋" w:hAnsi="仿宋" w:eastAsia="仿宋" w:cs="仿宋"/>
          <w:color w:val="auto"/>
          <w:sz w:val="24"/>
          <w:szCs w:val="24"/>
          <w:highlight w:val="none"/>
        </w:rPr>
      </w:pPr>
    </w:p>
    <w:p w14:paraId="1CA50543">
      <w:pPr>
        <w:pStyle w:val="74"/>
        <w:spacing w:after="0"/>
        <w:ind w:firstLine="420"/>
        <w:jc w:val="center"/>
        <w:rPr>
          <w:rFonts w:hint="eastAsia" w:ascii="仿宋" w:hAnsi="仿宋" w:eastAsia="仿宋" w:cs="仿宋"/>
          <w:color w:val="auto"/>
          <w:sz w:val="24"/>
          <w:szCs w:val="24"/>
          <w:highlight w:val="none"/>
        </w:rPr>
      </w:pPr>
    </w:p>
    <w:p w14:paraId="72B5D233">
      <w:pPr>
        <w:pStyle w:val="9"/>
        <w:numPr>
          <w:ilvl w:val="0"/>
          <w:numId w:val="0"/>
        </w:numPr>
        <w:kinsoku w:val="0"/>
        <w:overflowPunct w:val="0"/>
        <w:spacing w:before="34" w:line="357" w:lineRule="auto"/>
        <w:ind w:right="126"/>
        <w:jc w:val="both"/>
        <w:rPr>
          <w:rFonts w:hint="eastAsia" w:ascii="仿宋" w:hAnsi="仿宋" w:eastAsia="仿宋" w:cs="仿宋"/>
          <w:b/>
          <w:bCs/>
          <w:color w:val="auto"/>
          <w:sz w:val="24"/>
          <w:szCs w:val="24"/>
          <w:highlight w:val="none"/>
        </w:rPr>
      </w:pPr>
    </w:p>
    <w:p w14:paraId="1D2356A6">
      <w:pPr>
        <w:rPr>
          <w:rFonts w:hint="eastAsia" w:ascii="仿宋" w:hAnsi="仿宋" w:eastAsia="仿宋" w:cs="仿宋"/>
          <w:b/>
          <w:bCs/>
          <w:color w:val="auto"/>
          <w:sz w:val="24"/>
          <w:szCs w:val="24"/>
          <w:highlight w:val="none"/>
        </w:rPr>
      </w:pPr>
    </w:p>
    <w:p w14:paraId="7DB8F482">
      <w:pPr>
        <w:pStyle w:val="9"/>
        <w:numPr>
          <w:ilvl w:val="0"/>
          <w:numId w:val="0"/>
        </w:numPr>
        <w:kinsoku w:val="0"/>
        <w:overflowPunct w:val="0"/>
        <w:spacing w:before="34" w:line="357" w:lineRule="auto"/>
        <w:ind w:right="126"/>
        <w:jc w:val="center"/>
        <w:outlineLvl w:val="2"/>
        <w:rPr>
          <w:rFonts w:hint="eastAsia" w:ascii="仿宋" w:hAnsi="仿宋" w:eastAsia="仿宋" w:cs="仿宋"/>
          <w:b/>
          <w:bCs/>
          <w:color w:val="auto"/>
          <w:sz w:val="24"/>
          <w:szCs w:val="24"/>
          <w:highlight w:val="none"/>
          <w:lang w:val="en-US" w:eastAsia="zh-CN"/>
        </w:rPr>
      </w:pPr>
      <w:bookmarkStart w:id="161" w:name="_Toc11193"/>
    </w:p>
    <w:p w14:paraId="47CFF39F">
      <w:pPr>
        <w:pStyle w:val="9"/>
        <w:numPr>
          <w:ilvl w:val="0"/>
          <w:numId w:val="0"/>
        </w:numPr>
        <w:kinsoku w:val="0"/>
        <w:overflowPunct w:val="0"/>
        <w:spacing w:before="34" w:line="357" w:lineRule="auto"/>
        <w:ind w:right="126"/>
        <w:jc w:val="center"/>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技术部分</w:t>
      </w:r>
      <w:bookmarkEnd w:id="161"/>
    </w:p>
    <w:p w14:paraId="3A65CB6B">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、技术参数响应表</w:t>
      </w:r>
    </w:p>
    <w:p w14:paraId="461F3CA0">
      <w:pPr>
        <w:pStyle w:val="74"/>
        <w:spacing w:after="0"/>
        <w:ind w:firstLine="420"/>
        <w:jc w:val="center"/>
        <w:rPr>
          <w:rFonts w:hint="eastAsia" w:ascii="仿宋" w:hAnsi="仿宋" w:eastAsia="仿宋" w:cs="仿宋"/>
          <w:color w:val="auto"/>
          <w:sz w:val="24"/>
          <w:szCs w:val="24"/>
          <w:highlight w:val="none"/>
          <w:lang w:eastAsia="zh-CN"/>
        </w:rPr>
      </w:pPr>
    </w:p>
    <w:tbl>
      <w:tblPr>
        <w:tblStyle w:val="25"/>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104"/>
        <w:gridCol w:w="1299"/>
        <w:gridCol w:w="2658"/>
      </w:tblGrid>
      <w:tr w14:paraId="5773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F55856D">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序号</w:t>
            </w:r>
          </w:p>
        </w:tc>
        <w:tc>
          <w:tcPr>
            <w:tcW w:w="2154" w:type="dxa"/>
            <w:vAlign w:val="center"/>
          </w:tcPr>
          <w:p w14:paraId="747DFCC7">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一般</w:t>
            </w:r>
            <w:r>
              <w:rPr>
                <w:rFonts w:hint="eastAsia" w:ascii="仿宋" w:hAnsi="仿宋" w:eastAsia="仿宋" w:cs="仿宋"/>
                <w:color w:val="auto"/>
                <w:spacing w:val="-1"/>
                <w:sz w:val="24"/>
                <w:szCs w:val="24"/>
                <w:highlight w:val="none"/>
                <w:lang w:eastAsia="zh-CN"/>
              </w:rPr>
              <w:t>技术</w:t>
            </w:r>
            <w:r>
              <w:rPr>
                <w:rFonts w:hint="eastAsia" w:ascii="仿宋" w:hAnsi="仿宋" w:eastAsia="仿宋" w:cs="仿宋"/>
                <w:color w:val="auto"/>
                <w:spacing w:val="-1"/>
                <w:sz w:val="24"/>
                <w:szCs w:val="24"/>
                <w:highlight w:val="none"/>
              </w:rPr>
              <w:t>条款序号</w:t>
            </w:r>
          </w:p>
        </w:tc>
        <w:tc>
          <w:tcPr>
            <w:tcW w:w="2104" w:type="dxa"/>
            <w:vAlign w:val="center"/>
          </w:tcPr>
          <w:p w14:paraId="67AEC1B6">
            <w:pPr>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条款内容</w:t>
            </w:r>
          </w:p>
        </w:tc>
        <w:tc>
          <w:tcPr>
            <w:tcW w:w="1299" w:type="dxa"/>
            <w:vAlign w:val="center"/>
          </w:tcPr>
          <w:p w14:paraId="4B7DED5D">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是否响应</w:t>
            </w:r>
          </w:p>
        </w:tc>
        <w:tc>
          <w:tcPr>
            <w:tcW w:w="2658" w:type="dxa"/>
            <w:vAlign w:val="center"/>
          </w:tcPr>
          <w:p w14:paraId="3B3AB1E6">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偏离说明</w:t>
            </w:r>
          </w:p>
        </w:tc>
      </w:tr>
      <w:tr w14:paraId="7D30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ECFDE80">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w:t>
            </w:r>
          </w:p>
        </w:tc>
        <w:tc>
          <w:tcPr>
            <w:tcW w:w="2154" w:type="dxa"/>
            <w:vAlign w:val="center"/>
          </w:tcPr>
          <w:p w14:paraId="476D57B7">
            <w:pPr>
              <w:rPr>
                <w:rFonts w:hint="eastAsia" w:ascii="仿宋" w:hAnsi="仿宋" w:eastAsia="仿宋" w:cs="仿宋"/>
                <w:color w:val="auto"/>
                <w:spacing w:val="-1"/>
                <w:sz w:val="24"/>
                <w:szCs w:val="24"/>
                <w:highlight w:val="none"/>
              </w:rPr>
            </w:pPr>
          </w:p>
        </w:tc>
        <w:tc>
          <w:tcPr>
            <w:tcW w:w="2104" w:type="dxa"/>
            <w:vAlign w:val="center"/>
          </w:tcPr>
          <w:p w14:paraId="57BE9F8E">
            <w:pPr>
              <w:rPr>
                <w:rFonts w:hint="eastAsia" w:ascii="仿宋" w:hAnsi="仿宋" w:eastAsia="仿宋" w:cs="仿宋"/>
                <w:color w:val="auto"/>
                <w:spacing w:val="-1"/>
                <w:sz w:val="24"/>
                <w:szCs w:val="24"/>
                <w:highlight w:val="none"/>
              </w:rPr>
            </w:pPr>
          </w:p>
        </w:tc>
        <w:tc>
          <w:tcPr>
            <w:tcW w:w="1299" w:type="dxa"/>
            <w:vAlign w:val="center"/>
          </w:tcPr>
          <w:p w14:paraId="4A3CEBE6">
            <w:pPr>
              <w:rPr>
                <w:rFonts w:hint="eastAsia" w:ascii="仿宋" w:hAnsi="仿宋" w:eastAsia="仿宋" w:cs="仿宋"/>
                <w:color w:val="auto"/>
                <w:spacing w:val="-1"/>
                <w:sz w:val="24"/>
                <w:szCs w:val="24"/>
                <w:highlight w:val="none"/>
              </w:rPr>
            </w:pPr>
          </w:p>
        </w:tc>
        <w:tc>
          <w:tcPr>
            <w:tcW w:w="2658" w:type="dxa"/>
            <w:vAlign w:val="center"/>
          </w:tcPr>
          <w:p w14:paraId="005E45E1">
            <w:pPr>
              <w:rPr>
                <w:rFonts w:hint="eastAsia" w:ascii="仿宋" w:hAnsi="仿宋" w:eastAsia="仿宋" w:cs="仿宋"/>
                <w:color w:val="auto"/>
                <w:spacing w:val="-1"/>
                <w:sz w:val="24"/>
                <w:szCs w:val="24"/>
                <w:highlight w:val="none"/>
              </w:rPr>
            </w:pPr>
          </w:p>
        </w:tc>
      </w:tr>
      <w:tr w14:paraId="1340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B198F3C">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2</w:t>
            </w:r>
          </w:p>
        </w:tc>
        <w:tc>
          <w:tcPr>
            <w:tcW w:w="2154" w:type="dxa"/>
            <w:vAlign w:val="center"/>
          </w:tcPr>
          <w:p w14:paraId="26A15BE9">
            <w:pPr>
              <w:rPr>
                <w:rFonts w:hint="eastAsia" w:ascii="仿宋" w:hAnsi="仿宋" w:eastAsia="仿宋" w:cs="仿宋"/>
                <w:color w:val="auto"/>
                <w:spacing w:val="-1"/>
                <w:sz w:val="24"/>
                <w:szCs w:val="24"/>
                <w:highlight w:val="none"/>
              </w:rPr>
            </w:pPr>
          </w:p>
        </w:tc>
        <w:tc>
          <w:tcPr>
            <w:tcW w:w="2104" w:type="dxa"/>
            <w:vAlign w:val="center"/>
          </w:tcPr>
          <w:p w14:paraId="749037CA">
            <w:pPr>
              <w:rPr>
                <w:rFonts w:hint="eastAsia" w:ascii="仿宋" w:hAnsi="仿宋" w:eastAsia="仿宋" w:cs="仿宋"/>
                <w:color w:val="auto"/>
                <w:spacing w:val="-1"/>
                <w:sz w:val="24"/>
                <w:szCs w:val="24"/>
                <w:highlight w:val="none"/>
              </w:rPr>
            </w:pPr>
          </w:p>
        </w:tc>
        <w:tc>
          <w:tcPr>
            <w:tcW w:w="1299" w:type="dxa"/>
            <w:vAlign w:val="center"/>
          </w:tcPr>
          <w:p w14:paraId="640A5F54">
            <w:pPr>
              <w:rPr>
                <w:rFonts w:hint="eastAsia" w:ascii="仿宋" w:hAnsi="仿宋" w:eastAsia="仿宋" w:cs="仿宋"/>
                <w:color w:val="auto"/>
                <w:spacing w:val="-1"/>
                <w:sz w:val="24"/>
                <w:szCs w:val="24"/>
                <w:highlight w:val="none"/>
              </w:rPr>
            </w:pPr>
          </w:p>
        </w:tc>
        <w:tc>
          <w:tcPr>
            <w:tcW w:w="2658" w:type="dxa"/>
            <w:vAlign w:val="center"/>
          </w:tcPr>
          <w:p w14:paraId="483C688D">
            <w:pPr>
              <w:rPr>
                <w:rFonts w:hint="eastAsia" w:ascii="仿宋" w:hAnsi="仿宋" w:eastAsia="仿宋" w:cs="仿宋"/>
                <w:color w:val="auto"/>
                <w:spacing w:val="-1"/>
                <w:sz w:val="24"/>
                <w:szCs w:val="24"/>
                <w:highlight w:val="none"/>
              </w:rPr>
            </w:pPr>
          </w:p>
        </w:tc>
      </w:tr>
      <w:tr w14:paraId="1CC2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E720DF7">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3</w:t>
            </w:r>
          </w:p>
        </w:tc>
        <w:tc>
          <w:tcPr>
            <w:tcW w:w="2154" w:type="dxa"/>
            <w:vAlign w:val="center"/>
          </w:tcPr>
          <w:p w14:paraId="597883E0">
            <w:pPr>
              <w:rPr>
                <w:rFonts w:hint="eastAsia" w:ascii="仿宋" w:hAnsi="仿宋" w:eastAsia="仿宋" w:cs="仿宋"/>
                <w:color w:val="auto"/>
                <w:spacing w:val="-1"/>
                <w:sz w:val="24"/>
                <w:szCs w:val="24"/>
                <w:highlight w:val="none"/>
              </w:rPr>
            </w:pPr>
          </w:p>
        </w:tc>
        <w:tc>
          <w:tcPr>
            <w:tcW w:w="2104" w:type="dxa"/>
            <w:vAlign w:val="center"/>
          </w:tcPr>
          <w:p w14:paraId="4841BC3D">
            <w:pPr>
              <w:rPr>
                <w:rFonts w:hint="eastAsia" w:ascii="仿宋" w:hAnsi="仿宋" w:eastAsia="仿宋" w:cs="仿宋"/>
                <w:color w:val="auto"/>
                <w:spacing w:val="-1"/>
                <w:sz w:val="24"/>
                <w:szCs w:val="24"/>
                <w:highlight w:val="none"/>
              </w:rPr>
            </w:pPr>
          </w:p>
        </w:tc>
        <w:tc>
          <w:tcPr>
            <w:tcW w:w="1299" w:type="dxa"/>
            <w:vAlign w:val="center"/>
          </w:tcPr>
          <w:p w14:paraId="71E65507">
            <w:pPr>
              <w:rPr>
                <w:rFonts w:hint="eastAsia" w:ascii="仿宋" w:hAnsi="仿宋" w:eastAsia="仿宋" w:cs="仿宋"/>
                <w:color w:val="auto"/>
                <w:spacing w:val="-1"/>
                <w:sz w:val="24"/>
                <w:szCs w:val="24"/>
                <w:highlight w:val="none"/>
              </w:rPr>
            </w:pPr>
          </w:p>
        </w:tc>
        <w:tc>
          <w:tcPr>
            <w:tcW w:w="2658" w:type="dxa"/>
            <w:vAlign w:val="center"/>
          </w:tcPr>
          <w:p w14:paraId="38C4D06D">
            <w:pPr>
              <w:rPr>
                <w:rFonts w:hint="eastAsia" w:ascii="仿宋" w:hAnsi="仿宋" w:eastAsia="仿宋" w:cs="仿宋"/>
                <w:color w:val="auto"/>
                <w:spacing w:val="-1"/>
                <w:sz w:val="24"/>
                <w:szCs w:val="24"/>
                <w:highlight w:val="none"/>
              </w:rPr>
            </w:pPr>
          </w:p>
        </w:tc>
      </w:tr>
      <w:tr w14:paraId="668E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0765C53">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4</w:t>
            </w:r>
          </w:p>
        </w:tc>
        <w:tc>
          <w:tcPr>
            <w:tcW w:w="2154" w:type="dxa"/>
            <w:vAlign w:val="center"/>
          </w:tcPr>
          <w:p w14:paraId="28645D66">
            <w:pPr>
              <w:rPr>
                <w:rFonts w:hint="eastAsia" w:ascii="仿宋" w:hAnsi="仿宋" w:eastAsia="仿宋" w:cs="仿宋"/>
                <w:color w:val="auto"/>
                <w:spacing w:val="-1"/>
                <w:sz w:val="24"/>
                <w:szCs w:val="24"/>
                <w:highlight w:val="none"/>
              </w:rPr>
            </w:pPr>
          </w:p>
        </w:tc>
        <w:tc>
          <w:tcPr>
            <w:tcW w:w="2104" w:type="dxa"/>
            <w:vAlign w:val="center"/>
          </w:tcPr>
          <w:p w14:paraId="5CFC1AB4">
            <w:pPr>
              <w:rPr>
                <w:rFonts w:hint="eastAsia" w:ascii="仿宋" w:hAnsi="仿宋" w:eastAsia="仿宋" w:cs="仿宋"/>
                <w:color w:val="auto"/>
                <w:spacing w:val="-1"/>
                <w:sz w:val="24"/>
                <w:szCs w:val="24"/>
                <w:highlight w:val="none"/>
              </w:rPr>
            </w:pPr>
          </w:p>
        </w:tc>
        <w:tc>
          <w:tcPr>
            <w:tcW w:w="1299" w:type="dxa"/>
            <w:vAlign w:val="center"/>
          </w:tcPr>
          <w:p w14:paraId="7BBD1E0D">
            <w:pPr>
              <w:rPr>
                <w:rFonts w:hint="eastAsia" w:ascii="仿宋" w:hAnsi="仿宋" w:eastAsia="仿宋" w:cs="仿宋"/>
                <w:color w:val="auto"/>
                <w:spacing w:val="-1"/>
                <w:sz w:val="24"/>
                <w:szCs w:val="24"/>
                <w:highlight w:val="none"/>
              </w:rPr>
            </w:pPr>
          </w:p>
        </w:tc>
        <w:tc>
          <w:tcPr>
            <w:tcW w:w="2658" w:type="dxa"/>
            <w:vAlign w:val="center"/>
          </w:tcPr>
          <w:p w14:paraId="15EFAE18">
            <w:pPr>
              <w:rPr>
                <w:rFonts w:hint="eastAsia" w:ascii="仿宋" w:hAnsi="仿宋" w:eastAsia="仿宋" w:cs="仿宋"/>
                <w:color w:val="auto"/>
                <w:spacing w:val="-1"/>
                <w:sz w:val="24"/>
                <w:szCs w:val="24"/>
                <w:highlight w:val="none"/>
              </w:rPr>
            </w:pPr>
          </w:p>
        </w:tc>
      </w:tr>
      <w:tr w14:paraId="7289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F75C5F9">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5</w:t>
            </w:r>
          </w:p>
        </w:tc>
        <w:tc>
          <w:tcPr>
            <w:tcW w:w="2154" w:type="dxa"/>
            <w:vAlign w:val="center"/>
          </w:tcPr>
          <w:p w14:paraId="5B3AAA63">
            <w:pPr>
              <w:rPr>
                <w:rFonts w:hint="eastAsia" w:ascii="仿宋" w:hAnsi="仿宋" w:eastAsia="仿宋" w:cs="仿宋"/>
                <w:color w:val="auto"/>
                <w:spacing w:val="-1"/>
                <w:sz w:val="24"/>
                <w:szCs w:val="24"/>
                <w:highlight w:val="none"/>
              </w:rPr>
            </w:pPr>
          </w:p>
        </w:tc>
        <w:tc>
          <w:tcPr>
            <w:tcW w:w="2104" w:type="dxa"/>
            <w:vAlign w:val="center"/>
          </w:tcPr>
          <w:p w14:paraId="6CDF90BC">
            <w:pPr>
              <w:rPr>
                <w:rFonts w:hint="eastAsia" w:ascii="仿宋" w:hAnsi="仿宋" w:eastAsia="仿宋" w:cs="仿宋"/>
                <w:color w:val="auto"/>
                <w:spacing w:val="-1"/>
                <w:sz w:val="24"/>
                <w:szCs w:val="24"/>
                <w:highlight w:val="none"/>
              </w:rPr>
            </w:pPr>
          </w:p>
        </w:tc>
        <w:tc>
          <w:tcPr>
            <w:tcW w:w="1299" w:type="dxa"/>
            <w:vAlign w:val="center"/>
          </w:tcPr>
          <w:p w14:paraId="2B5747AC">
            <w:pPr>
              <w:rPr>
                <w:rFonts w:hint="eastAsia" w:ascii="仿宋" w:hAnsi="仿宋" w:eastAsia="仿宋" w:cs="仿宋"/>
                <w:color w:val="auto"/>
                <w:spacing w:val="-1"/>
                <w:sz w:val="24"/>
                <w:szCs w:val="24"/>
                <w:highlight w:val="none"/>
              </w:rPr>
            </w:pPr>
          </w:p>
        </w:tc>
        <w:tc>
          <w:tcPr>
            <w:tcW w:w="2658" w:type="dxa"/>
            <w:vAlign w:val="center"/>
          </w:tcPr>
          <w:p w14:paraId="2BB593BC">
            <w:pPr>
              <w:rPr>
                <w:rFonts w:hint="eastAsia" w:ascii="仿宋" w:hAnsi="仿宋" w:eastAsia="仿宋" w:cs="仿宋"/>
                <w:color w:val="auto"/>
                <w:spacing w:val="-1"/>
                <w:sz w:val="24"/>
                <w:szCs w:val="24"/>
                <w:highlight w:val="none"/>
              </w:rPr>
            </w:pPr>
          </w:p>
        </w:tc>
      </w:tr>
      <w:tr w14:paraId="03C0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75635FC">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6</w:t>
            </w:r>
          </w:p>
        </w:tc>
        <w:tc>
          <w:tcPr>
            <w:tcW w:w="2154" w:type="dxa"/>
            <w:vAlign w:val="center"/>
          </w:tcPr>
          <w:p w14:paraId="0FC48410">
            <w:pPr>
              <w:rPr>
                <w:rFonts w:hint="eastAsia" w:ascii="仿宋" w:hAnsi="仿宋" w:eastAsia="仿宋" w:cs="仿宋"/>
                <w:color w:val="auto"/>
                <w:spacing w:val="-1"/>
                <w:sz w:val="24"/>
                <w:szCs w:val="24"/>
                <w:highlight w:val="none"/>
              </w:rPr>
            </w:pPr>
          </w:p>
        </w:tc>
        <w:tc>
          <w:tcPr>
            <w:tcW w:w="2104" w:type="dxa"/>
            <w:vAlign w:val="center"/>
          </w:tcPr>
          <w:p w14:paraId="53E01E55">
            <w:pPr>
              <w:rPr>
                <w:rFonts w:hint="eastAsia" w:ascii="仿宋" w:hAnsi="仿宋" w:eastAsia="仿宋" w:cs="仿宋"/>
                <w:color w:val="auto"/>
                <w:spacing w:val="-1"/>
                <w:sz w:val="24"/>
                <w:szCs w:val="24"/>
                <w:highlight w:val="none"/>
              </w:rPr>
            </w:pPr>
          </w:p>
        </w:tc>
        <w:tc>
          <w:tcPr>
            <w:tcW w:w="1299" w:type="dxa"/>
            <w:vAlign w:val="center"/>
          </w:tcPr>
          <w:p w14:paraId="0005326D">
            <w:pPr>
              <w:rPr>
                <w:rFonts w:hint="eastAsia" w:ascii="仿宋" w:hAnsi="仿宋" w:eastAsia="仿宋" w:cs="仿宋"/>
                <w:color w:val="auto"/>
                <w:spacing w:val="-1"/>
                <w:sz w:val="24"/>
                <w:szCs w:val="24"/>
                <w:highlight w:val="none"/>
              </w:rPr>
            </w:pPr>
          </w:p>
        </w:tc>
        <w:tc>
          <w:tcPr>
            <w:tcW w:w="2658" w:type="dxa"/>
            <w:vAlign w:val="center"/>
          </w:tcPr>
          <w:p w14:paraId="5FF60E46">
            <w:pPr>
              <w:rPr>
                <w:rFonts w:hint="eastAsia" w:ascii="仿宋" w:hAnsi="仿宋" w:eastAsia="仿宋" w:cs="仿宋"/>
                <w:color w:val="auto"/>
                <w:spacing w:val="-1"/>
                <w:sz w:val="24"/>
                <w:szCs w:val="24"/>
                <w:highlight w:val="none"/>
              </w:rPr>
            </w:pPr>
          </w:p>
        </w:tc>
      </w:tr>
      <w:tr w14:paraId="19E2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CD70322">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7</w:t>
            </w:r>
          </w:p>
        </w:tc>
        <w:tc>
          <w:tcPr>
            <w:tcW w:w="2154" w:type="dxa"/>
            <w:vAlign w:val="center"/>
          </w:tcPr>
          <w:p w14:paraId="0660C9E1">
            <w:pPr>
              <w:rPr>
                <w:rFonts w:hint="eastAsia" w:ascii="仿宋" w:hAnsi="仿宋" w:eastAsia="仿宋" w:cs="仿宋"/>
                <w:color w:val="auto"/>
                <w:spacing w:val="-1"/>
                <w:sz w:val="24"/>
                <w:szCs w:val="24"/>
                <w:highlight w:val="none"/>
              </w:rPr>
            </w:pPr>
          </w:p>
        </w:tc>
        <w:tc>
          <w:tcPr>
            <w:tcW w:w="2104" w:type="dxa"/>
            <w:vAlign w:val="center"/>
          </w:tcPr>
          <w:p w14:paraId="30F293EC">
            <w:pPr>
              <w:rPr>
                <w:rFonts w:hint="eastAsia" w:ascii="仿宋" w:hAnsi="仿宋" w:eastAsia="仿宋" w:cs="仿宋"/>
                <w:color w:val="auto"/>
                <w:spacing w:val="-1"/>
                <w:sz w:val="24"/>
                <w:szCs w:val="24"/>
                <w:highlight w:val="none"/>
              </w:rPr>
            </w:pPr>
          </w:p>
        </w:tc>
        <w:tc>
          <w:tcPr>
            <w:tcW w:w="1299" w:type="dxa"/>
            <w:vAlign w:val="center"/>
          </w:tcPr>
          <w:p w14:paraId="68B8031E">
            <w:pPr>
              <w:rPr>
                <w:rFonts w:hint="eastAsia" w:ascii="仿宋" w:hAnsi="仿宋" w:eastAsia="仿宋" w:cs="仿宋"/>
                <w:color w:val="auto"/>
                <w:spacing w:val="-1"/>
                <w:sz w:val="24"/>
                <w:szCs w:val="24"/>
                <w:highlight w:val="none"/>
              </w:rPr>
            </w:pPr>
          </w:p>
        </w:tc>
        <w:tc>
          <w:tcPr>
            <w:tcW w:w="2658" w:type="dxa"/>
            <w:vAlign w:val="center"/>
          </w:tcPr>
          <w:p w14:paraId="35261957">
            <w:pPr>
              <w:rPr>
                <w:rFonts w:hint="eastAsia" w:ascii="仿宋" w:hAnsi="仿宋" w:eastAsia="仿宋" w:cs="仿宋"/>
                <w:color w:val="auto"/>
                <w:spacing w:val="-1"/>
                <w:sz w:val="24"/>
                <w:szCs w:val="24"/>
                <w:highlight w:val="none"/>
              </w:rPr>
            </w:pPr>
          </w:p>
        </w:tc>
      </w:tr>
      <w:tr w14:paraId="4FA5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65F45DC">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8</w:t>
            </w:r>
          </w:p>
        </w:tc>
        <w:tc>
          <w:tcPr>
            <w:tcW w:w="2154" w:type="dxa"/>
            <w:vAlign w:val="center"/>
          </w:tcPr>
          <w:p w14:paraId="4A5D8640">
            <w:pPr>
              <w:rPr>
                <w:rFonts w:hint="eastAsia" w:ascii="仿宋" w:hAnsi="仿宋" w:eastAsia="仿宋" w:cs="仿宋"/>
                <w:color w:val="auto"/>
                <w:spacing w:val="-1"/>
                <w:sz w:val="24"/>
                <w:szCs w:val="24"/>
                <w:highlight w:val="none"/>
              </w:rPr>
            </w:pPr>
          </w:p>
        </w:tc>
        <w:tc>
          <w:tcPr>
            <w:tcW w:w="2104" w:type="dxa"/>
            <w:vAlign w:val="center"/>
          </w:tcPr>
          <w:p w14:paraId="6EBFCC3F">
            <w:pPr>
              <w:rPr>
                <w:rFonts w:hint="eastAsia" w:ascii="仿宋" w:hAnsi="仿宋" w:eastAsia="仿宋" w:cs="仿宋"/>
                <w:color w:val="auto"/>
                <w:spacing w:val="-1"/>
                <w:sz w:val="24"/>
                <w:szCs w:val="24"/>
                <w:highlight w:val="none"/>
              </w:rPr>
            </w:pPr>
          </w:p>
        </w:tc>
        <w:tc>
          <w:tcPr>
            <w:tcW w:w="1299" w:type="dxa"/>
            <w:vAlign w:val="center"/>
          </w:tcPr>
          <w:p w14:paraId="05216A3E">
            <w:pPr>
              <w:rPr>
                <w:rFonts w:hint="eastAsia" w:ascii="仿宋" w:hAnsi="仿宋" w:eastAsia="仿宋" w:cs="仿宋"/>
                <w:color w:val="auto"/>
                <w:spacing w:val="-1"/>
                <w:sz w:val="24"/>
                <w:szCs w:val="24"/>
                <w:highlight w:val="none"/>
              </w:rPr>
            </w:pPr>
          </w:p>
        </w:tc>
        <w:tc>
          <w:tcPr>
            <w:tcW w:w="2658" w:type="dxa"/>
            <w:vAlign w:val="center"/>
          </w:tcPr>
          <w:p w14:paraId="548DA789">
            <w:pPr>
              <w:rPr>
                <w:rFonts w:hint="eastAsia" w:ascii="仿宋" w:hAnsi="仿宋" w:eastAsia="仿宋" w:cs="仿宋"/>
                <w:color w:val="auto"/>
                <w:spacing w:val="-1"/>
                <w:sz w:val="24"/>
                <w:szCs w:val="24"/>
                <w:highlight w:val="none"/>
              </w:rPr>
            </w:pPr>
          </w:p>
        </w:tc>
      </w:tr>
      <w:tr w14:paraId="1DA6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52262D9">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9</w:t>
            </w:r>
          </w:p>
        </w:tc>
        <w:tc>
          <w:tcPr>
            <w:tcW w:w="2154" w:type="dxa"/>
            <w:vAlign w:val="center"/>
          </w:tcPr>
          <w:p w14:paraId="1487A843">
            <w:pPr>
              <w:rPr>
                <w:rFonts w:hint="eastAsia" w:ascii="仿宋" w:hAnsi="仿宋" w:eastAsia="仿宋" w:cs="仿宋"/>
                <w:color w:val="auto"/>
                <w:spacing w:val="-1"/>
                <w:sz w:val="24"/>
                <w:szCs w:val="24"/>
                <w:highlight w:val="none"/>
              </w:rPr>
            </w:pPr>
          </w:p>
        </w:tc>
        <w:tc>
          <w:tcPr>
            <w:tcW w:w="2104" w:type="dxa"/>
            <w:vAlign w:val="center"/>
          </w:tcPr>
          <w:p w14:paraId="23352AA3">
            <w:pPr>
              <w:rPr>
                <w:rFonts w:hint="eastAsia" w:ascii="仿宋" w:hAnsi="仿宋" w:eastAsia="仿宋" w:cs="仿宋"/>
                <w:color w:val="auto"/>
                <w:spacing w:val="-1"/>
                <w:sz w:val="24"/>
                <w:szCs w:val="24"/>
                <w:highlight w:val="none"/>
              </w:rPr>
            </w:pPr>
          </w:p>
        </w:tc>
        <w:tc>
          <w:tcPr>
            <w:tcW w:w="1299" w:type="dxa"/>
            <w:vAlign w:val="center"/>
          </w:tcPr>
          <w:p w14:paraId="4D37A245">
            <w:pPr>
              <w:rPr>
                <w:rFonts w:hint="eastAsia" w:ascii="仿宋" w:hAnsi="仿宋" w:eastAsia="仿宋" w:cs="仿宋"/>
                <w:color w:val="auto"/>
                <w:spacing w:val="-1"/>
                <w:sz w:val="24"/>
                <w:szCs w:val="24"/>
                <w:highlight w:val="none"/>
              </w:rPr>
            </w:pPr>
          </w:p>
        </w:tc>
        <w:tc>
          <w:tcPr>
            <w:tcW w:w="2658" w:type="dxa"/>
            <w:vAlign w:val="center"/>
          </w:tcPr>
          <w:p w14:paraId="1CEAF38A">
            <w:pPr>
              <w:rPr>
                <w:rFonts w:hint="eastAsia" w:ascii="仿宋" w:hAnsi="仿宋" w:eastAsia="仿宋" w:cs="仿宋"/>
                <w:color w:val="auto"/>
                <w:spacing w:val="-1"/>
                <w:sz w:val="24"/>
                <w:szCs w:val="24"/>
                <w:highlight w:val="none"/>
              </w:rPr>
            </w:pPr>
          </w:p>
        </w:tc>
      </w:tr>
      <w:tr w14:paraId="3746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995357B">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10</w:t>
            </w:r>
          </w:p>
        </w:tc>
        <w:tc>
          <w:tcPr>
            <w:tcW w:w="2154" w:type="dxa"/>
            <w:vAlign w:val="center"/>
          </w:tcPr>
          <w:p w14:paraId="64A3BBBF">
            <w:pPr>
              <w:rPr>
                <w:rFonts w:hint="eastAsia" w:ascii="仿宋" w:hAnsi="仿宋" w:eastAsia="仿宋" w:cs="仿宋"/>
                <w:color w:val="auto"/>
                <w:spacing w:val="-1"/>
                <w:sz w:val="24"/>
                <w:szCs w:val="24"/>
                <w:highlight w:val="none"/>
              </w:rPr>
            </w:pPr>
          </w:p>
        </w:tc>
        <w:tc>
          <w:tcPr>
            <w:tcW w:w="2104" w:type="dxa"/>
            <w:vAlign w:val="center"/>
          </w:tcPr>
          <w:p w14:paraId="7CAB836E">
            <w:pPr>
              <w:rPr>
                <w:rFonts w:hint="eastAsia" w:ascii="仿宋" w:hAnsi="仿宋" w:eastAsia="仿宋" w:cs="仿宋"/>
                <w:color w:val="auto"/>
                <w:spacing w:val="-1"/>
                <w:sz w:val="24"/>
                <w:szCs w:val="24"/>
                <w:highlight w:val="none"/>
              </w:rPr>
            </w:pPr>
          </w:p>
        </w:tc>
        <w:tc>
          <w:tcPr>
            <w:tcW w:w="1299" w:type="dxa"/>
            <w:vAlign w:val="center"/>
          </w:tcPr>
          <w:p w14:paraId="5D08216E">
            <w:pPr>
              <w:rPr>
                <w:rFonts w:hint="eastAsia" w:ascii="仿宋" w:hAnsi="仿宋" w:eastAsia="仿宋" w:cs="仿宋"/>
                <w:color w:val="auto"/>
                <w:spacing w:val="-1"/>
                <w:sz w:val="24"/>
                <w:szCs w:val="24"/>
                <w:highlight w:val="none"/>
              </w:rPr>
            </w:pPr>
          </w:p>
        </w:tc>
        <w:tc>
          <w:tcPr>
            <w:tcW w:w="2658" w:type="dxa"/>
            <w:vAlign w:val="center"/>
          </w:tcPr>
          <w:p w14:paraId="432EB300">
            <w:pPr>
              <w:rPr>
                <w:rFonts w:hint="eastAsia" w:ascii="仿宋" w:hAnsi="仿宋" w:eastAsia="仿宋" w:cs="仿宋"/>
                <w:color w:val="auto"/>
                <w:spacing w:val="-1"/>
                <w:sz w:val="24"/>
                <w:szCs w:val="24"/>
                <w:highlight w:val="none"/>
              </w:rPr>
            </w:pPr>
          </w:p>
        </w:tc>
      </w:tr>
      <w:tr w14:paraId="07A0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ED0FD4E">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11</w:t>
            </w:r>
          </w:p>
        </w:tc>
        <w:tc>
          <w:tcPr>
            <w:tcW w:w="2154" w:type="dxa"/>
            <w:vAlign w:val="center"/>
          </w:tcPr>
          <w:p w14:paraId="400ABF06">
            <w:pPr>
              <w:rPr>
                <w:rFonts w:hint="eastAsia" w:ascii="仿宋" w:hAnsi="仿宋" w:eastAsia="仿宋" w:cs="仿宋"/>
                <w:color w:val="auto"/>
                <w:spacing w:val="-1"/>
                <w:sz w:val="24"/>
                <w:szCs w:val="24"/>
                <w:highlight w:val="none"/>
              </w:rPr>
            </w:pPr>
          </w:p>
        </w:tc>
        <w:tc>
          <w:tcPr>
            <w:tcW w:w="2104" w:type="dxa"/>
            <w:vAlign w:val="center"/>
          </w:tcPr>
          <w:p w14:paraId="177C5004">
            <w:pPr>
              <w:rPr>
                <w:rFonts w:hint="eastAsia" w:ascii="仿宋" w:hAnsi="仿宋" w:eastAsia="仿宋" w:cs="仿宋"/>
                <w:color w:val="auto"/>
                <w:spacing w:val="-1"/>
                <w:sz w:val="24"/>
                <w:szCs w:val="24"/>
                <w:highlight w:val="none"/>
              </w:rPr>
            </w:pPr>
          </w:p>
        </w:tc>
        <w:tc>
          <w:tcPr>
            <w:tcW w:w="1299" w:type="dxa"/>
            <w:vAlign w:val="center"/>
          </w:tcPr>
          <w:p w14:paraId="43E26DF2">
            <w:pPr>
              <w:rPr>
                <w:rFonts w:hint="eastAsia" w:ascii="仿宋" w:hAnsi="仿宋" w:eastAsia="仿宋" w:cs="仿宋"/>
                <w:color w:val="auto"/>
                <w:spacing w:val="-1"/>
                <w:sz w:val="24"/>
                <w:szCs w:val="24"/>
                <w:highlight w:val="none"/>
              </w:rPr>
            </w:pPr>
          </w:p>
        </w:tc>
        <w:tc>
          <w:tcPr>
            <w:tcW w:w="2658" w:type="dxa"/>
            <w:vAlign w:val="center"/>
          </w:tcPr>
          <w:p w14:paraId="056797A2">
            <w:pPr>
              <w:rPr>
                <w:rFonts w:hint="eastAsia" w:ascii="仿宋" w:hAnsi="仿宋" w:eastAsia="仿宋" w:cs="仿宋"/>
                <w:color w:val="auto"/>
                <w:spacing w:val="-1"/>
                <w:sz w:val="24"/>
                <w:szCs w:val="24"/>
                <w:highlight w:val="none"/>
              </w:rPr>
            </w:pPr>
          </w:p>
        </w:tc>
      </w:tr>
      <w:tr w14:paraId="5615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D680534">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12</w:t>
            </w:r>
          </w:p>
        </w:tc>
        <w:tc>
          <w:tcPr>
            <w:tcW w:w="2154" w:type="dxa"/>
            <w:vAlign w:val="center"/>
          </w:tcPr>
          <w:p w14:paraId="64D241D1">
            <w:pPr>
              <w:rPr>
                <w:rFonts w:hint="eastAsia" w:ascii="仿宋" w:hAnsi="仿宋" w:eastAsia="仿宋" w:cs="仿宋"/>
                <w:color w:val="auto"/>
                <w:spacing w:val="-1"/>
                <w:sz w:val="24"/>
                <w:szCs w:val="24"/>
                <w:highlight w:val="none"/>
              </w:rPr>
            </w:pPr>
          </w:p>
        </w:tc>
        <w:tc>
          <w:tcPr>
            <w:tcW w:w="2104" w:type="dxa"/>
            <w:vAlign w:val="center"/>
          </w:tcPr>
          <w:p w14:paraId="6CDF504D">
            <w:pPr>
              <w:rPr>
                <w:rFonts w:hint="eastAsia" w:ascii="仿宋" w:hAnsi="仿宋" w:eastAsia="仿宋" w:cs="仿宋"/>
                <w:color w:val="auto"/>
                <w:spacing w:val="-1"/>
                <w:sz w:val="24"/>
                <w:szCs w:val="24"/>
                <w:highlight w:val="none"/>
              </w:rPr>
            </w:pPr>
          </w:p>
        </w:tc>
        <w:tc>
          <w:tcPr>
            <w:tcW w:w="1299" w:type="dxa"/>
            <w:vAlign w:val="center"/>
          </w:tcPr>
          <w:p w14:paraId="43F00E29">
            <w:pPr>
              <w:rPr>
                <w:rFonts w:hint="eastAsia" w:ascii="仿宋" w:hAnsi="仿宋" w:eastAsia="仿宋" w:cs="仿宋"/>
                <w:color w:val="auto"/>
                <w:spacing w:val="-1"/>
                <w:sz w:val="24"/>
                <w:szCs w:val="24"/>
                <w:highlight w:val="none"/>
              </w:rPr>
            </w:pPr>
          </w:p>
        </w:tc>
        <w:tc>
          <w:tcPr>
            <w:tcW w:w="2658" w:type="dxa"/>
            <w:vAlign w:val="center"/>
          </w:tcPr>
          <w:p w14:paraId="45BF64BF">
            <w:pPr>
              <w:rPr>
                <w:rFonts w:hint="eastAsia" w:ascii="仿宋" w:hAnsi="仿宋" w:eastAsia="仿宋" w:cs="仿宋"/>
                <w:color w:val="auto"/>
                <w:spacing w:val="-1"/>
                <w:sz w:val="24"/>
                <w:szCs w:val="24"/>
                <w:highlight w:val="none"/>
              </w:rPr>
            </w:pPr>
          </w:p>
        </w:tc>
      </w:tr>
      <w:tr w14:paraId="258E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E42FACF">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13</w:t>
            </w:r>
          </w:p>
        </w:tc>
        <w:tc>
          <w:tcPr>
            <w:tcW w:w="2154" w:type="dxa"/>
            <w:vAlign w:val="center"/>
          </w:tcPr>
          <w:p w14:paraId="14121AF5">
            <w:pPr>
              <w:rPr>
                <w:rFonts w:hint="eastAsia" w:ascii="仿宋" w:hAnsi="仿宋" w:eastAsia="仿宋" w:cs="仿宋"/>
                <w:color w:val="auto"/>
                <w:spacing w:val="-1"/>
                <w:sz w:val="24"/>
                <w:szCs w:val="24"/>
                <w:highlight w:val="none"/>
              </w:rPr>
            </w:pPr>
          </w:p>
        </w:tc>
        <w:tc>
          <w:tcPr>
            <w:tcW w:w="2104" w:type="dxa"/>
            <w:vAlign w:val="center"/>
          </w:tcPr>
          <w:p w14:paraId="11E3DFF2">
            <w:pPr>
              <w:rPr>
                <w:rFonts w:hint="eastAsia" w:ascii="仿宋" w:hAnsi="仿宋" w:eastAsia="仿宋" w:cs="仿宋"/>
                <w:color w:val="auto"/>
                <w:spacing w:val="-1"/>
                <w:sz w:val="24"/>
                <w:szCs w:val="24"/>
                <w:highlight w:val="none"/>
              </w:rPr>
            </w:pPr>
          </w:p>
        </w:tc>
        <w:tc>
          <w:tcPr>
            <w:tcW w:w="1299" w:type="dxa"/>
            <w:vAlign w:val="center"/>
          </w:tcPr>
          <w:p w14:paraId="61C9DE10">
            <w:pPr>
              <w:rPr>
                <w:rFonts w:hint="eastAsia" w:ascii="仿宋" w:hAnsi="仿宋" w:eastAsia="仿宋" w:cs="仿宋"/>
                <w:color w:val="auto"/>
                <w:spacing w:val="-1"/>
                <w:sz w:val="24"/>
                <w:szCs w:val="24"/>
                <w:highlight w:val="none"/>
              </w:rPr>
            </w:pPr>
          </w:p>
        </w:tc>
        <w:tc>
          <w:tcPr>
            <w:tcW w:w="2658" w:type="dxa"/>
            <w:vAlign w:val="center"/>
          </w:tcPr>
          <w:p w14:paraId="7652A1BB">
            <w:pPr>
              <w:rPr>
                <w:rFonts w:hint="eastAsia" w:ascii="仿宋" w:hAnsi="仿宋" w:eastAsia="仿宋" w:cs="仿宋"/>
                <w:color w:val="auto"/>
                <w:spacing w:val="-1"/>
                <w:sz w:val="24"/>
                <w:szCs w:val="24"/>
                <w:highlight w:val="none"/>
              </w:rPr>
            </w:pPr>
          </w:p>
        </w:tc>
      </w:tr>
      <w:tr w14:paraId="0243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4ECBE21">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14</w:t>
            </w:r>
          </w:p>
        </w:tc>
        <w:tc>
          <w:tcPr>
            <w:tcW w:w="2154" w:type="dxa"/>
            <w:vAlign w:val="center"/>
          </w:tcPr>
          <w:p w14:paraId="5A346416">
            <w:pPr>
              <w:rPr>
                <w:rFonts w:hint="eastAsia" w:ascii="仿宋" w:hAnsi="仿宋" w:eastAsia="仿宋" w:cs="仿宋"/>
                <w:color w:val="auto"/>
                <w:spacing w:val="-1"/>
                <w:sz w:val="24"/>
                <w:szCs w:val="24"/>
                <w:highlight w:val="none"/>
              </w:rPr>
            </w:pPr>
          </w:p>
        </w:tc>
        <w:tc>
          <w:tcPr>
            <w:tcW w:w="2104" w:type="dxa"/>
            <w:vAlign w:val="center"/>
          </w:tcPr>
          <w:p w14:paraId="636CFCA4">
            <w:pPr>
              <w:rPr>
                <w:rFonts w:hint="eastAsia" w:ascii="仿宋" w:hAnsi="仿宋" w:eastAsia="仿宋" w:cs="仿宋"/>
                <w:color w:val="auto"/>
                <w:spacing w:val="-1"/>
                <w:sz w:val="24"/>
                <w:szCs w:val="24"/>
                <w:highlight w:val="none"/>
              </w:rPr>
            </w:pPr>
          </w:p>
        </w:tc>
        <w:tc>
          <w:tcPr>
            <w:tcW w:w="1299" w:type="dxa"/>
            <w:vAlign w:val="center"/>
          </w:tcPr>
          <w:p w14:paraId="37492D13">
            <w:pPr>
              <w:rPr>
                <w:rFonts w:hint="eastAsia" w:ascii="仿宋" w:hAnsi="仿宋" w:eastAsia="仿宋" w:cs="仿宋"/>
                <w:color w:val="auto"/>
                <w:spacing w:val="-1"/>
                <w:sz w:val="24"/>
                <w:szCs w:val="24"/>
                <w:highlight w:val="none"/>
              </w:rPr>
            </w:pPr>
          </w:p>
        </w:tc>
        <w:tc>
          <w:tcPr>
            <w:tcW w:w="2658" w:type="dxa"/>
            <w:vAlign w:val="center"/>
          </w:tcPr>
          <w:p w14:paraId="18107CA4">
            <w:pPr>
              <w:rPr>
                <w:rFonts w:hint="eastAsia" w:ascii="仿宋" w:hAnsi="仿宋" w:eastAsia="仿宋" w:cs="仿宋"/>
                <w:color w:val="auto"/>
                <w:spacing w:val="-1"/>
                <w:sz w:val="24"/>
                <w:szCs w:val="24"/>
                <w:highlight w:val="none"/>
              </w:rPr>
            </w:pPr>
          </w:p>
        </w:tc>
      </w:tr>
      <w:tr w14:paraId="592F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13A236D">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15</w:t>
            </w:r>
          </w:p>
        </w:tc>
        <w:tc>
          <w:tcPr>
            <w:tcW w:w="2154" w:type="dxa"/>
            <w:vAlign w:val="center"/>
          </w:tcPr>
          <w:p w14:paraId="7F430496">
            <w:pPr>
              <w:rPr>
                <w:rFonts w:hint="eastAsia" w:ascii="仿宋" w:hAnsi="仿宋" w:eastAsia="仿宋" w:cs="仿宋"/>
                <w:color w:val="auto"/>
                <w:spacing w:val="-1"/>
                <w:sz w:val="24"/>
                <w:szCs w:val="24"/>
                <w:highlight w:val="none"/>
              </w:rPr>
            </w:pPr>
          </w:p>
        </w:tc>
        <w:tc>
          <w:tcPr>
            <w:tcW w:w="2104" w:type="dxa"/>
            <w:vAlign w:val="center"/>
          </w:tcPr>
          <w:p w14:paraId="2F545C5B">
            <w:pPr>
              <w:rPr>
                <w:rFonts w:hint="eastAsia" w:ascii="仿宋" w:hAnsi="仿宋" w:eastAsia="仿宋" w:cs="仿宋"/>
                <w:color w:val="auto"/>
                <w:spacing w:val="-1"/>
                <w:sz w:val="24"/>
                <w:szCs w:val="24"/>
                <w:highlight w:val="none"/>
              </w:rPr>
            </w:pPr>
          </w:p>
        </w:tc>
        <w:tc>
          <w:tcPr>
            <w:tcW w:w="1299" w:type="dxa"/>
            <w:vAlign w:val="center"/>
          </w:tcPr>
          <w:p w14:paraId="2B684899">
            <w:pPr>
              <w:rPr>
                <w:rFonts w:hint="eastAsia" w:ascii="仿宋" w:hAnsi="仿宋" w:eastAsia="仿宋" w:cs="仿宋"/>
                <w:color w:val="auto"/>
                <w:spacing w:val="-1"/>
                <w:sz w:val="24"/>
                <w:szCs w:val="24"/>
                <w:highlight w:val="none"/>
              </w:rPr>
            </w:pPr>
          </w:p>
        </w:tc>
        <w:tc>
          <w:tcPr>
            <w:tcW w:w="2658" w:type="dxa"/>
            <w:vAlign w:val="center"/>
          </w:tcPr>
          <w:p w14:paraId="50A828DF">
            <w:pPr>
              <w:rPr>
                <w:rFonts w:hint="eastAsia" w:ascii="仿宋" w:hAnsi="仿宋" w:eastAsia="仿宋" w:cs="仿宋"/>
                <w:color w:val="auto"/>
                <w:spacing w:val="-1"/>
                <w:sz w:val="24"/>
                <w:szCs w:val="24"/>
                <w:highlight w:val="none"/>
              </w:rPr>
            </w:pPr>
          </w:p>
        </w:tc>
      </w:tr>
    </w:tbl>
    <w:p w14:paraId="4149C72D">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注：请在“偏离说明”栏内扼要说明偏离情况，如无偏离则不需列明。</w:t>
      </w:r>
    </w:p>
    <w:p w14:paraId="0B90F1ED">
      <w:pPr>
        <w:rPr>
          <w:rFonts w:hint="eastAsia" w:ascii="仿宋" w:hAnsi="仿宋" w:eastAsia="仿宋" w:cs="仿宋"/>
          <w:color w:val="auto"/>
          <w:sz w:val="24"/>
          <w:szCs w:val="24"/>
          <w:highlight w:val="none"/>
        </w:rPr>
      </w:pPr>
    </w:p>
    <w:p w14:paraId="4A7BED69">
      <w:pPr>
        <w:rPr>
          <w:rFonts w:hint="eastAsia" w:ascii="仿宋" w:hAnsi="仿宋" w:eastAsia="仿宋" w:cs="仿宋"/>
          <w:color w:val="auto"/>
          <w:sz w:val="24"/>
          <w:szCs w:val="24"/>
          <w:highlight w:val="none"/>
        </w:rPr>
      </w:pPr>
    </w:p>
    <w:p w14:paraId="27BDB535">
      <w:pPr>
        <w:rPr>
          <w:rFonts w:hint="eastAsia" w:ascii="仿宋" w:hAnsi="仿宋" w:eastAsia="仿宋" w:cs="仿宋"/>
          <w:color w:val="auto"/>
          <w:sz w:val="24"/>
          <w:szCs w:val="24"/>
          <w:highlight w:val="none"/>
        </w:rPr>
      </w:pPr>
    </w:p>
    <w:p w14:paraId="54980E72">
      <w:pPr>
        <w:rPr>
          <w:rFonts w:hint="eastAsia" w:ascii="仿宋" w:hAnsi="仿宋" w:eastAsia="仿宋" w:cs="仿宋"/>
          <w:color w:val="auto"/>
          <w:sz w:val="24"/>
          <w:szCs w:val="24"/>
          <w:highlight w:val="none"/>
        </w:rPr>
      </w:pPr>
    </w:p>
    <w:p w14:paraId="6F6A615C">
      <w:pPr>
        <w:rPr>
          <w:rFonts w:hint="eastAsia" w:ascii="仿宋" w:hAnsi="仿宋" w:eastAsia="仿宋" w:cs="仿宋"/>
          <w:color w:val="auto"/>
          <w:sz w:val="24"/>
          <w:szCs w:val="24"/>
          <w:highlight w:val="none"/>
        </w:rPr>
      </w:pPr>
    </w:p>
    <w:p w14:paraId="6AA831B4">
      <w:pPr>
        <w:rPr>
          <w:rFonts w:hint="eastAsia" w:ascii="仿宋" w:hAnsi="仿宋" w:eastAsia="仿宋" w:cs="仿宋"/>
          <w:color w:val="auto"/>
          <w:sz w:val="24"/>
          <w:szCs w:val="24"/>
          <w:highlight w:val="none"/>
        </w:rPr>
      </w:pPr>
    </w:p>
    <w:p w14:paraId="46805BC5">
      <w:pPr>
        <w:rPr>
          <w:rFonts w:hint="eastAsia" w:ascii="仿宋" w:hAnsi="仿宋" w:eastAsia="仿宋" w:cs="仿宋"/>
          <w:color w:val="auto"/>
          <w:sz w:val="24"/>
          <w:szCs w:val="24"/>
          <w:highlight w:val="none"/>
        </w:rPr>
      </w:pPr>
    </w:p>
    <w:p w14:paraId="3C4142EE">
      <w:pPr>
        <w:rPr>
          <w:rFonts w:hint="eastAsia" w:ascii="仿宋" w:hAnsi="仿宋" w:eastAsia="仿宋" w:cs="仿宋"/>
          <w:color w:val="auto"/>
          <w:sz w:val="24"/>
          <w:szCs w:val="24"/>
          <w:highlight w:val="none"/>
        </w:rPr>
      </w:pPr>
    </w:p>
    <w:p w14:paraId="0486D68E">
      <w:pPr>
        <w:rPr>
          <w:rFonts w:hint="eastAsia" w:ascii="仿宋" w:hAnsi="仿宋" w:eastAsia="仿宋" w:cs="仿宋"/>
          <w:color w:val="auto"/>
          <w:sz w:val="24"/>
          <w:szCs w:val="24"/>
          <w:highlight w:val="none"/>
        </w:rPr>
      </w:pPr>
    </w:p>
    <w:p w14:paraId="54ADD4FA">
      <w:pPr>
        <w:rPr>
          <w:rFonts w:hint="eastAsia" w:ascii="仿宋" w:hAnsi="仿宋" w:eastAsia="仿宋" w:cs="仿宋"/>
          <w:color w:val="auto"/>
          <w:sz w:val="24"/>
          <w:szCs w:val="24"/>
          <w:highlight w:val="none"/>
        </w:rPr>
      </w:pPr>
    </w:p>
    <w:p w14:paraId="57B7E847">
      <w:pPr>
        <w:pStyle w:val="40"/>
        <w:rPr>
          <w:rFonts w:hint="eastAsia" w:ascii="仿宋" w:hAnsi="仿宋" w:eastAsia="仿宋" w:cs="仿宋"/>
          <w:color w:val="auto"/>
          <w:sz w:val="24"/>
          <w:szCs w:val="24"/>
          <w:highlight w:val="none"/>
        </w:rPr>
      </w:pPr>
    </w:p>
    <w:p w14:paraId="06DC9D9B">
      <w:pPr>
        <w:rPr>
          <w:rFonts w:hint="eastAsia" w:ascii="仿宋" w:hAnsi="仿宋" w:eastAsia="仿宋" w:cs="仿宋"/>
          <w:color w:val="auto"/>
          <w:sz w:val="24"/>
          <w:szCs w:val="24"/>
          <w:highlight w:val="none"/>
        </w:rPr>
      </w:pPr>
    </w:p>
    <w:p w14:paraId="629C5F0F">
      <w:pPr>
        <w:rPr>
          <w:rFonts w:hint="eastAsia" w:ascii="仿宋" w:hAnsi="仿宋" w:eastAsia="仿宋" w:cs="仿宋"/>
          <w:color w:val="auto"/>
          <w:sz w:val="24"/>
          <w:szCs w:val="24"/>
          <w:highlight w:val="none"/>
        </w:rPr>
      </w:pPr>
    </w:p>
    <w:p w14:paraId="1A609CC1">
      <w:pPr>
        <w:rPr>
          <w:rFonts w:hint="eastAsia" w:ascii="仿宋" w:hAnsi="仿宋" w:eastAsia="仿宋" w:cs="仿宋"/>
          <w:color w:val="auto"/>
          <w:sz w:val="24"/>
          <w:szCs w:val="24"/>
          <w:highlight w:val="none"/>
        </w:rPr>
      </w:pPr>
    </w:p>
    <w:p w14:paraId="146A4FCC">
      <w:pPr>
        <w:rPr>
          <w:rFonts w:hint="eastAsia" w:ascii="仿宋" w:hAnsi="仿宋" w:eastAsia="仿宋" w:cs="仿宋"/>
          <w:color w:val="auto"/>
          <w:sz w:val="24"/>
          <w:szCs w:val="24"/>
          <w:highlight w:val="none"/>
        </w:rPr>
      </w:pPr>
    </w:p>
    <w:p w14:paraId="1FFC11EC">
      <w:pPr>
        <w:pStyle w:val="10"/>
        <w:ind w:left="0" w:leftChars="0" w:firstLine="243" w:firstLineChars="100"/>
        <w:outlineLvl w:val="2"/>
        <w:rPr>
          <w:rFonts w:hint="eastAsia" w:ascii="仿宋" w:hAnsi="仿宋" w:eastAsia="仿宋" w:cs="仿宋"/>
          <w:sz w:val="24"/>
          <w:szCs w:val="24"/>
          <w:highlight w:val="none"/>
        </w:rPr>
      </w:pPr>
      <w:bookmarkStart w:id="162" w:name="_Toc18072"/>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、投标人认为需要提交的技术资料</w:t>
      </w:r>
      <w:r>
        <w:rPr>
          <w:rFonts w:hint="eastAsia" w:ascii="仿宋" w:hAnsi="仿宋" w:eastAsia="仿宋" w:cs="仿宋"/>
          <w:b/>
          <w:color w:val="auto"/>
          <w:sz w:val="24"/>
          <w:szCs w:val="24"/>
          <w:highlight w:val="none"/>
          <w:lang w:eastAsia="zh-CN"/>
        </w:rPr>
        <w:t>（根据评审标准自行添加）</w:t>
      </w:r>
      <w:bookmarkEnd w:id="162"/>
    </w:p>
    <w:sectPr>
      <w:headerReference r:id="rId6" w:type="default"/>
      <w:footerReference r:id="rId7" w:type="default"/>
      <w:pgSz w:w="11905" w:h="16838"/>
      <w:pgMar w:top="1440" w:right="1797" w:bottom="1440" w:left="1797" w:header="850" w:footer="992" w:gutter="0"/>
      <w:pgNumType w:fmt="decimal"/>
      <w:cols w:space="720" w:num="1"/>
      <w:docGrid w:type="linesAndChars" w:linePitch="325" w:charSpace="6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504020202020204"/>
    <w:charset w:val="00"/>
    <w:family w:val="swiss"/>
    <w:pitch w:val="default"/>
    <w:sig w:usb0="00000000" w:usb1="00000000" w:usb2="00000000" w:usb3="00000000" w:csb0="00000001" w:csb1="00000000"/>
  </w:font>
  <w:font w:name="ヒラギノ角ゴ Pro W3">
    <w:altName w:val="MS Mincho"/>
    <w:panose1 w:val="00000000000000000000"/>
    <w:charset w:val="80"/>
    <w:family w:val="auto"/>
    <w:pitch w:val="default"/>
    <w:sig w:usb0="00000000" w:usb1="00000000" w:usb2="00000012" w:usb3="00000000" w:csb0="0002000D" w:csb1="00000000"/>
  </w:font>
  <w:font w:name="MS Mincho">
    <w:panose1 w:val="02020609040205080304"/>
    <w:charset w:val="80"/>
    <w:family w:val="auto"/>
    <w:pitch w:val="default"/>
    <w:sig w:usb0="E00002FF" w:usb1="6AC7FDFB" w:usb2="00000012" w:usb3="00000000" w:csb0="4002009F" w:csb1="DFD70000"/>
  </w:font>
  <w:font w:name="_x000B__x000C_">
    <w:altName w:val="Courier New"/>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BEF94">
    <w:pPr>
      <w:pStyle w:val="15"/>
      <w:ind w:right="360"/>
      <w:jc w:val="both"/>
      <w:rPr>
        <w:color w:val="800000"/>
        <w:sz w:val="20"/>
        <w:szCs w:val="20"/>
      </w:rPr>
    </w:pPr>
    <w:r>
      <w:rPr>
        <w:rFonts w:hint="eastAsia"/>
        <w:color w:val="800000"/>
        <w:sz w:val="16"/>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2594E">
    <w:pPr>
      <w:pStyle w:val="15"/>
      <w:ind w:right="360"/>
      <w:jc w:val="both"/>
      <w:rPr>
        <w:color w:val="800000"/>
        <w:sz w:val="20"/>
        <w:szCs w:val="20"/>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7BED1">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F7BED1">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800000"/>
        <w:sz w:val="16"/>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FF249">
    <w:pPr>
      <w:pStyle w:val="15"/>
      <w:ind w:right="360"/>
      <w:jc w:val="both"/>
      <w:rPr>
        <w:rFonts w:hint="eastAsia" w:eastAsia="宋体"/>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58839">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958839">
                    <w:pPr>
                      <w:pStyle w:val="15"/>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ascii="宋体" w:hAnsi="宋体" w:cs="宋体"/>
        <w:sz w:val="24"/>
        <w:szCs w:val="24"/>
      </w:rPr>
      <w:t xml:space="preserve">  </w:t>
    </w:r>
  </w:p>
  <w:p w14:paraId="74D513FD">
    <w:pPr>
      <w:pStyle w:val="15"/>
      <w:autoSpaceDE w:val="0"/>
      <w:autoSpaceDN w:val="0"/>
      <w:adjustRightInd w:val="0"/>
      <w:ind w:left="7200" w:hanging="7200" w:hangingChars="4000"/>
      <w:jc w:val="both"/>
    </w:pPr>
  </w:p>
  <w:p w14:paraId="521C491D">
    <w:pPr>
      <w:pStyle w:val="15"/>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DAFCB">
    <w:pPr>
      <w:pStyle w:val="16"/>
      <w:pBdr>
        <w:bottom w:val="none" w:color="auto" w:sz="0" w:space="0"/>
      </w:pBdr>
      <w:tabs>
        <w:tab w:val="left" w:pos="2599"/>
        <w:tab w:val="clear" w:pos="4153"/>
        <w:tab w:val="clear" w:pos="8306"/>
      </w:tabs>
      <w:jc w:val="both"/>
      <w:rPr>
        <w:rFonts w:hint="eastAsia" w:eastAsia="宋体"/>
        <w:lang w:eastAsia="zh-CN"/>
      </w:rPr>
    </w:pPr>
    <w:r>
      <w:rPr>
        <w:rFonts w:hint="eastAsia"/>
      </w:rPr>
      <w:t xml:space="preserve">         </w:t>
    </w:r>
    <w:r>
      <w:rPr>
        <w:rFonts w:hint="eastAsia"/>
        <w:lang w:val="en-US" w:eastAsia="zh-CN"/>
      </w:rPr>
      <w:t xml:space="preserve"> </w:t>
    </w:r>
    <w:r>
      <w:rPr>
        <w:rFonts w:hint="eastAsia"/>
      </w:rPr>
      <w:t xml:space="preserve">  </w:t>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95B53">
    <w:pPr>
      <w:pStyle w:val="16"/>
      <w:pBdr>
        <w:bottom w:val="none" w:color="auto" w:sz="0" w:space="1"/>
      </w:pBdr>
      <w:jc w:val="both"/>
      <w:rPr>
        <w:rFonts w:ascii="宋体" w:hAnsi="宋体" w:cs="宋体"/>
        <w:sz w:val="21"/>
        <w:szCs w:val="21"/>
      </w:rPr>
    </w:pPr>
    <w:r>
      <w:rPr>
        <w:rFonts w:hint="eastAsia"/>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9BD77"/>
    <w:multiLevelType w:val="singleLevel"/>
    <w:tmpl w:val="9FD9BD77"/>
    <w:lvl w:ilvl="0" w:tentative="0">
      <w:start w:val="24"/>
      <w:numFmt w:val="decimal"/>
      <w:suff w:val="space"/>
      <w:lvlText w:val="%1."/>
      <w:lvlJc w:val="left"/>
    </w:lvl>
  </w:abstractNum>
  <w:abstractNum w:abstractNumId="1">
    <w:nsid w:val="B0ABFF80"/>
    <w:multiLevelType w:val="singleLevel"/>
    <w:tmpl w:val="B0ABFF80"/>
    <w:lvl w:ilvl="0" w:tentative="0">
      <w:start w:val="4"/>
      <w:numFmt w:val="chineseCounting"/>
      <w:suff w:val="space"/>
      <w:lvlText w:val="第%1章"/>
      <w:lvlJc w:val="left"/>
      <w:rPr>
        <w:rFonts w:hint="eastAsia"/>
      </w:rPr>
    </w:lvl>
  </w:abstractNum>
  <w:abstractNum w:abstractNumId="2">
    <w:nsid w:val="C0C73EC4"/>
    <w:multiLevelType w:val="singleLevel"/>
    <w:tmpl w:val="C0C73EC4"/>
    <w:lvl w:ilvl="0" w:tentative="0">
      <w:start w:val="2"/>
      <w:numFmt w:val="decimal"/>
      <w:suff w:val="space"/>
      <w:lvlText w:val="%1."/>
      <w:lvlJc w:val="left"/>
      <w:pPr>
        <w:ind w:left="1354" w:leftChars="0" w:firstLine="0" w:firstLineChars="0"/>
      </w:pPr>
    </w:lvl>
  </w:abstractNum>
  <w:abstractNum w:abstractNumId="3">
    <w:nsid w:val="C2BA2EDD"/>
    <w:multiLevelType w:val="singleLevel"/>
    <w:tmpl w:val="C2BA2EDD"/>
    <w:lvl w:ilvl="0" w:tentative="0">
      <w:start w:val="8"/>
      <w:numFmt w:val="decimal"/>
      <w:suff w:val="nothing"/>
      <w:lvlText w:val="（%1）"/>
      <w:lvlJc w:val="left"/>
    </w:lvl>
  </w:abstractNum>
  <w:abstractNum w:abstractNumId="4">
    <w:nsid w:val="E1626957"/>
    <w:multiLevelType w:val="singleLevel"/>
    <w:tmpl w:val="E1626957"/>
    <w:lvl w:ilvl="0" w:tentative="0">
      <w:start w:val="1"/>
      <w:numFmt w:val="decimal"/>
      <w:pStyle w:val="13"/>
      <w:lvlText w:val="%1."/>
      <w:lvlJc w:val="left"/>
      <w:pPr>
        <w:tabs>
          <w:tab w:val="left" w:pos="2040"/>
        </w:tabs>
        <w:ind w:left="2040" w:hanging="360"/>
      </w:pPr>
    </w:lvl>
  </w:abstractNum>
  <w:abstractNum w:abstractNumId="5">
    <w:nsid w:val="E3D4857E"/>
    <w:multiLevelType w:val="singleLevel"/>
    <w:tmpl w:val="E3D4857E"/>
    <w:lvl w:ilvl="0" w:tentative="0">
      <w:start w:val="1"/>
      <w:numFmt w:val="chineseCounting"/>
      <w:suff w:val="nothing"/>
      <w:lvlText w:val="%1、"/>
      <w:lvlJc w:val="left"/>
      <w:rPr>
        <w:rFonts w:hint="eastAsia"/>
      </w:rPr>
    </w:lvl>
  </w:abstractNum>
  <w:abstractNum w:abstractNumId="6">
    <w:nsid w:val="11715540"/>
    <w:multiLevelType w:val="multilevel"/>
    <w:tmpl w:val="11715540"/>
    <w:lvl w:ilvl="0" w:tentative="0">
      <w:start w:val="1"/>
      <w:numFmt w:val="japaneseCounting"/>
      <w:lvlText w:val="（%1）"/>
      <w:lvlJc w:val="left"/>
      <w:pPr>
        <w:tabs>
          <w:tab w:val="left" w:pos="1725"/>
        </w:tabs>
        <w:ind w:left="1932"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7">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8">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9">
    <w:nsid w:val="4A90A629"/>
    <w:multiLevelType w:val="singleLevel"/>
    <w:tmpl w:val="4A90A629"/>
    <w:lvl w:ilvl="0" w:tentative="0">
      <w:start w:val="2"/>
      <w:numFmt w:val="chineseCounting"/>
      <w:suff w:val="space"/>
      <w:lvlText w:val="第%1条"/>
      <w:lvlJc w:val="left"/>
      <w:rPr>
        <w:rFonts w:hint="eastAsia"/>
      </w:rPr>
    </w:lvl>
  </w:abstractNum>
  <w:abstractNum w:abstractNumId="10">
    <w:nsid w:val="55CD4C99"/>
    <w:multiLevelType w:val="singleLevel"/>
    <w:tmpl w:val="55CD4C99"/>
    <w:lvl w:ilvl="0" w:tentative="0">
      <w:start w:val="1"/>
      <w:numFmt w:val="chineseCounting"/>
      <w:suff w:val="nothing"/>
      <w:lvlText w:val="%1、"/>
      <w:lvlJc w:val="left"/>
    </w:lvl>
  </w:abstractNum>
  <w:abstractNum w:abstractNumId="11">
    <w:nsid w:val="64AFBD95"/>
    <w:multiLevelType w:val="singleLevel"/>
    <w:tmpl w:val="64AFBD95"/>
    <w:lvl w:ilvl="0" w:tentative="0">
      <w:start w:val="7"/>
      <w:numFmt w:val="chineseCounting"/>
      <w:suff w:val="nothing"/>
      <w:lvlText w:val="%1、"/>
      <w:lvlJc w:val="left"/>
    </w:lvl>
  </w:abstractNum>
  <w:abstractNum w:abstractNumId="12">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7"/>
  </w:num>
  <w:num w:numId="2">
    <w:abstractNumId w:val="4"/>
  </w:num>
  <w:num w:numId="3">
    <w:abstractNumId w:val="8"/>
  </w:num>
  <w:num w:numId="4">
    <w:abstractNumId w:val="5"/>
  </w:num>
  <w:num w:numId="5">
    <w:abstractNumId w:val="11"/>
  </w:num>
  <w:num w:numId="6">
    <w:abstractNumId w:val="0"/>
  </w:num>
  <w:num w:numId="7">
    <w:abstractNumId w:val="10"/>
  </w:num>
  <w:num w:numId="8">
    <w:abstractNumId w:val="6"/>
  </w:num>
  <w:num w:numId="9">
    <w:abstractNumId w:val="12"/>
  </w:num>
  <w:num w:numId="10">
    <w:abstractNumId w:val="3"/>
  </w:num>
  <w:num w:numId="11">
    <w:abstractNumId w:val="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6"/>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OGY0MDllNjE1YmU5MjExZjUyNzAyMTMzZmUyN2U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5BF6"/>
    <w:rsid w:val="000863D1"/>
    <w:rsid w:val="00086A7A"/>
    <w:rsid w:val="00086B28"/>
    <w:rsid w:val="000874E4"/>
    <w:rsid w:val="0008796E"/>
    <w:rsid w:val="00087E9D"/>
    <w:rsid w:val="000901E9"/>
    <w:rsid w:val="00090BD9"/>
    <w:rsid w:val="00090F00"/>
    <w:rsid w:val="00091C9B"/>
    <w:rsid w:val="00091DC7"/>
    <w:rsid w:val="000926F6"/>
    <w:rsid w:val="000942A8"/>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260"/>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667"/>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4E69"/>
    <w:rsid w:val="00266892"/>
    <w:rsid w:val="00266CC0"/>
    <w:rsid w:val="002672ED"/>
    <w:rsid w:val="0027024E"/>
    <w:rsid w:val="00272390"/>
    <w:rsid w:val="0027543F"/>
    <w:rsid w:val="00275F7E"/>
    <w:rsid w:val="002760E4"/>
    <w:rsid w:val="002768B5"/>
    <w:rsid w:val="00277378"/>
    <w:rsid w:val="0028110D"/>
    <w:rsid w:val="00281371"/>
    <w:rsid w:val="002813D2"/>
    <w:rsid w:val="002819B4"/>
    <w:rsid w:val="0028291E"/>
    <w:rsid w:val="00282FBB"/>
    <w:rsid w:val="00283B88"/>
    <w:rsid w:val="00285CC4"/>
    <w:rsid w:val="00286851"/>
    <w:rsid w:val="00290235"/>
    <w:rsid w:val="00290EB7"/>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55D1"/>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2EDA"/>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B35"/>
    <w:rsid w:val="0048235F"/>
    <w:rsid w:val="00482CF4"/>
    <w:rsid w:val="00483728"/>
    <w:rsid w:val="004845DF"/>
    <w:rsid w:val="004849C7"/>
    <w:rsid w:val="004851F9"/>
    <w:rsid w:val="0049006E"/>
    <w:rsid w:val="0049015B"/>
    <w:rsid w:val="004918CC"/>
    <w:rsid w:val="00492569"/>
    <w:rsid w:val="00492EA5"/>
    <w:rsid w:val="00493251"/>
    <w:rsid w:val="004946A1"/>
    <w:rsid w:val="00494B71"/>
    <w:rsid w:val="004962AD"/>
    <w:rsid w:val="004974CC"/>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4D93"/>
    <w:rsid w:val="00716395"/>
    <w:rsid w:val="00716C51"/>
    <w:rsid w:val="00716CC4"/>
    <w:rsid w:val="00716E17"/>
    <w:rsid w:val="007176FE"/>
    <w:rsid w:val="0071790B"/>
    <w:rsid w:val="00717D6B"/>
    <w:rsid w:val="00721CC5"/>
    <w:rsid w:val="00721D24"/>
    <w:rsid w:val="00721D81"/>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C2A"/>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804"/>
    <w:rsid w:val="00AE3CBE"/>
    <w:rsid w:val="00AE5C9B"/>
    <w:rsid w:val="00AE6772"/>
    <w:rsid w:val="00AE79E0"/>
    <w:rsid w:val="00AE7D55"/>
    <w:rsid w:val="00AF0194"/>
    <w:rsid w:val="00AF0580"/>
    <w:rsid w:val="00AF06CF"/>
    <w:rsid w:val="00AF1302"/>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D0CCA"/>
    <w:rsid w:val="00BD0E1B"/>
    <w:rsid w:val="00BD14DA"/>
    <w:rsid w:val="00BD1520"/>
    <w:rsid w:val="00BD16A2"/>
    <w:rsid w:val="00BD17B8"/>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15D"/>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2A5"/>
    <w:rsid w:val="00E346CB"/>
    <w:rsid w:val="00E35217"/>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0924"/>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137C69"/>
    <w:rsid w:val="01470D4C"/>
    <w:rsid w:val="014E290D"/>
    <w:rsid w:val="014F04E5"/>
    <w:rsid w:val="015969F3"/>
    <w:rsid w:val="01920401"/>
    <w:rsid w:val="0195644C"/>
    <w:rsid w:val="019E4202"/>
    <w:rsid w:val="01B16E65"/>
    <w:rsid w:val="01B87B26"/>
    <w:rsid w:val="01DA0AE8"/>
    <w:rsid w:val="01EA1125"/>
    <w:rsid w:val="01EC316B"/>
    <w:rsid w:val="02505505"/>
    <w:rsid w:val="0255198A"/>
    <w:rsid w:val="026844A3"/>
    <w:rsid w:val="027423B3"/>
    <w:rsid w:val="028E7BDF"/>
    <w:rsid w:val="02AF4FC1"/>
    <w:rsid w:val="02D34744"/>
    <w:rsid w:val="02E62FD5"/>
    <w:rsid w:val="0308778C"/>
    <w:rsid w:val="03634626"/>
    <w:rsid w:val="037800D1"/>
    <w:rsid w:val="03BE5F89"/>
    <w:rsid w:val="03EA6FAA"/>
    <w:rsid w:val="03EE2A56"/>
    <w:rsid w:val="04016320"/>
    <w:rsid w:val="045E2623"/>
    <w:rsid w:val="04B05277"/>
    <w:rsid w:val="04CD6F51"/>
    <w:rsid w:val="050D4295"/>
    <w:rsid w:val="052B510A"/>
    <w:rsid w:val="0530678A"/>
    <w:rsid w:val="05371AF0"/>
    <w:rsid w:val="054116CB"/>
    <w:rsid w:val="0548574A"/>
    <w:rsid w:val="055038BC"/>
    <w:rsid w:val="05544350"/>
    <w:rsid w:val="055D1B12"/>
    <w:rsid w:val="05791EDF"/>
    <w:rsid w:val="060519C4"/>
    <w:rsid w:val="06436049"/>
    <w:rsid w:val="064F03AA"/>
    <w:rsid w:val="066B77BF"/>
    <w:rsid w:val="06787432"/>
    <w:rsid w:val="068A4F64"/>
    <w:rsid w:val="06BE7B0C"/>
    <w:rsid w:val="06C23618"/>
    <w:rsid w:val="06C427AE"/>
    <w:rsid w:val="06DF5D71"/>
    <w:rsid w:val="07040A65"/>
    <w:rsid w:val="074C0952"/>
    <w:rsid w:val="074E6108"/>
    <w:rsid w:val="0765096C"/>
    <w:rsid w:val="07854B6B"/>
    <w:rsid w:val="07E76B46"/>
    <w:rsid w:val="07EF451C"/>
    <w:rsid w:val="0830547E"/>
    <w:rsid w:val="08305869"/>
    <w:rsid w:val="08597DA5"/>
    <w:rsid w:val="08AA4251"/>
    <w:rsid w:val="08E421C5"/>
    <w:rsid w:val="08F4718E"/>
    <w:rsid w:val="09300E18"/>
    <w:rsid w:val="0977292C"/>
    <w:rsid w:val="097D7EDC"/>
    <w:rsid w:val="09982D4A"/>
    <w:rsid w:val="09F6762F"/>
    <w:rsid w:val="0A003984"/>
    <w:rsid w:val="0A0A57FB"/>
    <w:rsid w:val="0A425D09"/>
    <w:rsid w:val="0A4D73F8"/>
    <w:rsid w:val="0A615213"/>
    <w:rsid w:val="0A761D42"/>
    <w:rsid w:val="0A802501"/>
    <w:rsid w:val="0A962227"/>
    <w:rsid w:val="0ACB590F"/>
    <w:rsid w:val="0AD361DF"/>
    <w:rsid w:val="0AD55E09"/>
    <w:rsid w:val="0B0F1DBE"/>
    <w:rsid w:val="0BA42CCF"/>
    <w:rsid w:val="0BB0345C"/>
    <w:rsid w:val="0BCE4606"/>
    <w:rsid w:val="0C1771EC"/>
    <w:rsid w:val="0C1E5D62"/>
    <w:rsid w:val="0C2030B4"/>
    <w:rsid w:val="0C62191E"/>
    <w:rsid w:val="0C96326B"/>
    <w:rsid w:val="0C9B41E0"/>
    <w:rsid w:val="0CB8726D"/>
    <w:rsid w:val="0CBB3996"/>
    <w:rsid w:val="0CC50588"/>
    <w:rsid w:val="0CCE5B94"/>
    <w:rsid w:val="0D307AB4"/>
    <w:rsid w:val="0D3B47C9"/>
    <w:rsid w:val="0D3D1A44"/>
    <w:rsid w:val="0D3F1B32"/>
    <w:rsid w:val="0D5F6C43"/>
    <w:rsid w:val="0D6101F9"/>
    <w:rsid w:val="0D873BD3"/>
    <w:rsid w:val="0D9B7F82"/>
    <w:rsid w:val="0DC009E4"/>
    <w:rsid w:val="0DE43140"/>
    <w:rsid w:val="0DE52622"/>
    <w:rsid w:val="0DF72D4B"/>
    <w:rsid w:val="0DF809B3"/>
    <w:rsid w:val="0E6514CE"/>
    <w:rsid w:val="0E6C7DC7"/>
    <w:rsid w:val="0EBB3568"/>
    <w:rsid w:val="0EC850B8"/>
    <w:rsid w:val="0F2C78B5"/>
    <w:rsid w:val="0F4A0448"/>
    <w:rsid w:val="0F8001C0"/>
    <w:rsid w:val="0FB2671F"/>
    <w:rsid w:val="0FBF4B97"/>
    <w:rsid w:val="10130368"/>
    <w:rsid w:val="10216F0F"/>
    <w:rsid w:val="1061783B"/>
    <w:rsid w:val="1063613D"/>
    <w:rsid w:val="109B34F5"/>
    <w:rsid w:val="10BF71E9"/>
    <w:rsid w:val="11105DEF"/>
    <w:rsid w:val="1132247A"/>
    <w:rsid w:val="11624E28"/>
    <w:rsid w:val="1185656A"/>
    <w:rsid w:val="1204469C"/>
    <w:rsid w:val="121E04E8"/>
    <w:rsid w:val="12200177"/>
    <w:rsid w:val="123F499D"/>
    <w:rsid w:val="124047DA"/>
    <w:rsid w:val="126E04C4"/>
    <w:rsid w:val="12F61C03"/>
    <w:rsid w:val="134A0A16"/>
    <w:rsid w:val="135F18E9"/>
    <w:rsid w:val="1405689D"/>
    <w:rsid w:val="1418482B"/>
    <w:rsid w:val="149C3D10"/>
    <w:rsid w:val="14AD4DB8"/>
    <w:rsid w:val="14AE2E3A"/>
    <w:rsid w:val="150017B7"/>
    <w:rsid w:val="15157722"/>
    <w:rsid w:val="154C271C"/>
    <w:rsid w:val="156264EB"/>
    <w:rsid w:val="15775A8C"/>
    <w:rsid w:val="15EC220C"/>
    <w:rsid w:val="161D17C8"/>
    <w:rsid w:val="16E509C1"/>
    <w:rsid w:val="170C218F"/>
    <w:rsid w:val="17351EB0"/>
    <w:rsid w:val="1740319E"/>
    <w:rsid w:val="177D1D83"/>
    <w:rsid w:val="17884203"/>
    <w:rsid w:val="17BA0860"/>
    <w:rsid w:val="17FF035F"/>
    <w:rsid w:val="18151AED"/>
    <w:rsid w:val="184A290D"/>
    <w:rsid w:val="186576DB"/>
    <w:rsid w:val="1870581D"/>
    <w:rsid w:val="18AE7A18"/>
    <w:rsid w:val="18B03A11"/>
    <w:rsid w:val="18FE121D"/>
    <w:rsid w:val="1920143C"/>
    <w:rsid w:val="19491AD7"/>
    <w:rsid w:val="197F3505"/>
    <w:rsid w:val="198B16F3"/>
    <w:rsid w:val="19940024"/>
    <w:rsid w:val="19A8476A"/>
    <w:rsid w:val="19C66C22"/>
    <w:rsid w:val="1A496F22"/>
    <w:rsid w:val="1A555846"/>
    <w:rsid w:val="1A5A7FB2"/>
    <w:rsid w:val="1ACB068F"/>
    <w:rsid w:val="1ADC3C25"/>
    <w:rsid w:val="1AE8631D"/>
    <w:rsid w:val="1B1A7868"/>
    <w:rsid w:val="1B3E3C04"/>
    <w:rsid w:val="1BD179B9"/>
    <w:rsid w:val="1C3B7159"/>
    <w:rsid w:val="1C8C41A9"/>
    <w:rsid w:val="1C982E58"/>
    <w:rsid w:val="1CB338B2"/>
    <w:rsid w:val="1CD7789E"/>
    <w:rsid w:val="1CF852BE"/>
    <w:rsid w:val="1D2A5E93"/>
    <w:rsid w:val="1D2F3EC2"/>
    <w:rsid w:val="1D644556"/>
    <w:rsid w:val="1D862F93"/>
    <w:rsid w:val="1DC96A0D"/>
    <w:rsid w:val="1DE25432"/>
    <w:rsid w:val="1DFE291F"/>
    <w:rsid w:val="1DFE66BE"/>
    <w:rsid w:val="1E2F53D8"/>
    <w:rsid w:val="1E385966"/>
    <w:rsid w:val="1E706559"/>
    <w:rsid w:val="1FA73631"/>
    <w:rsid w:val="1FA83492"/>
    <w:rsid w:val="1FAD44AE"/>
    <w:rsid w:val="201448F3"/>
    <w:rsid w:val="205F5715"/>
    <w:rsid w:val="206B2007"/>
    <w:rsid w:val="20BD7D18"/>
    <w:rsid w:val="20C20C31"/>
    <w:rsid w:val="20C84D12"/>
    <w:rsid w:val="20EA0B6C"/>
    <w:rsid w:val="21543824"/>
    <w:rsid w:val="21C43CC6"/>
    <w:rsid w:val="21E06B06"/>
    <w:rsid w:val="22505310"/>
    <w:rsid w:val="226B2757"/>
    <w:rsid w:val="227F3C44"/>
    <w:rsid w:val="22D14F53"/>
    <w:rsid w:val="230F7587"/>
    <w:rsid w:val="23563868"/>
    <w:rsid w:val="23621DAC"/>
    <w:rsid w:val="23821ACC"/>
    <w:rsid w:val="23B4085A"/>
    <w:rsid w:val="23C93BD9"/>
    <w:rsid w:val="23F1320A"/>
    <w:rsid w:val="24015C07"/>
    <w:rsid w:val="240E27FB"/>
    <w:rsid w:val="24311F11"/>
    <w:rsid w:val="249A47CA"/>
    <w:rsid w:val="249D7C8B"/>
    <w:rsid w:val="24DD7F37"/>
    <w:rsid w:val="24E764A1"/>
    <w:rsid w:val="25011339"/>
    <w:rsid w:val="25072C0B"/>
    <w:rsid w:val="2527150A"/>
    <w:rsid w:val="2529314D"/>
    <w:rsid w:val="25611901"/>
    <w:rsid w:val="257B06FF"/>
    <w:rsid w:val="258064C3"/>
    <w:rsid w:val="2594352C"/>
    <w:rsid w:val="260C44CD"/>
    <w:rsid w:val="26163EB5"/>
    <w:rsid w:val="26460BB6"/>
    <w:rsid w:val="264B42F1"/>
    <w:rsid w:val="26A17794"/>
    <w:rsid w:val="26D657B7"/>
    <w:rsid w:val="276B6060"/>
    <w:rsid w:val="27B2145C"/>
    <w:rsid w:val="27C748D4"/>
    <w:rsid w:val="27E403E2"/>
    <w:rsid w:val="27E461E8"/>
    <w:rsid w:val="27EB295A"/>
    <w:rsid w:val="27EB411E"/>
    <w:rsid w:val="27FA7131"/>
    <w:rsid w:val="284035F2"/>
    <w:rsid w:val="28836A4D"/>
    <w:rsid w:val="28962D82"/>
    <w:rsid w:val="28C22024"/>
    <w:rsid w:val="28CB7B00"/>
    <w:rsid w:val="290129D3"/>
    <w:rsid w:val="2905171F"/>
    <w:rsid w:val="292A4047"/>
    <w:rsid w:val="2951316E"/>
    <w:rsid w:val="297468CD"/>
    <w:rsid w:val="299D6A5A"/>
    <w:rsid w:val="29BE6A96"/>
    <w:rsid w:val="29EB5041"/>
    <w:rsid w:val="2A1B2201"/>
    <w:rsid w:val="2A1D2EF1"/>
    <w:rsid w:val="2A3F0864"/>
    <w:rsid w:val="2A784B03"/>
    <w:rsid w:val="2A7F1496"/>
    <w:rsid w:val="2A8267E2"/>
    <w:rsid w:val="2A9071FF"/>
    <w:rsid w:val="2A9C2D33"/>
    <w:rsid w:val="2AB22388"/>
    <w:rsid w:val="2AC8240E"/>
    <w:rsid w:val="2AE91610"/>
    <w:rsid w:val="2AFE19D8"/>
    <w:rsid w:val="2B2471D4"/>
    <w:rsid w:val="2B4E7BAF"/>
    <w:rsid w:val="2B8D1001"/>
    <w:rsid w:val="2B936FA7"/>
    <w:rsid w:val="2BA21234"/>
    <w:rsid w:val="2BAE7D76"/>
    <w:rsid w:val="2BB46FAD"/>
    <w:rsid w:val="2BCD7395"/>
    <w:rsid w:val="2BCF6AFB"/>
    <w:rsid w:val="2BF032B7"/>
    <w:rsid w:val="2C2253F3"/>
    <w:rsid w:val="2C471B3F"/>
    <w:rsid w:val="2CFE750E"/>
    <w:rsid w:val="2D05394C"/>
    <w:rsid w:val="2D05508F"/>
    <w:rsid w:val="2D0F7889"/>
    <w:rsid w:val="2D40315E"/>
    <w:rsid w:val="2D430559"/>
    <w:rsid w:val="2D5B636E"/>
    <w:rsid w:val="2D796670"/>
    <w:rsid w:val="2D8F0C49"/>
    <w:rsid w:val="2DA566E7"/>
    <w:rsid w:val="2DB476A8"/>
    <w:rsid w:val="2DEF1375"/>
    <w:rsid w:val="2E11396D"/>
    <w:rsid w:val="2E4C1B74"/>
    <w:rsid w:val="2EE46E89"/>
    <w:rsid w:val="2EE95C88"/>
    <w:rsid w:val="2EED4FEF"/>
    <w:rsid w:val="2F3B5F63"/>
    <w:rsid w:val="2F3C2100"/>
    <w:rsid w:val="2F74526F"/>
    <w:rsid w:val="2F971030"/>
    <w:rsid w:val="2FC607EE"/>
    <w:rsid w:val="2FF63802"/>
    <w:rsid w:val="30314FE0"/>
    <w:rsid w:val="30392D61"/>
    <w:rsid w:val="30724A0E"/>
    <w:rsid w:val="307325D9"/>
    <w:rsid w:val="308001C0"/>
    <w:rsid w:val="30A335EA"/>
    <w:rsid w:val="30C51EF2"/>
    <w:rsid w:val="30DC1948"/>
    <w:rsid w:val="30E060E4"/>
    <w:rsid w:val="30E67B79"/>
    <w:rsid w:val="30F7069D"/>
    <w:rsid w:val="310A12DF"/>
    <w:rsid w:val="311116F3"/>
    <w:rsid w:val="31C2669C"/>
    <w:rsid w:val="31F2015C"/>
    <w:rsid w:val="3204159C"/>
    <w:rsid w:val="321F1705"/>
    <w:rsid w:val="327B7FD7"/>
    <w:rsid w:val="329B0E37"/>
    <w:rsid w:val="32DD50BF"/>
    <w:rsid w:val="32E12A2C"/>
    <w:rsid w:val="33054D46"/>
    <w:rsid w:val="331704BD"/>
    <w:rsid w:val="33171D0F"/>
    <w:rsid w:val="335631BA"/>
    <w:rsid w:val="338F34FE"/>
    <w:rsid w:val="33C8566C"/>
    <w:rsid w:val="33D755DC"/>
    <w:rsid w:val="345F6B83"/>
    <w:rsid w:val="346B14B1"/>
    <w:rsid w:val="34CA749D"/>
    <w:rsid w:val="34DB703E"/>
    <w:rsid w:val="355D1BDD"/>
    <w:rsid w:val="356E26F7"/>
    <w:rsid w:val="35E86141"/>
    <w:rsid w:val="35F37656"/>
    <w:rsid w:val="35FF1075"/>
    <w:rsid w:val="36312BA6"/>
    <w:rsid w:val="367C6D9B"/>
    <w:rsid w:val="3681660E"/>
    <w:rsid w:val="36A96E1E"/>
    <w:rsid w:val="36AB0D07"/>
    <w:rsid w:val="36C3270A"/>
    <w:rsid w:val="36D84407"/>
    <w:rsid w:val="36D87F64"/>
    <w:rsid w:val="36DE6870"/>
    <w:rsid w:val="371562DB"/>
    <w:rsid w:val="37432253"/>
    <w:rsid w:val="377A60E3"/>
    <w:rsid w:val="37825166"/>
    <w:rsid w:val="37B26BC7"/>
    <w:rsid w:val="37C371B9"/>
    <w:rsid w:val="37D33BB4"/>
    <w:rsid w:val="37D843A8"/>
    <w:rsid w:val="37DF7667"/>
    <w:rsid w:val="383270EA"/>
    <w:rsid w:val="385555E4"/>
    <w:rsid w:val="386E24EE"/>
    <w:rsid w:val="38A5656B"/>
    <w:rsid w:val="38A81BB8"/>
    <w:rsid w:val="38B32C64"/>
    <w:rsid w:val="39247742"/>
    <w:rsid w:val="3927078A"/>
    <w:rsid w:val="3950329E"/>
    <w:rsid w:val="396948F7"/>
    <w:rsid w:val="39AE6A6D"/>
    <w:rsid w:val="39C0030D"/>
    <w:rsid w:val="3A1D3E64"/>
    <w:rsid w:val="3A32322C"/>
    <w:rsid w:val="3ABA3D4F"/>
    <w:rsid w:val="3B0A0908"/>
    <w:rsid w:val="3B1C5C24"/>
    <w:rsid w:val="3B3578FD"/>
    <w:rsid w:val="3B4E1274"/>
    <w:rsid w:val="3BA20BFD"/>
    <w:rsid w:val="3BB07220"/>
    <w:rsid w:val="3BC85AEF"/>
    <w:rsid w:val="3C6A6EC9"/>
    <w:rsid w:val="3CB5559F"/>
    <w:rsid w:val="3CB709DF"/>
    <w:rsid w:val="3D3C3D20"/>
    <w:rsid w:val="3D405675"/>
    <w:rsid w:val="3D436353"/>
    <w:rsid w:val="3D534CEE"/>
    <w:rsid w:val="3D6A7724"/>
    <w:rsid w:val="3DAB4624"/>
    <w:rsid w:val="3DCB25D0"/>
    <w:rsid w:val="3DD13F45"/>
    <w:rsid w:val="3E11315C"/>
    <w:rsid w:val="3E3D04D9"/>
    <w:rsid w:val="3E421533"/>
    <w:rsid w:val="3E4E44C1"/>
    <w:rsid w:val="3E612161"/>
    <w:rsid w:val="3E8D5E6B"/>
    <w:rsid w:val="3E975D9B"/>
    <w:rsid w:val="3EFC1DC2"/>
    <w:rsid w:val="3F057D64"/>
    <w:rsid w:val="3F796D91"/>
    <w:rsid w:val="3F985066"/>
    <w:rsid w:val="3FA30497"/>
    <w:rsid w:val="3FBA61CD"/>
    <w:rsid w:val="3FC91903"/>
    <w:rsid w:val="3FD247CD"/>
    <w:rsid w:val="40916570"/>
    <w:rsid w:val="40E07036"/>
    <w:rsid w:val="40E81C84"/>
    <w:rsid w:val="40F94293"/>
    <w:rsid w:val="41250EA4"/>
    <w:rsid w:val="41A47E1B"/>
    <w:rsid w:val="41AC4DB1"/>
    <w:rsid w:val="421A1D78"/>
    <w:rsid w:val="42621693"/>
    <w:rsid w:val="427D0EBF"/>
    <w:rsid w:val="429A6A15"/>
    <w:rsid w:val="42AA6865"/>
    <w:rsid w:val="42BC352D"/>
    <w:rsid w:val="42DF08CC"/>
    <w:rsid w:val="432B7EEF"/>
    <w:rsid w:val="434A46EC"/>
    <w:rsid w:val="436E5BE5"/>
    <w:rsid w:val="436F1C50"/>
    <w:rsid w:val="437C5D9F"/>
    <w:rsid w:val="4386267B"/>
    <w:rsid w:val="43C301D8"/>
    <w:rsid w:val="43CB2F74"/>
    <w:rsid w:val="43D46D69"/>
    <w:rsid w:val="442B7132"/>
    <w:rsid w:val="44971B57"/>
    <w:rsid w:val="44B93D3A"/>
    <w:rsid w:val="450F3328"/>
    <w:rsid w:val="453252CE"/>
    <w:rsid w:val="453A4CCF"/>
    <w:rsid w:val="455117A9"/>
    <w:rsid w:val="456F4189"/>
    <w:rsid w:val="45763405"/>
    <w:rsid w:val="458C1D56"/>
    <w:rsid w:val="45D049C6"/>
    <w:rsid w:val="45E85D49"/>
    <w:rsid w:val="46002DD3"/>
    <w:rsid w:val="46293689"/>
    <w:rsid w:val="465A35BD"/>
    <w:rsid w:val="465A6BE7"/>
    <w:rsid w:val="465F0134"/>
    <w:rsid w:val="466A4950"/>
    <w:rsid w:val="469D3256"/>
    <w:rsid w:val="47113641"/>
    <w:rsid w:val="4733431C"/>
    <w:rsid w:val="475A2C17"/>
    <w:rsid w:val="47842674"/>
    <w:rsid w:val="4795427E"/>
    <w:rsid w:val="47A17BED"/>
    <w:rsid w:val="47AC1DC2"/>
    <w:rsid w:val="47B9126E"/>
    <w:rsid w:val="48315726"/>
    <w:rsid w:val="4866371A"/>
    <w:rsid w:val="48A67C34"/>
    <w:rsid w:val="48CE652C"/>
    <w:rsid w:val="491C3098"/>
    <w:rsid w:val="492275A4"/>
    <w:rsid w:val="493354CD"/>
    <w:rsid w:val="4961028C"/>
    <w:rsid w:val="49610F4C"/>
    <w:rsid w:val="49C9699B"/>
    <w:rsid w:val="49FC0ED2"/>
    <w:rsid w:val="4A6632DA"/>
    <w:rsid w:val="4A745D9D"/>
    <w:rsid w:val="4A80046B"/>
    <w:rsid w:val="4AA76A01"/>
    <w:rsid w:val="4AC11C68"/>
    <w:rsid w:val="4AF018C8"/>
    <w:rsid w:val="4AF60B8B"/>
    <w:rsid w:val="4B036369"/>
    <w:rsid w:val="4B4D47FF"/>
    <w:rsid w:val="4B506EDA"/>
    <w:rsid w:val="4B6649E4"/>
    <w:rsid w:val="4B756271"/>
    <w:rsid w:val="4B7A0F54"/>
    <w:rsid w:val="4BEB0DB8"/>
    <w:rsid w:val="4BEB39EC"/>
    <w:rsid w:val="4C3D5727"/>
    <w:rsid w:val="4C8A219B"/>
    <w:rsid w:val="4C9B6FE7"/>
    <w:rsid w:val="4CBA35FB"/>
    <w:rsid w:val="4CD60A27"/>
    <w:rsid w:val="4CE15187"/>
    <w:rsid w:val="4CE511D4"/>
    <w:rsid w:val="4CEB0465"/>
    <w:rsid w:val="4D021D86"/>
    <w:rsid w:val="4D0E714B"/>
    <w:rsid w:val="4D141FE0"/>
    <w:rsid w:val="4DAC05E6"/>
    <w:rsid w:val="4E0524B6"/>
    <w:rsid w:val="4E084FD4"/>
    <w:rsid w:val="4E1C4782"/>
    <w:rsid w:val="4E4E16AF"/>
    <w:rsid w:val="4E5F5F0E"/>
    <w:rsid w:val="4E677615"/>
    <w:rsid w:val="4E9F1EC2"/>
    <w:rsid w:val="4E9F2FAC"/>
    <w:rsid w:val="4ED84B4D"/>
    <w:rsid w:val="4ED96A7E"/>
    <w:rsid w:val="4EDF5B6D"/>
    <w:rsid w:val="4F361873"/>
    <w:rsid w:val="4F6A5725"/>
    <w:rsid w:val="4F6C1A77"/>
    <w:rsid w:val="4FB22195"/>
    <w:rsid w:val="4FBB0B69"/>
    <w:rsid w:val="500372D1"/>
    <w:rsid w:val="500A094A"/>
    <w:rsid w:val="50105D9E"/>
    <w:rsid w:val="504313FF"/>
    <w:rsid w:val="50533F76"/>
    <w:rsid w:val="507B35EB"/>
    <w:rsid w:val="507E2095"/>
    <w:rsid w:val="50955F2A"/>
    <w:rsid w:val="50E028B4"/>
    <w:rsid w:val="50F11F70"/>
    <w:rsid w:val="511F30D9"/>
    <w:rsid w:val="51205BE3"/>
    <w:rsid w:val="51247002"/>
    <w:rsid w:val="51303461"/>
    <w:rsid w:val="513D33E2"/>
    <w:rsid w:val="51A0758E"/>
    <w:rsid w:val="51A74CAA"/>
    <w:rsid w:val="51B11960"/>
    <w:rsid w:val="51D73D9E"/>
    <w:rsid w:val="51E517A3"/>
    <w:rsid w:val="51FD602C"/>
    <w:rsid w:val="520B596A"/>
    <w:rsid w:val="52A871D4"/>
    <w:rsid w:val="52AE3E89"/>
    <w:rsid w:val="52BD3BF0"/>
    <w:rsid w:val="52ED5A1D"/>
    <w:rsid w:val="53660F97"/>
    <w:rsid w:val="53AC1EF9"/>
    <w:rsid w:val="53DE35D5"/>
    <w:rsid w:val="54056FB1"/>
    <w:rsid w:val="541920D0"/>
    <w:rsid w:val="542310A2"/>
    <w:rsid w:val="543E122D"/>
    <w:rsid w:val="54442706"/>
    <w:rsid w:val="546E385E"/>
    <w:rsid w:val="546E6143"/>
    <w:rsid w:val="54866DF9"/>
    <w:rsid w:val="54C44B46"/>
    <w:rsid w:val="54C7328A"/>
    <w:rsid w:val="54DB4D54"/>
    <w:rsid w:val="54DF0BEB"/>
    <w:rsid w:val="54ED35AA"/>
    <w:rsid w:val="54FF6D7A"/>
    <w:rsid w:val="551D40DC"/>
    <w:rsid w:val="55482300"/>
    <w:rsid w:val="555C5838"/>
    <w:rsid w:val="55637EE4"/>
    <w:rsid w:val="557B26D6"/>
    <w:rsid w:val="55A04CAF"/>
    <w:rsid w:val="55A91966"/>
    <w:rsid w:val="55C217A6"/>
    <w:rsid w:val="561F7505"/>
    <w:rsid w:val="564F25FE"/>
    <w:rsid w:val="565A665B"/>
    <w:rsid w:val="56752120"/>
    <w:rsid w:val="569F4299"/>
    <w:rsid w:val="56CE1E48"/>
    <w:rsid w:val="57003E35"/>
    <w:rsid w:val="570B10AD"/>
    <w:rsid w:val="570F670F"/>
    <w:rsid w:val="5752573D"/>
    <w:rsid w:val="575628A5"/>
    <w:rsid w:val="579B5FEE"/>
    <w:rsid w:val="57D27E9C"/>
    <w:rsid w:val="57D45CF1"/>
    <w:rsid w:val="57DD4F82"/>
    <w:rsid w:val="580D7F01"/>
    <w:rsid w:val="580E03AC"/>
    <w:rsid w:val="583F7328"/>
    <w:rsid w:val="584E6149"/>
    <w:rsid w:val="58580246"/>
    <w:rsid w:val="587D598D"/>
    <w:rsid w:val="58BC090E"/>
    <w:rsid w:val="59154646"/>
    <w:rsid w:val="592E6609"/>
    <w:rsid w:val="597D4C6F"/>
    <w:rsid w:val="59D06384"/>
    <w:rsid w:val="5A8065E2"/>
    <w:rsid w:val="5AA93841"/>
    <w:rsid w:val="5B1043AE"/>
    <w:rsid w:val="5B1E125F"/>
    <w:rsid w:val="5B2B19EA"/>
    <w:rsid w:val="5B314FB8"/>
    <w:rsid w:val="5B5136E8"/>
    <w:rsid w:val="5B764510"/>
    <w:rsid w:val="5BCD3430"/>
    <w:rsid w:val="5C36729C"/>
    <w:rsid w:val="5C520E7C"/>
    <w:rsid w:val="5C5611D3"/>
    <w:rsid w:val="5C5B4901"/>
    <w:rsid w:val="5CA35E8B"/>
    <w:rsid w:val="5CC055C4"/>
    <w:rsid w:val="5CC07DD9"/>
    <w:rsid w:val="5CD050B5"/>
    <w:rsid w:val="5CD57B38"/>
    <w:rsid w:val="5CF24ABB"/>
    <w:rsid w:val="5D2017FC"/>
    <w:rsid w:val="5D325D70"/>
    <w:rsid w:val="5D7B1E4D"/>
    <w:rsid w:val="5DC23869"/>
    <w:rsid w:val="5E6D4E5F"/>
    <w:rsid w:val="5EC4310E"/>
    <w:rsid w:val="5ED46F3B"/>
    <w:rsid w:val="5EFA2F5D"/>
    <w:rsid w:val="5F0E45BB"/>
    <w:rsid w:val="5F1405A9"/>
    <w:rsid w:val="5F41673E"/>
    <w:rsid w:val="5F692CB3"/>
    <w:rsid w:val="5F697A43"/>
    <w:rsid w:val="5F8968E7"/>
    <w:rsid w:val="5FA8056B"/>
    <w:rsid w:val="5FDC07C6"/>
    <w:rsid w:val="601C01F2"/>
    <w:rsid w:val="6061107E"/>
    <w:rsid w:val="60736014"/>
    <w:rsid w:val="609B23A0"/>
    <w:rsid w:val="609C3F0D"/>
    <w:rsid w:val="609E54CA"/>
    <w:rsid w:val="60A2320D"/>
    <w:rsid w:val="60C5005E"/>
    <w:rsid w:val="60D206A1"/>
    <w:rsid w:val="60E51981"/>
    <w:rsid w:val="61152866"/>
    <w:rsid w:val="617A1A94"/>
    <w:rsid w:val="61A04BB7"/>
    <w:rsid w:val="61F71336"/>
    <w:rsid w:val="6222226E"/>
    <w:rsid w:val="62352A8D"/>
    <w:rsid w:val="627A1826"/>
    <w:rsid w:val="629D3C8C"/>
    <w:rsid w:val="62A03CD6"/>
    <w:rsid w:val="62A36DC8"/>
    <w:rsid w:val="62D63E3C"/>
    <w:rsid w:val="630336EF"/>
    <w:rsid w:val="63154001"/>
    <w:rsid w:val="63350176"/>
    <w:rsid w:val="63475D27"/>
    <w:rsid w:val="63AB43E3"/>
    <w:rsid w:val="63F35B2D"/>
    <w:rsid w:val="64837769"/>
    <w:rsid w:val="64BD1D66"/>
    <w:rsid w:val="64E341A7"/>
    <w:rsid w:val="64EC3D37"/>
    <w:rsid w:val="64F61D79"/>
    <w:rsid w:val="65580870"/>
    <w:rsid w:val="65D8641E"/>
    <w:rsid w:val="6612135A"/>
    <w:rsid w:val="66364FB0"/>
    <w:rsid w:val="663B7F4E"/>
    <w:rsid w:val="66484EC3"/>
    <w:rsid w:val="66B3546E"/>
    <w:rsid w:val="66B52FA4"/>
    <w:rsid w:val="66CE0D2E"/>
    <w:rsid w:val="674A64E0"/>
    <w:rsid w:val="674D4335"/>
    <w:rsid w:val="67BA210E"/>
    <w:rsid w:val="67CF7349"/>
    <w:rsid w:val="680F4066"/>
    <w:rsid w:val="68120612"/>
    <w:rsid w:val="68246BFD"/>
    <w:rsid w:val="683C5CF5"/>
    <w:rsid w:val="687A05CB"/>
    <w:rsid w:val="688A35DC"/>
    <w:rsid w:val="68E929F2"/>
    <w:rsid w:val="68F41093"/>
    <w:rsid w:val="68FD194E"/>
    <w:rsid w:val="69015277"/>
    <w:rsid w:val="69553709"/>
    <w:rsid w:val="695E2B47"/>
    <w:rsid w:val="69721525"/>
    <w:rsid w:val="699E6EDB"/>
    <w:rsid w:val="6A0C175E"/>
    <w:rsid w:val="6A0C5CC5"/>
    <w:rsid w:val="6A2151A2"/>
    <w:rsid w:val="6A576E16"/>
    <w:rsid w:val="6A580B27"/>
    <w:rsid w:val="6A62486A"/>
    <w:rsid w:val="6A8A482B"/>
    <w:rsid w:val="6A9C5931"/>
    <w:rsid w:val="6B293D9A"/>
    <w:rsid w:val="6B4231FD"/>
    <w:rsid w:val="6B5D6F6C"/>
    <w:rsid w:val="6B6F63E1"/>
    <w:rsid w:val="6BC3064C"/>
    <w:rsid w:val="6BD20370"/>
    <w:rsid w:val="6BDC2A11"/>
    <w:rsid w:val="6BDD7D8E"/>
    <w:rsid w:val="6C4179F9"/>
    <w:rsid w:val="6C4C59CB"/>
    <w:rsid w:val="6C5C22AE"/>
    <w:rsid w:val="6C937EAD"/>
    <w:rsid w:val="6D924ED4"/>
    <w:rsid w:val="6DCD76C6"/>
    <w:rsid w:val="6E0A61CA"/>
    <w:rsid w:val="6E112BCB"/>
    <w:rsid w:val="6E5C1B13"/>
    <w:rsid w:val="6F3D6CAA"/>
    <w:rsid w:val="6F7E2977"/>
    <w:rsid w:val="6F944336"/>
    <w:rsid w:val="6F97449F"/>
    <w:rsid w:val="6F9E54E7"/>
    <w:rsid w:val="6FA6078D"/>
    <w:rsid w:val="6FAD4F96"/>
    <w:rsid w:val="6FF5292A"/>
    <w:rsid w:val="702A28D7"/>
    <w:rsid w:val="70894D06"/>
    <w:rsid w:val="710B2708"/>
    <w:rsid w:val="716A0369"/>
    <w:rsid w:val="71741949"/>
    <w:rsid w:val="71791A07"/>
    <w:rsid w:val="71EA4A14"/>
    <w:rsid w:val="727C01B1"/>
    <w:rsid w:val="72BB5F8B"/>
    <w:rsid w:val="72BB6655"/>
    <w:rsid w:val="72DF5BFA"/>
    <w:rsid w:val="72FA1A10"/>
    <w:rsid w:val="731E5E67"/>
    <w:rsid w:val="73290307"/>
    <w:rsid w:val="733D0B73"/>
    <w:rsid w:val="73662167"/>
    <w:rsid w:val="737F2B52"/>
    <w:rsid w:val="738D4096"/>
    <w:rsid w:val="73952CB3"/>
    <w:rsid w:val="73BB3031"/>
    <w:rsid w:val="73DE5E35"/>
    <w:rsid w:val="73E3255B"/>
    <w:rsid w:val="74B4133C"/>
    <w:rsid w:val="74D10E1E"/>
    <w:rsid w:val="74D80B53"/>
    <w:rsid w:val="74DB0643"/>
    <w:rsid w:val="751F6782"/>
    <w:rsid w:val="75976C60"/>
    <w:rsid w:val="75BF7803"/>
    <w:rsid w:val="75ED4C66"/>
    <w:rsid w:val="75F537A2"/>
    <w:rsid w:val="761A4816"/>
    <w:rsid w:val="766E376C"/>
    <w:rsid w:val="769D3F76"/>
    <w:rsid w:val="770143E1"/>
    <w:rsid w:val="7707379D"/>
    <w:rsid w:val="774769D9"/>
    <w:rsid w:val="77802750"/>
    <w:rsid w:val="77B70EF4"/>
    <w:rsid w:val="77C60C9B"/>
    <w:rsid w:val="77D84690"/>
    <w:rsid w:val="77E51F05"/>
    <w:rsid w:val="781B4C1A"/>
    <w:rsid w:val="78343564"/>
    <w:rsid w:val="786960F5"/>
    <w:rsid w:val="78A53442"/>
    <w:rsid w:val="78B402A3"/>
    <w:rsid w:val="78B877E9"/>
    <w:rsid w:val="78D26A7E"/>
    <w:rsid w:val="790463BB"/>
    <w:rsid w:val="79115F2B"/>
    <w:rsid w:val="797D2FE0"/>
    <w:rsid w:val="79940026"/>
    <w:rsid w:val="79A13787"/>
    <w:rsid w:val="79C97604"/>
    <w:rsid w:val="7A162C99"/>
    <w:rsid w:val="7A1D1ABC"/>
    <w:rsid w:val="7A550D56"/>
    <w:rsid w:val="7B18439F"/>
    <w:rsid w:val="7B406A51"/>
    <w:rsid w:val="7B564EC8"/>
    <w:rsid w:val="7B582291"/>
    <w:rsid w:val="7B6B26E9"/>
    <w:rsid w:val="7B776F27"/>
    <w:rsid w:val="7B951B50"/>
    <w:rsid w:val="7BAF10A7"/>
    <w:rsid w:val="7BD303AD"/>
    <w:rsid w:val="7BDC361F"/>
    <w:rsid w:val="7BE81FC4"/>
    <w:rsid w:val="7C184A57"/>
    <w:rsid w:val="7C264CF4"/>
    <w:rsid w:val="7C28078E"/>
    <w:rsid w:val="7C334196"/>
    <w:rsid w:val="7C675C0A"/>
    <w:rsid w:val="7C6B587F"/>
    <w:rsid w:val="7C7C3179"/>
    <w:rsid w:val="7C88490B"/>
    <w:rsid w:val="7CB2089F"/>
    <w:rsid w:val="7CF02627"/>
    <w:rsid w:val="7CFF4E1C"/>
    <w:rsid w:val="7D690930"/>
    <w:rsid w:val="7DEE7D58"/>
    <w:rsid w:val="7E23216E"/>
    <w:rsid w:val="7E636592"/>
    <w:rsid w:val="7E8E57B1"/>
    <w:rsid w:val="7EAC1347"/>
    <w:rsid w:val="7F0D5859"/>
    <w:rsid w:val="7F3C676E"/>
    <w:rsid w:val="7F7A77FF"/>
    <w:rsid w:val="7F7B4EFD"/>
    <w:rsid w:val="7FA06711"/>
    <w:rsid w:val="7FA22F78"/>
    <w:rsid w:val="7FA27CF2"/>
    <w:rsid w:val="7FA637C6"/>
    <w:rsid w:val="7FB201B2"/>
    <w:rsid w:val="7FB3011B"/>
    <w:rsid w:val="7FBA3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5"/>
    <w:autoRedefine/>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6">
    <w:name w:val="heading 3"/>
    <w:basedOn w:val="1"/>
    <w:next w:val="1"/>
    <w:autoRedefine/>
    <w:qFormat/>
    <w:uiPriority w:val="0"/>
    <w:pPr>
      <w:keepNext/>
      <w:keepLines/>
      <w:spacing w:before="260" w:after="260" w:line="416" w:lineRule="atLeast"/>
      <w:textAlignment w:val="baseline"/>
      <w:outlineLvl w:val="2"/>
    </w:pPr>
    <w:rPr>
      <w:b/>
      <w:bCs/>
      <w:color w:val="000000"/>
      <w:sz w:val="32"/>
      <w:szCs w:val="32"/>
      <w:u w:color="000000"/>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2"/>
    <w:basedOn w:val="1"/>
    <w:autoRedefine/>
    <w:qFormat/>
    <w:uiPriority w:val="0"/>
    <w:pPr>
      <w:ind w:firstLine="200" w:firstLineChars="200"/>
    </w:pPr>
    <w:rPr>
      <w:rFonts w:ascii="Calibri" w:hAnsi="Calibri"/>
      <w:sz w:val="28"/>
      <w:szCs w:val="22"/>
    </w:rPr>
  </w:style>
  <w:style w:type="paragraph" w:styleId="5">
    <w:name w:val="Normal Indent"/>
    <w:basedOn w:val="1"/>
    <w:next w:val="1"/>
    <w:autoRedefine/>
    <w:qFormat/>
    <w:uiPriority w:val="0"/>
    <w:pPr>
      <w:adjustRightInd w:val="0"/>
      <w:spacing w:line="360" w:lineRule="atLeast"/>
      <w:ind w:firstLine="482"/>
      <w:textAlignment w:val="baseline"/>
    </w:pPr>
    <w:rPr>
      <w:kern w:val="0"/>
      <w:sz w:val="24"/>
      <w:szCs w:val="20"/>
    </w:rPr>
  </w:style>
  <w:style w:type="paragraph" w:styleId="7">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8">
    <w:name w:val="annotation text"/>
    <w:basedOn w:val="1"/>
    <w:autoRedefine/>
    <w:qFormat/>
    <w:uiPriority w:val="0"/>
    <w:pPr>
      <w:jc w:val="left"/>
    </w:pPr>
  </w:style>
  <w:style w:type="paragraph" w:styleId="9">
    <w:name w:val="Body Text"/>
    <w:basedOn w:val="1"/>
    <w:next w:val="1"/>
    <w:link w:val="45"/>
    <w:autoRedefine/>
    <w:qFormat/>
    <w:uiPriority w:val="0"/>
    <w:pPr>
      <w:spacing w:after="120"/>
    </w:pPr>
  </w:style>
  <w:style w:type="paragraph" w:styleId="10">
    <w:name w:val="Body Text Indent"/>
    <w:basedOn w:val="1"/>
    <w:next w:val="1"/>
    <w:autoRedefine/>
    <w:qFormat/>
    <w:uiPriority w:val="0"/>
    <w:pPr>
      <w:spacing w:after="120"/>
      <w:ind w:left="200" w:leftChars="200"/>
    </w:pPr>
  </w:style>
  <w:style w:type="paragraph" w:styleId="11">
    <w:name w:val="toc 3"/>
    <w:basedOn w:val="1"/>
    <w:next w:val="1"/>
    <w:autoRedefine/>
    <w:qFormat/>
    <w:uiPriority w:val="39"/>
    <w:pPr>
      <w:tabs>
        <w:tab w:val="right" w:leader="dot" w:pos="9288"/>
      </w:tabs>
      <w:ind w:left="400" w:leftChars="400"/>
    </w:pPr>
    <w:rPr>
      <w:rFonts w:ascii="宋体"/>
    </w:rPr>
  </w:style>
  <w:style w:type="paragraph" w:styleId="12">
    <w:name w:val="Plain Text"/>
    <w:basedOn w:val="1"/>
    <w:next w:val="13"/>
    <w:link w:val="46"/>
    <w:autoRedefine/>
    <w:qFormat/>
    <w:uiPriority w:val="0"/>
    <w:rPr>
      <w:rFonts w:ascii="宋体"/>
      <w:color w:val="000000"/>
      <w:szCs w:val="20"/>
      <w:u w:color="000000"/>
    </w:rPr>
  </w:style>
  <w:style w:type="paragraph" w:styleId="13">
    <w:name w:val="List Number 5"/>
    <w:basedOn w:val="1"/>
    <w:qFormat/>
    <w:uiPriority w:val="0"/>
    <w:pPr>
      <w:numPr>
        <w:ilvl w:val="0"/>
        <w:numId w:val="2"/>
      </w:numPr>
    </w:pPr>
  </w:style>
  <w:style w:type="paragraph" w:styleId="14">
    <w:name w:val="Date"/>
    <w:basedOn w:val="1"/>
    <w:next w:val="1"/>
    <w:link w:val="47"/>
    <w:autoRedefine/>
    <w:qFormat/>
    <w:uiPriority w:val="0"/>
    <w:rPr>
      <w:rFonts w:ascii="Arial" w:hAnsi="Arial" w:eastAsia="仿宋_GB2312"/>
      <w:color w:val="000000"/>
      <w:sz w:val="32"/>
      <w:szCs w:val="20"/>
      <w:u w:color="000000"/>
    </w:rPr>
  </w:style>
  <w:style w:type="paragraph" w:styleId="15">
    <w:name w:val="footer"/>
    <w:basedOn w:val="1"/>
    <w:link w:val="48"/>
    <w:autoRedefine/>
    <w:qFormat/>
    <w:uiPriority w:val="0"/>
    <w:pPr>
      <w:tabs>
        <w:tab w:val="center" w:pos="4153"/>
        <w:tab w:val="right" w:pos="8306"/>
      </w:tabs>
      <w:snapToGrid w:val="0"/>
      <w:jc w:val="left"/>
    </w:pPr>
    <w:rPr>
      <w:sz w:val="18"/>
      <w:szCs w:val="18"/>
    </w:rPr>
  </w:style>
  <w:style w:type="paragraph" w:styleId="16">
    <w:name w:val="header"/>
    <w:basedOn w:val="1"/>
    <w:link w:val="49"/>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footnote text"/>
    <w:basedOn w:val="1"/>
    <w:autoRedefine/>
    <w:qFormat/>
    <w:uiPriority w:val="0"/>
    <w:pPr>
      <w:adjustRightInd w:val="0"/>
      <w:spacing w:line="312" w:lineRule="atLeast"/>
      <w:jc w:val="left"/>
      <w:textAlignment w:val="baseline"/>
    </w:pPr>
    <w:rPr>
      <w:kern w:val="0"/>
      <w:sz w:val="18"/>
      <w:szCs w:val="20"/>
    </w:rPr>
  </w:style>
  <w:style w:type="paragraph" w:styleId="19">
    <w:name w:val="index 7"/>
    <w:basedOn w:val="1"/>
    <w:next w:val="1"/>
    <w:autoRedefine/>
    <w:qFormat/>
    <w:uiPriority w:val="0"/>
    <w:pPr>
      <w:ind w:left="1200" w:leftChars="1200"/>
    </w:pPr>
  </w:style>
  <w:style w:type="paragraph" w:styleId="20">
    <w:name w:val="toc 2"/>
    <w:basedOn w:val="1"/>
    <w:next w:val="1"/>
    <w:autoRedefine/>
    <w:qFormat/>
    <w:uiPriority w:val="39"/>
    <w:pPr>
      <w:ind w:left="200" w:leftChars="200"/>
    </w:pPr>
  </w:style>
  <w:style w:type="paragraph" w:styleId="21">
    <w:name w:val="Body Text 2"/>
    <w:basedOn w:val="1"/>
    <w:autoRedefine/>
    <w:qFormat/>
    <w:uiPriority w:val="0"/>
    <w:pPr>
      <w:tabs>
        <w:tab w:val="left" w:pos="0"/>
      </w:tabs>
      <w:spacing w:line="400" w:lineRule="atLeast"/>
    </w:pPr>
    <w:rPr>
      <w:rFonts w:ascii="Arial" w:hAnsi="Arial"/>
      <w:color w:val="000000"/>
    </w:rPr>
  </w:style>
  <w:style w:type="paragraph" w:styleId="2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3">
    <w:name w:val="Body Text First Indent"/>
    <w:basedOn w:val="9"/>
    <w:autoRedefine/>
    <w:unhideWhenUsed/>
    <w:qFormat/>
    <w:uiPriority w:val="0"/>
    <w:pPr>
      <w:ind w:firstLine="420" w:firstLineChars="100"/>
    </w:pPr>
  </w:style>
  <w:style w:type="paragraph" w:styleId="24">
    <w:name w:val="Body Text First Indent 2"/>
    <w:basedOn w:val="10"/>
    <w:autoRedefine/>
    <w:unhideWhenUsed/>
    <w:qFormat/>
    <w:uiPriority w:val="99"/>
    <w:pPr>
      <w:ind w:left="420" w:firstLine="420"/>
    </w:pPr>
    <w:rPr>
      <w:rFonts w:cs="宋体"/>
      <w:szCs w:val="21"/>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b/>
    </w:rPr>
  </w:style>
  <w:style w:type="character" w:styleId="29">
    <w:name w:val="page number"/>
    <w:basedOn w:val="27"/>
    <w:autoRedefine/>
    <w:qFormat/>
    <w:uiPriority w:val="0"/>
  </w:style>
  <w:style w:type="character" w:styleId="30">
    <w:name w:val="FollowedHyperlink"/>
    <w:autoRedefine/>
    <w:qFormat/>
    <w:uiPriority w:val="0"/>
    <w:rPr>
      <w:color w:val="333333"/>
      <w:u w:val="none"/>
    </w:rPr>
  </w:style>
  <w:style w:type="character" w:styleId="31">
    <w:name w:val="HTML Definition"/>
    <w:basedOn w:val="27"/>
    <w:autoRedefine/>
    <w:qFormat/>
    <w:uiPriority w:val="0"/>
  </w:style>
  <w:style w:type="character" w:styleId="32">
    <w:name w:val="HTML Typewriter"/>
    <w:basedOn w:val="27"/>
    <w:autoRedefine/>
    <w:qFormat/>
    <w:uiPriority w:val="0"/>
    <w:rPr>
      <w:rFonts w:hint="default" w:ascii="monospace" w:hAnsi="monospace" w:eastAsia="monospace" w:cs="monospace"/>
      <w:sz w:val="20"/>
    </w:rPr>
  </w:style>
  <w:style w:type="character" w:styleId="33">
    <w:name w:val="HTML Acronym"/>
    <w:basedOn w:val="27"/>
    <w:autoRedefine/>
    <w:qFormat/>
    <w:uiPriority w:val="0"/>
  </w:style>
  <w:style w:type="character" w:styleId="34">
    <w:name w:val="HTML Variable"/>
    <w:basedOn w:val="27"/>
    <w:autoRedefine/>
    <w:qFormat/>
    <w:uiPriority w:val="0"/>
  </w:style>
  <w:style w:type="character" w:styleId="35">
    <w:name w:val="Hyperlink"/>
    <w:basedOn w:val="27"/>
    <w:autoRedefine/>
    <w:qFormat/>
    <w:uiPriority w:val="99"/>
    <w:rPr>
      <w:color w:val="0000FF"/>
      <w:u w:val="single"/>
    </w:rPr>
  </w:style>
  <w:style w:type="character" w:styleId="36">
    <w:name w:val="HTML Code"/>
    <w:basedOn w:val="27"/>
    <w:autoRedefine/>
    <w:qFormat/>
    <w:uiPriority w:val="0"/>
    <w:rPr>
      <w:rFonts w:ascii="monospace" w:hAnsi="monospace" w:eastAsia="monospace" w:cs="monospace"/>
      <w:sz w:val="20"/>
    </w:rPr>
  </w:style>
  <w:style w:type="character" w:styleId="37">
    <w:name w:val="HTML Cite"/>
    <w:basedOn w:val="27"/>
    <w:autoRedefine/>
    <w:qFormat/>
    <w:uiPriority w:val="0"/>
  </w:style>
  <w:style w:type="character" w:styleId="38">
    <w:name w:val="HTML Keyboard"/>
    <w:basedOn w:val="27"/>
    <w:autoRedefine/>
    <w:qFormat/>
    <w:uiPriority w:val="0"/>
    <w:rPr>
      <w:rFonts w:hint="default" w:ascii="monospace" w:hAnsi="monospace" w:eastAsia="monospace" w:cs="monospace"/>
      <w:sz w:val="20"/>
    </w:rPr>
  </w:style>
  <w:style w:type="character" w:styleId="39">
    <w:name w:val="HTML Sample"/>
    <w:basedOn w:val="27"/>
    <w:autoRedefine/>
    <w:qFormat/>
    <w:uiPriority w:val="0"/>
    <w:rPr>
      <w:rFonts w:hint="default" w:ascii="monospace" w:hAnsi="monospace" w:eastAsia="monospace" w:cs="monospace"/>
    </w:rPr>
  </w:style>
  <w:style w:type="paragraph" w:customStyle="1" w:styleId="40">
    <w:name w:val="正文格式"/>
    <w:basedOn w:val="1"/>
    <w:autoRedefine/>
    <w:qFormat/>
    <w:uiPriority w:val="99"/>
    <w:pPr>
      <w:widowControl/>
      <w:adjustRightInd w:val="0"/>
      <w:snapToGrid w:val="0"/>
      <w:spacing w:line="400" w:lineRule="atLeast"/>
      <w:ind w:firstLine="482"/>
      <w:textAlignment w:val="baseline"/>
    </w:pPr>
    <w:rPr>
      <w:kern w:val="0"/>
      <w:sz w:val="24"/>
    </w:rPr>
  </w:style>
  <w:style w:type="paragraph" w:customStyle="1" w:styleId="41">
    <w:name w:val="标题 5（有编号）（绿盟科技）"/>
    <w:basedOn w:val="1"/>
    <w:next w:val="42"/>
    <w:autoRedefine/>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42">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4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Normal]"/>
    <w:autoRedefine/>
    <w:qFormat/>
    <w:uiPriority w:val="0"/>
    <w:rPr>
      <w:rFonts w:ascii="宋体" w:hAnsi="宋体" w:eastAsia="宋体" w:cs="Times New Roman"/>
      <w:sz w:val="24"/>
      <w:szCs w:val="22"/>
      <w:lang w:val="zh-CN" w:eastAsia="zh-CN" w:bidi="ar-SA"/>
    </w:rPr>
  </w:style>
  <w:style w:type="character" w:customStyle="1" w:styleId="45">
    <w:name w:val="正文文本 Char"/>
    <w:link w:val="9"/>
    <w:autoRedefine/>
    <w:semiHidden/>
    <w:qFormat/>
    <w:locked/>
    <w:uiPriority w:val="0"/>
    <w:rPr>
      <w:rFonts w:eastAsia="宋体"/>
      <w:kern w:val="2"/>
      <w:sz w:val="21"/>
      <w:szCs w:val="24"/>
      <w:lang w:val="en-US" w:eastAsia="zh-CN" w:bidi="ar-SA"/>
    </w:rPr>
  </w:style>
  <w:style w:type="character" w:customStyle="1" w:styleId="46">
    <w:name w:val="纯文本 Char"/>
    <w:link w:val="12"/>
    <w:autoRedefine/>
    <w:qFormat/>
    <w:uiPriority w:val="0"/>
    <w:rPr>
      <w:rFonts w:ascii="宋体"/>
      <w:color w:val="000000"/>
      <w:kern w:val="2"/>
      <w:sz w:val="21"/>
      <w:u w:val="none" w:color="000000"/>
    </w:rPr>
  </w:style>
  <w:style w:type="character" w:customStyle="1" w:styleId="47">
    <w:name w:val="日期 Char"/>
    <w:link w:val="14"/>
    <w:autoRedefine/>
    <w:qFormat/>
    <w:uiPriority w:val="0"/>
    <w:rPr>
      <w:rFonts w:ascii="Arial" w:hAnsi="Arial" w:eastAsia="仿宋_GB2312"/>
      <w:color w:val="000000"/>
      <w:kern w:val="2"/>
      <w:sz w:val="32"/>
      <w:u w:val="none" w:color="000000"/>
      <w:lang w:val="en-US" w:eastAsia="zh-CN" w:bidi="ar-SA"/>
    </w:rPr>
  </w:style>
  <w:style w:type="character" w:customStyle="1" w:styleId="48">
    <w:name w:val="页脚 Char"/>
    <w:link w:val="15"/>
    <w:autoRedefine/>
    <w:qFormat/>
    <w:locked/>
    <w:uiPriority w:val="0"/>
    <w:rPr>
      <w:rFonts w:eastAsia="宋体"/>
      <w:kern w:val="2"/>
      <w:sz w:val="18"/>
      <w:szCs w:val="18"/>
      <w:lang w:val="en-US" w:eastAsia="zh-CN" w:bidi="ar-SA"/>
    </w:rPr>
  </w:style>
  <w:style w:type="character" w:customStyle="1" w:styleId="49">
    <w:name w:val="页眉 Char"/>
    <w:link w:val="16"/>
    <w:autoRedefine/>
    <w:qFormat/>
    <w:locked/>
    <w:uiPriority w:val="0"/>
    <w:rPr>
      <w:rFonts w:eastAsia="宋体"/>
      <w:kern w:val="2"/>
      <w:sz w:val="18"/>
      <w:szCs w:val="18"/>
      <w:lang w:val="en-US" w:eastAsia="zh-CN" w:bidi="ar-SA"/>
    </w:rPr>
  </w:style>
  <w:style w:type="character" w:customStyle="1" w:styleId="50">
    <w:name w:val="Body Text Char"/>
    <w:autoRedefine/>
    <w:qFormat/>
    <w:locked/>
    <w:uiPriority w:val="0"/>
    <w:rPr>
      <w:rFonts w:ascii="宋体" w:hAnsi="Arial"/>
      <w:sz w:val="28"/>
    </w:rPr>
  </w:style>
  <w:style w:type="paragraph" w:customStyle="1" w:styleId="51">
    <w:name w:val="p0"/>
    <w:basedOn w:val="1"/>
    <w:autoRedefine/>
    <w:qFormat/>
    <w:uiPriority w:val="0"/>
    <w:pPr>
      <w:widowControl/>
      <w:jc w:val="left"/>
    </w:pPr>
    <w:rPr>
      <w:rFonts w:ascii="宋体" w:hAnsi="宋体" w:cs="宋体"/>
      <w:kern w:val="0"/>
      <w:sz w:val="18"/>
      <w:szCs w:val="18"/>
    </w:rPr>
  </w:style>
  <w:style w:type="paragraph" w:customStyle="1" w:styleId="52">
    <w:name w:val="Body 1"/>
    <w:autoRedefine/>
    <w:qFormat/>
    <w:uiPriority w:val="0"/>
    <w:pPr>
      <w:outlineLvl w:val="0"/>
    </w:pPr>
    <w:rPr>
      <w:rFonts w:ascii="Helvetica" w:hAnsi="Helvetica" w:eastAsia="ヒラギノ角ゴ Pro W3" w:cs="Times New Roman"/>
      <w:color w:val="000000"/>
      <w:sz w:val="22"/>
      <w:lang w:val="en-US" w:eastAsia="zh-CN" w:bidi="ar-SA"/>
    </w:rPr>
  </w:style>
  <w:style w:type="paragraph" w:customStyle="1" w:styleId="53">
    <w:name w:val="WPS Plain"/>
    <w:autoRedefine/>
    <w:qFormat/>
    <w:uiPriority w:val="0"/>
    <w:rPr>
      <w:rFonts w:ascii="Times New Roman" w:hAnsi="Times New Roman" w:eastAsia="宋体" w:cs="Times New Roman"/>
      <w:lang w:val="en-US" w:eastAsia="zh-CN" w:bidi="ar-SA"/>
    </w:rPr>
  </w:style>
  <w:style w:type="paragraph" w:styleId="54">
    <w:name w:val="List Paragraph"/>
    <w:basedOn w:val="1"/>
    <w:autoRedefine/>
    <w:qFormat/>
    <w:uiPriority w:val="0"/>
    <w:pPr>
      <w:spacing w:line="360" w:lineRule="auto"/>
      <w:ind w:firstLine="420" w:firstLineChars="200"/>
    </w:pPr>
    <w:rPr>
      <w:rFonts w:ascii="宋体" w:hAnsi="宋体" w:cs="宋体"/>
      <w:sz w:val="24"/>
    </w:rPr>
  </w:style>
  <w:style w:type="paragraph" w:customStyle="1" w:styleId="55">
    <w:name w:val="Char"/>
    <w:basedOn w:val="1"/>
    <w:next w:val="1"/>
    <w:autoRedefine/>
    <w:qFormat/>
    <w:uiPriority w:val="0"/>
    <w:pPr>
      <w:widowControl/>
      <w:spacing w:line="360" w:lineRule="auto"/>
      <w:jc w:val="left"/>
    </w:pPr>
    <w:rPr>
      <w:kern w:val="0"/>
      <w:szCs w:val="20"/>
      <w:lang w:eastAsia="en-US"/>
    </w:rPr>
  </w:style>
  <w:style w:type="paragraph" w:customStyle="1" w:styleId="56">
    <w:name w:val="正文1"/>
    <w:autoRedefine/>
    <w:qFormat/>
    <w:uiPriority w:val="0"/>
    <w:rPr>
      <w:rFonts w:ascii="Calibri" w:hAnsi="Calibri" w:eastAsia="Times New Roman" w:cs="Times New Roman"/>
      <w:sz w:val="24"/>
      <w:szCs w:val="24"/>
      <w:lang w:val="en-US" w:eastAsia="zh-CN" w:bidi="ar-SA"/>
    </w:rPr>
  </w:style>
  <w:style w:type="paragraph" w:customStyle="1" w:styleId="57">
    <w:name w:val="样式 左侧:  0 厘米 悬挂缩进: 2.5 字符"/>
    <w:basedOn w:val="1"/>
    <w:autoRedefine/>
    <w:qFormat/>
    <w:uiPriority w:val="0"/>
    <w:pPr>
      <w:ind w:left="525" w:hanging="525" w:hangingChars="250"/>
    </w:pPr>
    <w:rPr>
      <w:szCs w:val="20"/>
    </w:rPr>
  </w:style>
  <w:style w:type="paragraph" w:customStyle="1" w:styleId="58">
    <w:name w:val="图例"/>
    <w:basedOn w:val="1"/>
    <w:autoRedefine/>
    <w:qFormat/>
    <w:uiPriority w:val="0"/>
    <w:pPr>
      <w:spacing w:before="120" w:after="120" w:line="360" w:lineRule="auto"/>
      <w:jc w:val="center"/>
    </w:pPr>
    <w:rPr>
      <w:rFonts w:eastAsia="仿宋_GB2312"/>
      <w:b/>
      <w:sz w:val="24"/>
    </w:rPr>
  </w:style>
  <w:style w:type="paragraph" w:customStyle="1" w:styleId="59">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60">
    <w:name w:val="black1"/>
    <w:basedOn w:val="1"/>
    <w:autoRedefine/>
    <w:qFormat/>
    <w:uiPriority w:val="0"/>
    <w:pPr>
      <w:widowControl/>
      <w:spacing w:before="100" w:beforeAutospacing="1" w:after="100" w:afterAutospacing="1" w:line="280" w:lineRule="atLeast"/>
      <w:jc w:val="left"/>
    </w:pPr>
    <w:rPr>
      <w:rFonts w:ascii="_x000B__x000C_" w:hAnsi="_x000B__x000C_"/>
      <w:color w:val="000000"/>
      <w:kern w:val="0"/>
      <w:sz w:val="18"/>
      <w:szCs w:val="18"/>
    </w:rPr>
  </w:style>
  <w:style w:type="paragraph" w:customStyle="1" w:styleId="61">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62">
    <w:name w:val="列出段落1"/>
    <w:basedOn w:val="1"/>
    <w:autoRedefine/>
    <w:qFormat/>
    <w:uiPriority w:val="0"/>
    <w:pPr>
      <w:ind w:firstLine="420" w:firstLineChars="200"/>
    </w:pPr>
    <w:rPr>
      <w:rFonts w:ascii="Calibri" w:hAnsi="Calibri"/>
      <w:szCs w:val="22"/>
    </w:rPr>
  </w:style>
  <w:style w:type="paragraph" w:customStyle="1" w:styleId="63">
    <w:name w:val="Table Paragraph"/>
    <w:basedOn w:val="1"/>
    <w:autoRedefine/>
    <w:qFormat/>
    <w:uiPriority w:val="1"/>
  </w:style>
  <w:style w:type="character" w:customStyle="1" w:styleId="64">
    <w:name w:val="font21"/>
    <w:basedOn w:val="27"/>
    <w:autoRedefine/>
    <w:qFormat/>
    <w:uiPriority w:val="0"/>
    <w:rPr>
      <w:rFonts w:hint="eastAsia" w:ascii="宋体" w:hAnsi="宋体" w:eastAsia="宋体" w:cs="宋体"/>
      <w:color w:val="000000"/>
      <w:sz w:val="20"/>
      <w:szCs w:val="20"/>
      <w:u w:val="none"/>
    </w:rPr>
  </w:style>
  <w:style w:type="character" w:customStyle="1" w:styleId="65">
    <w:name w:val="font31"/>
    <w:basedOn w:val="27"/>
    <w:autoRedefine/>
    <w:qFormat/>
    <w:uiPriority w:val="0"/>
    <w:rPr>
      <w:rFonts w:hint="eastAsia" w:ascii="宋体" w:hAnsi="宋体" w:eastAsia="宋体" w:cs="宋体"/>
      <w:color w:val="FF0000"/>
      <w:sz w:val="20"/>
      <w:szCs w:val="20"/>
      <w:u w:val="none"/>
    </w:rPr>
  </w:style>
  <w:style w:type="character" w:customStyle="1" w:styleId="66">
    <w:name w:val="font01"/>
    <w:basedOn w:val="27"/>
    <w:autoRedefine/>
    <w:qFormat/>
    <w:uiPriority w:val="0"/>
    <w:rPr>
      <w:rFonts w:ascii="宋体" w:hAnsi="宋体" w:eastAsia="宋体" w:cs="宋体"/>
      <w:color w:val="000000"/>
      <w:sz w:val="20"/>
      <w:szCs w:val="20"/>
      <w:u w:val="none"/>
    </w:rPr>
  </w:style>
  <w:style w:type="character" w:customStyle="1" w:styleId="67">
    <w:name w:val="标题 1 Char"/>
    <w:basedOn w:val="27"/>
    <w:link w:val="3"/>
    <w:autoRedefine/>
    <w:qFormat/>
    <w:uiPriority w:val="0"/>
    <w:rPr>
      <w:b/>
      <w:bCs/>
      <w:kern w:val="44"/>
      <w:sz w:val="44"/>
      <w:szCs w:val="44"/>
    </w:rPr>
  </w:style>
  <w:style w:type="paragraph" w:customStyle="1" w:styleId="68">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Times New Roman"/>
      <w:color w:val="000000"/>
      <w:kern w:val="2"/>
      <w:sz w:val="21"/>
      <w:szCs w:val="21"/>
      <w:lang w:val="en-US" w:eastAsia="zh-CN" w:bidi="ar-SA"/>
    </w:rPr>
  </w:style>
  <w:style w:type="paragraph" w:customStyle="1" w:styleId="69">
    <w:name w:val="BodyText"/>
    <w:basedOn w:val="1"/>
    <w:next w:val="1"/>
    <w:autoRedefine/>
    <w:qFormat/>
    <w:uiPriority w:val="0"/>
    <w:pPr>
      <w:tabs>
        <w:tab w:val="left" w:pos="780"/>
      </w:tabs>
    </w:pPr>
    <w:rPr>
      <w:rFonts w:ascii="黑体" w:eastAsia="黑体"/>
      <w:sz w:val="22"/>
    </w:rPr>
  </w:style>
  <w:style w:type="paragraph" w:customStyle="1" w:styleId="70">
    <w:name w:val="Heading #2|1"/>
    <w:basedOn w:val="1"/>
    <w:autoRedefine/>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71">
    <w:name w:val="Table caption|1"/>
    <w:basedOn w:val="1"/>
    <w:autoRedefine/>
    <w:qFormat/>
    <w:uiPriority w:val="0"/>
    <w:rPr>
      <w:rFonts w:ascii="宋体" w:hAnsi="宋体" w:eastAsia="宋体" w:cs="宋体"/>
      <w:sz w:val="22"/>
      <w:szCs w:val="22"/>
      <w:lang w:val="zh-TW" w:eastAsia="zh-TW" w:bidi="zh-TW"/>
    </w:rPr>
  </w:style>
  <w:style w:type="paragraph" w:customStyle="1" w:styleId="72">
    <w:name w:val="Other|1"/>
    <w:basedOn w:val="1"/>
    <w:autoRedefine/>
    <w:qFormat/>
    <w:uiPriority w:val="0"/>
    <w:pPr>
      <w:spacing w:line="454" w:lineRule="auto"/>
      <w:ind w:firstLine="140"/>
    </w:pPr>
    <w:rPr>
      <w:rFonts w:ascii="宋体" w:hAnsi="宋体" w:eastAsia="宋体" w:cs="宋体"/>
      <w:sz w:val="22"/>
      <w:szCs w:val="22"/>
      <w:lang w:val="zh-TW" w:eastAsia="zh-TW" w:bidi="zh-TW"/>
    </w:rPr>
  </w:style>
  <w:style w:type="paragraph" w:customStyle="1" w:styleId="73">
    <w:name w:val="Body text|1"/>
    <w:basedOn w:val="1"/>
    <w:autoRedefine/>
    <w:qFormat/>
    <w:uiPriority w:val="0"/>
    <w:pPr>
      <w:spacing w:line="454" w:lineRule="auto"/>
      <w:ind w:firstLine="140"/>
    </w:pPr>
    <w:rPr>
      <w:rFonts w:ascii="宋体" w:hAnsi="宋体" w:eastAsia="宋体" w:cs="宋体"/>
      <w:sz w:val="22"/>
      <w:szCs w:val="22"/>
      <w:lang w:val="zh-TW" w:eastAsia="zh-TW" w:bidi="zh-TW"/>
    </w:rPr>
  </w:style>
  <w:style w:type="paragraph" w:customStyle="1" w:styleId="74">
    <w:name w:val="Body text|2"/>
    <w:basedOn w:val="1"/>
    <w:autoRedefine/>
    <w:qFormat/>
    <w:uiPriority w:val="0"/>
    <w:pPr>
      <w:spacing w:after="260"/>
      <w:ind w:firstLine="140"/>
    </w:pPr>
    <w:rPr>
      <w:rFonts w:ascii="宋体" w:hAnsi="宋体" w:eastAsia="宋体" w:cs="宋体"/>
      <w:sz w:val="30"/>
      <w:szCs w:val="30"/>
      <w:lang w:val="zh-TW" w:eastAsia="zh-TW" w:bidi="zh-TW"/>
    </w:rPr>
  </w:style>
  <w:style w:type="character" w:customStyle="1" w:styleId="75">
    <w:name w:val="layui-layer-tabnow"/>
    <w:basedOn w:val="27"/>
    <w:autoRedefine/>
    <w:qFormat/>
    <w:uiPriority w:val="0"/>
    <w:rPr>
      <w:bdr w:val="single" w:color="CCCCCC" w:sz="6" w:space="0"/>
      <w:shd w:val="clear" w:fill="FFFFFF"/>
    </w:rPr>
  </w:style>
  <w:style w:type="character" w:customStyle="1" w:styleId="76">
    <w:name w:val="first-child"/>
    <w:basedOn w:val="27"/>
    <w:autoRedefine/>
    <w:qFormat/>
    <w:uiPriority w:val="0"/>
  </w:style>
  <w:style w:type="paragraph" w:customStyle="1" w:styleId="77">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7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57</Pages>
  <Words>2908</Words>
  <Characters>3325</Characters>
  <Lines>418</Lines>
  <Paragraphs>117</Paragraphs>
  <TotalTime>13</TotalTime>
  <ScaleCrop>false</ScaleCrop>
  <LinksUpToDate>false</LinksUpToDate>
  <CharactersWithSpaces>3512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小阔爱</cp:lastModifiedBy>
  <cp:lastPrinted>2025-11-04T05:42:00Z</cp:lastPrinted>
  <dcterms:modified xsi:type="dcterms:W3CDTF">2026-05-11T02:34:31Z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63BF5A2236404AF882894C2165F19389_13</vt:lpwstr>
  </property>
  <property fmtid="{D5CDD505-2E9C-101B-9397-08002B2CF9AE}" pid="4" name="KSOTemplateDocerSaveRecord">
    <vt:lpwstr>eyJoZGlkIjoiNmViNWFhZjMyNTM3N2ZmN2I0NjJiYmJiYWE0ZDE4YjUiLCJ1c2VySWQiOiI0OTgxNjg5MDcifQ==</vt:lpwstr>
  </property>
</Properties>
</file>