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F687C">
      <w:pPr>
        <w:pStyle w:val="13"/>
        <w:ind w:firstLine="0" w:firstLineChars="0"/>
        <w:rPr>
          <w:rFonts w:ascii="宋体" w:hAnsi="宋体" w:cs="宋体"/>
          <w:b/>
          <w:sz w:val="56"/>
          <w:szCs w:val="56"/>
        </w:rPr>
      </w:pPr>
    </w:p>
    <w:p w14:paraId="33B30C72">
      <w:pPr>
        <w:jc w:val="center"/>
        <w:rPr>
          <w:rFonts w:hint="eastAsia" w:eastAsia="宋体"/>
          <w:sz w:val="22"/>
          <w:szCs w:val="22"/>
          <w:lang w:eastAsia="zh-CN"/>
        </w:rPr>
      </w:pPr>
      <w:r>
        <w:rPr>
          <w:rFonts w:hint="eastAsia" w:ascii="宋体" w:hAnsi="宋体" w:cs="宋体"/>
          <w:b/>
          <w:sz w:val="52"/>
          <w:szCs w:val="52"/>
          <w:lang w:eastAsia="zh-CN"/>
        </w:rPr>
        <w:t>青海柴达木职业技术学院医学系专业群实训室建设和升级改造项目（二次）</w:t>
      </w:r>
    </w:p>
    <w:p w14:paraId="31DF45A6">
      <w:pPr>
        <w:spacing w:line="360" w:lineRule="auto"/>
        <w:jc w:val="both"/>
        <w:rPr>
          <w:rFonts w:ascii="宋体" w:hAnsi="宋体" w:cs="宋体"/>
          <w:b/>
          <w:sz w:val="72"/>
          <w:szCs w:val="72"/>
        </w:rPr>
      </w:pPr>
    </w:p>
    <w:p w14:paraId="1D9AC4A7">
      <w:pPr>
        <w:spacing w:line="360" w:lineRule="auto"/>
        <w:jc w:val="center"/>
        <w:rPr>
          <w:rFonts w:ascii="宋体" w:hAnsi="宋体" w:cs="宋体"/>
          <w:sz w:val="52"/>
          <w:szCs w:val="52"/>
        </w:rPr>
      </w:pPr>
      <w:r>
        <w:rPr>
          <w:rFonts w:hint="eastAsia" w:ascii="宋体" w:hAnsi="宋体" w:cs="宋体"/>
          <w:b/>
          <w:sz w:val="72"/>
          <w:szCs w:val="72"/>
        </w:rPr>
        <w:t>竞争性磋商文件</w:t>
      </w:r>
    </w:p>
    <w:p w14:paraId="378856B4">
      <w:pPr>
        <w:pStyle w:val="14"/>
        <w:spacing w:line="600" w:lineRule="auto"/>
        <w:ind w:left="0" w:leftChars="0" w:firstLine="0" w:firstLineChars="0"/>
        <w:rPr>
          <w:rFonts w:ascii="宋体" w:hAnsi="宋体" w:cs="宋体"/>
          <w:b/>
          <w:bCs/>
          <w:sz w:val="32"/>
          <w:szCs w:val="32"/>
        </w:rPr>
      </w:pPr>
    </w:p>
    <w:p w14:paraId="3243490F">
      <w:pPr>
        <w:pStyle w:val="14"/>
        <w:spacing w:line="720" w:lineRule="auto"/>
        <w:ind w:left="1606" w:leftChars="0" w:hanging="1606" w:hangingChars="500"/>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cs="宋体"/>
          <w:b/>
          <w:bCs/>
          <w:sz w:val="32"/>
          <w:szCs w:val="32"/>
          <w:lang w:eastAsia="zh-CN"/>
        </w:rPr>
        <w:t>青海柴达木职业技术学院医学系专业群实训室建设和升级改造项目（二次）</w:t>
      </w:r>
    </w:p>
    <w:p w14:paraId="5A158038">
      <w:pPr>
        <w:pStyle w:val="14"/>
        <w:spacing w:line="720" w:lineRule="auto"/>
        <w:ind w:left="0" w:leftChars="0" w:firstLine="0" w:firstLineChars="0"/>
        <w:rPr>
          <w:rFonts w:hint="eastAsia" w:ascii="宋体" w:hAnsi="宋体" w:eastAsia="宋体" w:cs="宋体"/>
          <w:b/>
          <w:bCs/>
          <w:sz w:val="32"/>
          <w:szCs w:val="32"/>
          <w:lang w:eastAsia="zh-CN"/>
        </w:rPr>
      </w:pPr>
      <w:r>
        <w:rPr>
          <w:rFonts w:hint="eastAsia" w:ascii="宋体" w:hAnsi="宋体" w:cs="宋体"/>
          <w:b/>
          <w:bCs/>
          <w:sz w:val="32"/>
          <w:szCs w:val="32"/>
        </w:rPr>
        <w:t>采购单位：</w:t>
      </w:r>
      <w:r>
        <w:rPr>
          <w:rFonts w:hint="eastAsia" w:ascii="宋体" w:hAnsi="宋体" w:cs="宋体"/>
          <w:b/>
          <w:bCs/>
          <w:sz w:val="32"/>
          <w:szCs w:val="32"/>
          <w:lang w:eastAsia="zh-CN"/>
        </w:rPr>
        <w:t>青海柴达木职业技术学院</w:t>
      </w:r>
    </w:p>
    <w:p w14:paraId="42CDA5D8">
      <w:pPr>
        <w:spacing w:line="720" w:lineRule="auto"/>
        <w:jc w:val="both"/>
        <w:rPr>
          <w:rFonts w:ascii="宋体" w:hAnsi="宋体" w:cs="宋体"/>
        </w:rPr>
      </w:pPr>
      <w:r>
        <w:rPr>
          <w:rFonts w:hint="eastAsia" w:ascii="宋体" w:hAnsi="宋体" w:cs="宋体"/>
          <w:b/>
          <w:bCs/>
          <w:sz w:val="32"/>
          <w:szCs w:val="32"/>
        </w:rPr>
        <w:t xml:space="preserve">采购方式：竞争性磋商 </w:t>
      </w:r>
    </w:p>
    <w:p w14:paraId="41310715">
      <w:pPr>
        <w:spacing w:line="720" w:lineRule="auto"/>
        <w:jc w:val="both"/>
        <w:rPr>
          <w:rFonts w:hint="eastAsia" w:ascii="宋体" w:hAnsi="宋体" w:cs="宋体"/>
          <w:b/>
          <w:bCs/>
          <w:sz w:val="32"/>
          <w:szCs w:val="32"/>
          <w:lang w:eastAsia="zh-CN"/>
        </w:rPr>
      </w:pPr>
      <w:r>
        <w:rPr>
          <w:rFonts w:hint="eastAsia" w:ascii="宋体" w:hAnsi="宋体" w:cs="宋体"/>
          <w:b/>
          <w:bCs/>
          <w:sz w:val="32"/>
          <w:szCs w:val="32"/>
        </w:rPr>
        <w:t>项目编号：</w:t>
      </w:r>
      <w:r>
        <w:rPr>
          <w:rFonts w:hint="eastAsia" w:ascii="宋体" w:hAnsi="宋体" w:cs="宋体"/>
          <w:b/>
          <w:bCs/>
          <w:sz w:val="32"/>
          <w:szCs w:val="32"/>
          <w:lang w:eastAsia="zh-CN"/>
        </w:rPr>
        <w:t>青海宸晖竞磋（货物）2026-020号</w:t>
      </w:r>
    </w:p>
    <w:p w14:paraId="6F3D5805">
      <w:pPr>
        <w:spacing w:line="720" w:lineRule="auto"/>
        <w:jc w:val="both"/>
        <w:rPr>
          <w:rFonts w:hint="default" w:ascii="宋体" w:hAnsi="宋体" w:cs="宋体"/>
          <w:b/>
          <w:bCs/>
          <w:sz w:val="32"/>
          <w:szCs w:val="32"/>
          <w:lang w:val="en-US" w:eastAsia="zh-CN"/>
        </w:rPr>
      </w:pPr>
      <w:r>
        <w:rPr>
          <w:rFonts w:hint="eastAsia" w:ascii="宋体" w:hAnsi="宋体" w:cs="宋体"/>
          <w:b/>
          <w:bCs/>
          <w:sz w:val="32"/>
          <w:szCs w:val="32"/>
          <w:lang w:val="en-US" w:eastAsia="zh-CN"/>
        </w:rPr>
        <w:t>包号：包一</w:t>
      </w:r>
    </w:p>
    <w:p w14:paraId="08284C43">
      <w:pPr>
        <w:pStyle w:val="14"/>
        <w:ind w:left="0" w:leftChars="0" w:firstLine="0" w:firstLineChars="0"/>
        <w:rPr>
          <w:rFonts w:ascii="宋体" w:hAnsi="宋体" w:cs="宋体"/>
        </w:rPr>
      </w:pPr>
    </w:p>
    <w:p w14:paraId="32BEED08">
      <w:pPr>
        <w:spacing w:line="360" w:lineRule="auto"/>
        <w:jc w:val="center"/>
        <w:rPr>
          <w:rFonts w:ascii="宋体" w:hAnsi="宋体" w:cs="宋体"/>
          <w:b/>
          <w:bCs/>
          <w:sz w:val="28"/>
        </w:rPr>
      </w:pPr>
      <w:r>
        <w:rPr>
          <w:rFonts w:hint="eastAsia" w:ascii="宋体" w:hAnsi="宋体" w:cs="宋体"/>
          <w:b/>
          <w:bCs/>
          <w:sz w:val="28"/>
        </w:rPr>
        <w:t>青海</w:t>
      </w:r>
      <w:r>
        <w:rPr>
          <w:rFonts w:hint="eastAsia" w:ascii="宋体" w:hAnsi="宋体" w:cs="宋体"/>
          <w:b/>
          <w:bCs/>
          <w:sz w:val="28"/>
          <w:lang w:eastAsia="zh-CN"/>
        </w:rPr>
        <w:t>宸晖</w:t>
      </w:r>
      <w:r>
        <w:rPr>
          <w:rFonts w:hint="eastAsia" w:ascii="宋体" w:hAnsi="宋体" w:cs="宋体"/>
          <w:b/>
          <w:bCs/>
          <w:sz w:val="28"/>
        </w:rPr>
        <w:t>工程项目管理有限公司</w:t>
      </w:r>
    </w:p>
    <w:p w14:paraId="5FEF6396">
      <w:pPr>
        <w:spacing w:line="360" w:lineRule="auto"/>
        <w:jc w:val="center"/>
        <w:rPr>
          <w:rFonts w:hint="eastAsia" w:ascii="宋体" w:hAnsi="宋体" w:eastAsia="宋体" w:cs="宋体"/>
          <w:lang w:eastAsia="zh-CN"/>
        </w:rPr>
        <w:sectPr>
          <w:headerReference r:id="rId5" w:type="first"/>
          <w:footerReference r:id="rId7" w:type="first"/>
          <w:headerReference r:id="rId3" w:type="default"/>
          <w:headerReference r:id="rId4" w:type="even"/>
          <w:footerReference r:id="rId6" w:type="even"/>
          <w:type w:val="continuous"/>
          <w:pgSz w:w="11906" w:h="16838"/>
          <w:pgMar w:top="1531" w:right="1735" w:bottom="1531" w:left="1291" w:header="851" w:footer="992" w:gutter="0"/>
          <w:pgNumType w:start="1"/>
          <w:cols w:space="720" w:num="1"/>
          <w:docGrid w:type="lines" w:linePitch="326" w:charSpace="0"/>
        </w:sectPr>
      </w:pPr>
      <w:r>
        <w:rPr>
          <w:rFonts w:hint="eastAsia" w:ascii="宋体" w:hAnsi="宋体" w:cs="宋体"/>
          <w:b/>
          <w:bCs/>
          <w:sz w:val="28"/>
          <w:lang w:eastAsia="zh-CN"/>
        </w:rPr>
        <w:t>二〇二六年</w:t>
      </w:r>
      <w:r>
        <w:rPr>
          <w:rFonts w:hint="eastAsia" w:ascii="宋体" w:hAnsi="宋体" w:cs="宋体"/>
          <w:b/>
          <w:bCs/>
          <w:sz w:val="28"/>
          <w:lang w:val="en-US" w:eastAsia="zh-CN"/>
        </w:rPr>
        <w:t>六</w:t>
      </w:r>
      <w:r>
        <w:rPr>
          <w:rFonts w:hint="eastAsia" w:ascii="宋体" w:hAnsi="宋体" w:cs="宋体"/>
          <w:b/>
          <w:bCs/>
          <w:sz w:val="28"/>
          <w:lang w:eastAsia="zh-CN"/>
        </w:rPr>
        <w:t>月</w:t>
      </w:r>
    </w:p>
    <w:p w14:paraId="7642A99A">
      <w:pPr>
        <w:spacing w:line="360" w:lineRule="auto"/>
        <w:jc w:val="center"/>
        <w:rPr>
          <w:rFonts w:ascii="宋体" w:hAnsi="宋体" w:cs="宋体"/>
          <w:b/>
          <w:sz w:val="44"/>
          <w:szCs w:val="28"/>
        </w:rPr>
      </w:pPr>
      <w:r>
        <w:rPr>
          <w:rFonts w:hint="eastAsia" w:ascii="宋体" w:hAnsi="宋体" w:cs="宋体"/>
          <w:b/>
          <w:sz w:val="44"/>
          <w:szCs w:val="28"/>
        </w:rPr>
        <w:t>目     录</w:t>
      </w:r>
    </w:p>
    <w:p w14:paraId="30FB34B5">
      <w:pPr>
        <w:pStyle w:val="32"/>
        <w:tabs>
          <w:tab w:val="right" w:leader="dot" w:pos="8307"/>
        </w:tabs>
        <w:spacing w:line="480" w:lineRule="auto"/>
      </w:pP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TOC \o "1-1" \h \z \u </w:instrText>
      </w:r>
      <w:r>
        <w:rPr>
          <w:rFonts w:hint="eastAsia" w:ascii="宋体" w:hAnsi="宋体" w:cs="宋体"/>
          <w:b w:val="0"/>
          <w:bCs w:val="0"/>
          <w:sz w:val="28"/>
          <w:szCs w:val="28"/>
        </w:rPr>
        <w:fldChar w:fldCharType="separate"/>
      </w:r>
      <w:r>
        <w:fldChar w:fldCharType="begin"/>
      </w:r>
      <w:r>
        <w:instrText xml:space="preserve"> HYPERLINK \l "_Toc20956" </w:instrText>
      </w:r>
      <w:r>
        <w:fldChar w:fldCharType="separate"/>
      </w:r>
      <w:r>
        <w:rPr>
          <w:rFonts w:hint="eastAsia" w:ascii="宋体" w:hAnsi="宋体" w:cs="宋体"/>
          <w:szCs w:val="32"/>
        </w:rPr>
        <w:t>第一</w:t>
      </w:r>
      <w:r>
        <w:rPr>
          <w:rFonts w:hint="eastAsia" w:ascii="宋体" w:hAnsi="宋体" w:cs="宋体"/>
          <w:szCs w:val="32"/>
          <w:lang w:val="en-US" w:eastAsia="zh-CN"/>
        </w:rPr>
        <w:t>部分</w:t>
      </w:r>
      <w:r>
        <w:rPr>
          <w:rFonts w:hint="eastAsia" w:ascii="宋体" w:hAnsi="宋体" w:cs="宋体"/>
          <w:szCs w:val="32"/>
        </w:rPr>
        <w:t xml:space="preserve"> 竞争性磋商公告</w:t>
      </w:r>
      <w:r>
        <w:tab/>
      </w:r>
      <w:r>
        <w:fldChar w:fldCharType="begin"/>
      </w:r>
      <w:r>
        <w:instrText xml:space="preserve"> PAGEREF _Toc20956 \h </w:instrText>
      </w:r>
      <w:r>
        <w:fldChar w:fldCharType="separate"/>
      </w:r>
      <w:r>
        <w:t>2</w:t>
      </w:r>
      <w:r>
        <w:fldChar w:fldCharType="end"/>
      </w:r>
      <w:r>
        <w:fldChar w:fldCharType="end"/>
      </w:r>
    </w:p>
    <w:p w14:paraId="1B18BB8E">
      <w:pPr>
        <w:pStyle w:val="32"/>
        <w:tabs>
          <w:tab w:val="right" w:leader="dot" w:pos="8307"/>
        </w:tabs>
        <w:spacing w:line="480" w:lineRule="auto"/>
      </w:pPr>
      <w:r>
        <w:fldChar w:fldCharType="begin"/>
      </w:r>
      <w:r>
        <w:instrText xml:space="preserve"> HYPERLINK \l "_Toc25190" </w:instrText>
      </w:r>
      <w:r>
        <w:fldChar w:fldCharType="separate"/>
      </w:r>
      <w:r>
        <w:rPr>
          <w:rFonts w:hint="eastAsia" w:ascii="宋体" w:hAnsi="宋体" w:cs="宋体"/>
          <w:szCs w:val="28"/>
        </w:rPr>
        <w:t>第二</w:t>
      </w:r>
      <w:r>
        <w:rPr>
          <w:rFonts w:hint="eastAsia" w:ascii="宋体" w:hAnsi="宋体" w:cs="宋体"/>
          <w:szCs w:val="32"/>
          <w:lang w:val="en-US" w:eastAsia="zh-CN"/>
        </w:rPr>
        <w:t>部分</w:t>
      </w:r>
      <w:r>
        <w:rPr>
          <w:rFonts w:hint="eastAsia" w:ascii="宋体" w:hAnsi="宋体" w:cs="宋体"/>
          <w:szCs w:val="28"/>
        </w:rPr>
        <w:t xml:space="preserve">  磋商须知</w:t>
      </w:r>
      <w:r>
        <w:tab/>
      </w:r>
      <w:r>
        <w:fldChar w:fldCharType="begin"/>
      </w:r>
      <w:r>
        <w:instrText xml:space="preserve"> PAGEREF _Toc25190 \h </w:instrText>
      </w:r>
      <w:r>
        <w:fldChar w:fldCharType="separate"/>
      </w:r>
      <w:r>
        <w:t>5</w:t>
      </w:r>
      <w:r>
        <w:fldChar w:fldCharType="end"/>
      </w:r>
      <w:r>
        <w:fldChar w:fldCharType="end"/>
      </w:r>
    </w:p>
    <w:p w14:paraId="16D8C3D5">
      <w:pPr>
        <w:pStyle w:val="32"/>
        <w:tabs>
          <w:tab w:val="right" w:leader="dot" w:pos="8307"/>
        </w:tabs>
        <w:spacing w:line="480" w:lineRule="auto"/>
      </w:pPr>
      <w:r>
        <w:fldChar w:fldCharType="begin"/>
      </w:r>
      <w:r>
        <w:instrText xml:space="preserve"> HYPERLINK \l "_Toc11058" </w:instrText>
      </w:r>
      <w:r>
        <w:fldChar w:fldCharType="separate"/>
      </w:r>
      <w:r>
        <w:rPr>
          <w:rFonts w:hint="eastAsia" w:ascii="宋体" w:hAnsi="宋体" w:cs="宋体"/>
          <w:szCs w:val="28"/>
        </w:rPr>
        <w:t>第三</w:t>
      </w:r>
      <w:r>
        <w:rPr>
          <w:rFonts w:hint="eastAsia" w:ascii="宋体" w:hAnsi="宋体" w:cs="宋体"/>
          <w:szCs w:val="32"/>
          <w:lang w:val="en-US" w:eastAsia="zh-CN"/>
        </w:rPr>
        <w:t>部分</w:t>
      </w:r>
      <w:r>
        <w:rPr>
          <w:rFonts w:hint="eastAsia" w:ascii="宋体" w:hAnsi="宋体" w:cs="宋体"/>
          <w:szCs w:val="28"/>
        </w:rPr>
        <w:t xml:space="preserve">  供应商资格证明文件</w:t>
      </w:r>
      <w:r>
        <w:tab/>
      </w:r>
      <w:r>
        <w:fldChar w:fldCharType="begin"/>
      </w:r>
      <w:r>
        <w:instrText xml:space="preserve"> PAGEREF _Toc11058 \h </w:instrText>
      </w:r>
      <w:r>
        <w:fldChar w:fldCharType="separate"/>
      </w:r>
      <w:r>
        <w:t>10</w:t>
      </w:r>
      <w:r>
        <w:fldChar w:fldCharType="end"/>
      </w:r>
      <w:r>
        <w:fldChar w:fldCharType="end"/>
      </w:r>
    </w:p>
    <w:p w14:paraId="3F670D6A">
      <w:pPr>
        <w:pStyle w:val="32"/>
        <w:tabs>
          <w:tab w:val="right" w:leader="dot" w:pos="8307"/>
        </w:tabs>
        <w:spacing w:line="480" w:lineRule="auto"/>
      </w:pPr>
      <w:r>
        <w:fldChar w:fldCharType="begin"/>
      </w:r>
      <w:r>
        <w:instrText xml:space="preserve"> HYPERLINK \l "_Toc7808" </w:instrText>
      </w:r>
      <w:r>
        <w:fldChar w:fldCharType="separate"/>
      </w:r>
      <w:r>
        <w:rPr>
          <w:rFonts w:hint="eastAsia" w:ascii="宋体" w:hAnsi="宋体" w:cs="宋体"/>
          <w:szCs w:val="28"/>
        </w:rPr>
        <w:t>第四</w:t>
      </w:r>
      <w:r>
        <w:rPr>
          <w:rFonts w:hint="eastAsia" w:ascii="宋体" w:hAnsi="宋体" w:cs="宋体"/>
          <w:szCs w:val="32"/>
          <w:lang w:val="en-US" w:eastAsia="zh-CN"/>
        </w:rPr>
        <w:t>部分</w:t>
      </w:r>
      <w:r>
        <w:rPr>
          <w:rFonts w:hint="eastAsia" w:ascii="宋体" w:hAnsi="宋体" w:cs="宋体"/>
          <w:szCs w:val="28"/>
        </w:rPr>
        <w:t xml:space="preserve"> 磋商程序</w:t>
      </w:r>
      <w:r>
        <w:tab/>
      </w:r>
      <w:r>
        <w:fldChar w:fldCharType="begin"/>
      </w:r>
      <w:r>
        <w:instrText xml:space="preserve"> PAGEREF _Toc7808 \h </w:instrText>
      </w:r>
      <w:r>
        <w:fldChar w:fldCharType="separate"/>
      </w:r>
      <w:r>
        <w:t>11</w:t>
      </w:r>
      <w:r>
        <w:fldChar w:fldCharType="end"/>
      </w:r>
      <w:r>
        <w:fldChar w:fldCharType="end"/>
      </w:r>
    </w:p>
    <w:p w14:paraId="344D486A">
      <w:pPr>
        <w:pStyle w:val="32"/>
        <w:tabs>
          <w:tab w:val="right" w:leader="dot" w:pos="8307"/>
        </w:tabs>
        <w:spacing w:line="480" w:lineRule="auto"/>
      </w:pPr>
      <w:r>
        <w:fldChar w:fldCharType="begin"/>
      </w:r>
      <w:r>
        <w:instrText xml:space="preserve"> HYPERLINK \l "_Toc25782" </w:instrText>
      </w:r>
      <w:r>
        <w:fldChar w:fldCharType="separate"/>
      </w:r>
      <w:r>
        <w:rPr>
          <w:rFonts w:hint="eastAsia" w:ascii="宋体" w:hAnsi="宋体" w:cs="宋体"/>
          <w:szCs w:val="28"/>
        </w:rPr>
        <w:t>第五</w:t>
      </w:r>
      <w:r>
        <w:rPr>
          <w:rFonts w:hint="eastAsia" w:ascii="宋体" w:hAnsi="宋体" w:cs="宋体"/>
          <w:szCs w:val="32"/>
          <w:lang w:val="en-US" w:eastAsia="zh-CN"/>
        </w:rPr>
        <w:t>部分</w:t>
      </w:r>
      <w:r>
        <w:rPr>
          <w:rFonts w:hint="eastAsia" w:ascii="宋体" w:hAnsi="宋体" w:cs="宋体"/>
          <w:szCs w:val="28"/>
        </w:rPr>
        <w:t xml:space="preserve"> </w:t>
      </w:r>
      <w:r>
        <w:rPr>
          <w:rFonts w:hint="eastAsia" w:ascii="宋体" w:hAnsi="宋体" w:cs="宋体"/>
          <w:szCs w:val="28"/>
          <w:lang w:val="zh-CN"/>
        </w:rPr>
        <w:t>青海省政府采购项目合同书范本</w:t>
      </w:r>
      <w:r>
        <w:tab/>
      </w:r>
      <w:r>
        <w:fldChar w:fldCharType="begin"/>
      </w:r>
      <w:r>
        <w:instrText xml:space="preserve"> PAGEREF _Toc25782 \h </w:instrText>
      </w:r>
      <w:r>
        <w:fldChar w:fldCharType="separate"/>
      </w:r>
      <w:r>
        <w:t>15</w:t>
      </w:r>
      <w:r>
        <w:fldChar w:fldCharType="end"/>
      </w:r>
      <w:r>
        <w:fldChar w:fldCharType="end"/>
      </w:r>
    </w:p>
    <w:p w14:paraId="230D70A9">
      <w:pPr>
        <w:pStyle w:val="32"/>
        <w:tabs>
          <w:tab w:val="right" w:leader="dot" w:pos="8307"/>
        </w:tabs>
        <w:spacing w:line="480" w:lineRule="auto"/>
      </w:pPr>
      <w:r>
        <w:fldChar w:fldCharType="begin"/>
      </w:r>
      <w:r>
        <w:instrText xml:space="preserve"> HYPERLINK \l "_Toc22056" </w:instrText>
      </w:r>
      <w:r>
        <w:fldChar w:fldCharType="separate"/>
      </w:r>
      <w:r>
        <w:rPr>
          <w:rFonts w:hint="eastAsia" w:ascii="宋体" w:hAnsi="宋体" w:cs="宋体"/>
          <w:szCs w:val="28"/>
        </w:rPr>
        <w:t>第六</w:t>
      </w:r>
      <w:r>
        <w:rPr>
          <w:rFonts w:hint="eastAsia" w:ascii="宋体" w:hAnsi="宋体" w:cs="宋体"/>
          <w:szCs w:val="32"/>
          <w:lang w:val="en-US" w:eastAsia="zh-CN"/>
        </w:rPr>
        <w:t>部分</w:t>
      </w:r>
      <w:r>
        <w:rPr>
          <w:rFonts w:hint="eastAsia" w:ascii="宋体" w:hAnsi="宋体" w:cs="宋体"/>
          <w:szCs w:val="28"/>
        </w:rPr>
        <w:t xml:space="preserve"> </w:t>
      </w:r>
      <w:r>
        <w:rPr>
          <w:rFonts w:hint="eastAsia" w:ascii="宋体" w:hAnsi="宋体" w:cs="宋体"/>
          <w:szCs w:val="28"/>
          <w:lang w:val="zh-CN"/>
        </w:rPr>
        <w:t>响应文件（格式）</w:t>
      </w:r>
      <w:r>
        <w:tab/>
      </w:r>
      <w:r>
        <w:fldChar w:fldCharType="begin"/>
      </w:r>
      <w:r>
        <w:instrText xml:space="preserve"> PAGEREF _Toc22056 \h </w:instrText>
      </w:r>
      <w:r>
        <w:fldChar w:fldCharType="separate"/>
      </w:r>
      <w:r>
        <w:t>28</w:t>
      </w:r>
      <w:r>
        <w:fldChar w:fldCharType="end"/>
      </w:r>
      <w:r>
        <w:fldChar w:fldCharType="end"/>
      </w:r>
    </w:p>
    <w:p w14:paraId="0EB7CFF5">
      <w:pPr>
        <w:autoSpaceDE w:val="0"/>
        <w:autoSpaceDN w:val="0"/>
        <w:snapToGrid w:val="0"/>
        <w:spacing w:before="100" w:beforeAutospacing="1" w:after="100" w:afterAutospacing="1" w:line="480" w:lineRule="auto"/>
        <w:rPr>
          <w:rFonts w:ascii="宋体" w:hAnsi="宋体" w:cs="宋体"/>
          <w:bCs/>
          <w:szCs w:val="28"/>
        </w:rPr>
      </w:pPr>
      <w:r>
        <w:rPr>
          <w:rFonts w:hint="eastAsia" w:ascii="宋体" w:hAnsi="宋体" w:cs="宋体"/>
          <w:bCs/>
          <w:szCs w:val="28"/>
        </w:rPr>
        <w:fldChar w:fldCharType="end"/>
      </w:r>
    </w:p>
    <w:p w14:paraId="7EA6DAA8">
      <w:pPr>
        <w:pStyle w:val="14"/>
        <w:ind w:left="480"/>
        <w:rPr>
          <w:rFonts w:ascii="宋体" w:hAnsi="宋体" w:cs="宋体"/>
          <w:bCs/>
          <w:szCs w:val="28"/>
        </w:rPr>
      </w:pPr>
    </w:p>
    <w:p w14:paraId="2FED85B0">
      <w:pPr>
        <w:pStyle w:val="14"/>
        <w:ind w:left="480"/>
        <w:rPr>
          <w:rFonts w:ascii="宋体" w:hAnsi="宋体" w:cs="宋体"/>
          <w:bCs/>
          <w:szCs w:val="28"/>
        </w:rPr>
      </w:pPr>
    </w:p>
    <w:p w14:paraId="78D7AE8F">
      <w:pPr>
        <w:pStyle w:val="14"/>
        <w:ind w:left="480"/>
        <w:rPr>
          <w:rFonts w:ascii="宋体" w:hAnsi="宋体" w:cs="宋体"/>
          <w:bCs/>
          <w:szCs w:val="28"/>
        </w:rPr>
      </w:pPr>
    </w:p>
    <w:p w14:paraId="7219EC67">
      <w:pPr>
        <w:pStyle w:val="14"/>
        <w:ind w:left="480"/>
        <w:rPr>
          <w:rFonts w:ascii="宋体" w:hAnsi="宋体" w:cs="宋体"/>
          <w:bCs/>
          <w:szCs w:val="28"/>
        </w:rPr>
      </w:pPr>
    </w:p>
    <w:p w14:paraId="4E8F2A40">
      <w:pPr>
        <w:pStyle w:val="14"/>
        <w:ind w:left="480"/>
        <w:rPr>
          <w:rFonts w:ascii="宋体" w:hAnsi="宋体" w:cs="宋体"/>
          <w:bCs/>
          <w:szCs w:val="28"/>
        </w:rPr>
      </w:pPr>
    </w:p>
    <w:p w14:paraId="44EC3CD1">
      <w:pPr>
        <w:pStyle w:val="14"/>
        <w:ind w:left="480"/>
        <w:rPr>
          <w:rFonts w:ascii="宋体" w:hAnsi="宋体" w:cs="宋体"/>
          <w:bCs/>
          <w:szCs w:val="28"/>
        </w:rPr>
      </w:pPr>
    </w:p>
    <w:p w14:paraId="38E10E33">
      <w:pPr>
        <w:pStyle w:val="14"/>
        <w:ind w:left="480"/>
        <w:rPr>
          <w:rFonts w:ascii="宋体" w:hAnsi="宋体" w:cs="宋体"/>
          <w:bCs/>
          <w:szCs w:val="28"/>
        </w:rPr>
      </w:pPr>
    </w:p>
    <w:p w14:paraId="7568794B">
      <w:pPr>
        <w:pStyle w:val="14"/>
        <w:ind w:left="480"/>
        <w:rPr>
          <w:rFonts w:ascii="宋体" w:hAnsi="宋体" w:cs="宋体"/>
          <w:bCs/>
          <w:szCs w:val="28"/>
        </w:rPr>
      </w:pPr>
    </w:p>
    <w:p w14:paraId="39A430F2">
      <w:pPr>
        <w:pStyle w:val="14"/>
        <w:ind w:left="480"/>
        <w:rPr>
          <w:rFonts w:ascii="宋体" w:hAnsi="宋体" w:cs="宋体"/>
          <w:bCs/>
          <w:szCs w:val="28"/>
        </w:rPr>
      </w:pPr>
    </w:p>
    <w:p w14:paraId="73C90A48">
      <w:pPr>
        <w:pStyle w:val="14"/>
        <w:ind w:left="480"/>
        <w:rPr>
          <w:rFonts w:ascii="宋体" w:hAnsi="宋体" w:cs="宋体"/>
          <w:bCs/>
          <w:szCs w:val="28"/>
        </w:rPr>
      </w:pPr>
    </w:p>
    <w:p w14:paraId="30BFA84A">
      <w:pPr>
        <w:pStyle w:val="14"/>
        <w:ind w:left="480"/>
        <w:rPr>
          <w:rFonts w:ascii="宋体" w:hAnsi="宋体" w:cs="宋体"/>
          <w:bCs/>
          <w:szCs w:val="28"/>
        </w:rPr>
      </w:pPr>
    </w:p>
    <w:p w14:paraId="35914E66">
      <w:pPr>
        <w:pStyle w:val="14"/>
        <w:ind w:left="480"/>
        <w:rPr>
          <w:rFonts w:ascii="宋体" w:hAnsi="宋体" w:cs="宋体"/>
          <w:bCs/>
          <w:szCs w:val="28"/>
        </w:rPr>
      </w:pPr>
    </w:p>
    <w:p w14:paraId="376BE412">
      <w:pPr>
        <w:pStyle w:val="14"/>
        <w:ind w:left="480"/>
        <w:rPr>
          <w:rFonts w:ascii="宋体" w:hAnsi="宋体" w:cs="宋体"/>
          <w:bCs/>
          <w:szCs w:val="28"/>
        </w:rPr>
      </w:pPr>
    </w:p>
    <w:p w14:paraId="114264EC">
      <w:pPr>
        <w:pStyle w:val="14"/>
        <w:ind w:left="480"/>
        <w:rPr>
          <w:rFonts w:ascii="宋体" w:hAnsi="宋体" w:cs="宋体"/>
          <w:bCs/>
          <w:szCs w:val="28"/>
        </w:rPr>
      </w:pPr>
    </w:p>
    <w:p w14:paraId="6CCAF489">
      <w:pPr>
        <w:pStyle w:val="14"/>
        <w:ind w:left="480"/>
        <w:rPr>
          <w:rFonts w:ascii="宋体" w:hAnsi="宋体" w:cs="宋体"/>
          <w:bCs/>
          <w:szCs w:val="28"/>
        </w:rPr>
      </w:pPr>
    </w:p>
    <w:p w14:paraId="19A03E61">
      <w:pPr>
        <w:pStyle w:val="14"/>
        <w:ind w:left="480"/>
        <w:rPr>
          <w:rFonts w:ascii="宋体" w:hAnsi="宋体" w:cs="宋体"/>
          <w:bCs/>
          <w:szCs w:val="28"/>
        </w:rPr>
      </w:pPr>
    </w:p>
    <w:p w14:paraId="5CABBB92">
      <w:pPr>
        <w:pStyle w:val="14"/>
        <w:ind w:left="480"/>
        <w:rPr>
          <w:rFonts w:ascii="宋体" w:hAnsi="宋体" w:cs="宋体"/>
          <w:bCs/>
          <w:szCs w:val="28"/>
        </w:rPr>
      </w:pPr>
    </w:p>
    <w:p w14:paraId="59B3B031">
      <w:pPr>
        <w:pStyle w:val="14"/>
        <w:ind w:left="480"/>
        <w:rPr>
          <w:rFonts w:ascii="宋体" w:hAnsi="宋体" w:cs="宋体"/>
          <w:bCs/>
          <w:szCs w:val="28"/>
        </w:rPr>
      </w:pPr>
    </w:p>
    <w:p w14:paraId="22445C54">
      <w:pPr>
        <w:pStyle w:val="14"/>
        <w:ind w:left="480"/>
        <w:rPr>
          <w:rFonts w:ascii="宋体" w:hAnsi="宋体" w:cs="宋体"/>
          <w:bCs/>
          <w:szCs w:val="28"/>
        </w:rPr>
      </w:pPr>
    </w:p>
    <w:p w14:paraId="794B4EDE">
      <w:pPr>
        <w:pStyle w:val="3"/>
        <w:widowControl w:val="0"/>
        <w:numPr>
          <w:ilvl w:val="-1"/>
          <w:numId w:val="0"/>
        </w:numPr>
        <w:tabs>
          <w:tab w:val="clear" w:pos="425"/>
        </w:tabs>
        <w:snapToGrid w:val="0"/>
        <w:spacing w:before="0" w:after="0" w:line="240" w:lineRule="auto"/>
        <w:jc w:val="center"/>
        <w:rPr>
          <w:rFonts w:hint="eastAsia" w:ascii="宋体" w:hAnsi="宋体" w:eastAsia="宋体" w:cs="Times New Roman"/>
          <w:b/>
          <w:color w:val="auto"/>
          <w:kern w:val="28"/>
          <w:sz w:val="36"/>
          <w:szCs w:val="24"/>
          <w:lang w:val="en-US" w:eastAsia="zh-CN" w:bidi="ar-SA"/>
        </w:rPr>
      </w:pPr>
      <w:bookmarkStart w:id="0" w:name="_Toc20956"/>
      <w:r>
        <w:rPr>
          <w:rFonts w:hint="eastAsia" w:ascii="宋体" w:hAnsi="宋体" w:cs="宋体"/>
          <w:b/>
          <w:bCs/>
          <w:sz w:val="32"/>
          <w:szCs w:val="32"/>
        </w:rPr>
        <w:br w:type="page"/>
      </w:r>
      <w:bookmarkStart w:id="1" w:name="_Toc24544"/>
      <w:r>
        <w:rPr>
          <w:rFonts w:hint="eastAsia" w:ascii="宋体" w:hAnsi="宋体" w:eastAsia="宋体"/>
          <w:bCs w:val="0"/>
          <w:color w:val="auto"/>
          <w:kern w:val="28"/>
          <w:sz w:val="36"/>
          <w:szCs w:val="24"/>
        </w:rPr>
        <w:t xml:space="preserve">第一部分 </w:t>
      </w:r>
      <w:bookmarkEnd w:id="1"/>
      <w:bookmarkStart w:id="2" w:name="_Toc9269"/>
      <w:r>
        <w:rPr>
          <w:rFonts w:hint="eastAsia" w:ascii="宋体" w:hAnsi="宋体" w:eastAsia="宋体" w:cs="Times New Roman"/>
          <w:b/>
          <w:color w:val="auto"/>
          <w:kern w:val="28"/>
          <w:sz w:val="36"/>
          <w:szCs w:val="24"/>
          <w:lang w:val="en-US" w:eastAsia="zh-CN" w:bidi="ar-SA"/>
        </w:rPr>
        <w:t>竞争性磋商公告</w:t>
      </w:r>
      <w:bookmarkEnd w:id="2"/>
    </w:p>
    <w:p w14:paraId="03F85104">
      <w:pPr>
        <w:widowControl w:val="0"/>
        <w:spacing w:line="400" w:lineRule="exact"/>
        <w:ind w:firstLine="480" w:firstLineChars="200"/>
        <w:jc w:val="both"/>
        <w:rPr>
          <w:rFonts w:hint="eastAsia"/>
          <w:color w:val="auto"/>
          <w:kern w:val="2"/>
        </w:rPr>
      </w:pPr>
    </w:p>
    <w:tbl>
      <w:tblPr>
        <w:tblStyle w:val="4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0"/>
      </w:tblGrid>
      <w:tr w14:paraId="6828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560" w:type="dxa"/>
            <w:noWrap w:val="0"/>
            <w:vAlign w:val="center"/>
          </w:tcPr>
          <w:p w14:paraId="009C1F54">
            <w:pPr>
              <w:widowControl w:val="0"/>
              <w:spacing w:line="360" w:lineRule="auto"/>
              <w:ind w:firstLine="480" w:firstLineChars="200"/>
              <w:jc w:val="both"/>
              <w:rPr>
                <w:rFonts w:hint="eastAsia"/>
                <w:color w:val="auto"/>
                <w:kern w:val="2"/>
              </w:rPr>
            </w:pPr>
            <w:r>
              <w:rPr>
                <w:rFonts w:hint="eastAsia"/>
                <w:color w:val="auto"/>
                <w:kern w:val="2"/>
              </w:rPr>
              <w:t>项目情况</w:t>
            </w:r>
          </w:p>
          <w:p w14:paraId="574157C9">
            <w:pPr>
              <w:widowControl w:val="0"/>
              <w:spacing w:line="360" w:lineRule="auto"/>
              <w:ind w:firstLine="480" w:firstLineChars="200"/>
              <w:jc w:val="both"/>
              <w:rPr>
                <w:color w:val="auto"/>
                <w:kern w:val="2"/>
                <w:u w:val="single"/>
              </w:rPr>
            </w:pPr>
            <w:r>
              <w:rPr>
                <w:rFonts w:hint="eastAsia" w:asciiTheme="minorEastAsia" w:hAnsiTheme="minorEastAsia" w:eastAsiaTheme="minorEastAsia" w:cstheme="minorEastAsia"/>
                <w:color w:val="auto"/>
                <w:kern w:val="2"/>
                <w:u w:val="single"/>
                <w:lang w:eastAsia="zh-CN"/>
              </w:rPr>
              <w:t>青海柴达木职业技术学院医学系专业群实训室建设和升级改造项目（二次）</w:t>
            </w:r>
            <w:r>
              <w:rPr>
                <w:rFonts w:hint="eastAsia" w:asciiTheme="minorEastAsia" w:hAnsiTheme="minorEastAsia" w:eastAsiaTheme="minorEastAsia" w:cstheme="minorEastAsia"/>
                <w:color w:val="auto"/>
                <w:kern w:val="2"/>
              </w:rPr>
              <w:t>的潜在供应商应登录</w:t>
            </w:r>
            <w:r>
              <w:rPr>
                <w:rFonts w:hint="eastAsia" w:asciiTheme="minorEastAsia" w:hAnsiTheme="minorEastAsia" w:eastAsiaTheme="minorEastAsia" w:cstheme="minorEastAsia"/>
                <w:color w:val="auto"/>
                <w:kern w:val="2"/>
                <w:u w:val="single"/>
              </w:rPr>
              <w:t>政采云平台https://www.zcygov.cn/在线申请获取采购文件</w:t>
            </w:r>
            <w:r>
              <w:rPr>
                <w:rFonts w:hint="eastAsia" w:asciiTheme="minorEastAsia" w:hAnsiTheme="minorEastAsia" w:eastAsiaTheme="minorEastAsia" w:cstheme="minorEastAsia"/>
                <w:color w:val="auto"/>
                <w:kern w:val="2"/>
              </w:rPr>
              <w:t>，并于</w:t>
            </w:r>
            <w:r>
              <w:rPr>
                <w:rFonts w:hint="eastAsia" w:asciiTheme="minorEastAsia" w:hAnsiTheme="minorEastAsia" w:eastAsiaTheme="minorEastAsia" w:cstheme="minorEastAsia"/>
                <w:color w:val="auto"/>
                <w:kern w:val="2"/>
                <w:lang w:eastAsia="zh-CN"/>
              </w:rPr>
              <w:t>2026年</w:t>
            </w:r>
            <w:r>
              <w:rPr>
                <w:rFonts w:hint="eastAsia" w:asciiTheme="minorEastAsia" w:hAnsiTheme="minorEastAsia" w:eastAsiaTheme="minorEastAsia" w:cstheme="minorEastAsia"/>
                <w:color w:val="auto"/>
                <w:kern w:val="2"/>
                <w:lang w:val="en-US" w:eastAsia="zh-CN"/>
              </w:rPr>
              <w:t>6</w:t>
            </w:r>
            <w:r>
              <w:rPr>
                <w:rFonts w:hint="eastAsia" w:asciiTheme="minorEastAsia" w:hAnsiTheme="minorEastAsia" w:eastAsiaTheme="minorEastAsia" w:cstheme="minorEastAsia"/>
                <w:color w:val="auto"/>
                <w:kern w:val="2"/>
                <w:lang w:eastAsia="zh-CN"/>
              </w:rPr>
              <w:t>月</w:t>
            </w:r>
            <w:r>
              <w:rPr>
                <w:rFonts w:hint="eastAsia" w:asciiTheme="minorEastAsia" w:hAnsiTheme="minorEastAsia" w:eastAsiaTheme="minorEastAsia" w:cstheme="minorEastAsia"/>
                <w:color w:val="auto"/>
                <w:kern w:val="2"/>
                <w:lang w:val="en-US" w:eastAsia="zh-CN"/>
              </w:rPr>
              <w:t>16</w:t>
            </w:r>
            <w:r>
              <w:rPr>
                <w:rFonts w:hint="eastAsia" w:asciiTheme="minorEastAsia" w:hAnsiTheme="minorEastAsia" w:eastAsiaTheme="minorEastAsia" w:cstheme="minorEastAsia"/>
                <w:color w:val="auto"/>
                <w:kern w:val="2"/>
                <w:lang w:eastAsia="zh-CN"/>
              </w:rPr>
              <w:t>日09点00分（北京时间）</w:t>
            </w:r>
            <w:r>
              <w:rPr>
                <w:rFonts w:hint="eastAsia" w:asciiTheme="minorEastAsia" w:hAnsiTheme="minorEastAsia" w:eastAsiaTheme="minorEastAsia" w:cstheme="minorEastAsia"/>
                <w:color w:val="auto"/>
                <w:kern w:val="2"/>
              </w:rPr>
              <w:t>前递交投标文件。</w:t>
            </w:r>
          </w:p>
        </w:tc>
      </w:tr>
    </w:tbl>
    <w:p w14:paraId="72FA95CC">
      <w:pPr>
        <w:widowControl w:val="0"/>
        <w:spacing w:line="540" w:lineRule="exact"/>
        <w:ind w:firstLine="0" w:firstLineChars="0"/>
        <w:jc w:val="both"/>
        <w:rPr>
          <w:rFonts w:hint="eastAsia"/>
          <w:b/>
          <w:bCs/>
          <w:color w:val="auto"/>
          <w:kern w:val="2"/>
          <w:sz w:val="30"/>
          <w:szCs w:val="30"/>
        </w:rPr>
      </w:pPr>
      <w:r>
        <w:rPr>
          <w:rFonts w:hint="eastAsia"/>
          <w:b/>
          <w:bCs/>
          <w:color w:val="auto"/>
          <w:kern w:val="2"/>
          <w:sz w:val="30"/>
          <w:szCs w:val="30"/>
        </w:rPr>
        <w:t>一、项目基本情况</w:t>
      </w:r>
    </w:p>
    <w:p w14:paraId="5CD749B8">
      <w:pPr>
        <w:tabs>
          <w:tab w:val="left" w:pos="840"/>
        </w:tabs>
        <w:spacing w:line="540" w:lineRule="exact"/>
        <w:ind w:firstLine="480"/>
        <w:rPr>
          <w:rFonts w:hint="eastAsia" w:ascii="宋体" w:hAnsi="宋体" w:cs="宋体"/>
          <w:color w:val="auto"/>
          <w:kern w:val="2"/>
          <w:lang w:val="zh-CN"/>
        </w:rPr>
      </w:pPr>
      <w:r>
        <w:rPr>
          <w:rFonts w:hint="eastAsia" w:ascii="宋体" w:hAnsi="宋体" w:cs="宋体"/>
          <w:color w:val="auto"/>
          <w:kern w:val="2"/>
        </w:rPr>
        <w:t>项目编号：</w:t>
      </w:r>
      <w:r>
        <w:rPr>
          <w:rFonts w:hint="eastAsia" w:ascii="宋体" w:hAnsi="宋体" w:cs="宋体"/>
          <w:color w:val="auto"/>
          <w:lang w:eastAsia="zh-CN"/>
        </w:rPr>
        <w:t>青海宸晖竞磋（货物）2026-020号（</w:t>
      </w:r>
      <w:r>
        <w:rPr>
          <w:rFonts w:hint="eastAsia" w:ascii="宋体" w:hAnsi="宋体" w:cs="宋体"/>
          <w:color w:val="auto"/>
          <w:lang w:val="en-US" w:eastAsia="zh-CN"/>
        </w:rPr>
        <w:t>包一</w:t>
      </w:r>
      <w:r>
        <w:rPr>
          <w:rFonts w:hint="eastAsia" w:ascii="宋体" w:hAnsi="宋体" w:cs="宋体"/>
          <w:color w:val="auto"/>
          <w:lang w:eastAsia="zh-CN"/>
        </w:rPr>
        <w:t>）</w:t>
      </w:r>
      <w:r>
        <w:rPr>
          <w:rFonts w:hint="eastAsia" w:ascii="宋体" w:hAnsi="宋体" w:cs="宋体"/>
          <w:color w:val="auto"/>
          <w:lang w:val="en-US" w:eastAsia="zh-CN"/>
        </w:rPr>
        <w:t xml:space="preserve">  </w:t>
      </w:r>
    </w:p>
    <w:p w14:paraId="35D43BFE">
      <w:pPr>
        <w:widowControl w:val="0"/>
        <w:tabs>
          <w:tab w:val="left" w:pos="840"/>
        </w:tabs>
        <w:spacing w:line="540" w:lineRule="exact"/>
        <w:ind w:firstLine="480" w:firstLineChars="200"/>
        <w:jc w:val="both"/>
        <w:rPr>
          <w:rFonts w:hint="eastAsia" w:ascii="宋体" w:hAnsi="宋体" w:cs="宋体"/>
          <w:color w:val="auto"/>
          <w:kern w:val="2"/>
          <w:lang w:val="zh-CN"/>
        </w:rPr>
      </w:pPr>
      <w:r>
        <w:rPr>
          <w:rFonts w:hint="eastAsia" w:ascii="宋体" w:hAnsi="宋体" w:cs="宋体"/>
          <w:color w:val="auto"/>
          <w:kern w:val="2"/>
        </w:rPr>
        <w:t>项目名称：</w:t>
      </w:r>
      <w:r>
        <w:rPr>
          <w:rFonts w:hint="eastAsia" w:ascii="宋体" w:hAnsi="宋体" w:cs="宋体"/>
          <w:color w:val="auto"/>
          <w:kern w:val="2"/>
          <w:lang w:val="zh-CN"/>
        </w:rPr>
        <w:t>青海柴达木职业技术学院医学系专业群实训室建设和升级改造项目（二次）</w:t>
      </w:r>
    </w:p>
    <w:p w14:paraId="679FB110">
      <w:pPr>
        <w:widowControl w:val="0"/>
        <w:tabs>
          <w:tab w:val="left" w:pos="840"/>
        </w:tabs>
        <w:spacing w:line="540" w:lineRule="exact"/>
        <w:ind w:firstLine="480" w:firstLineChars="200"/>
        <w:jc w:val="both"/>
        <w:rPr>
          <w:rFonts w:hint="eastAsia" w:ascii="宋体" w:hAnsi="宋体" w:cs="宋体"/>
          <w:color w:val="auto"/>
          <w:kern w:val="2"/>
        </w:rPr>
      </w:pPr>
      <w:r>
        <w:rPr>
          <w:rFonts w:hint="eastAsia" w:ascii="宋体" w:hAnsi="宋体" w:cs="宋体"/>
          <w:color w:val="auto"/>
          <w:kern w:val="2"/>
        </w:rPr>
        <w:t>采购方式：</w:t>
      </w:r>
      <w:r>
        <w:rPr>
          <w:rFonts w:hint="eastAsia" w:ascii="宋体" w:hAnsi="宋体" w:cs="宋体"/>
          <w:color w:val="auto"/>
          <w:kern w:val="2"/>
        </w:rPr>
        <w:sym w:font="Wingdings" w:char="00A8"/>
      </w:r>
      <w:r>
        <w:rPr>
          <w:rFonts w:hint="eastAsia" w:ascii="宋体" w:hAnsi="宋体" w:cs="宋体"/>
          <w:color w:val="auto"/>
          <w:kern w:val="2"/>
        </w:rPr>
        <w:t>竞争性谈判</w:t>
      </w:r>
      <w:r>
        <w:rPr>
          <w:rFonts w:hint="eastAsia" w:ascii="宋体" w:hAnsi="宋体" w:cs="宋体"/>
          <w:color w:val="auto"/>
          <w:kern w:val="2"/>
        </w:rPr>
        <w:sym w:font="Wingdings" w:char="00FE"/>
      </w:r>
      <w:r>
        <w:rPr>
          <w:rFonts w:hint="eastAsia" w:ascii="宋体" w:hAnsi="宋体" w:cs="宋体"/>
          <w:color w:val="auto"/>
          <w:kern w:val="2"/>
        </w:rPr>
        <w:t>竞争性磋商</w:t>
      </w:r>
      <w:r>
        <w:rPr>
          <w:rFonts w:hint="eastAsia" w:ascii="宋体" w:hAnsi="宋体" w:cs="宋体"/>
          <w:color w:val="auto"/>
          <w:kern w:val="2"/>
        </w:rPr>
        <w:sym w:font="Wingdings" w:char="00A8"/>
      </w:r>
      <w:r>
        <w:rPr>
          <w:rFonts w:hint="eastAsia" w:ascii="宋体" w:hAnsi="宋体" w:cs="宋体"/>
          <w:color w:val="auto"/>
          <w:kern w:val="2"/>
        </w:rPr>
        <w:t>询价</w:t>
      </w:r>
    </w:p>
    <w:p w14:paraId="4D346798">
      <w:pPr>
        <w:widowControl w:val="0"/>
        <w:tabs>
          <w:tab w:val="left" w:pos="840"/>
        </w:tabs>
        <w:spacing w:line="540" w:lineRule="exact"/>
        <w:ind w:firstLine="480" w:firstLineChars="200"/>
        <w:jc w:val="both"/>
        <w:rPr>
          <w:rFonts w:hint="eastAsia" w:ascii="宋体" w:hAnsi="宋体" w:cs="宋体"/>
          <w:color w:val="auto"/>
          <w:kern w:val="2"/>
        </w:rPr>
      </w:pPr>
      <w:r>
        <w:rPr>
          <w:rFonts w:hint="eastAsia" w:ascii="宋体" w:hAnsi="宋体" w:cs="宋体"/>
          <w:color w:val="auto"/>
          <w:kern w:val="2"/>
        </w:rPr>
        <w:t>预算金额：</w:t>
      </w:r>
      <w:r>
        <w:rPr>
          <w:rFonts w:hint="eastAsia" w:ascii="宋体" w:hAnsi="宋体" w:cs="宋体"/>
          <w:color w:val="auto"/>
          <w:kern w:val="2"/>
          <w:lang w:val="en-US" w:eastAsia="zh-CN"/>
        </w:rPr>
        <w:t>1200000.00</w:t>
      </w:r>
      <w:r>
        <w:rPr>
          <w:rFonts w:hint="eastAsia" w:ascii="宋体" w:hAnsi="宋体" w:cs="宋体"/>
          <w:color w:val="auto"/>
          <w:kern w:val="2"/>
        </w:rPr>
        <w:t xml:space="preserve">元 </w:t>
      </w:r>
    </w:p>
    <w:p w14:paraId="39124963">
      <w:pPr>
        <w:widowControl w:val="0"/>
        <w:tabs>
          <w:tab w:val="left" w:pos="840"/>
        </w:tabs>
        <w:spacing w:line="540" w:lineRule="exact"/>
        <w:ind w:firstLine="480" w:firstLineChars="200"/>
        <w:jc w:val="both"/>
        <w:rPr>
          <w:rFonts w:hint="eastAsia" w:ascii="宋体" w:hAnsi="宋体" w:cs="宋体"/>
          <w:color w:val="auto"/>
          <w:kern w:val="2"/>
        </w:rPr>
      </w:pPr>
      <w:r>
        <w:rPr>
          <w:rFonts w:hint="eastAsia" w:ascii="宋体" w:hAnsi="宋体" w:cs="宋体"/>
          <w:color w:val="auto"/>
          <w:kern w:val="2"/>
        </w:rPr>
        <w:t>最高限价（如有）：</w:t>
      </w:r>
      <w:r>
        <w:rPr>
          <w:rFonts w:hint="eastAsia" w:ascii="宋体" w:hAnsi="宋体" w:cs="宋体"/>
          <w:color w:val="auto"/>
          <w:kern w:val="2"/>
          <w:lang w:val="en-US" w:eastAsia="zh-CN"/>
        </w:rPr>
        <w:t>包一：500000.00</w:t>
      </w:r>
      <w:r>
        <w:rPr>
          <w:rFonts w:hint="eastAsia" w:ascii="宋体" w:hAnsi="宋体" w:cs="宋体"/>
          <w:color w:val="auto"/>
          <w:kern w:val="2"/>
        </w:rPr>
        <w:t>元</w:t>
      </w:r>
    </w:p>
    <w:p w14:paraId="7D83C104">
      <w:pPr>
        <w:widowControl w:val="0"/>
        <w:tabs>
          <w:tab w:val="left" w:pos="840"/>
        </w:tabs>
        <w:spacing w:line="540" w:lineRule="exact"/>
        <w:ind w:firstLine="480" w:firstLineChars="200"/>
        <w:jc w:val="both"/>
        <w:rPr>
          <w:rFonts w:hint="eastAsia" w:ascii="宋体" w:hAnsi="宋体" w:cs="宋体"/>
          <w:color w:val="auto"/>
          <w:kern w:val="2"/>
        </w:rPr>
      </w:pPr>
      <w:r>
        <w:rPr>
          <w:rFonts w:hint="eastAsia" w:ascii="宋体" w:hAnsi="宋体" w:cs="宋体"/>
          <w:color w:val="auto"/>
          <w:kern w:val="2"/>
        </w:rPr>
        <w:t>采购需求：</w:t>
      </w:r>
      <w:r>
        <w:rPr>
          <w:rFonts w:hint="eastAsia" w:ascii="宋体" w:hAnsi="宋体" w:cs="宋体"/>
          <w:color w:val="auto"/>
          <w:kern w:val="2"/>
          <w:lang w:val="en-US" w:eastAsia="zh-CN"/>
        </w:rPr>
        <w:t>包一：老年保健与管理实训室设备；</w:t>
      </w:r>
      <w:r>
        <w:rPr>
          <w:rFonts w:hint="eastAsia" w:ascii="宋体" w:hAnsi="宋体" w:cs="宋体"/>
          <w:color w:val="auto"/>
          <w:kern w:val="2"/>
        </w:rPr>
        <w:t>具体内容详见竞争性磋商文件</w:t>
      </w:r>
    </w:p>
    <w:p w14:paraId="3029CE08">
      <w:pPr>
        <w:widowControl w:val="0"/>
        <w:tabs>
          <w:tab w:val="left" w:pos="840"/>
        </w:tabs>
        <w:spacing w:line="540" w:lineRule="exact"/>
        <w:ind w:firstLine="480" w:firstLineChars="200"/>
        <w:jc w:val="both"/>
        <w:rPr>
          <w:rFonts w:hint="default" w:ascii="宋体" w:hAnsi="宋体" w:cs="宋体"/>
          <w:color w:val="auto"/>
          <w:kern w:val="2"/>
          <w:lang w:val="en-US"/>
        </w:rPr>
      </w:pPr>
      <w:r>
        <w:rPr>
          <w:rFonts w:hint="eastAsia" w:ascii="宋体" w:hAnsi="宋体" w:cs="宋体"/>
          <w:color w:val="auto"/>
          <w:kern w:val="2"/>
          <w:lang w:val="en-US" w:eastAsia="zh-CN"/>
        </w:rPr>
        <w:t>合同履约期限</w:t>
      </w:r>
      <w:r>
        <w:rPr>
          <w:rFonts w:hint="eastAsia" w:ascii="宋体" w:hAnsi="宋体" w:cs="宋体"/>
          <w:color w:val="auto"/>
          <w:kern w:val="2"/>
          <w:lang w:eastAsia="zh-CN"/>
        </w:rPr>
        <w:t>：</w:t>
      </w:r>
      <w:r>
        <w:rPr>
          <w:rFonts w:hint="eastAsia" w:ascii="宋体" w:hAnsi="宋体" w:cs="宋体"/>
          <w:color w:val="auto"/>
          <w:kern w:val="2"/>
          <w:lang w:val="en-US" w:eastAsia="zh-CN"/>
        </w:rPr>
        <w:t>包一：交货期：合同签订后60天内交货并验收完成；</w:t>
      </w:r>
    </w:p>
    <w:p w14:paraId="51A308DB">
      <w:pPr>
        <w:widowControl w:val="0"/>
        <w:tabs>
          <w:tab w:val="left" w:pos="840"/>
        </w:tabs>
        <w:spacing w:line="540" w:lineRule="exact"/>
        <w:ind w:firstLine="480" w:firstLineChars="200"/>
        <w:jc w:val="both"/>
        <w:rPr>
          <w:rFonts w:hint="eastAsia" w:ascii="宋体" w:hAnsi="宋体" w:cs="宋体"/>
          <w:color w:val="auto"/>
          <w:kern w:val="2"/>
        </w:rPr>
      </w:pPr>
      <w:r>
        <w:rPr>
          <w:rFonts w:hint="eastAsia" w:ascii="宋体" w:hAnsi="宋体" w:cs="宋体"/>
          <w:color w:val="auto"/>
          <w:kern w:val="2"/>
        </w:rPr>
        <w:t>本项目不接受联合体。</w:t>
      </w:r>
    </w:p>
    <w:p w14:paraId="2CDB3E9B">
      <w:pPr>
        <w:widowControl w:val="0"/>
        <w:spacing w:line="540" w:lineRule="exact"/>
        <w:ind w:firstLine="0" w:firstLineChars="0"/>
        <w:jc w:val="both"/>
        <w:rPr>
          <w:rFonts w:hint="eastAsia"/>
          <w:b/>
          <w:bCs/>
          <w:color w:val="auto"/>
          <w:kern w:val="2"/>
          <w:sz w:val="30"/>
          <w:szCs w:val="30"/>
        </w:rPr>
      </w:pPr>
      <w:r>
        <w:rPr>
          <w:rFonts w:hint="eastAsia"/>
          <w:b/>
          <w:bCs/>
          <w:color w:val="auto"/>
          <w:kern w:val="2"/>
          <w:sz w:val="30"/>
          <w:szCs w:val="30"/>
        </w:rPr>
        <w:t>二、申请人的资格要求</w:t>
      </w:r>
    </w:p>
    <w:p w14:paraId="1C447AB8">
      <w:pPr>
        <w:widowControl w:val="0"/>
        <w:spacing w:line="540" w:lineRule="exact"/>
        <w:ind w:firstLine="480" w:firstLineChars="200"/>
        <w:jc w:val="both"/>
        <w:rPr>
          <w:rFonts w:hint="eastAsia" w:ascii="宋体" w:hAnsi="宋体" w:cs="宋体"/>
          <w:color w:val="auto"/>
          <w:kern w:val="2"/>
          <w:szCs w:val="22"/>
          <w:lang w:val="zh-CN"/>
        </w:rPr>
      </w:pPr>
      <w:r>
        <w:rPr>
          <w:rFonts w:hint="eastAsia" w:ascii="宋体" w:hAnsi="宋体" w:cs="宋体"/>
          <w:color w:val="auto"/>
          <w:kern w:val="2"/>
          <w:szCs w:val="22"/>
        </w:rPr>
        <w:t>1、</w:t>
      </w:r>
      <w:r>
        <w:rPr>
          <w:rFonts w:hint="eastAsia" w:ascii="宋体" w:hAnsi="宋体" w:cs="宋体"/>
          <w:color w:val="auto"/>
          <w:kern w:val="2"/>
          <w:szCs w:val="22"/>
          <w:lang w:val="zh-CN"/>
        </w:rPr>
        <w:t>符合《政府采购法》第二十二规定；</w:t>
      </w:r>
    </w:p>
    <w:p w14:paraId="4B5B541B">
      <w:pPr>
        <w:widowControl w:val="0"/>
        <w:spacing w:line="540" w:lineRule="exact"/>
        <w:ind w:firstLine="480" w:firstLineChars="200"/>
        <w:jc w:val="both"/>
        <w:rPr>
          <w:rFonts w:hint="eastAsia" w:ascii="宋体" w:hAnsi="宋体" w:cs="宋体"/>
          <w:color w:val="auto"/>
          <w:kern w:val="2"/>
          <w:szCs w:val="22"/>
          <w:lang w:val="en-US" w:eastAsia="zh-CN"/>
        </w:rPr>
      </w:pPr>
      <w:r>
        <w:rPr>
          <w:rFonts w:hint="eastAsia" w:ascii="宋体" w:hAnsi="宋体" w:cs="宋体"/>
          <w:color w:val="auto"/>
          <w:kern w:val="2"/>
          <w:szCs w:val="22"/>
        </w:rPr>
        <w:t>2、</w:t>
      </w:r>
      <w:r>
        <w:rPr>
          <w:rFonts w:hint="eastAsia" w:ascii="宋体" w:hAnsi="宋体" w:cs="宋体"/>
          <w:color w:val="auto"/>
          <w:kern w:val="2"/>
          <w:szCs w:val="22"/>
          <w:lang w:val="zh-CN"/>
        </w:rPr>
        <w:t>落实政府采购政策需满足的资格要求：本项目</w:t>
      </w:r>
      <w:r>
        <w:rPr>
          <w:rFonts w:hint="eastAsia" w:ascii="宋体" w:hAnsi="宋体" w:cs="宋体"/>
          <w:color w:val="auto"/>
          <w:kern w:val="2"/>
          <w:szCs w:val="22"/>
          <w:lang w:val="en-US" w:eastAsia="zh-CN"/>
        </w:rPr>
        <w:t>包一</w:t>
      </w:r>
      <w:bookmarkStart w:id="181" w:name="_GoBack"/>
      <w:bookmarkEnd w:id="181"/>
      <w:r>
        <w:rPr>
          <w:rFonts w:hint="eastAsia" w:ascii="宋体" w:hAnsi="宋体" w:cs="宋体"/>
          <w:color w:val="auto"/>
          <w:kern w:val="2"/>
          <w:szCs w:val="22"/>
          <w:lang w:val="en-US" w:eastAsia="zh-CN"/>
        </w:rPr>
        <w:t>专门面向中小企业采购（监狱企业、残疾人福利性单位视同小型、微型企业），预留金额500000.00元。</w:t>
      </w:r>
    </w:p>
    <w:p w14:paraId="079F0AEA">
      <w:pPr>
        <w:widowControl w:val="0"/>
        <w:spacing w:line="540" w:lineRule="exact"/>
        <w:ind w:firstLine="480" w:firstLineChars="200"/>
        <w:jc w:val="both"/>
        <w:rPr>
          <w:rFonts w:hint="eastAsia" w:ascii="宋体" w:hAnsi="宋体" w:cs="宋体"/>
          <w:color w:val="auto"/>
          <w:kern w:val="2"/>
          <w:szCs w:val="22"/>
          <w:lang w:val="zh-CN"/>
        </w:rPr>
      </w:pPr>
      <w:r>
        <w:rPr>
          <w:rFonts w:hint="eastAsia" w:ascii="宋体" w:hAnsi="宋体" w:cs="宋体"/>
          <w:color w:val="auto"/>
          <w:kern w:val="2"/>
          <w:szCs w:val="22"/>
        </w:rPr>
        <w:t>3、本项目的特定资格要求：</w:t>
      </w:r>
    </w:p>
    <w:p w14:paraId="3DD8B360">
      <w:pPr>
        <w:widowControl w:val="0"/>
        <w:tabs>
          <w:tab w:val="left" w:pos="840"/>
        </w:tabs>
        <w:spacing w:line="540" w:lineRule="exact"/>
        <w:ind w:firstLine="480" w:firstLineChars="200"/>
        <w:jc w:val="both"/>
        <w:rPr>
          <w:rFonts w:hint="eastAsia" w:ascii="宋体" w:hAnsi="宋体" w:cs="宋体"/>
          <w:color w:val="auto"/>
          <w:kern w:val="2"/>
        </w:rPr>
      </w:pPr>
      <w:r>
        <w:rPr>
          <w:rFonts w:hint="eastAsia" w:ascii="宋体" w:hAnsi="宋体" w:cs="宋体"/>
          <w:color w:val="auto"/>
          <w:kern w:val="2"/>
        </w:rPr>
        <w:t>(1) 在中华人民共和国境内合法注册的；</w:t>
      </w:r>
    </w:p>
    <w:p w14:paraId="77933C54">
      <w:pPr>
        <w:widowControl w:val="0"/>
        <w:spacing w:line="540" w:lineRule="exact"/>
        <w:ind w:firstLine="480" w:firstLineChars="200"/>
        <w:jc w:val="both"/>
        <w:rPr>
          <w:rFonts w:hint="eastAsia" w:ascii="宋体" w:hAnsi="宋体" w:cs="宋体"/>
          <w:color w:val="auto"/>
          <w:kern w:val="2"/>
          <w:szCs w:val="22"/>
          <w:lang w:val="zh-CN"/>
        </w:rPr>
      </w:pPr>
      <w:r>
        <w:rPr>
          <w:rFonts w:hint="eastAsia" w:ascii="宋体" w:hAnsi="宋体" w:cs="宋体"/>
          <w:color w:val="auto"/>
          <w:kern w:val="2"/>
          <w:szCs w:val="22"/>
          <w:lang w:val="zh-CN"/>
        </w:rPr>
        <w:t>(2) 单位负责人为同一人或者存在直接控股、管理关系的不同供应商，不得参加同一合同项下的政府采购活动。否则，皆取消投标资格；</w:t>
      </w:r>
    </w:p>
    <w:p w14:paraId="272B9530">
      <w:pPr>
        <w:widowControl w:val="0"/>
        <w:spacing w:line="540" w:lineRule="exact"/>
        <w:ind w:firstLine="480" w:firstLineChars="200"/>
        <w:jc w:val="both"/>
        <w:rPr>
          <w:rFonts w:hint="eastAsia" w:ascii="宋体" w:hAnsi="宋体" w:cs="宋体"/>
          <w:color w:val="auto"/>
          <w:kern w:val="2"/>
          <w:szCs w:val="22"/>
          <w:lang w:val="zh-CN"/>
        </w:rPr>
      </w:pPr>
      <w:r>
        <w:rPr>
          <w:rFonts w:hint="eastAsia" w:ascii="宋体" w:hAnsi="宋体" w:cs="宋体"/>
          <w:color w:val="auto"/>
          <w:kern w:val="2"/>
          <w:szCs w:val="22"/>
          <w:lang w:val="zh-CN"/>
        </w:rPr>
        <w:t>(3) 为本采购项目提供整体设计、规范编制或者项目管理、监理、检测等服务的供应商，不得再参加该采购项目的其他采购活动；</w:t>
      </w:r>
    </w:p>
    <w:p w14:paraId="28D8FD39">
      <w:pPr>
        <w:widowControl w:val="0"/>
        <w:spacing w:line="540" w:lineRule="exact"/>
        <w:ind w:firstLine="480" w:firstLineChars="200"/>
        <w:jc w:val="both"/>
        <w:rPr>
          <w:rFonts w:hint="eastAsia" w:ascii="宋体" w:hAnsi="宋体" w:cs="宋体"/>
          <w:color w:val="auto"/>
          <w:kern w:val="2"/>
          <w:szCs w:val="22"/>
          <w:lang w:val="zh-CN"/>
        </w:rPr>
      </w:pPr>
      <w:r>
        <w:rPr>
          <w:rFonts w:hint="eastAsia" w:ascii="宋体" w:hAnsi="宋体" w:cs="宋体"/>
          <w:color w:val="auto"/>
          <w:kern w:val="2"/>
          <w:szCs w:val="22"/>
          <w:lang w:val="zh-CN"/>
        </w:rPr>
        <w:t>(4) 本项目不接受供应商以联合体方式进行投标；</w:t>
      </w:r>
    </w:p>
    <w:p w14:paraId="58C6A1C5">
      <w:pPr>
        <w:widowControl w:val="0"/>
        <w:spacing w:line="540" w:lineRule="exact"/>
        <w:ind w:firstLine="480" w:firstLineChars="200"/>
        <w:jc w:val="both"/>
        <w:rPr>
          <w:rFonts w:hint="eastAsia" w:ascii="宋体" w:hAnsi="宋体" w:cs="宋体"/>
          <w:color w:val="auto"/>
          <w:kern w:val="2"/>
          <w:szCs w:val="22"/>
          <w:lang w:val="zh-CN"/>
        </w:rPr>
      </w:pPr>
      <w:r>
        <w:rPr>
          <w:rFonts w:hint="eastAsia" w:ascii="宋体" w:hAnsi="宋体" w:cs="宋体"/>
          <w:color w:val="auto"/>
          <w:kern w:val="2"/>
          <w:szCs w:val="22"/>
          <w:lang w:val="zh-CN"/>
        </w:rPr>
        <w:t>(5)经信用中国（www.creditchina.gov.cn）、中国政府采购网（www.ccgp.gov.cn）等渠道查询后，列入失信被执行人、重大税收违法案件当事人名单、政府采购严重违法失信行为记录名单的，取消投标资格；</w:t>
      </w:r>
    </w:p>
    <w:p w14:paraId="11825CA9">
      <w:pPr>
        <w:widowControl w:val="0"/>
        <w:spacing w:line="540" w:lineRule="exact"/>
        <w:ind w:firstLine="480" w:firstLineChars="200"/>
        <w:jc w:val="both"/>
        <w:rPr>
          <w:rFonts w:hint="eastAsia" w:ascii="宋体" w:hAnsi="宋体" w:eastAsia="宋体" w:cs="宋体"/>
          <w:color w:val="auto"/>
          <w:kern w:val="2"/>
          <w:szCs w:val="22"/>
          <w:lang w:val="zh-CN" w:eastAsia="zh-CN"/>
        </w:rPr>
      </w:pPr>
      <w:r>
        <w:rPr>
          <w:rFonts w:hint="eastAsia" w:ascii="宋体" w:hAnsi="宋体" w:cs="宋体"/>
          <w:color w:val="auto"/>
          <w:kern w:val="2"/>
          <w:szCs w:val="22"/>
          <w:lang w:val="zh-CN"/>
        </w:rPr>
        <w:t>（6）</w:t>
      </w:r>
      <w:r>
        <w:rPr>
          <w:rFonts w:hint="eastAsia" w:ascii="宋体" w:hAnsi="宋体" w:cs="宋体"/>
          <w:color w:val="auto"/>
          <w:kern w:val="2"/>
          <w:szCs w:val="22"/>
          <w:lang w:val="en-US" w:eastAsia="zh-CN"/>
        </w:rPr>
        <w:t xml:space="preserve"> </w:t>
      </w:r>
      <w:r>
        <w:rPr>
          <w:rFonts w:hint="eastAsia" w:ascii="宋体" w:hAnsi="宋体" w:eastAsia="宋体" w:cs="宋体"/>
          <w:color w:val="auto"/>
          <w:kern w:val="2"/>
          <w:szCs w:val="22"/>
          <w:lang w:val="en-US" w:eastAsia="zh-CN"/>
        </w:rPr>
        <w:t>包一：本次采购要求投标人须符合《医疗器械监督管理条例》要求并提供投标人经营该产品的经营许可或经营备案证明材料；投标人所投医疗产品符合《医疗器械注册管理办法》要求并提供产品的注册或备案证明材料。</w:t>
      </w:r>
    </w:p>
    <w:p w14:paraId="09B295A9">
      <w:pPr>
        <w:widowControl w:val="0"/>
        <w:spacing w:line="540" w:lineRule="exact"/>
        <w:ind w:firstLine="0" w:firstLineChars="0"/>
        <w:jc w:val="both"/>
        <w:rPr>
          <w:rFonts w:hint="eastAsia"/>
          <w:b/>
          <w:bCs/>
          <w:color w:val="auto"/>
          <w:kern w:val="2"/>
          <w:sz w:val="30"/>
          <w:szCs w:val="30"/>
        </w:rPr>
      </w:pPr>
      <w:r>
        <w:rPr>
          <w:rFonts w:hint="eastAsia"/>
          <w:b/>
          <w:bCs/>
          <w:color w:val="auto"/>
          <w:kern w:val="2"/>
          <w:sz w:val="30"/>
          <w:szCs w:val="30"/>
        </w:rPr>
        <w:t>三、获取采购文件</w:t>
      </w:r>
    </w:p>
    <w:p w14:paraId="3EAAA445">
      <w:pPr>
        <w:widowControl w:val="0"/>
        <w:spacing w:line="500" w:lineRule="exact"/>
        <w:ind w:firstLine="480" w:firstLineChars="200"/>
        <w:jc w:val="both"/>
        <w:rPr>
          <w:rFonts w:hint="eastAsia" w:ascii="宋体" w:hAnsi="宋体" w:eastAsia="宋体" w:cs="宋体"/>
          <w:color w:val="auto"/>
          <w:kern w:val="2"/>
          <w:lang w:val="en-US" w:eastAsia="zh-CN"/>
        </w:rPr>
      </w:pPr>
      <w:r>
        <w:rPr>
          <w:rFonts w:hint="eastAsia" w:ascii="宋体" w:hAnsi="宋体" w:cs="宋体"/>
          <w:color w:val="auto"/>
          <w:kern w:val="2"/>
        </w:rPr>
        <w:t>时间：</w:t>
      </w:r>
      <w:r>
        <w:rPr>
          <w:rFonts w:hint="eastAsia" w:ascii="宋体" w:hAnsi="宋体" w:cs="宋体"/>
          <w:color w:val="auto"/>
          <w:kern w:val="2"/>
          <w:u w:val="single"/>
          <w:lang w:eastAsia="zh-CN"/>
        </w:rPr>
        <w:t>2026年</w:t>
      </w:r>
      <w:r>
        <w:rPr>
          <w:rFonts w:hint="eastAsia" w:ascii="宋体" w:hAnsi="宋体" w:cs="宋体"/>
          <w:color w:val="auto"/>
          <w:kern w:val="2"/>
          <w:u w:val="single"/>
          <w:lang w:val="en-US" w:eastAsia="zh-CN"/>
        </w:rPr>
        <w:t>6</w:t>
      </w:r>
      <w:r>
        <w:rPr>
          <w:rFonts w:hint="eastAsia" w:ascii="宋体" w:hAnsi="宋体" w:cs="宋体"/>
          <w:color w:val="auto"/>
          <w:kern w:val="2"/>
          <w:u w:val="single"/>
          <w:lang w:eastAsia="zh-CN"/>
        </w:rPr>
        <w:t>月</w:t>
      </w:r>
      <w:r>
        <w:rPr>
          <w:rFonts w:hint="eastAsia" w:ascii="宋体" w:hAnsi="宋体" w:cs="宋体"/>
          <w:color w:val="auto"/>
          <w:kern w:val="2"/>
          <w:u w:val="single"/>
          <w:lang w:val="en-US" w:eastAsia="zh-CN"/>
        </w:rPr>
        <w:t>4</w:t>
      </w:r>
      <w:r>
        <w:rPr>
          <w:rFonts w:hint="eastAsia" w:ascii="宋体" w:hAnsi="宋体" w:cs="宋体"/>
          <w:color w:val="auto"/>
          <w:kern w:val="2"/>
          <w:u w:val="single"/>
          <w:lang w:eastAsia="zh-CN"/>
        </w:rPr>
        <w:t>日至2026年</w:t>
      </w:r>
      <w:r>
        <w:rPr>
          <w:rFonts w:hint="eastAsia" w:ascii="宋体" w:hAnsi="宋体" w:cs="宋体"/>
          <w:color w:val="auto"/>
          <w:kern w:val="2"/>
          <w:u w:val="single"/>
          <w:lang w:val="en-US" w:eastAsia="zh-CN"/>
        </w:rPr>
        <w:t>6</w:t>
      </w:r>
      <w:r>
        <w:rPr>
          <w:rFonts w:hint="eastAsia" w:ascii="宋体" w:hAnsi="宋体" w:cs="宋体"/>
          <w:color w:val="auto"/>
          <w:kern w:val="2"/>
          <w:u w:val="single"/>
          <w:lang w:eastAsia="zh-CN"/>
        </w:rPr>
        <w:t>月</w:t>
      </w:r>
      <w:r>
        <w:rPr>
          <w:rFonts w:hint="eastAsia" w:ascii="宋体" w:hAnsi="宋体" w:cs="宋体"/>
          <w:color w:val="auto"/>
          <w:kern w:val="2"/>
          <w:u w:val="single"/>
          <w:lang w:val="en-US" w:eastAsia="zh-CN"/>
        </w:rPr>
        <w:t xml:space="preserve"> 11</w:t>
      </w:r>
      <w:r>
        <w:rPr>
          <w:rFonts w:hint="eastAsia" w:ascii="宋体" w:hAnsi="宋体" w:cs="宋体"/>
          <w:color w:val="auto"/>
          <w:kern w:val="2"/>
          <w:u w:val="single"/>
          <w:lang w:eastAsia="zh-CN"/>
        </w:rPr>
        <w:t>日</w:t>
      </w:r>
      <w:r>
        <w:rPr>
          <w:rFonts w:hint="eastAsia" w:ascii="宋体" w:hAnsi="宋体" w:cs="宋体"/>
          <w:color w:val="auto"/>
          <w:kern w:val="2"/>
          <w:u w:val="single"/>
        </w:rPr>
        <w:t>（提供期限自本公告发布之日起不得少于5个工作日）</w:t>
      </w:r>
      <w:r>
        <w:rPr>
          <w:rFonts w:hint="eastAsia" w:ascii="宋体" w:hAnsi="宋体" w:cs="宋体"/>
          <w:color w:val="auto"/>
          <w:kern w:val="2"/>
        </w:rPr>
        <w:t>，每天上午</w:t>
      </w:r>
      <w:r>
        <w:rPr>
          <w:rFonts w:hint="eastAsia" w:ascii="宋体" w:hAnsi="宋体" w:cs="宋体"/>
          <w:color w:val="auto"/>
          <w:kern w:val="2"/>
          <w:u w:val="single"/>
          <w:lang w:val="en-US" w:eastAsia="zh-CN"/>
        </w:rPr>
        <w:t>00</w:t>
      </w:r>
      <w:r>
        <w:rPr>
          <w:rFonts w:hint="eastAsia" w:ascii="宋体" w:hAnsi="宋体" w:cs="宋体"/>
          <w:color w:val="auto"/>
          <w:kern w:val="2"/>
          <w:u w:val="single"/>
        </w:rPr>
        <w:t>：00</w:t>
      </w:r>
      <w:r>
        <w:rPr>
          <w:rFonts w:hint="eastAsia" w:ascii="宋体" w:hAnsi="宋体" w:cs="宋体"/>
          <w:color w:val="auto"/>
          <w:kern w:val="2"/>
        </w:rPr>
        <w:t>至</w:t>
      </w:r>
      <w:r>
        <w:rPr>
          <w:rFonts w:hint="eastAsia" w:ascii="宋体" w:hAnsi="宋体" w:cs="宋体"/>
          <w:color w:val="auto"/>
          <w:kern w:val="2"/>
          <w:u w:val="single"/>
          <w:lang w:val="en-US" w:eastAsia="zh-CN"/>
        </w:rPr>
        <w:t>12</w:t>
      </w:r>
      <w:r>
        <w:rPr>
          <w:rFonts w:hint="eastAsia" w:ascii="宋体" w:hAnsi="宋体" w:cs="宋体"/>
          <w:color w:val="auto"/>
          <w:kern w:val="2"/>
          <w:u w:val="single"/>
        </w:rPr>
        <w:t>：</w:t>
      </w:r>
      <w:r>
        <w:rPr>
          <w:rFonts w:hint="eastAsia" w:ascii="宋体" w:hAnsi="宋体" w:cs="宋体"/>
          <w:color w:val="auto"/>
          <w:kern w:val="2"/>
          <w:u w:val="single"/>
          <w:lang w:val="en-US" w:eastAsia="zh-CN"/>
        </w:rPr>
        <w:t>0</w:t>
      </w:r>
      <w:r>
        <w:rPr>
          <w:rFonts w:hint="eastAsia" w:ascii="宋体" w:hAnsi="宋体" w:cs="宋体"/>
          <w:color w:val="auto"/>
          <w:kern w:val="2"/>
          <w:u w:val="single"/>
        </w:rPr>
        <w:t>0</w:t>
      </w:r>
      <w:r>
        <w:rPr>
          <w:rFonts w:hint="eastAsia" w:ascii="宋体" w:hAnsi="宋体" w:cs="宋体"/>
          <w:color w:val="auto"/>
          <w:kern w:val="2"/>
        </w:rPr>
        <w:t>，下午</w:t>
      </w:r>
      <w:r>
        <w:rPr>
          <w:rFonts w:hint="eastAsia" w:ascii="宋体" w:hAnsi="宋体" w:cs="宋体"/>
          <w:color w:val="auto"/>
          <w:kern w:val="2"/>
          <w:u w:val="single"/>
          <w:lang w:val="en-US" w:eastAsia="zh-CN"/>
        </w:rPr>
        <w:t>12</w:t>
      </w:r>
      <w:r>
        <w:rPr>
          <w:rFonts w:hint="eastAsia" w:ascii="宋体" w:hAnsi="宋体" w:cs="宋体"/>
          <w:color w:val="auto"/>
          <w:kern w:val="2"/>
          <w:u w:val="single"/>
        </w:rPr>
        <w:t>：</w:t>
      </w:r>
      <w:r>
        <w:rPr>
          <w:rFonts w:hint="eastAsia" w:ascii="宋体" w:hAnsi="宋体" w:cs="宋体"/>
          <w:color w:val="auto"/>
          <w:kern w:val="2"/>
          <w:u w:val="single"/>
          <w:lang w:val="en-US" w:eastAsia="zh-CN"/>
        </w:rPr>
        <w:t>0</w:t>
      </w:r>
      <w:r>
        <w:rPr>
          <w:rFonts w:hint="eastAsia" w:ascii="宋体" w:hAnsi="宋体" w:cs="宋体"/>
          <w:color w:val="auto"/>
          <w:kern w:val="2"/>
          <w:u w:val="single"/>
        </w:rPr>
        <w:t>0</w:t>
      </w:r>
      <w:r>
        <w:rPr>
          <w:rFonts w:hint="eastAsia" w:ascii="宋体" w:hAnsi="宋体" w:cs="宋体"/>
          <w:color w:val="auto"/>
          <w:kern w:val="2"/>
        </w:rPr>
        <w:t>至</w:t>
      </w:r>
      <w:r>
        <w:rPr>
          <w:rFonts w:hint="eastAsia" w:ascii="宋体" w:hAnsi="宋体" w:cs="宋体"/>
          <w:color w:val="auto"/>
          <w:kern w:val="2"/>
          <w:lang w:val="en-US" w:eastAsia="zh-CN"/>
        </w:rPr>
        <w:t>23</w:t>
      </w:r>
      <w:r>
        <w:rPr>
          <w:rFonts w:hint="eastAsia" w:ascii="宋体" w:hAnsi="宋体" w:cs="宋体"/>
          <w:color w:val="auto"/>
          <w:kern w:val="2"/>
          <w:u w:val="single"/>
        </w:rPr>
        <w:t>：</w:t>
      </w:r>
      <w:r>
        <w:rPr>
          <w:rFonts w:hint="eastAsia" w:ascii="宋体" w:hAnsi="宋体" w:cs="宋体"/>
          <w:color w:val="auto"/>
          <w:kern w:val="2"/>
          <w:u w:val="single"/>
          <w:lang w:val="en-US" w:eastAsia="zh-CN"/>
        </w:rPr>
        <w:t>59</w:t>
      </w:r>
      <w:r>
        <w:rPr>
          <w:rFonts w:hint="eastAsia" w:ascii="宋体" w:hAnsi="宋体" w:cs="宋体"/>
          <w:color w:val="auto"/>
          <w:kern w:val="2"/>
        </w:rPr>
        <w:t>（北京时间，法定节假日除外）</w:t>
      </w:r>
      <w:r>
        <w:rPr>
          <w:rFonts w:hint="eastAsia" w:ascii="宋体" w:hAnsi="宋体" w:cs="宋体"/>
          <w:color w:val="auto"/>
          <w:kern w:val="2"/>
          <w:lang w:val="en-US" w:eastAsia="zh-CN"/>
        </w:rPr>
        <w:t>0</w:t>
      </w:r>
    </w:p>
    <w:p w14:paraId="23290DFA">
      <w:pPr>
        <w:widowControl w:val="0"/>
        <w:autoSpaceDE w:val="0"/>
        <w:autoSpaceDN w:val="0"/>
        <w:adjustRightInd w:val="0"/>
        <w:spacing w:line="500" w:lineRule="exact"/>
        <w:ind w:firstLine="480" w:firstLineChars="0"/>
        <w:jc w:val="both"/>
        <w:rPr>
          <w:rFonts w:hint="eastAsia" w:ascii="宋体" w:hAnsi="宋体" w:cs="宋体"/>
          <w:color w:val="auto"/>
          <w:kern w:val="2"/>
          <w:u w:val="single"/>
        </w:rPr>
      </w:pPr>
      <w:r>
        <w:rPr>
          <w:rFonts w:hint="eastAsia" w:ascii="宋体" w:hAnsi="宋体" w:cs="宋体"/>
          <w:color w:val="auto"/>
          <w:kern w:val="2"/>
        </w:rPr>
        <w:t>地点：供应商登录政采云平台https://www.zcygov.cn/在线申请获取采购文件</w:t>
      </w:r>
    </w:p>
    <w:p w14:paraId="6A49D872">
      <w:pPr>
        <w:widowControl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方式：供应商登录政采云平台https://www.zcygov.cn/在线申请获取采购文件（进入“项目采购”应用，在获取采购文件菜单中选择项目，申请获取采购文件）</w:t>
      </w:r>
    </w:p>
    <w:p w14:paraId="26B0A238">
      <w:pPr>
        <w:widowControl w:val="0"/>
        <w:spacing w:line="500" w:lineRule="exact"/>
        <w:ind w:firstLine="480" w:firstLineChars="200"/>
        <w:jc w:val="both"/>
        <w:rPr>
          <w:rFonts w:hint="eastAsia" w:ascii="宋体" w:hAnsi="宋体" w:cs="宋体"/>
          <w:color w:val="auto"/>
          <w:kern w:val="2"/>
        </w:rPr>
      </w:pPr>
      <w:r>
        <w:rPr>
          <w:rFonts w:hint="eastAsia" w:ascii="宋体" w:hAnsi="宋体" w:cs="宋体"/>
          <w:color w:val="auto"/>
          <w:kern w:val="2"/>
        </w:rPr>
        <w:t>售价：0元；</w:t>
      </w:r>
    </w:p>
    <w:p w14:paraId="3951346E">
      <w:pPr>
        <w:keepNext w:val="0"/>
        <w:keepLines w:val="0"/>
        <w:pageBreakBefore w:val="0"/>
        <w:widowControl w:val="0"/>
        <w:numPr>
          <w:ilvl w:val="0"/>
          <w:numId w:val="0"/>
        </w:numPr>
        <w:kinsoku/>
        <w:wordWrap/>
        <w:overflowPunct/>
        <w:topLinePunct w:val="0"/>
        <w:bidi w:val="0"/>
        <w:snapToGrid/>
        <w:spacing w:line="540" w:lineRule="exact"/>
        <w:ind w:firstLine="602" w:firstLineChars="200"/>
        <w:jc w:val="both"/>
        <w:textAlignment w:val="auto"/>
        <w:rPr>
          <w:rFonts w:hint="default"/>
          <w:b/>
          <w:bCs/>
          <w:color w:val="auto"/>
          <w:kern w:val="2"/>
          <w:sz w:val="30"/>
          <w:szCs w:val="30"/>
          <w:lang w:val="en-US" w:eastAsia="zh-CN"/>
        </w:rPr>
      </w:pPr>
      <w:bookmarkStart w:id="3" w:name="_Toc28359085"/>
      <w:bookmarkStart w:id="4" w:name="_Toc35393627"/>
      <w:bookmarkStart w:id="5" w:name="_Toc28359008"/>
      <w:bookmarkStart w:id="6" w:name="_Toc35393796"/>
      <w:r>
        <w:rPr>
          <w:rFonts w:hint="eastAsia" w:ascii="Times New Roman" w:eastAsia="宋体"/>
          <w:b/>
          <w:bCs/>
          <w:color w:val="auto"/>
          <w:kern w:val="2"/>
          <w:sz w:val="30"/>
          <w:szCs w:val="30"/>
          <w:lang w:val="en-US" w:eastAsia="zh-CN"/>
        </w:rPr>
        <w:t>四、响应文件提交</w:t>
      </w:r>
    </w:p>
    <w:p w14:paraId="359A81BC">
      <w:pPr>
        <w:keepNext w:val="0"/>
        <w:keepLines w:val="0"/>
        <w:pageBreakBefore w:val="0"/>
        <w:widowControl w:val="0"/>
        <w:numPr>
          <w:ilvl w:val="0"/>
          <w:numId w:val="0"/>
        </w:numPr>
        <w:kinsoku/>
        <w:wordWrap/>
        <w:overflowPunct/>
        <w:topLinePunct w:val="0"/>
        <w:bidi w:val="0"/>
        <w:snapToGrid/>
        <w:spacing w:line="540" w:lineRule="exact"/>
        <w:ind w:leftChars="0" w:firstLine="480" w:firstLineChars="200"/>
        <w:jc w:val="both"/>
        <w:textAlignment w:val="auto"/>
        <w:rPr>
          <w:rFonts w:hint="eastAsia"/>
          <w:color w:val="auto"/>
          <w:kern w:val="2"/>
          <w:u w:val="single"/>
          <w:lang w:val="en-US" w:eastAsia="zh-CN"/>
        </w:rPr>
      </w:pPr>
      <w:r>
        <w:rPr>
          <w:rFonts w:hint="eastAsia" w:ascii="Times New Roman" w:eastAsia="宋体"/>
          <w:color w:val="auto"/>
          <w:kern w:val="2"/>
          <w:lang w:val="en-US" w:eastAsia="zh-CN"/>
        </w:rPr>
        <w:t>截止时间：</w:t>
      </w:r>
      <w:r>
        <w:rPr>
          <w:rFonts w:hint="eastAsia" w:ascii="宋体" w:hAnsi="宋体" w:cs="宋体"/>
          <w:color w:val="auto"/>
          <w:kern w:val="2"/>
          <w:u w:val="single"/>
          <w:lang w:eastAsia="zh-CN"/>
        </w:rPr>
        <w:t>2026年</w:t>
      </w:r>
      <w:r>
        <w:rPr>
          <w:rFonts w:hint="eastAsia" w:ascii="宋体" w:hAnsi="宋体" w:cs="宋体"/>
          <w:color w:val="auto"/>
          <w:kern w:val="2"/>
          <w:u w:val="single"/>
          <w:lang w:val="en-US" w:eastAsia="zh-CN"/>
        </w:rPr>
        <w:t>6</w:t>
      </w:r>
      <w:r>
        <w:rPr>
          <w:rFonts w:hint="eastAsia" w:ascii="宋体" w:hAnsi="宋体" w:cs="宋体"/>
          <w:color w:val="auto"/>
          <w:kern w:val="2"/>
          <w:u w:val="single"/>
          <w:lang w:eastAsia="zh-CN"/>
        </w:rPr>
        <w:t>月</w:t>
      </w:r>
      <w:r>
        <w:rPr>
          <w:rFonts w:hint="eastAsia" w:ascii="宋体" w:hAnsi="宋体" w:cs="宋体"/>
          <w:color w:val="auto"/>
          <w:kern w:val="2"/>
          <w:u w:val="single"/>
          <w:lang w:val="en-US" w:eastAsia="zh-CN"/>
        </w:rPr>
        <w:t>16</w:t>
      </w:r>
      <w:r>
        <w:rPr>
          <w:rFonts w:hint="eastAsia" w:ascii="宋体" w:hAnsi="宋体" w:cs="宋体"/>
          <w:color w:val="auto"/>
          <w:kern w:val="2"/>
          <w:u w:val="single"/>
          <w:lang w:eastAsia="zh-CN"/>
        </w:rPr>
        <w:t>日09点00分（北京时间）</w:t>
      </w:r>
    </w:p>
    <w:p w14:paraId="7D4B1061">
      <w:pPr>
        <w:keepNext w:val="0"/>
        <w:keepLines w:val="0"/>
        <w:pageBreakBefore w:val="0"/>
        <w:widowControl w:val="0"/>
        <w:numPr>
          <w:ilvl w:val="0"/>
          <w:numId w:val="0"/>
        </w:numPr>
        <w:kinsoku/>
        <w:wordWrap/>
        <w:overflowPunct/>
        <w:topLinePunct w:val="0"/>
        <w:bidi w:val="0"/>
        <w:snapToGrid/>
        <w:spacing w:line="540" w:lineRule="exact"/>
        <w:ind w:leftChars="0" w:firstLine="480" w:firstLineChars="200"/>
        <w:jc w:val="both"/>
        <w:textAlignment w:val="auto"/>
        <w:rPr>
          <w:rFonts w:hint="eastAsia" w:eastAsia="宋体"/>
          <w:color w:val="auto"/>
          <w:kern w:val="2"/>
          <w:u w:val="single"/>
          <w:lang w:val="en-US" w:eastAsia="zh-CN"/>
        </w:rPr>
      </w:pPr>
      <w:r>
        <w:rPr>
          <w:rFonts w:hint="eastAsia" w:ascii="Times New Roman" w:eastAsia="宋体"/>
          <w:color w:val="auto"/>
          <w:kern w:val="2"/>
          <w:u w:val="none"/>
          <w:lang w:val="en-US" w:eastAsia="zh-CN"/>
        </w:rPr>
        <w:t>地点：</w:t>
      </w:r>
      <w:r>
        <w:rPr>
          <w:rFonts w:hint="eastAsia" w:ascii="Times New Roman" w:eastAsia="宋体"/>
          <w:color w:val="auto"/>
          <w:kern w:val="2"/>
          <w:u w:val="single"/>
          <w:lang w:val="en-US" w:eastAsia="zh-CN"/>
        </w:rPr>
        <w:t>线上政采云平台上传投标文件（政采云平台（https://www.zcygov.cn/））</w:t>
      </w:r>
    </w:p>
    <w:p w14:paraId="67E12D75">
      <w:pPr>
        <w:keepNext w:val="0"/>
        <w:keepLines w:val="0"/>
        <w:pageBreakBefore w:val="0"/>
        <w:widowControl w:val="0"/>
        <w:numPr>
          <w:ilvl w:val="0"/>
          <w:numId w:val="0"/>
        </w:numPr>
        <w:kinsoku/>
        <w:wordWrap/>
        <w:overflowPunct/>
        <w:topLinePunct w:val="0"/>
        <w:bidi w:val="0"/>
        <w:snapToGrid/>
        <w:spacing w:line="540" w:lineRule="exact"/>
        <w:ind w:firstLine="602" w:firstLineChars="200"/>
        <w:jc w:val="both"/>
        <w:textAlignment w:val="auto"/>
        <w:rPr>
          <w:rFonts w:hint="eastAsia"/>
          <w:b/>
          <w:bCs/>
          <w:color w:val="auto"/>
          <w:kern w:val="2"/>
          <w:sz w:val="30"/>
          <w:szCs w:val="30"/>
          <w:lang w:val="en-US" w:eastAsia="zh-CN"/>
        </w:rPr>
      </w:pPr>
      <w:r>
        <w:rPr>
          <w:rFonts w:hint="eastAsia" w:ascii="Times New Roman" w:eastAsia="宋体"/>
          <w:b/>
          <w:bCs/>
          <w:color w:val="auto"/>
          <w:kern w:val="2"/>
          <w:sz w:val="30"/>
          <w:szCs w:val="30"/>
          <w:lang w:val="en-US" w:eastAsia="zh-CN"/>
        </w:rPr>
        <w:t>五、开启（竞磋必填）</w:t>
      </w:r>
    </w:p>
    <w:p w14:paraId="79CA3E76">
      <w:pPr>
        <w:keepNext w:val="0"/>
        <w:keepLines w:val="0"/>
        <w:pageBreakBefore w:val="0"/>
        <w:widowControl w:val="0"/>
        <w:numPr>
          <w:ilvl w:val="0"/>
          <w:numId w:val="0"/>
        </w:numPr>
        <w:kinsoku/>
        <w:wordWrap/>
        <w:overflowPunct/>
        <w:topLinePunct w:val="0"/>
        <w:bidi w:val="0"/>
        <w:snapToGrid/>
        <w:spacing w:line="540" w:lineRule="exact"/>
        <w:ind w:leftChars="0" w:firstLine="480" w:firstLineChars="200"/>
        <w:jc w:val="both"/>
        <w:textAlignment w:val="auto"/>
        <w:rPr>
          <w:rFonts w:hint="eastAsia"/>
          <w:color w:val="auto"/>
          <w:kern w:val="2"/>
          <w:u w:val="none"/>
          <w:lang w:val="en-US" w:eastAsia="zh-CN"/>
        </w:rPr>
      </w:pPr>
      <w:r>
        <w:rPr>
          <w:rFonts w:hint="eastAsia" w:ascii="Times New Roman" w:eastAsia="宋体"/>
          <w:color w:val="auto"/>
          <w:kern w:val="2"/>
          <w:u w:val="none"/>
          <w:lang w:val="en-US" w:eastAsia="zh-CN"/>
        </w:rPr>
        <w:t>时间：</w:t>
      </w:r>
      <w:r>
        <w:rPr>
          <w:rFonts w:hint="eastAsia" w:ascii="宋体" w:hAnsi="宋体" w:cs="宋体"/>
          <w:color w:val="auto"/>
          <w:kern w:val="2"/>
          <w:u w:val="single"/>
          <w:lang w:eastAsia="zh-CN"/>
        </w:rPr>
        <w:t>2026年</w:t>
      </w:r>
      <w:r>
        <w:rPr>
          <w:rFonts w:hint="eastAsia" w:ascii="宋体" w:hAnsi="宋体" w:cs="宋体"/>
          <w:color w:val="auto"/>
          <w:kern w:val="2"/>
          <w:u w:val="single"/>
          <w:lang w:val="en-US" w:eastAsia="zh-CN"/>
        </w:rPr>
        <w:t>6</w:t>
      </w:r>
      <w:r>
        <w:rPr>
          <w:rFonts w:hint="eastAsia" w:ascii="宋体" w:hAnsi="宋体" w:cs="宋体"/>
          <w:color w:val="auto"/>
          <w:kern w:val="2"/>
          <w:u w:val="single"/>
          <w:lang w:eastAsia="zh-CN"/>
        </w:rPr>
        <w:t>月</w:t>
      </w:r>
      <w:r>
        <w:rPr>
          <w:rFonts w:hint="eastAsia" w:ascii="宋体" w:hAnsi="宋体" w:cs="宋体"/>
          <w:color w:val="auto"/>
          <w:kern w:val="2"/>
          <w:u w:val="single"/>
          <w:lang w:val="en-US" w:eastAsia="zh-CN"/>
        </w:rPr>
        <w:t>16</w:t>
      </w:r>
      <w:r>
        <w:rPr>
          <w:rFonts w:hint="eastAsia" w:ascii="宋体" w:hAnsi="宋体" w:cs="宋体"/>
          <w:color w:val="auto"/>
          <w:kern w:val="2"/>
          <w:u w:val="single"/>
          <w:lang w:eastAsia="zh-CN"/>
        </w:rPr>
        <w:t>日</w:t>
      </w:r>
      <w:r>
        <w:rPr>
          <w:rFonts w:hint="eastAsia" w:ascii="宋体" w:hAnsi="宋体" w:cs="宋体"/>
          <w:color w:val="auto"/>
          <w:kern w:val="2"/>
          <w:u w:val="single"/>
          <w:lang w:val="en-US" w:eastAsia="zh-CN"/>
        </w:rPr>
        <w:t>09</w:t>
      </w:r>
      <w:r>
        <w:rPr>
          <w:rFonts w:hint="eastAsia" w:ascii="宋体" w:hAnsi="宋体" w:cs="宋体"/>
          <w:color w:val="auto"/>
          <w:kern w:val="2"/>
          <w:u w:val="single"/>
          <w:lang w:eastAsia="zh-CN"/>
        </w:rPr>
        <w:t>点00分（北京时间）</w:t>
      </w:r>
    </w:p>
    <w:p w14:paraId="118A85A2">
      <w:pPr>
        <w:keepNext w:val="0"/>
        <w:keepLines w:val="0"/>
        <w:pageBreakBefore w:val="0"/>
        <w:widowControl w:val="0"/>
        <w:numPr>
          <w:ilvl w:val="0"/>
          <w:numId w:val="0"/>
        </w:numPr>
        <w:kinsoku/>
        <w:wordWrap/>
        <w:overflowPunct/>
        <w:topLinePunct w:val="0"/>
        <w:bidi w:val="0"/>
        <w:snapToGrid/>
        <w:spacing w:line="540" w:lineRule="exact"/>
        <w:ind w:leftChars="0" w:firstLine="480" w:firstLineChars="200"/>
        <w:jc w:val="both"/>
        <w:textAlignment w:val="auto"/>
        <w:rPr>
          <w:rFonts w:hint="eastAsia"/>
          <w:b/>
          <w:bCs/>
          <w:color w:val="auto"/>
          <w:kern w:val="2"/>
          <w:sz w:val="30"/>
          <w:szCs w:val="30"/>
          <w:lang w:val="en-US" w:eastAsia="zh-CN"/>
        </w:rPr>
      </w:pPr>
      <w:r>
        <w:rPr>
          <w:rFonts w:hint="eastAsia" w:ascii="Times New Roman" w:eastAsia="宋体"/>
          <w:color w:val="auto"/>
          <w:kern w:val="2"/>
          <w:u w:val="none"/>
          <w:lang w:val="en-US" w:eastAsia="zh-CN"/>
        </w:rPr>
        <w:t>地点：</w:t>
      </w:r>
      <w:r>
        <w:rPr>
          <w:rFonts w:hint="eastAsia" w:ascii="宋体" w:hAnsi="宋体" w:cs="宋体"/>
          <w:color w:val="auto"/>
          <w:kern w:val="2"/>
          <w:u w:val="single"/>
          <w:lang w:val="en-US" w:eastAsia="zh-CN"/>
        </w:rPr>
        <w:t xml:space="preserve">政采云平台（https：//www.zcygov.cn/） </w:t>
      </w:r>
    </w:p>
    <w:p w14:paraId="57F13583">
      <w:pPr>
        <w:keepNext w:val="0"/>
        <w:keepLines w:val="0"/>
        <w:pageBreakBefore w:val="0"/>
        <w:widowControl w:val="0"/>
        <w:numPr>
          <w:ilvl w:val="0"/>
          <w:numId w:val="0"/>
        </w:numPr>
        <w:kinsoku/>
        <w:wordWrap/>
        <w:overflowPunct/>
        <w:topLinePunct w:val="0"/>
        <w:bidi w:val="0"/>
        <w:snapToGrid/>
        <w:spacing w:line="540" w:lineRule="exact"/>
        <w:ind w:firstLine="602" w:firstLineChars="200"/>
        <w:jc w:val="both"/>
        <w:textAlignment w:val="auto"/>
        <w:rPr>
          <w:rFonts w:hint="eastAsia"/>
          <w:b/>
          <w:bCs/>
          <w:color w:val="auto"/>
          <w:kern w:val="2"/>
          <w:sz w:val="30"/>
          <w:szCs w:val="30"/>
          <w:lang w:val="en-US" w:eastAsia="zh-CN"/>
        </w:rPr>
      </w:pPr>
      <w:r>
        <w:rPr>
          <w:rFonts w:hint="eastAsia" w:ascii="Times New Roman" w:eastAsia="宋体"/>
          <w:b/>
          <w:bCs/>
          <w:color w:val="auto"/>
          <w:kern w:val="2"/>
          <w:sz w:val="30"/>
          <w:szCs w:val="30"/>
          <w:lang w:val="en-US" w:eastAsia="zh-CN"/>
        </w:rPr>
        <w:t>六、公告期限</w:t>
      </w:r>
    </w:p>
    <w:p w14:paraId="2AE9F8BB">
      <w:pPr>
        <w:keepNext w:val="0"/>
        <w:keepLines w:val="0"/>
        <w:pageBreakBefore w:val="0"/>
        <w:widowControl w:val="0"/>
        <w:numPr>
          <w:ilvl w:val="0"/>
          <w:numId w:val="0"/>
        </w:numPr>
        <w:kinsoku/>
        <w:wordWrap/>
        <w:overflowPunct/>
        <w:topLinePunct w:val="0"/>
        <w:bidi w:val="0"/>
        <w:snapToGrid/>
        <w:spacing w:line="540" w:lineRule="exact"/>
        <w:ind w:firstLine="480" w:firstLineChars="200"/>
        <w:jc w:val="both"/>
        <w:textAlignment w:val="auto"/>
        <w:rPr>
          <w:rFonts w:hint="eastAsia"/>
          <w:color w:val="auto"/>
          <w:kern w:val="2"/>
          <w:u w:val="none"/>
          <w:lang w:val="en-US" w:eastAsia="zh-CN"/>
        </w:rPr>
      </w:pPr>
      <w:r>
        <w:rPr>
          <w:rFonts w:hint="eastAsia" w:ascii="Times New Roman" w:eastAsia="宋体"/>
          <w:color w:val="auto"/>
          <w:kern w:val="2"/>
          <w:u w:val="none"/>
          <w:lang w:val="en-US" w:eastAsia="zh-CN"/>
        </w:rPr>
        <w:t>自本公告发布之日起5个工作日。</w:t>
      </w:r>
    </w:p>
    <w:p w14:paraId="3CDC595A">
      <w:pPr>
        <w:widowControl w:val="0"/>
        <w:spacing w:line="400" w:lineRule="exact"/>
        <w:ind w:firstLine="480" w:firstLineChars="200"/>
        <w:jc w:val="both"/>
        <w:rPr>
          <w:rFonts w:hint="eastAsia"/>
          <w:color w:val="auto"/>
          <w:kern w:val="2"/>
          <w:lang w:val="en-US" w:eastAsia="zh-CN"/>
        </w:rPr>
      </w:pPr>
    </w:p>
    <w:p w14:paraId="74FE801E">
      <w:pPr>
        <w:widowControl w:val="0"/>
        <w:numPr>
          <w:ilvl w:val="0"/>
          <w:numId w:val="7"/>
        </w:numPr>
        <w:spacing w:line="500" w:lineRule="exact"/>
        <w:ind w:left="-200" w:leftChars="0" w:firstLine="200" w:firstLineChars="0"/>
        <w:jc w:val="left"/>
        <w:rPr>
          <w:rFonts w:hint="eastAsia"/>
          <w:b/>
          <w:bCs/>
          <w:color w:val="auto"/>
          <w:kern w:val="2"/>
          <w:sz w:val="30"/>
          <w:szCs w:val="30"/>
          <w:lang w:val="en-US" w:eastAsia="zh-CN"/>
        </w:rPr>
      </w:pPr>
      <w:r>
        <w:rPr>
          <w:rFonts w:hint="eastAsia" w:ascii="Times New Roman" w:eastAsia="宋体"/>
          <w:b/>
          <w:bCs/>
          <w:color w:val="auto"/>
          <w:kern w:val="2"/>
          <w:sz w:val="30"/>
          <w:szCs w:val="30"/>
          <w:lang w:val="en-US" w:eastAsia="zh-CN"/>
        </w:rPr>
        <w:t>其他补充事宜：</w:t>
      </w:r>
    </w:p>
    <w:p w14:paraId="03ADC6A1">
      <w:pPr>
        <w:widowControl w:val="0"/>
        <w:numPr>
          <w:ilvl w:val="0"/>
          <w:numId w:val="0"/>
        </w:numPr>
        <w:spacing w:line="500" w:lineRule="exact"/>
        <w:ind w:left="480" w:leftChars="0" w:firstLine="0" w:firstLineChars="0"/>
        <w:jc w:val="both"/>
        <w:rPr>
          <w:rFonts w:ascii="宋体" w:hAnsi="宋体" w:cs="宋体"/>
          <w:b/>
          <w:bCs/>
          <w:color w:val="auto"/>
          <w:kern w:val="2"/>
        </w:rPr>
      </w:pPr>
      <w:r>
        <w:rPr>
          <w:rFonts w:ascii="宋体" w:hAnsi="宋体" w:eastAsia="宋体" w:cs="宋体"/>
          <w:b/>
          <w:bCs/>
          <w:color w:val="auto"/>
          <w:kern w:val="2"/>
          <w:sz w:val="24"/>
          <w:szCs w:val="24"/>
          <w:lang w:val="en-US" w:eastAsia="zh-CN" w:bidi="ar-SA"/>
        </w:rPr>
        <w:t>1、</w:t>
      </w:r>
      <w:r>
        <w:rPr>
          <w:rFonts w:hint="eastAsia" w:ascii="宋体" w:hAnsi="宋体" w:cs="宋体"/>
          <w:b/>
          <w:bCs/>
          <w:color w:val="auto"/>
          <w:kern w:val="2"/>
        </w:rPr>
        <w:t>本公告同时在《青海省政府采购网》、《青海省电子招投标公共服务平台》</w:t>
      </w:r>
    </w:p>
    <w:p w14:paraId="3616E524">
      <w:pPr>
        <w:widowControl w:val="0"/>
        <w:spacing w:line="500" w:lineRule="exact"/>
        <w:ind w:firstLine="0" w:firstLineChars="0"/>
        <w:jc w:val="both"/>
        <w:rPr>
          <w:rFonts w:hint="eastAsia" w:ascii="宋体" w:hAnsi="宋体" w:cs="宋体"/>
          <w:b/>
          <w:bCs/>
          <w:color w:val="auto"/>
          <w:kern w:val="2"/>
          <w:lang w:eastAsia="zh-CN"/>
        </w:rPr>
      </w:pPr>
      <w:r>
        <w:rPr>
          <w:rFonts w:hint="eastAsia" w:ascii="宋体" w:hAnsi="宋体" w:cs="宋体"/>
          <w:b/>
          <w:bCs/>
          <w:color w:val="auto"/>
          <w:kern w:val="2"/>
        </w:rPr>
        <w:t>发布，公告内容以青海省政府采购网发布为准</w:t>
      </w:r>
      <w:r>
        <w:rPr>
          <w:rFonts w:hint="eastAsia" w:ascii="宋体" w:hAnsi="宋体" w:cs="宋体"/>
          <w:b/>
          <w:bCs/>
          <w:color w:val="auto"/>
          <w:kern w:val="2"/>
          <w:lang w:eastAsia="zh-CN"/>
        </w:rPr>
        <w:t>。</w:t>
      </w:r>
    </w:p>
    <w:p w14:paraId="1731CC4C">
      <w:pPr>
        <w:widowControl w:val="0"/>
        <w:spacing w:line="500" w:lineRule="exact"/>
        <w:ind w:firstLine="482" w:firstLineChars="200"/>
        <w:jc w:val="both"/>
        <w:rPr>
          <w:rFonts w:hint="eastAsia" w:ascii="宋体" w:hAnsi="宋体" w:eastAsia="宋体" w:cs="宋体"/>
          <w:b/>
          <w:bCs/>
          <w:color w:val="auto"/>
          <w:kern w:val="2"/>
          <w:lang w:eastAsia="zh-CN"/>
        </w:rPr>
      </w:pPr>
      <w:r>
        <w:rPr>
          <w:rFonts w:hint="eastAsia" w:ascii="宋体" w:hAnsi="宋体" w:cs="宋体"/>
          <w:b/>
          <w:bCs/>
          <w:color w:val="auto"/>
          <w:kern w:val="2"/>
          <w:lang w:val="en-US" w:eastAsia="zh-CN"/>
        </w:rPr>
        <w:t>2、</w:t>
      </w:r>
      <w:r>
        <w:rPr>
          <w:rFonts w:hint="eastAsia" w:ascii="宋体" w:hAnsi="宋体" w:eastAsia="宋体" w:cs="宋体"/>
          <w:b/>
          <w:bCs/>
          <w:color w:val="auto"/>
          <w:kern w:val="2"/>
          <w:lang w:val="en-US" w:eastAsia="zh-CN"/>
        </w:rPr>
        <w:t>本次项目采用线上进行，供应商无需到现场开标；如非系统原因造成无法上传、无法解密或解密不成功的视为放弃参加采购。线上电子响应文件必须在提交响应文件截止时间前上传至电子开评标系统；</w:t>
      </w:r>
    </w:p>
    <w:p w14:paraId="0BE734B2">
      <w:pPr>
        <w:widowControl w:val="0"/>
        <w:numPr>
          <w:ilvl w:val="0"/>
          <w:numId w:val="0"/>
        </w:numPr>
        <w:spacing w:line="500" w:lineRule="exact"/>
        <w:ind w:firstLine="482" w:firstLineChars="200"/>
        <w:jc w:val="both"/>
        <w:rPr>
          <w:rFonts w:hint="eastAsia"/>
          <w:b/>
          <w:bCs/>
          <w:color w:val="auto"/>
          <w:kern w:val="2"/>
        </w:rPr>
      </w:pPr>
      <w:r>
        <w:rPr>
          <w:rFonts w:hint="eastAsia" w:ascii="宋体" w:hAnsi="宋体" w:cs="宋体"/>
          <w:b/>
          <w:bCs/>
          <w:color w:val="auto"/>
          <w:kern w:val="2"/>
          <w:lang w:val="en-US" w:eastAsia="zh-CN"/>
        </w:rPr>
        <w:t>3、</w:t>
      </w:r>
      <w:r>
        <w:rPr>
          <w:rFonts w:hint="eastAsia" w:ascii="宋体" w:hAnsi="宋体" w:cs="宋体"/>
          <w:b/>
          <w:bCs/>
          <w:color w:val="auto"/>
          <w:kern w:val="2"/>
        </w:rPr>
        <w:t>若对项目采购电子交易系统操作有疑问，可登录政采云</w:t>
      </w:r>
    </w:p>
    <w:p w14:paraId="796B94AA">
      <w:pPr>
        <w:widowControl w:val="0"/>
        <w:spacing w:line="500" w:lineRule="exact"/>
        <w:ind w:firstLine="0" w:firstLineChars="0"/>
        <w:jc w:val="both"/>
        <w:rPr>
          <w:rFonts w:hint="eastAsia" w:eastAsia="宋体"/>
          <w:b/>
          <w:bCs/>
          <w:color w:val="auto"/>
          <w:kern w:val="2"/>
          <w:lang w:eastAsia="zh-CN"/>
        </w:rPr>
      </w:pPr>
      <w:r>
        <w:rPr>
          <w:rFonts w:hint="eastAsia" w:ascii="宋体" w:hAnsi="宋体" w:cs="宋体"/>
          <w:b/>
          <w:bCs/>
          <w:color w:val="auto"/>
          <w:kern w:val="2"/>
        </w:rPr>
        <w:t>（https://www.zcygov.cn/），点击右侧咨询小采，获取采小蜜智能服务管家帮助，或拨打政采云服务热线400-881-7190获取热线服务帮助。 CA问题联系电话（人工）；天谷CA</w:t>
      </w:r>
      <w:r>
        <w:rPr>
          <w:rFonts w:hint="eastAsia" w:ascii="宋体" w:hAnsi="宋体" w:cs="宋体"/>
          <w:b/>
          <w:bCs/>
          <w:color w:val="auto"/>
          <w:kern w:val="2"/>
          <w:lang w:val="en-US" w:eastAsia="zh-CN"/>
        </w:rPr>
        <w:t xml:space="preserve"> </w:t>
      </w:r>
      <w:r>
        <w:rPr>
          <w:rFonts w:hint="eastAsia" w:ascii="宋体" w:hAnsi="宋体" w:cs="宋体"/>
          <w:b/>
          <w:bCs/>
          <w:color w:val="auto"/>
          <w:kern w:val="2"/>
        </w:rPr>
        <w:t>400-087-8198</w:t>
      </w:r>
      <w:r>
        <w:rPr>
          <w:rFonts w:hint="eastAsia" w:ascii="宋体" w:hAnsi="宋体" w:cs="宋体"/>
          <w:b/>
          <w:bCs/>
          <w:color w:val="auto"/>
          <w:kern w:val="2"/>
          <w:lang w:eastAsia="zh-CN"/>
        </w:rPr>
        <w:t>。</w:t>
      </w:r>
    </w:p>
    <w:p w14:paraId="1DE35F5F">
      <w:pPr>
        <w:widowControl w:val="0"/>
        <w:numPr>
          <w:ilvl w:val="0"/>
          <w:numId w:val="7"/>
        </w:numPr>
        <w:spacing w:line="500" w:lineRule="exact"/>
        <w:ind w:left="-200" w:leftChars="0" w:firstLine="200" w:firstLineChars="0"/>
        <w:jc w:val="left"/>
        <w:rPr>
          <w:rFonts w:hint="eastAsia" w:ascii="Times New Roman" w:hAnsi="Times New Roman" w:eastAsia="宋体" w:cs="Times New Roman"/>
          <w:b/>
          <w:bCs/>
          <w:color w:val="auto"/>
          <w:kern w:val="2"/>
          <w:sz w:val="30"/>
          <w:szCs w:val="30"/>
          <w:lang w:val="en-US" w:eastAsia="zh-CN"/>
        </w:rPr>
      </w:pPr>
      <w:r>
        <w:rPr>
          <w:rFonts w:hint="eastAsia" w:ascii="Times New Roman" w:hAnsi="Times New Roman" w:eastAsia="宋体" w:cs="Times New Roman"/>
          <w:b/>
          <w:bCs/>
          <w:color w:val="auto"/>
          <w:kern w:val="2"/>
          <w:sz w:val="30"/>
          <w:szCs w:val="30"/>
          <w:lang w:val="en-US" w:eastAsia="zh-CN"/>
        </w:rPr>
        <w:t>对本次招标提出询问，请按以下方式联系。</w:t>
      </w:r>
      <w:bookmarkEnd w:id="3"/>
      <w:bookmarkEnd w:id="4"/>
      <w:bookmarkEnd w:id="5"/>
      <w:bookmarkEnd w:id="6"/>
    </w:p>
    <w:p w14:paraId="037678AA">
      <w:pPr>
        <w:widowControl/>
        <w:spacing w:line="500" w:lineRule="exact"/>
        <w:ind w:firstLine="480" w:firstLineChars="200"/>
        <w:jc w:val="left"/>
        <w:rPr>
          <w:rFonts w:hint="eastAsia" w:ascii="宋体" w:hAnsi="宋体" w:cs="宋体"/>
          <w:color w:val="auto"/>
          <w:kern w:val="2"/>
        </w:rPr>
      </w:pPr>
      <w:r>
        <w:rPr>
          <w:rFonts w:hint="eastAsia" w:ascii="宋体" w:hAnsi="宋体" w:cs="宋体"/>
          <w:color w:val="auto"/>
          <w:kern w:val="2"/>
        </w:rPr>
        <w:t>1.采购人信息</w:t>
      </w:r>
    </w:p>
    <w:p w14:paraId="08161FC8">
      <w:pPr>
        <w:widowControl w:val="0"/>
        <w:spacing w:line="500" w:lineRule="exact"/>
        <w:ind w:firstLine="480" w:firstLineChars="200"/>
        <w:jc w:val="left"/>
        <w:rPr>
          <w:rFonts w:hint="eastAsia" w:ascii="宋体" w:hAnsi="宋体" w:cs="宋体"/>
          <w:color w:val="auto"/>
          <w:kern w:val="2"/>
        </w:rPr>
      </w:pPr>
      <w:bookmarkStart w:id="7" w:name="_Toc28359086"/>
      <w:bookmarkStart w:id="8" w:name="_Toc28359009"/>
      <w:r>
        <w:rPr>
          <w:rFonts w:hint="eastAsia" w:ascii="宋体" w:hAnsi="宋体" w:cs="宋体"/>
          <w:color w:val="auto"/>
          <w:kern w:val="2"/>
        </w:rPr>
        <w:t>名 称：</w:t>
      </w:r>
      <w:r>
        <w:rPr>
          <w:rFonts w:hint="eastAsia" w:ascii="宋体" w:hAnsi="宋体" w:cs="宋体"/>
          <w:color w:val="auto"/>
          <w:kern w:val="2"/>
          <w:u w:val="single"/>
          <w:lang w:val="zh-CN"/>
        </w:rPr>
        <w:t>青海柴达木职业技术学院</w:t>
      </w:r>
      <w:r>
        <w:rPr>
          <w:rFonts w:hint="eastAsia" w:ascii="宋体" w:hAnsi="宋体" w:cs="宋体"/>
          <w:color w:val="auto"/>
          <w:kern w:val="2"/>
          <w:lang w:val="zh-CN"/>
        </w:rPr>
        <w:t>　　</w:t>
      </w:r>
    </w:p>
    <w:p w14:paraId="3AE517EC">
      <w:pPr>
        <w:widowControl w:val="0"/>
        <w:spacing w:line="500" w:lineRule="exact"/>
        <w:ind w:firstLine="480" w:firstLineChars="200"/>
        <w:jc w:val="left"/>
        <w:rPr>
          <w:rFonts w:hint="default" w:ascii="宋体" w:hAnsi="宋体" w:eastAsia="宋体" w:cs="宋体"/>
          <w:color w:val="auto"/>
          <w:kern w:val="2"/>
          <w:lang w:val="en-US" w:eastAsia="zh-CN"/>
        </w:rPr>
      </w:pPr>
      <w:r>
        <w:rPr>
          <w:rFonts w:hint="eastAsia" w:ascii="宋体" w:hAnsi="宋体" w:cs="宋体"/>
          <w:color w:val="auto"/>
          <w:kern w:val="2"/>
        </w:rPr>
        <w:t>地 址：</w:t>
      </w:r>
      <w:r>
        <w:rPr>
          <w:rFonts w:hint="eastAsia" w:ascii="宋体" w:hAnsi="宋体" w:eastAsia="宋体" w:cs="宋体"/>
          <w:color w:val="auto"/>
          <w:kern w:val="2"/>
          <w:u w:val="single"/>
          <w:lang w:val="zh-CN"/>
        </w:rPr>
        <w:t>德令哈市都兰西路32号</w:t>
      </w:r>
    </w:p>
    <w:p w14:paraId="11FB29B2">
      <w:pPr>
        <w:widowControl w:val="0"/>
        <w:spacing w:line="500" w:lineRule="exact"/>
        <w:ind w:firstLine="480" w:firstLineChars="200"/>
        <w:jc w:val="left"/>
        <w:rPr>
          <w:rFonts w:hint="eastAsia" w:ascii="宋体" w:hAnsi="宋体" w:eastAsia="宋体" w:cs="宋体"/>
          <w:color w:val="auto"/>
          <w:kern w:val="2"/>
          <w:lang w:eastAsia="zh-CN"/>
        </w:rPr>
      </w:pPr>
      <w:r>
        <w:rPr>
          <w:rFonts w:hint="eastAsia" w:ascii="宋体" w:hAnsi="宋体" w:cs="宋体"/>
          <w:color w:val="auto"/>
          <w:kern w:val="2"/>
        </w:rPr>
        <w:t>联系人：</w:t>
      </w:r>
      <w:r>
        <w:rPr>
          <w:rFonts w:hint="eastAsia" w:ascii="宋体" w:hAnsi="宋体" w:eastAsia="宋体" w:cs="宋体"/>
          <w:color w:val="auto"/>
          <w:kern w:val="2"/>
          <w:u w:val="single"/>
          <w:lang w:val="zh-CN"/>
        </w:rPr>
        <w:t>张老师</w:t>
      </w:r>
    </w:p>
    <w:p w14:paraId="27F67B17">
      <w:pPr>
        <w:widowControl w:val="0"/>
        <w:spacing w:line="500" w:lineRule="exact"/>
        <w:ind w:firstLine="480" w:firstLineChars="200"/>
        <w:jc w:val="left"/>
        <w:rPr>
          <w:rFonts w:hint="eastAsia" w:ascii="宋体" w:hAnsi="宋体" w:eastAsia="宋体" w:cs="宋体"/>
          <w:color w:val="auto"/>
          <w:kern w:val="2"/>
          <w:lang w:eastAsia="zh-CN"/>
        </w:rPr>
      </w:pPr>
      <w:r>
        <w:rPr>
          <w:rFonts w:hint="eastAsia" w:ascii="宋体" w:hAnsi="宋体" w:cs="宋体"/>
          <w:color w:val="auto"/>
          <w:kern w:val="2"/>
        </w:rPr>
        <w:t>联系方式：</w:t>
      </w:r>
      <w:r>
        <w:rPr>
          <w:rFonts w:hint="eastAsia" w:ascii="宋体" w:hAnsi="宋体" w:eastAsia="宋体" w:cs="宋体"/>
          <w:color w:val="auto"/>
          <w:kern w:val="2"/>
          <w:u w:val="single"/>
          <w:lang w:val="zh-CN"/>
        </w:rPr>
        <w:t>0977-8901450</w:t>
      </w:r>
    </w:p>
    <w:p w14:paraId="442D081B">
      <w:pPr>
        <w:widowControl w:val="0"/>
        <w:spacing w:line="500" w:lineRule="exact"/>
        <w:ind w:firstLine="480" w:firstLineChars="200"/>
        <w:jc w:val="left"/>
        <w:rPr>
          <w:rFonts w:hint="eastAsia" w:ascii="宋体" w:hAnsi="宋体" w:cs="宋体"/>
          <w:color w:val="auto"/>
          <w:kern w:val="2"/>
        </w:rPr>
      </w:pPr>
      <w:r>
        <w:rPr>
          <w:rFonts w:hint="eastAsia" w:ascii="宋体" w:hAnsi="宋体" w:cs="宋体"/>
          <w:color w:val="auto"/>
          <w:kern w:val="2"/>
        </w:rPr>
        <w:t>2.采购代理机构信息</w:t>
      </w:r>
      <w:bookmarkEnd w:id="7"/>
      <w:bookmarkEnd w:id="8"/>
    </w:p>
    <w:p w14:paraId="7B40B2A6">
      <w:pPr>
        <w:widowControl w:val="0"/>
        <w:spacing w:line="500" w:lineRule="exact"/>
        <w:ind w:firstLine="480" w:firstLineChars="200"/>
        <w:jc w:val="both"/>
        <w:rPr>
          <w:rFonts w:hint="eastAsia" w:ascii="宋体" w:hAnsi="宋体" w:eastAsia="宋体" w:cs="宋体"/>
          <w:color w:val="auto"/>
          <w:kern w:val="2"/>
          <w:lang w:eastAsia="zh-CN"/>
        </w:rPr>
      </w:pPr>
      <w:r>
        <w:rPr>
          <w:rFonts w:hint="eastAsia" w:ascii="宋体" w:hAnsi="宋体" w:cs="宋体"/>
          <w:color w:val="auto"/>
          <w:kern w:val="2"/>
        </w:rPr>
        <w:t>名称：</w:t>
      </w:r>
      <w:r>
        <w:rPr>
          <w:rFonts w:hint="eastAsia" w:ascii="宋体" w:hAnsi="宋体" w:cs="宋体"/>
          <w:color w:val="auto"/>
          <w:kern w:val="2"/>
          <w:u w:val="single"/>
          <w:lang w:eastAsia="zh-CN"/>
        </w:rPr>
        <w:t>青海宸晖工程项目管理有限公司</w:t>
      </w:r>
    </w:p>
    <w:p w14:paraId="7ED19EEF">
      <w:pPr>
        <w:widowControl w:val="0"/>
        <w:spacing w:line="500" w:lineRule="exact"/>
        <w:ind w:firstLine="480" w:firstLineChars="200"/>
        <w:jc w:val="both"/>
        <w:rPr>
          <w:rFonts w:hint="eastAsia" w:ascii="宋体" w:hAnsi="宋体" w:eastAsia="宋体" w:cs="宋体"/>
          <w:color w:val="auto"/>
          <w:kern w:val="2"/>
          <w:lang w:eastAsia="zh-CN"/>
        </w:rPr>
      </w:pPr>
      <w:r>
        <w:rPr>
          <w:rFonts w:hint="eastAsia" w:ascii="宋体" w:hAnsi="宋体" w:cs="宋体"/>
          <w:color w:val="auto"/>
          <w:kern w:val="2"/>
        </w:rPr>
        <w:t>地址：</w:t>
      </w:r>
      <w:r>
        <w:rPr>
          <w:rFonts w:hint="eastAsia" w:ascii="宋体" w:hAnsi="宋体" w:cs="宋体"/>
          <w:color w:val="auto"/>
          <w:kern w:val="2"/>
          <w:u w:val="single"/>
          <w:lang w:eastAsia="zh-CN"/>
        </w:rPr>
        <w:t>青海省西宁市海湖新区新华联A栋1091C</w:t>
      </w:r>
    </w:p>
    <w:p w14:paraId="41B1DAAA">
      <w:pPr>
        <w:widowControl w:val="0"/>
        <w:spacing w:line="500" w:lineRule="exact"/>
        <w:ind w:firstLine="480" w:firstLineChars="200"/>
        <w:jc w:val="both"/>
        <w:rPr>
          <w:rFonts w:hint="eastAsia" w:ascii="宋体" w:hAnsi="宋体" w:eastAsia="宋体" w:cs="宋体"/>
          <w:color w:val="auto"/>
          <w:kern w:val="2"/>
          <w:lang w:eastAsia="zh-CN"/>
        </w:rPr>
      </w:pPr>
      <w:r>
        <w:rPr>
          <w:rFonts w:hint="eastAsia" w:ascii="宋体" w:hAnsi="宋体" w:cs="宋体"/>
          <w:color w:val="auto"/>
          <w:kern w:val="2"/>
        </w:rPr>
        <w:t>联系方式：</w:t>
      </w:r>
      <w:bookmarkStart w:id="9" w:name="_Toc28359087"/>
      <w:bookmarkStart w:id="10" w:name="_Toc28359010"/>
      <w:r>
        <w:rPr>
          <w:rFonts w:hint="eastAsia" w:ascii="宋体" w:hAnsi="宋体" w:cs="宋体"/>
          <w:color w:val="auto"/>
          <w:kern w:val="2"/>
          <w:u w:val="single"/>
          <w:lang w:eastAsia="zh-CN"/>
        </w:rPr>
        <w:t>0971-4118139</w:t>
      </w:r>
    </w:p>
    <w:p w14:paraId="64CA634C">
      <w:pPr>
        <w:widowControl w:val="0"/>
        <w:spacing w:line="500" w:lineRule="exact"/>
        <w:ind w:firstLine="480" w:firstLineChars="200"/>
        <w:jc w:val="both"/>
        <w:rPr>
          <w:rFonts w:hint="eastAsia" w:ascii="宋体" w:hAnsi="宋体" w:cs="宋体"/>
          <w:color w:val="auto"/>
          <w:kern w:val="2"/>
          <w:u w:val="single"/>
        </w:rPr>
      </w:pPr>
      <w:r>
        <w:rPr>
          <w:rFonts w:hint="eastAsia" w:ascii="宋体" w:hAnsi="宋体" w:cs="宋体"/>
          <w:color w:val="auto"/>
          <w:kern w:val="2"/>
        </w:rPr>
        <w:t>3.项目联系方式</w:t>
      </w:r>
      <w:bookmarkEnd w:id="9"/>
      <w:bookmarkEnd w:id="10"/>
    </w:p>
    <w:p w14:paraId="0AA36B00">
      <w:pPr>
        <w:widowControl w:val="0"/>
        <w:spacing w:line="500" w:lineRule="exact"/>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项目联系人：</w:t>
      </w:r>
      <w:r>
        <w:rPr>
          <w:rFonts w:hint="eastAsia" w:ascii="宋体" w:hAnsi="宋体" w:cs="宋体"/>
          <w:color w:val="auto"/>
          <w:kern w:val="2"/>
          <w:u w:val="single"/>
          <w:lang w:val="en-US" w:eastAsia="zh-CN"/>
        </w:rPr>
        <w:t>赵宝平</w:t>
      </w:r>
    </w:p>
    <w:p w14:paraId="2D5A920E">
      <w:pPr>
        <w:widowControl w:val="0"/>
        <w:spacing w:line="500" w:lineRule="exact"/>
        <w:ind w:firstLine="480" w:firstLineChars="200"/>
        <w:jc w:val="both"/>
        <w:rPr>
          <w:rFonts w:hint="eastAsia" w:ascii="宋体" w:hAnsi="宋体" w:eastAsia="宋体" w:cs="宋体"/>
          <w:color w:val="auto"/>
          <w:kern w:val="2"/>
          <w:lang w:eastAsia="zh-CN"/>
        </w:rPr>
      </w:pPr>
      <w:r>
        <w:rPr>
          <w:rFonts w:hint="eastAsia" w:ascii="宋体" w:hAnsi="宋体" w:eastAsia="宋体" w:cs="宋体"/>
          <w:color w:val="auto"/>
          <w:kern w:val="2"/>
        </w:rPr>
        <w:t>电　话：</w:t>
      </w:r>
      <w:r>
        <w:rPr>
          <w:rFonts w:hint="eastAsia" w:ascii="宋体" w:hAnsi="宋体" w:eastAsia="宋体" w:cs="宋体"/>
          <w:color w:val="auto"/>
          <w:kern w:val="2"/>
          <w:lang w:eastAsia="zh-CN"/>
        </w:rPr>
        <w:t>0971-4118139</w:t>
      </w:r>
    </w:p>
    <w:p w14:paraId="665C2476">
      <w:pPr>
        <w:widowControl w:val="0"/>
        <w:spacing w:line="500" w:lineRule="exact"/>
        <w:ind w:firstLine="480" w:firstLineChars="200"/>
        <w:jc w:val="both"/>
        <w:rPr>
          <w:rFonts w:hint="eastAsia" w:ascii="宋体" w:hAnsi="宋体" w:eastAsia="宋体" w:cs="宋体"/>
          <w:color w:val="auto"/>
          <w:kern w:val="2"/>
          <w:lang w:val="en-US" w:eastAsia="zh-CN"/>
        </w:rPr>
      </w:pPr>
      <w:r>
        <w:rPr>
          <w:rFonts w:hint="eastAsia" w:ascii="宋体" w:hAnsi="宋体" w:eastAsia="宋体" w:cs="宋体"/>
          <w:color w:val="auto"/>
          <w:kern w:val="2"/>
          <w:lang w:val="en-US" w:eastAsia="zh-CN"/>
        </w:rPr>
        <w:t>4.监督单位：海西蒙古族藏族自治州财政局</w:t>
      </w:r>
    </w:p>
    <w:p w14:paraId="10730284">
      <w:pPr>
        <w:widowControl w:val="0"/>
        <w:spacing w:line="500" w:lineRule="exact"/>
        <w:ind w:firstLine="480" w:firstLineChars="200"/>
        <w:jc w:val="both"/>
        <w:rPr>
          <w:rFonts w:hint="default" w:ascii="宋体" w:hAnsi="宋体" w:eastAsia="宋体" w:cs="宋体"/>
          <w:color w:val="auto"/>
          <w:kern w:val="2"/>
          <w:lang w:val="en-US" w:eastAsia="zh-CN"/>
        </w:rPr>
      </w:pPr>
      <w:r>
        <w:rPr>
          <w:rFonts w:hint="eastAsia" w:ascii="宋体" w:hAnsi="宋体" w:eastAsia="宋体" w:cs="宋体"/>
          <w:color w:val="auto"/>
          <w:kern w:val="2"/>
          <w:lang w:val="en-US" w:eastAsia="zh-CN"/>
        </w:rPr>
        <w:t xml:space="preserve">  联系电话：0977-8223201</w:t>
      </w:r>
    </w:p>
    <w:bookmarkEnd w:id="0"/>
    <w:p w14:paraId="1938001D">
      <w:pPr>
        <w:pStyle w:val="21"/>
        <w:rPr>
          <w:rFonts w:ascii="宋体" w:hAnsi="宋体" w:cs="宋体"/>
          <w:b/>
          <w:bCs/>
          <w:sz w:val="28"/>
          <w:szCs w:val="28"/>
        </w:rPr>
      </w:pPr>
      <w:bookmarkStart w:id="11" w:name="_Toc25190"/>
    </w:p>
    <w:p w14:paraId="6DAD0C9C">
      <w:pPr>
        <w:spacing w:line="360" w:lineRule="auto"/>
        <w:ind w:firstLine="480"/>
        <w:jc w:val="right"/>
        <w:rPr>
          <w:rFonts w:ascii="宋体" w:hAnsi="宋体" w:cs="宋体"/>
          <w:color w:val="auto"/>
          <w:highlight w:val="none"/>
        </w:rPr>
      </w:pPr>
      <w:r>
        <w:rPr>
          <w:rFonts w:hint="eastAsia" w:hAnsi="宋体" w:cs="宋体"/>
          <w:b/>
          <w:bCs/>
          <w:sz w:val="28"/>
          <w:szCs w:val="28"/>
          <w:lang w:val="en-US" w:eastAsia="zh-CN"/>
        </w:rPr>
        <w:t xml:space="preserve">     </w:t>
      </w:r>
      <w:r>
        <w:rPr>
          <w:rFonts w:hint="eastAsia" w:ascii="宋体" w:hAnsi="宋体" w:cs="宋体"/>
          <w:color w:val="auto"/>
          <w:highlight w:val="none"/>
        </w:rPr>
        <w:t xml:space="preserve"> 青海</w:t>
      </w:r>
      <w:r>
        <w:rPr>
          <w:rFonts w:hint="eastAsia" w:ascii="宋体" w:hAnsi="宋体" w:cs="宋体"/>
          <w:color w:val="auto"/>
          <w:highlight w:val="none"/>
          <w:lang w:eastAsia="zh-CN"/>
        </w:rPr>
        <w:t>宸晖</w:t>
      </w:r>
      <w:r>
        <w:rPr>
          <w:rFonts w:hint="eastAsia" w:ascii="宋体" w:hAnsi="宋体" w:cs="宋体"/>
          <w:color w:val="auto"/>
          <w:highlight w:val="none"/>
        </w:rPr>
        <w:t xml:space="preserve">工程项目管理有限公司          </w:t>
      </w:r>
    </w:p>
    <w:p w14:paraId="6248D794">
      <w:pPr>
        <w:spacing w:line="360" w:lineRule="auto"/>
        <w:ind w:firstLine="480"/>
        <w:jc w:val="right"/>
        <w:rPr>
          <w:rFonts w:ascii="宋体" w:hAnsi="宋体" w:cs="宋体"/>
          <w:color w:val="auto"/>
          <w:highlight w:val="none"/>
        </w:rPr>
        <w:sectPr>
          <w:type w:val="continuous"/>
          <w:pgSz w:w="11907" w:h="16840"/>
          <w:pgMar w:top="1040" w:right="1027" w:bottom="1160" w:left="1520" w:header="858" w:footer="977" w:gutter="0"/>
          <w:cols w:space="720" w:num="1"/>
        </w:sectPr>
      </w:pPr>
      <w:r>
        <w:rPr>
          <w:rFonts w:hint="eastAsia" w:ascii="宋体" w:hAnsi="宋体" w:cs="宋体"/>
          <w:color w:val="auto"/>
          <w:highlight w:val="none"/>
        </w:rPr>
        <w:t>二〇二</w:t>
      </w:r>
      <w:r>
        <w:rPr>
          <w:rFonts w:hint="eastAsia" w:ascii="宋体" w:hAnsi="宋体" w:cs="宋体"/>
          <w:color w:val="auto"/>
          <w:highlight w:val="none"/>
          <w:lang w:val="en-US" w:eastAsia="zh-CN"/>
        </w:rPr>
        <w:t>六</w:t>
      </w:r>
      <w:r>
        <w:rPr>
          <w:rFonts w:hint="eastAsia" w:ascii="宋体" w:hAnsi="宋体" w:cs="宋体"/>
          <w:color w:val="auto"/>
          <w:highlight w:val="none"/>
        </w:rPr>
        <w:t>年</w:t>
      </w:r>
      <w:r>
        <w:rPr>
          <w:rFonts w:hint="eastAsia" w:ascii="宋体" w:hAnsi="宋体" w:cs="宋体"/>
          <w:color w:val="auto"/>
          <w:highlight w:val="none"/>
          <w:lang w:val="en-US" w:eastAsia="zh-CN"/>
        </w:rPr>
        <w:t>六</w:t>
      </w:r>
      <w:r>
        <w:rPr>
          <w:rFonts w:hint="eastAsia" w:ascii="宋体" w:hAnsi="宋体" w:cs="宋体"/>
          <w:color w:val="auto"/>
          <w:highlight w:val="none"/>
        </w:rPr>
        <w:t>月</w:t>
      </w:r>
      <w:r>
        <w:rPr>
          <w:rFonts w:hint="eastAsia" w:ascii="宋体" w:hAnsi="宋体" w:cs="宋体"/>
          <w:color w:val="auto"/>
          <w:highlight w:val="none"/>
          <w:lang w:val="en-US" w:eastAsia="zh-CN"/>
        </w:rPr>
        <w:t>四</w:t>
      </w:r>
      <w:r>
        <w:rPr>
          <w:rFonts w:hint="eastAsia" w:ascii="宋体" w:hAnsi="宋体" w:cs="宋体"/>
          <w:color w:val="auto"/>
          <w:highlight w:val="none"/>
        </w:rPr>
        <w:t>日</w:t>
      </w:r>
    </w:p>
    <w:p w14:paraId="2D41C602">
      <w:pPr>
        <w:pStyle w:val="15"/>
        <w:ind w:firstLine="514"/>
        <w:rPr>
          <w:rFonts w:hint="default" w:hAnsi="宋体" w:eastAsia="宋体" w:cs="宋体"/>
          <w:b/>
          <w:bCs/>
          <w:sz w:val="28"/>
          <w:szCs w:val="28"/>
          <w:lang w:val="en-US" w:eastAsia="zh-CN"/>
        </w:rPr>
      </w:pPr>
    </w:p>
    <w:p w14:paraId="2F5A6E40">
      <w:pPr>
        <w:pStyle w:val="15"/>
        <w:ind w:firstLine="514"/>
        <w:rPr>
          <w:rFonts w:hAnsi="宋体" w:cs="宋体"/>
          <w:b/>
          <w:bCs/>
          <w:sz w:val="28"/>
          <w:szCs w:val="28"/>
        </w:rPr>
      </w:pPr>
    </w:p>
    <w:p w14:paraId="6E429432">
      <w:pPr>
        <w:pStyle w:val="15"/>
        <w:ind w:firstLine="514"/>
        <w:rPr>
          <w:rFonts w:hAnsi="宋体" w:cs="宋体"/>
          <w:b/>
          <w:bCs/>
          <w:sz w:val="28"/>
          <w:szCs w:val="28"/>
        </w:rPr>
      </w:pPr>
    </w:p>
    <w:p w14:paraId="1AE52880">
      <w:pPr>
        <w:pStyle w:val="15"/>
        <w:ind w:firstLine="514"/>
        <w:rPr>
          <w:rFonts w:hAnsi="宋体" w:cs="宋体"/>
          <w:b/>
          <w:bCs/>
          <w:sz w:val="28"/>
          <w:szCs w:val="28"/>
        </w:rPr>
      </w:pPr>
    </w:p>
    <w:p w14:paraId="592F53A6">
      <w:pPr>
        <w:pStyle w:val="15"/>
        <w:ind w:firstLine="514"/>
        <w:rPr>
          <w:rFonts w:hAnsi="宋体" w:cs="宋体"/>
          <w:b/>
          <w:bCs/>
          <w:sz w:val="28"/>
          <w:szCs w:val="28"/>
        </w:rPr>
      </w:pPr>
    </w:p>
    <w:p w14:paraId="3CC7E06C">
      <w:pPr>
        <w:pStyle w:val="15"/>
        <w:ind w:firstLine="514"/>
        <w:rPr>
          <w:rFonts w:hAnsi="宋体" w:cs="宋体"/>
          <w:b/>
          <w:bCs/>
          <w:sz w:val="28"/>
          <w:szCs w:val="28"/>
        </w:rPr>
      </w:pPr>
    </w:p>
    <w:p w14:paraId="43744B2E">
      <w:pPr>
        <w:pStyle w:val="15"/>
        <w:ind w:firstLine="514"/>
        <w:rPr>
          <w:rFonts w:hAnsi="宋体" w:cs="宋体"/>
          <w:b/>
          <w:bCs/>
          <w:sz w:val="28"/>
          <w:szCs w:val="28"/>
        </w:rPr>
      </w:pPr>
    </w:p>
    <w:p w14:paraId="3C640764">
      <w:pPr>
        <w:tabs>
          <w:tab w:val="left" w:pos="425"/>
          <w:tab w:val="left" w:pos="4265"/>
        </w:tabs>
        <w:spacing w:after="100" w:afterAutospacing="1"/>
        <w:jc w:val="center"/>
        <w:outlineLvl w:val="0"/>
        <w:rPr>
          <w:rFonts w:ascii="宋体" w:hAnsi="宋体" w:cs="宋体"/>
          <w:sz w:val="28"/>
          <w:szCs w:val="28"/>
        </w:rPr>
      </w:pPr>
      <w:r>
        <w:rPr>
          <w:rFonts w:hint="eastAsia" w:ascii="宋体" w:hAnsi="宋体" w:cs="宋体"/>
          <w:b/>
          <w:bCs/>
          <w:sz w:val="28"/>
          <w:szCs w:val="28"/>
        </w:rPr>
        <w:t>第二</w:t>
      </w:r>
      <w:r>
        <w:rPr>
          <w:rFonts w:hint="eastAsia" w:ascii="宋体" w:hAnsi="宋体" w:cs="宋体"/>
          <w:b/>
          <w:bCs/>
          <w:sz w:val="28"/>
          <w:szCs w:val="28"/>
          <w:lang w:val="en-US" w:eastAsia="zh-CN"/>
        </w:rPr>
        <w:t>部分</w:t>
      </w:r>
      <w:r>
        <w:rPr>
          <w:rFonts w:hint="eastAsia" w:ascii="宋体" w:hAnsi="宋体" w:cs="宋体"/>
          <w:b/>
          <w:bCs/>
          <w:sz w:val="28"/>
          <w:szCs w:val="28"/>
        </w:rPr>
        <w:t xml:space="preserve">  磋商须知</w:t>
      </w:r>
      <w:bookmarkEnd w:id="11"/>
    </w:p>
    <w:p w14:paraId="237002AB">
      <w:pPr>
        <w:spacing w:line="360" w:lineRule="auto"/>
        <w:ind w:firstLine="480" w:firstLineChars="200"/>
        <w:rPr>
          <w:rFonts w:ascii="宋体" w:hAnsi="宋体" w:cs="宋体"/>
        </w:rPr>
      </w:pPr>
      <w:r>
        <w:rPr>
          <w:rFonts w:hint="eastAsia" w:ascii="宋体" w:hAnsi="宋体" w:cs="宋体"/>
        </w:rPr>
        <w:t>1、适用范围</w:t>
      </w:r>
    </w:p>
    <w:p w14:paraId="6E492DE3">
      <w:pPr>
        <w:tabs>
          <w:tab w:val="left" w:pos="7665"/>
        </w:tabs>
        <w:spacing w:line="360" w:lineRule="auto"/>
        <w:ind w:firstLine="480" w:firstLineChars="200"/>
        <w:jc w:val="both"/>
        <w:rPr>
          <w:rFonts w:ascii="宋体" w:hAnsi="宋体" w:cs="宋体"/>
        </w:rPr>
      </w:pPr>
      <w:r>
        <w:rPr>
          <w:rFonts w:hint="eastAsia" w:ascii="宋体" w:hAnsi="宋体" w:cs="宋体"/>
        </w:rPr>
        <w:t>1.1本文件仅适用于此次采购项目。</w:t>
      </w:r>
    </w:p>
    <w:p w14:paraId="5AA2E630">
      <w:pPr>
        <w:spacing w:line="360" w:lineRule="auto"/>
        <w:ind w:firstLine="480" w:firstLineChars="200"/>
        <w:rPr>
          <w:rFonts w:ascii="宋体" w:hAnsi="宋体" w:cs="宋体"/>
        </w:rPr>
      </w:pPr>
      <w:r>
        <w:rPr>
          <w:rFonts w:hint="eastAsia" w:ascii="宋体" w:hAnsi="宋体" w:cs="宋体"/>
        </w:rPr>
        <w:t>2、定义</w:t>
      </w:r>
    </w:p>
    <w:p w14:paraId="77FE018B">
      <w:pPr>
        <w:tabs>
          <w:tab w:val="left" w:pos="7665"/>
        </w:tabs>
        <w:spacing w:line="360" w:lineRule="auto"/>
        <w:ind w:firstLine="480" w:firstLineChars="200"/>
        <w:jc w:val="both"/>
        <w:rPr>
          <w:rFonts w:ascii="宋体" w:hAnsi="宋体" w:cs="宋体"/>
        </w:rPr>
      </w:pPr>
      <w:r>
        <w:rPr>
          <w:rFonts w:hint="eastAsia" w:ascii="宋体" w:hAnsi="宋体" w:cs="宋体"/>
        </w:rPr>
        <w:t>2.1 “采购单位”系</w:t>
      </w:r>
      <w:r>
        <w:rPr>
          <w:rFonts w:hint="eastAsia" w:ascii="宋体" w:hAnsi="宋体" w:cs="宋体"/>
          <w:lang w:eastAsia="zh-CN"/>
        </w:rPr>
        <w:t>青海柴达木职业技术学院</w:t>
      </w:r>
      <w:r>
        <w:rPr>
          <w:rFonts w:hint="eastAsia" w:ascii="宋体" w:hAnsi="宋体" w:cs="宋体"/>
        </w:rPr>
        <w:t>。</w:t>
      </w:r>
    </w:p>
    <w:p w14:paraId="2C41D1BA">
      <w:pPr>
        <w:tabs>
          <w:tab w:val="left" w:pos="7665"/>
        </w:tabs>
        <w:spacing w:line="360" w:lineRule="auto"/>
        <w:ind w:firstLine="480" w:firstLineChars="200"/>
        <w:jc w:val="both"/>
        <w:rPr>
          <w:rFonts w:ascii="宋体" w:hAnsi="宋体" w:cs="宋体"/>
        </w:rPr>
      </w:pPr>
      <w:r>
        <w:rPr>
          <w:rFonts w:hint="eastAsia" w:ascii="宋体" w:hAnsi="宋体" w:cs="宋体"/>
        </w:rPr>
        <w:t>2.2 “供应商”系指响应竞争性磋商文件要求，并提交报价文件的法人、其他组织或者自然人。</w:t>
      </w:r>
    </w:p>
    <w:p w14:paraId="15756A86">
      <w:pPr>
        <w:tabs>
          <w:tab w:val="left" w:pos="7665"/>
        </w:tabs>
        <w:spacing w:line="360" w:lineRule="auto"/>
        <w:ind w:firstLine="480" w:firstLineChars="200"/>
        <w:jc w:val="both"/>
        <w:rPr>
          <w:rFonts w:ascii="宋体" w:hAnsi="宋体" w:cs="宋体"/>
        </w:rPr>
      </w:pPr>
      <w:r>
        <w:rPr>
          <w:rFonts w:hint="eastAsia" w:ascii="宋体" w:hAnsi="宋体" w:cs="宋体"/>
        </w:rPr>
        <w:t>2.3 “采购代理机构” 系指根据采购单位的委托依法办理采购事宜的采购机构。本次竞争性磋商的采购代理机构是青海</w:t>
      </w:r>
      <w:r>
        <w:rPr>
          <w:rFonts w:hint="eastAsia" w:ascii="宋体" w:hAnsi="宋体" w:cs="宋体"/>
          <w:lang w:eastAsia="zh-CN"/>
        </w:rPr>
        <w:t>宸晖</w:t>
      </w:r>
      <w:r>
        <w:rPr>
          <w:rFonts w:hint="eastAsia" w:ascii="宋体" w:hAnsi="宋体" w:cs="宋体"/>
        </w:rPr>
        <w:t>工程项目管理有限公司。</w:t>
      </w:r>
    </w:p>
    <w:p w14:paraId="7ECB15D4">
      <w:pPr>
        <w:tabs>
          <w:tab w:val="left" w:pos="7665"/>
        </w:tabs>
        <w:spacing w:line="360" w:lineRule="auto"/>
        <w:ind w:firstLine="480" w:firstLineChars="200"/>
        <w:jc w:val="both"/>
        <w:rPr>
          <w:rFonts w:ascii="宋体" w:hAnsi="宋体" w:cs="宋体"/>
        </w:rPr>
      </w:pPr>
      <w:r>
        <w:rPr>
          <w:rFonts w:hint="eastAsia" w:ascii="宋体" w:hAnsi="宋体" w:cs="宋体"/>
        </w:rPr>
        <w:t>3、本项目合格的供应商资格条件</w:t>
      </w:r>
    </w:p>
    <w:p w14:paraId="13B16B2A">
      <w:pPr>
        <w:tabs>
          <w:tab w:val="left" w:pos="7665"/>
        </w:tabs>
        <w:spacing w:line="360" w:lineRule="auto"/>
        <w:ind w:firstLine="480" w:firstLineChars="200"/>
        <w:jc w:val="both"/>
        <w:rPr>
          <w:rFonts w:ascii="宋体" w:hAnsi="宋体" w:cs="宋体"/>
        </w:rPr>
      </w:pPr>
      <w:r>
        <w:rPr>
          <w:rFonts w:hint="eastAsia" w:ascii="宋体" w:hAnsi="宋体" w:cs="宋体"/>
        </w:rPr>
        <w:t>3.1供应商应具备第一章“供应商资格条件”所述的资格条件。</w:t>
      </w:r>
    </w:p>
    <w:p w14:paraId="58943823">
      <w:pPr>
        <w:tabs>
          <w:tab w:val="left" w:pos="7665"/>
        </w:tabs>
        <w:spacing w:line="360" w:lineRule="auto"/>
        <w:ind w:firstLine="480" w:firstLineChars="200"/>
        <w:jc w:val="both"/>
        <w:rPr>
          <w:rFonts w:ascii="宋体" w:hAnsi="宋体" w:cs="宋体"/>
        </w:rPr>
      </w:pPr>
      <w:r>
        <w:rPr>
          <w:rFonts w:hint="eastAsia" w:ascii="宋体" w:hAnsi="宋体" w:cs="宋体"/>
        </w:rPr>
        <w:t>4、竞争性磋商采购费用</w:t>
      </w:r>
    </w:p>
    <w:p w14:paraId="166CB2CA">
      <w:pPr>
        <w:tabs>
          <w:tab w:val="left" w:pos="7665"/>
        </w:tabs>
        <w:spacing w:line="360" w:lineRule="auto"/>
        <w:ind w:firstLine="480" w:firstLineChars="200"/>
        <w:jc w:val="both"/>
        <w:rPr>
          <w:rFonts w:ascii="宋体" w:hAnsi="宋体" w:cs="宋体"/>
        </w:rPr>
      </w:pPr>
      <w:r>
        <w:rPr>
          <w:rFonts w:hint="eastAsia" w:ascii="宋体" w:hAnsi="宋体" w:cs="宋体"/>
        </w:rPr>
        <w:t>无论竞争性磋商采购的结果如何，供应商自行承担所有与参加竞争性磋商有关的全部费用。</w:t>
      </w:r>
    </w:p>
    <w:p w14:paraId="007E60D5">
      <w:pPr>
        <w:spacing w:line="360" w:lineRule="auto"/>
        <w:ind w:firstLine="480" w:firstLineChars="200"/>
        <w:rPr>
          <w:rFonts w:ascii="宋体" w:hAnsi="宋体" w:cs="宋体"/>
        </w:rPr>
      </w:pPr>
      <w:r>
        <w:rPr>
          <w:rFonts w:hint="eastAsia" w:ascii="宋体" w:hAnsi="宋体" w:cs="宋体"/>
        </w:rPr>
        <w:t>5、竞争性磋商文件</w:t>
      </w:r>
    </w:p>
    <w:p w14:paraId="2B72CB20">
      <w:pPr>
        <w:pStyle w:val="25"/>
        <w:spacing w:line="360" w:lineRule="auto"/>
        <w:ind w:firstLine="480" w:firstLineChars="200"/>
        <w:rPr>
          <w:rFonts w:hint="default" w:hAnsi="宋体" w:cs="宋体"/>
          <w:sz w:val="24"/>
          <w:szCs w:val="24"/>
        </w:rPr>
      </w:pPr>
      <w:r>
        <w:rPr>
          <w:rFonts w:hAnsi="宋体" w:cs="宋体"/>
          <w:sz w:val="24"/>
          <w:szCs w:val="24"/>
        </w:rPr>
        <w:t>5.1 竞争性磋商文件是采购单位用以阐明所需提供的服务、竞争性磋商采购的程序和评定成交供应商的标准、合同草案条款等内容的文件。</w:t>
      </w:r>
    </w:p>
    <w:p w14:paraId="3A7AFBD9">
      <w:pPr>
        <w:pStyle w:val="25"/>
        <w:spacing w:line="360" w:lineRule="auto"/>
        <w:ind w:firstLine="480" w:firstLineChars="200"/>
        <w:rPr>
          <w:rFonts w:hint="default" w:hAnsi="宋体" w:cs="宋体"/>
          <w:sz w:val="24"/>
          <w:szCs w:val="24"/>
        </w:rPr>
      </w:pPr>
      <w:r>
        <w:rPr>
          <w:rFonts w:hAnsi="宋体" w:cs="宋体"/>
          <w:sz w:val="24"/>
          <w:szCs w:val="24"/>
        </w:rPr>
        <w:t>5.2 竞争性磋商文件的组成</w:t>
      </w:r>
    </w:p>
    <w:p w14:paraId="75598C4D">
      <w:pPr>
        <w:pStyle w:val="25"/>
        <w:spacing w:line="360" w:lineRule="auto"/>
        <w:ind w:firstLine="480" w:firstLineChars="200"/>
        <w:rPr>
          <w:rFonts w:hint="default" w:hAnsi="宋体" w:cs="宋体"/>
          <w:sz w:val="24"/>
          <w:szCs w:val="24"/>
        </w:rPr>
      </w:pPr>
      <w:r>
        <w:rPr>
          <w:rFonts w:hAnsi="宋体" w:cs="宋体"/>
          <w:sz w:val="24"/>
          <w:szCs w:val="24"/>
        </w:rPr>
        <w:t>（1）竞争性磋商公告</w:t>
      </w:r>
    </w:p>
    <w:p w14:paraId="5635EAA8">
      <w:pPr>
        <w:pStyle w:val="25"/>
        <w:spacing w:line="360" w:lineRule="auto"/>
        <w:ind w:firstLine="480" w:firstLineChars="200"/>
        <w:rPr>
          <w:rFonts w:hint="default" w:hAnsi="宋体" w:cs="宋体"/>
          <w:sz w:val="24"/>
          <w:szCs w:val="24"/>
        </w:rPr>
      </w:pPr>
      <w:r>
        <w:rPr>
          <w:rFonts w:hAnsi="宋体" w:cs="宋体"/>
          <w:sz w:val="24"/>
          <w:szCs w:val="24"/>
        </w:rPr>
        <w:t>（2）磋商须知</w:t>
      </w:r>
    </w:p>
    <w:p w14:paraId="62A2B0E5">
      <w:pPr>
        <w:pStyle w:val="25"/>
        <w:spacing w:line="360" w:lineRule="auto"/>
        <w:ind w:firstLine="480" w:firstLineChars="200"/>
        <w:rPr>
          <w:rFonts w:hint="default" w:hAnsi="宋体" w:cs="宋体"/>
          <w:sz w:val="24"/>
          <w:szCs w:val="24"/>
        </w:rPr>
      </w:pPr>
      <w:r>
        <w:rPr>
          <w:rFonts w:hAnsi="宋体" w:cs="宋体"/>
          <w:sz w:val="24"/>
          <w:szCs w:val="24"/>
        </w:rPr>
        <w:t>（3）供应商资格证明文件</w:t>
      </w:r>
    </w:p>
    <w:p w14:paraId="14D56204">
      <w:pPr>
        <w:pStyle w:val="25"/>
        <w:spacing w:line="360" w:lineRule="auto"/>
        <w:ind w:firstLine="480" w:firstLineChars="200"/>
        <w:rPr>
          <w:rFonts w:hint="default" w:hAnsi="宋体" w:cs="宋体"/>
          <w:sz w:val="24"/>
          <w:szCs w:val="24"/>
        </w:rPr>
      </w:pPr>
      <w:r>
        <w:rPr>
          <w:rFonts w:hAnsi="宋体" w:cs="宋体"/>
          <w:sz w:val="24"/>
          <w:szCs w:val="24"/>
        </w:rPr>
        <w:t>（4）合同草案条款（参考文本）</w:t>
      </w:r>
    </w:p>
    <w:p w14:paraId="0532C123">
      <w:pPr>
        <w:pStyle w:val="25"/>
        <w:spacing w:line="360" w:lineRule="auto"/>
        <w:ind w:firstLine="480" w:firstLineChars="200"/>
        <w:rPr>
          <w:rFonts w:hint="default" w:hAnsi="宋体" w:cs="宋体"/>
          <w:sz w:val="24"/>
          <w:szCs w:val="24"/>
        </w:rPr>
      </w:pPr>
      <w:r>
        <w:rPr>
          <w:rFonts w:hAnsi="宋体" w:cs="宋体"/>
          <w:sz w:val="24"/>
          <w:szCs w:val="24"/>
        </w:rPr>
        <w:t>（5）磋商程序</w:t>
      </w:r>
    </w:p>
    <w:p w14:paraId="4DBA9BF0">
      <w:pPr>
        <w:pStyle w:val="25"/>
        <w:spacing w:line="360" w:lineRule="auto"/>
        <w:ind w:firstLine="480" w:firstLineChars="200"/>
        <w:rPr>
          <w:rFonts w:hint="default" w:hAnsi="宋体" w:cs="宋体"/>
          <w:sz w:val="24"/>
          <w:szCs w:val="24"/>
        </w:rPr>
      </w:pPr>
      <w:r>
        <w:rPr>
          <w:rFonts w:hAnsi="宋体" w:cs="宋体"/>
          <w:sz w:val="24"/>
          <w:szCs w:val="24"/>
        </w:rPr>
        <w:t>（6）服务及商务要求</w:t>
      </w:r>
    </w:p>
    <w:p w14:paraId="77926CF8">
      <w:pPr>
        <w:pStyle w:val="25"/>
        <w:spacing w:line="360" w:lineRule="auto"/>
        <w:ind w:firstLine="480" w:firstLineChars="200"/>
        <w:rPr>
          <w:rFonts w:hint="default" w:hAnsi="宋体" w:cs="宋体"/>
          <w:sz w:val="24"/>
          <w:szCs w:val="24"/>
        </w:rPr>
      </w:pPr>
      <w:r>
        <w:rPr>
          <w:rFonts w:hAnsi="宋体" w:cs="宋体"/>
          <w:sz w:val="24"/>
          <w:szCs w:val="24"/>
        </w:rPr>
        <w:t>（7）响应文件格式</w:t>
      </w:r>
    </w:p>
    <w:p w14:paraId="37861E22">
      <w:pPr>
        <w:pStyle w:val="348"/>
        <w:spacing w:line="360" w:lineRule="auto"/>
        <w:ind w:firstLine="480"/>
        <w:rPr>
          <w:rFonts w:ascii="宋体" w:hAnsi="宋体" w:cs="宋体"/>
          <w:sz w:val="24"/>
        </w:rPr>
      </w:pPr>
      <w:r>
        <w:rPr>
          <w:rFonts w:hint="eastAsia" w:ascii="宋体" w:hAnsi="宋体" w:cs="宋体"/>
          <w:sz w:val="24"/>
        </w:rPr>
        <w:t>（8）磋商过程中形成的书面变更通知</w:t>
      </w:r>
    </w:p>
    <w:p w14:paraId="33A69ED3">
      <w:pPr>
        <w:spacing w:line="360" w:lineRule="auto"/>
        <w:ind w:firstLine="480" w:firstLineChars="200"/>
        <w:rPr>
          <w:rFonts w:ascii="宋体" w:hAnsi="宋体" w:cs="宋体"/>
        </w:rPr>
      </w:pPr>
      <w:r>
        <w:rPr>
          <w:rFonts w:hint="eastAsia" w:ascii="宋体" w:hAnsi="宋体" w:cs="宋体"/>
        </w:rPr>
        <w:t>5.3 供应商应详细阅读竞争性磋商文件的全部内容，并实质性响应竞争性磋商文件的要求。</w:t>
      </w:r>
    </w:p>
    <w:p w14:paraId="2F75D5CF">
      <w:pPr>
        <w:spacing w:line="360" w:lineRule="auto"/>
        <w:ind w:firstLine="480" w:firstLineChars="200"/>
        <w:jc w:val="both"/>
        <w:rPr>
          <w:rFonts w:ascii="宋体" w:hAnsi="宋体" w:cs="宋体"/>
        </w:rPr>
      </w:pPr>
      <w:r>
        <w:rPr>
          <w:rFonts w:hint="eastAsia" w:ascii="宋体" w:hAnsi="宋体" w:cs="宋体"/>
        </w:rPr>
        <w:t>5.4 供应商认为采购文件、采购过程、中标或者成交结果使自己的权益受到损害的，可以在知道或者应知其权益受到损害之日起7个工作日内，以书面形式向采购人、采购代理机构提出质疑。</w:t>
      </w:r>
    </w:p>
    <w:p w14:paraId="4E3A311E">
      <w:pPr>
        <w:spacing w:line="360" w:lineRule="auto"/>
        <w:ind w:firstLine="480" w:firstLineChars="200"/>
        <w:rPr>
          <w:rFonts w:ascii="宋体" w:hAnsi="宋体" w:cs="宋体"/>
        </w:rPr>
      </w:pPr>
      <w:r>
        <w:rPr>
          <w:rFonts w:hint="eastAsia" w:ascii="宋体" w:hAnsi="宋体" w:cs="宋体"/>
        </w:rPr>
        <w:t>6、响应文件</w:t>
      </w:r>
    </w:p>
    <w:p w14:paraId="10EE4036">
      <w:pPr>
        <w:spacing w:line="360" w:lineRule="auto"/>
        <w:ind w:firstLine="480" w:firstLineChars="200"/>
        <w:rPr>
          <w:rFonts w:ascii="宋体" w:hAnsi="宋体" w:cs="宋体"/>
        </w:rPr>
      </w:pPr>
      <w:r>
        <w:rPr>
          <w:rFonts w:hint="eastAsia" w:ascii="宋体" w:hAnsi="宋体" w:cs="宋体"/>
        </w:rPr>
        <w:t>供应商须按竞争性磋商文件的要求编写响应文件，对竞争性磋商文件提出的要求和条件做出实质性响应。响应文件应包括但不限于下列内容：</w:t>
      </w:r>
    </w:p>
    <w:p w14:paraId="78E3E5FD">
      <w:pPr>
        <w:spacing w:line="360" w:lineRule="auto"/>
        <w:ind w:firstLine="480" w:firstLineChars="200"/>
        <w:rPr>
          <w:rFonts w:ascii="宋体" w:hAnsi="宋体" w:cs="宋体"/>
        </w:rPr>
      </w:pPr>
      <w:r>
        <w:rPr>
          <w:rFonts w:hint="eastAsia" w:ascii="宋体" w:hAnsi="宋体" w:cs="宋体"/>
        </w:rPr>
        <w:t>文件一：资格性响应文件</w:t>
      </w:r>
    </w:p>
    <w:p w14:paraId="4B3A0CD4">
      <w:pPr>
        <w:spacing w:line="360" w:lineRule="auto"/>
        <w:ind w:firstLine="480" w:firstLineChars="200"/>
        <w:rPr>
          <w:rFonts w:ascii="宋体" w:hAnsi="宋体" w:cs="宋体"/>
        </w:rPr>
      </w:pPr>
      <w:r>
        <w:rPr>
          <w:rFonts w:hint="eastAsia" w:ascii="宋体" w:hAnsi="宋体" w:cs="宋体"/>
        </w:rPr>
        <w:t>符合磋商文件第三章规定的资格证明材料。</w:t>
      </w:r>
    </w:p>
    <w:p w14:paraId="7D88C288">
      <w:pPr>
        <w:spacing w:line="360" w:lineRule="auto"/>
        <w:ind w:firstLine="480" w:firstLineChars="200"/>
        <w:rPr>
          <w:rFonts w:ascii="宋体" w:hAnsi="宋体" w:cs="宋体"/>
        </w:rPr>
      </w:pPr>
      <w:r>
        <w:rPr>
          <w:rFonts w:hint="eastAsia" w:ascii="宋体" w:hAnsi="宋体" w:cs="宋体"/>
        </w:rPr>
        <w:t>文件二：技术、服务性响应文件</w:t>
      </w:r>
    </w:p>
    <w:p w14:paraId="327EEBF5">
      <w:pPr>
        <w:spacing w:line="360" w:lineRule="auto"/>
        <w:ind w:firstLine="480" w:firstLineChars="200"/>
        <w:rPr>
          <w:rFonts w:ascii="宋体" w:hAnsi="宋体" w:cs="宋体"/>
        </w:rPr>
      </w:pPr>
      <w:r>
        <w:rPr>
          <w:rFonts w:hint="eastAsia" w:ascii="宋体" w:hAnsi="宋体" w:cs="宋体"/>
        </w:rPr>
        <w:t>包括响应函、报价一览表、分项报价表、技术规格响应表、质量保证和售后服务承诺、服务计划及承诺等文件。</w:t>
      </w:r>
    </w:p>
    <w:p w14:paraId="49C51256">
      <w:pPr>
        <w:spacing w:line="360" w:lineRule="auto"/>
        <w:ind w:firstLine="480" w:firstLineChars="200"/>
        <w:rPr>
          <w:rFonts w:ascii="宋体" w:hAnsi="宋体" w:cs="宋体"/>
        </w:rPr>
      </w:pPr>
      <w:r>
        <w:rPr>
          <w:rFonts w:hint="eastAsia" w:ascii="宋体" w:hAnsi="宋体" w:cs="宋体"/>
        </w:rPr>
        <w:t>7、报价</w:t>
      </w:r>
    </w:p>
    <w:p w14:paraId="22668CB2">
      <w:pPr>
        <w:pStyle w:val="348"/>
        <w:spacing w:line="360" w:lineRule="auto"/>
        <w:ind w:firstLine="480"/>
        <w:rPr>
          <w:rFonts w:ascii="宋体" w:hAnsi="宋体" w:cs="宋体"/>
          <w:sz w:val="24"/>
        </w:rPr>
      </w:pPr>
      <w:r>
        <w:rPr>
          <w:rFonts w:hint="eastAsia" w:ascii="宋体" w:hAnsi="宋体" w:cs="宋体"/>
          <w:sz w:val="24"/>
        </w:rPr>
        <w:t>7.1所有报价一律以人民币报价。采购单位不接受任何非人民币币种的报价。</w:t>
      </w:r>
    </w:p>
    <w:p w14:paraId="7D5D3D24">
      <w:pPr>
        <w:pStyle w:val="348"/>
        <w:spacing w:line="360" w:lineRule="auto"/>
        <w:ind w:firstLine="480"/>
        <w:rPr>
          <w:rFonts w:ascii="宋体" w:hAnsi="宋体" w:cs="宋体"/>
          <w:sz w:val="24"/>
        </w:rPr>
      </w:pPr>
      <w:r>
        <w:rPr>
          <w:rFonts w:hint="eastAsia" w:ascii="宋体" w:hAnsi="宋体" w:cs="宋体"/>
          <w:sz w:val="24"/>
        </w:rPr>
        <w:t>7.2供应商报价应为完成本竞争性磋商文件中所要求的服务/服务/工程所应包括内容的所有价格。</w:t>
      </w:r>
    </w:p>
    <w:p w14:paraId="2F39EA1C">
      <w:pPr>
        <w:pStyle w:val="348"/>
        <w:spacing w:line="360" w:lineRule="auto"/>
        <w:ind w:firstLine="480"/>
        <w:jc w:val="left"/>
        <w:rPr>
          <w:rFonts w:ascii="宋体" w:hAnsi="宋体" w:cs="宋体"/>
          <w:b/>
          <w:sz w:val="24"/>
        </w:rPr>
      </w:pPr>
      <w:r>
        <w:rPr>
          <w:rFonts w:hint="eastAsia" w:ascii="宋体" w:hAnsi="宋体" w:cs="宋体"/>
          <w:sz w:val="24"/>
        </w:rPr>
        <w:t>7.3</w:t>
      </w:r>
      <w:r>
        <w:rPr>
          <w:rFonts w:hint="eastAsia" w:ascii="宋体" w:hAnsi="宋体" w:cs="宋体"/>
          <w:b/>
          <w:sz w:val="24"/>
        </w:rPr>
        <w:t>供应商应在政采云平台（https</w:t>
      </w:r>
      <w:r>
        <w:rPr>
          <w:rFonts w:hint="eastAsia" w:ascii="宋体" w:hAnsi="宋体" w:cs="宋体"/>
          <w:b/>
          <w:sz w:val="24"/>
          <w:lang w:eastAsia="zh-CN"/>
        </w:rPr>
        <w:t>：</w:t>
      </w:r>
      <w:r>
        <w:rPr>
          <w:rFonts w:hint="eastAsia" w:ascii="宋体" w:hAnsi="宋体" w:cs="宋体"/>
          <w:b/>
          <w:sz w:val="24"/>
        </w:rPr>
        <w:t>//www.zcygov.cn/ ）上报价并上传电子磋商响应文件，通过资格审查的磋商供应商按磋商小组要求进行报价。</w:t>
      </w:r>
    </w:p>
    <w:p w14:paraId="3523731B">
      <w:pPr>
        <w:spacing w:line="360" w:lineRule="auto"/>
        <w:ind w:firstLine="480"/>
        <w:rPr>
          <w:rFonts w:ascii="宋体" w:hAnsi="宋体" w:cs="宋体"/>
          <w:b/>
          <w:kern w:val="2"/>
        </w:rPr>
      </w:pPr>
      <w:r>
        <w:rPr>
          <w:rFonts w:hint="eastAsia" w:ascii="宋体" w:hAnsi="宋体" w:cs="宋体"/>
          <w:b/>
          <w:kern w:val="2"/>
        </w:rPr>
        <w:t>潜在供应商自确认参加竞争性磋商起至竞争性磋商响应文件递交截止时间前应随时关注《政采云》平台的消息提醒，及时在《青海政府采购网》查看该项目的采购人（代理机构）发出的通知、变更、答疑等内容。</w:t>
      </w:r>
    </w:p>
    <w:p w14:paraId="7EE47C27">
      <w:pPr>
        <w:spacing w:line="360" w:lineRule="auto"/>
        <w:ind w:firstLine="480" w:firstLineChars="200"/>
        <w:rPr>
          <w:rFonts w:ascii="宋体" w:hAnsi="宋体" w:cs="宋体"/>
        </w:rPr>
      </w:pPr>
      <w:r>
        <w:rPr>
          <w:rFonts w:hint="eastAsia" w:ascii="宋体" w:hAnsi="宋体" w:cs="宋体"/>
        </w:rPr>
        <w:t>8、响应文件的递交</w:t>
      </w:r>
    </w:p>
    <w:p w14:paraId="699E4050">
      <w:pPr>
        <w:pStyle w:val="348"/>
        <w:spacing w:line="360" w:lineRule="auto"/>
        <w:ind w:firstLine="480"/>
        <w:rPr>
          <w:rFonts w:ascii="宋体" w:hAnsi="宋体" w:cs="宋体"/>
          <w:sz w:val="24"/>
        </w:rPr>
      </w:pPr>
      <w:r>
        <w:rPr>
          <w:rFonts w:hint="eastAsia" w:ascii="宋体" w:hAnsi="宋体" w:cs="宋体"/>
          <w:sz w:val="24"/>
        </w:rPr>
        <w:t>8.1供应商递交的响应文件应上传至政采云平台（https</w:t>
      </w:r>
      <w:r>
        <w:rPr>
          <w:rFonts w:hint="eastAsia" w:ascii="宋体" w:hAnsi="宋体" w:cs="宋体"/>
          <w:sz w:val="24"/>
          <w:lang w:eastAsia="zh-CN"/>
        </w:rPr>
        <w:t>：</w:t>
      </w:r>
      <w:r>
        <w:rPr>
          <w:rFonts w:hint="eastAsia" w:ascii="宋体" w:hAnsi="宋体" w:cs="宋体"/>
          <w:sz w:val="24"/>
        </w:rPr>
        <w:t>//www.zcygov.cn/ ）。</w:t>
      </w:r>
    </w:p>
    <w:p w14:paraId="6CA48E6E">
      <w:pPr>
        <w:pStyle w:val="348"/>
        <w:spacing w:line="360" w:lineRule="auto"/>
        <w:ind w:firstLine="480"/>
        <w:rPr>
          <w:rFonts w:ascii="宋体" w:hAnsi="宋体" w:cs="宋体"/>
          <w:sz w:val="24"/>
        </w:rPr>
      </w:pPr>
      <w:r>
        <w:rPr>
          <w:rFonts w:hint="eastAsia" w:ascii="宋体" w:hAnsi="宋体" w:cs="宋体"/>
          <w:sz w:val="24"/>
        </w:rPr>
        <w:t>8.2投标人以电报、电话、传真形式投标的，采购代理机构概不接受。</w:t>
      </w:r>
    </w:p>
    <w:p w14:paraId="78224E5B">
      <w:pPr>
        <w:pStyle w:val="348"/>
        <w:spacing w:line="360" w:lineRule="auto"/>
        <w:ind w:firstLine="480"/>
        <w:rPr>
          <w:rFonts w:ascii="宋体" w:hAnsi="宋体" w:cs="宋体"/>
          <w:sz w:val="24"/>
        </w:rPr>
      </w:pPr>
      <w:r>
        <w:rPr>
          <w:rFonts w:hint="eastAsia" w:ascii="宋体" w:hAnsi="宋体" w:cs="宋体"/>
          <w:sz w:val="24"/>
        </w:rPr>
        <w:t>8.3所有磋商响应文件都必须按“投标人须知前附表”中规定的磋商截止时间之前上传至政采云平台（https</w:t>
      </w:r>
      <w:r>
        <w:rPr>
          <w:rFonts w:hint="eastAsia" w:ascii="宋体" w:hAnsi="宋体" w:cs="宋体"/>
          <w:sz w:val="24"/>
          <w:lang w:eastAsia="zh-CN"/>
        </w:rPr>
        <w:t>：</w:t>
      </w:r>
      <w:r>
        <w:rPr>
          <w:rFonts w:hint="eastAsia" w:ascii="宋体" w:hAnsi="宋体" w:cs="宋体"/>
          <w:sz w:val="24"/>
        </w:rPr>
        <w:t>//www.zcygov.cn/ ）。</w:t>
      </w:r>
    </w:p>
    <w:p w14:paraId="3F5E76B9">
      <w:pPr>
        <w:pStyle w:val="348"/>
        <w:spacing w:line="360" w:lineRule="auto"/>
        <w:ind w:firstLine="480"/>
        <w:rPr>
          <w:rFonts w:ascii="宋体" w:hAnsi="宋体" w:cs="宋体"/>
          <w:sz w:val="24"/>
        </w:rPr>
      </w:pPr>
      <w:r>
        <w:rPr>
          <w:rFonts w:hint="eastAsia" w:ascii="宋体" w:hAnsi="宋体" w:cs="宋体"/>
          <w:sz w:val="24"/>
        </w:rPr>
        <w:t>8.4采购代理机构将拒绝接受在磋商截止时间之后送达的磋商响应文件。</w:t>
      </w:r>
    </w:p>
    <w:p w14:paraId="43EB0D2F">
      <w:pPr>
        <w:spacing w:line="360" w:lineRule="auto"/>
        <w:ind w:firstLine="480"/>
        <w:rPr>
          <w:rFonts w:ascii="宋体" w:hAnsi="宋体" w:cs="宋体"/>
        </w:rPr>
      </w:pPr>
      <w:r>
        <w:rPr>
          <w:rFonts w:hint="eastAsia" w:ascii="宋体" w:hAnsi="宋体" w:cs="宋体"/>
        </w:rPr>
        <w:t>8.5允许投标人在提交最后报价之前声明撤回磋商响应文件，但提交最后报价之后不得撤回其投标，否则其磋商保证金将不予退还。</w:t>
      </w:r>
    </w:p>
    <w:p w14:paraId="5F5F0FA2">
      <w:pPr>
        <w:spacing w:line="360" w:lineRule="auto"/>
        <w:ind w:firstLine="480" w:firstLineChars="200"/>
        <w:rPr>
          <w:rFonts w:ascii="宋体" w:hAnsi="宋体" w:cs="宋体"/>
        </w:rPr>
      </w:pPr>
      <w:r>
        <w:rPr>
          <w:rFonts w:hint="eastAsia" w:ascii="宋体" w:hAnsi="宋体" w:cs="宋体"/>
        </w:rPr>
        <w:t>9、磋商保证金/履约保证金</w:t>
      </w:r>
    </w:p>
    <w:p w14:paraId="71E1FAE8">
      <w:pPr>
        <w:autoSpaceDE w:val="0"/>
        <w:autoSpaceDN w:val="0"/>
        <w:snapToGrid w:val="0"/>
        <w:spacing w:line="420" w:lineRule="exact"/>
        <w:ind w:firstLine="480" w:firstLineChars="200"/>
        <w:rPr>
          <w:rFonts w:ascii="宋体" w:hAnsi="宋体"/>
          <w:color w:val="auto"/>
        </w:rPr>
      </w:pPr>
      <w:r>
        <w:rPr>
          <w:rFonts w:ascii="宋体" w:hAnsi="宋体"/>
          <w:color w:val="auto"/>
        </w:rPr>
        <w:t>9.1 供应商应提交一笔不少于本竞争性磋商文件规定的人民币金额的磋商保证金。磋商保证金是为了保护采购单位免遭因供应商的行为而蒙受损失，采购单位在因供应商的行为受到损害时可根据第9.</w:t>
      </w:r>
      <w:r>
        <w:rPr>
          <w:rFonts w:hint="eastAsia" w:ascii="宋体" w:hAnsi="宋体"/>
          <w:color w:val="auto"/>
        </w:rPr>
        <w:t>4</w:t>
      </w:r>
      <w:r>
        <w:rPr>
          <w:rFonts w:ascii="宋体" w:hAnsi="宋体"/>
          <w:color w:val="auto"/>
        </w:rPr>
        <w:t>条的规定不予退还供应商的磋商保证金。</w:t>
      </w:r>
    </w:p>
    <w:p w14:paraId="330E2CBB">
      <w:pPr>
        <w:spacing w:line="420" w:lineRule="exact"/>
        <w:ind w:firstLine="480" w:firstLineChars="200"/>
        <w:jc w:val="both"/>
        <w:rPr>
          <w:rFonts w:hint="eastAsia" w:ascii="宋体" w:hAnsi="宋体"/>
          <w:color w:val="auto"/>
        </w:rPr>
      </w:pPr>
      <w:r>
        <w:rPr>
          <w:rFonts w:ascii="宋体" w:hAnsi="宋体"/>
          <w:color w:val="auto"/>
        </w:rPr>
        <w:t>供应商递交响应文件前，应提交规定数额的磋商保证金</w:t>
      </w:r>
      <w:r>
        <w:rPr>
          <w:rFonts w:hint="eastAsia" w:ascii="宋体" w:hAnsi="宋体"/>
          <w:color w:val="auto"/>
        </w:rPr>
        <w:t>：</w:t>
      </w:r>
    </w:p>
    <w:p w14:paraId="507BEC95">
      <w:pPr>
        <w:spacing w:line="420" w:lineRule="exact"/>
        <w:ind w:firstLine="482" w:firstLineChars="200"/>
        <w:jc w:val="both"/>
        <w:rPr>
          <w:rFonts w:hint="eastAsia" w:ascii="宋体" w:hAnsi="宋体" w:eastAsia="宋体"/>
          <w:b/>
          <w:bCs/>
          <w:color w:val="auto"/>
          <w:lang w:val="en-US" w:eastAsia="zh-CN"/>
        </w:rPr>
      </w:pPr>
      <w:r>
        <w:rPr>
          <w:rFonts w:hint="eastAsia" w:ascii="宋体" w:hAnsi="宋体"/>
          <w:b/>
          <w:bCs/>
          <w:color w:val="auto"/>
          <w:lang w:val="en-US" w:eastAsia="zh-CN"/>
        </w:rPr>
        <w:t>包一：</w:t>
      </w:r>
    </w:p>
    <w:p w14:paraId="7E668CD5">
      <w:pPr>
        <w:autoSpaceDE w:val="0"/>
        <w:autoSpaceDN w:val="0"/>
        <w:snapToGrid w:val="0"/>
        <w:spacing w:line="420" w:lineRule="exact"/>
        <w:ind w:firstLine="482" w:firstLineChars="200"/>
        <w:rPr>
          <w:rFonts w:ascii="宋体" w:hAnsi="宋体"/>
          <w:b/>
          <w:color w:val="auto"/>
        </w:rPr>
      </w:pPr>
      <w:r>
        <w:rPr>
          <w:rFonts w:hint="eastAsia" w:ascii="宋体" w:hAnsi="宋体" w:cs="宋体"/>
          <w:b/>
          <w:bCs/>
          <w:color w:val="auto"/>
          <w:lang w:val="zh-CN"/>
        </w:rPr>
        <w:t>保证金金额：</w:t>
      </w:r>
      <w:r>
        <w:rPr>
          <w:rFonts w:hint="eastAsia" w:ascii="宋体" w:hAnsi="宋体"/>
          <w:b/>
          <w:color w:val="auto"/>
        </w:rPr>
        <w:t>（大写）：</w:t>
      </w:r>
      <w:r>
        <w:rPr>
          <w:rFonts w:hint="eastAsia" w:ascii="宋体" w:hAnsi="宋体"/>
          <w:b/>
          <w:color w:val="auto"/>
          <w:lang w:val="en-US" w:eastAsia="zh-CN"/>
        </w:rPr>
        <w:t>壹万元整</w:t>
      </w:r>
      <w:r>
        <w:rPr>
          <w:rFonts w:hint="eastAsia" w:ascii="宋体" w:hAnsi="宋体"/>
          <w:b/>
          <w:color w:val="auto"/>
        </w:rPr>
        <w:t>（小写）</w:t>
      </w:r>
      <w:r>
        <w:rPr>
          <w:rFonts w:hint="eastAsia" w:ascii="宋体" w:hAnsi="宋体"/>
          <w:b/>
          <w:color w:val="auto"/>
          <w:lang w:val="en-US" w:eastAsia="zh-CN"/>
        </w:rPr>
        <w:t>10000.00</w:t>
      </w:r>
      <w:r>
        <w:rPr>
          <w:rFonts w:hint="eastAsia" w:ascii="宋体" w:hAnsi="宋体"/>
          <w:b/>
          <w:color w:val="auto"/>
        </w:rPr>
        <w:t>元；</w:t>
      </w:r>
    </w:p>
    <w:p w14:paraId="24C4EE4F">
      <w:pPr>
        <w:autoSpaceDE w:val="0"/>
        <w:autoSpaceDN w:val="0"/>
        <w:snapToGrid w:val="0"/>
        <w:spacing w:line="420" w:lineRule="exact"/>
        <w:ind w:firstLine="482" w:firstLineChars="200"/>
        <w:rPr>
          <w:rFonts w:ascii="宋体" w:hAnsi="宋体"/>
          <w:b/>
          <w:color w:val="auto"/>
        </w:rPr>
      </w:pPr>
      <w:r>
        <w:rPr>
          <w:rFonts w:hint="eastAsia" w:ascii="宋体" w:hAnsi="宋体" w:cs="宋体"/>
          <w:b/>
          <w:bCs/>
          <w:color w:val="auto"/>
          <w:lang w:val="zh-CN"/>
        </w:rPr>
        <w:t>交款截止时间：投标截止时间止，以银行到账时间为准</w:t>
      </w:r>
      <w:r>
        <w:rPr>
          <w:rFonts w:ascii="宋体" w:hAnsi="宋体"/>
          <w:b/>
          <w:color w:val="auto"/>
        </w:rPr>
        <w:t>。</w:t>
      </w:r>
    </w:p>
    <w:p w14:paraId="5836ED1D">
      <w:pPr>
        <w:spacing w:line="420" w:lineRule="exact"/>
        <w:ind w:firstLine="482" w:firstLineChars="200"/>
        <w:jc w:val="both"/>
        <w:rPr>
          <w:rFonts w:ascii="宋体" w:hAnsi="宋体"/>
          <w:b/>
          <w:color w:val="auto"/>
        </w:rPr>
      </w:pPr>
      <w:r>
        <w:rPr>
          <w:rFonts w:hint="eastAsia" w:ascii="宋体" w:hAnsi="宋体"/>
          <w:b/>
          <w:color w:val="auto"/>
        </w:rPr>
        <w:t>交款方式：银行电汇、转账等；须由投标人从其账户汇（转）入采购代理机构投标保证金专用账号，票据附言栏内须注明项目（包括标段）名称及用途；</w:t>
      </w:r>
    </w:p>
    <w:p w14:paraId="1B3DB8B9">
      <w:pPr>
        <w:spacing w:line="420" w:lineRule="exact"/>
        <w:ind w:firstLine="482" w:firstLineChars="200"/>
        <w:jc w:val="both"/>
        <w:rPr>
          <w:rFonts w:ascii="宋体" w:hAnsi="宋体"/>
          <w:b/>
          <w:color w:val="auto"/>
        </w:rPr>
      </w:pPr>
      <w:r>
        <w:rPr>
          <w:rFonts w:hint="eastAsia" w:ascii="宋体" w:hAnsi="宋体"/>
          <w:b/>
          <w:color w:val="auto"/>
        </w:rPr>
        <w:t>开户银行：招商银行股份有限公司西宁分行</w:t>
      </w:r>
    </w:p>
    <w:p w14:paraId="71775C11">
      <w:pPr>
        <w:spacing w:line="420" w:lineRule="exact"/>
        <w:ind w:firstLine="482" w:firstLineChars="200"/>
        <w:jc w:val="both"/>
        <w:rPr>
          <w:rFonts w:ascii="宋体" w:hAnsi="宋体"/>
          <w:b/>
          <w:color w:val="auto"/>
        </w:rPr>
      </w:pPr>
      <w:r>
        <w:rPr>
          <w:rFonts w:hint="eastAsia" w:ascii="宋体" w:hAnsi="宋体"/>
          <w:b/>
          <w:color w:val="auto"/>
        </w:rPr>
        <w:t>投标保证金账号：9729 0093 5410 902</w:t>
      </w:r>
    </w:p>
    <w:p w14:paraId="2A80117D">
      <w:pPr>
        <w:spacing w:line="420" w:lineRule="exact"/>
        <w:ind w:firstLine="482" w:firstLineChars="200"/>
        <w:jc w:val="both"/>
        <w:rPr>
          <w:rFonts w:ascii="宋体" w:hAnsi="宋体"/>
          <w:b/>
          <w:color w:val="auto"/>
        </w:rPr>
      </w:pPr>
      <w:r>
        <w:rPr>
          <w:rFonts w:hint="eastAsia" w:ascii="宋体" w:hAnsi="宋体"/>
          <w:b/>
          <w:color w:val="auto"/>
        </w:rPr>
        <w:t>收款单位：青海宸晖工程项目管理有限公司</w:t>
      </w:r>
    </w:p>
    <w:p w14:paraId="0D324827">
      <w:pPr>
        <w:pStyle w:val="348"/>
        <w:spacing w:line="360" w:lineRule="auto"/>
        <w:ind w:firstLine="480"/>
        <w:rPr>
          <w:rFonts w:hint="eastAsia" w:ascii="宋体" w:hAnsi="宋体" w:eastAsia="宋体" w:cs="宋体"/>
          <w:sz w:val="24"/>
        </w:rPr>
      </w:pPr>
      <w:r>
        <w:rPr>
          <w:rFonts w:hint="eastAsia" w:ascii="宋体" w:hAnsi="宋体" w:eastAsia="宋体" w:cs="宋体"/>
          <w:sz w:val="24"/>
        </w:rPr>
        <w:t>9.2  未按规定时间和数额交纳磋商保证金的响应文件，应视为非响应性响应予以拒绝。</w:t>
      </w:r>
    </w:p>
    <w:p w14:paraId="3571EC7B">
      <w:pPr>
        <w:pStyle w:val="348"/>
        <w:spacing w:line="360" w:lineRule="auto"/>
        <w:ind w:firstLine="480"/>
        <w:rPr>
          <w:rFonts w:hint="eastAsia" w:ascii="宋体" w:hAnsi="宋体" w:eastAsia="宋体" w:cs="宋体"/>
          <w:sz w:val="24"/>
        </w:rPr>
      </w:pPr>
      <w:r>
        <w:rPr>
          <w:rFonts w:hint="eastAsia" w:ascii="宋体" w:hAnsi="宋体" w:eastAsia="宋体" w:cs="宋体"/>
          <w:sz w:val="24"/>
        </w:rPr>
        <w:t>9.3  未成交的供应商的磋商保证金，将于成交通知书发出之日起5个工作日后退还供应商（不退现金）；成交供应商的磋商保证金在成交供应商与采购人签订采购合同后，5个工作日内退还（不退现金）。</w:t>
      </w:r>
    </w:p>
    <w:p w14:paraId="533EC0D4">
      <w:pPr>
        <w:pStyle w:val="348"/>
        <w:spacing w:line="360" w:lineRule="auto"/>
        <w:ind w:firstLine="480"/>
        <w:rPr>
          <w:rFonts w:hint="eastAsia" w:ascii="宋体" w:hAnsi="宋体" w:eastAsia="宋体" w:cs="宋体"/>
          <w:sz w:val="24"/>
        </w:rPr>
      </w:pPr>
      <w:r>
        <w:rPr>
          <w:rFonts w:hint="eastAsia" w:ascii="宋体" w:hAnsi="宋体" w:eastAsia="宋体" w:cs="宋体"/>
          <w:sz w:val="24"/>
        </w:rPr>
        <w:t>9.4  下列任何情况发生时，磋商保证金将被不予退还：</w:t>
      </w:r>
    </w:p>
    <w:p w14:paraId="409FE0D4">
      <w:pPr>
        <w:pStyle w:val="348"/>
        <w:spacing w:line="360" w:lineRule="auto"/>
        <w:ind w:firstLine="480"/>
        <w:rPr>
          <w:rFonts w:hint="eastAsia" w:ascii="宋体" w:hAnsi="宋体" w:eastAsia="宋体" w:cs="宋体"/>
          <w:sz w:val="24"/>
        </w:rPr>
      </w:pPr>
      <w:r>
        <w:rPr>
          <w:rFonts w:hint="eastAsia" w:ascii="宋体" w:hAnsi="宋体" w:eastAsia="宋体" w:cs="宋体"/>
          <w:sz w:val="24"/>
        </w:rPr>
        <w:t>9.4.1 供应商在有效期内撤回其响应文件的；</w:t>
      </w:r>
    </w:p>
    <w:p w14:paraId="2A2F8BB9">
      <w:pPr>
        <w:pStyle w:val="348"/>
        <w:spacing w:line="360" w:lineRule="auto"/>
        <w:ind w:firstLine="480"/>
        <w:rPr>
          <w:rFonts w:hint="eastAsia" w:ascii="宋体" w:hAnsi="宋体" w:eastAsia="宋体" w:cs="宋体"/>
          <w:sz w:val="24"/>
        </w:rPr>
      </w:pPr>
      <w:r>
        <w:rPr>
          <w:rFonts w:hint="eastAsia" w:ascii="宋体" w:hAnsi="宋体" w:eastAsia="宋体" w:cs="宋体"/>
          <w:sz w:val="24"/>
        </w:rPr>
        <w:t>9.4.2 供应商在采购活动中有违法、违纪行为的；</w:t>
      </w:r>
    </w:p>
    <w:p w14:paraId="1A77F1B1">
      <w:pPr>
        <w:pStyle w:val="348"/>
        <w:spacing w:line="360" w:lineRule="auto"/>
        <w:ind w:firstLine="480"/>
        <w:rPr>
          <w:rFonts w:hint="eastAsia" w:ascii="宋体" w:hAnsi="宋体" w:eastAsia="宋体" w:cs="宋体"/>
          <w:sz w:val="24"/>
        </w:rPr>
      </w:pPr>
      <w:r>
        <w:rPr>
          <w:rFonts w:hint="eastAsia" w:ascii="宋体" w:hAnsi="宋体" w:eastAsia="宋体" w:cs="宋体"/>
          <w:sz w:val="24"/>
        </w:rPr>
        <w:t>9.4.3 成交供应商无正当理由不与采购单位签订政府采购合同的；</w:t>
      </w:r>
    </w:p>
    <w:p w14:paraId="0E904E14">
      <w:pPr>
        <w:pStyle w:val="348"/>
        <w:spacing w:line="360" w:lineRule="auto"/>
        <w:ind w:firstLine="480"/>
        <w:rPr>
          <w:rFonts w:hint="eastAsia" w:ascii="宋体" w:hAnsi="宋体" w:eastAsia="宋体" w:cs="宋体"/>
          <w:sz w:val="24"/>
        </w:rPr>
      </w:pPr>
      <w:r>
        <w:rPr>
          <w:rFonts w:hint="eastAsia" w:ascii="宋体" w:hAnsi="宋体" w:eastAsia="宋体" w:cs="宋体"/>
          <w:sz w:val="24"/>
        </w:rPr>
        <w:t>9.4.</w:t>
      </w:r>
      <w:r>
        <w:rPr>
          <w:rFonts w:hint="eastAsia" w:ascii="宋体" w:hAnsi="宋体" w:eastAsia="宋体" w:cs="宋体"/>
          <w:sz w:val="24"/>
          <w:lang w:val="en-US" w:eastAsia="zh-CN"/>
        </w:rPr>
        <w:t>4</w:t>
      </w:r>
      <w:r>
        <w:rPr>
          <w:rFonts w:hint="eastAsia" w:ascii="宋体" w:hAnsi="宋体" w:eastAsia="宋体" w:cs="宋体"/>
          <w:sz w:val="24"/>
        </w:rPr>
        <w:t xml:space="preserve"> 供应商在响应文件中提供虚假材料的；</w:t>
      </w:r>
    </w:p>
    <w:p w14:paraId="69164E8E">
      <w:pPr>
        <w:pStyle w:val="348"/>
        <w:spacing w:line="360" w:lineRule="auto"/>
        <w:ind w:firstLine="480"/>
        <w:rPr>
          <w:rFonts w:hint="eastAsia" w:ascii="宋体" w:hAnsi="宋体" w:eastAsia="宋体" w:cs="宋体"/>
          <w:sz w:val="24"/>
        </w:rPr>
      </w:pPr>
      <w:r>
        <w:rPr>
          <w:rFonts w:hint="eastAsia" w:ascii="宋体" w:hAnsi="宋体" w:eastAsia="宋体" w:cs="宋体"/>
          <w:sz w:val="24"/>
        </w:rPr>
        <w:t>9.4.</w:t>
      </w:r>
      <w:r>
        <w:rPr>
          <w:rFonts w:hint="eastAsia" w:ascii="宋体" w:hAnsi="宋体" w:eastAsia="宋体" w:cs="宋体"/>
          <w:sz w:val="24"/>
          <w:lang w:val="en-US" w:eastAsia="zh-CN"/>
        </w:rPr>
        <w:t>5</w:t>
      </w:r>
      <w:r>
        <w:rPr>
          <w:rFonts w:hint="eastAsia" w:ascii="宋体" w:hAnsi="宋体" w:eastAsia="宋体" w:cs="宋体"/>
          <w:sz w:val="24"/>
        </w:rPr>
        <w:t xml:space="preserve"> 成交供应商未交纳成交服务费的；</w:t>
      </w:r>
    </w:p>
    <w:p w14:paraId="4389B6B3">
      <w:pPr>
        <w:pStyle w:val="348"/>
        <w:spacing w:line="360" w:lineRule="auto"/>
        <w:ind w:firstLine="480"/>
        <w:rPr>
          <w:rFonts w:hint="eastAsia" w:ascii="宋体" w:hAnsi="宋体" w:eastAsia="宋体" w:cs="宋体"/>
          <w:sz w:val="24"/>
        </w:rPr>
      </w:pPr>
      <w:r>
        <w:rPr>
          <w:rFonts w:hint="eastAsia" w:ascii="宋体" w:hAnsi="宋体" w:eastAsia="宋体" w:cs="宋体"/>
          <w:sz w:val="24"/>
        </w:rPr>
        <w:t>10、确定成交候选人</w:t>
      </w:r>
    </w:p>
    <w:p w14:paraId="74481E64">
      <w:pPr>
        <w:pStyle w:val="348"/>
        <w:spacing w:line="360" w:lineRule="auto"/>
        <w:ind w:firstLine="480"/>
        <w:rPr>
          <w:rFonts w:hint="eastAsia" w:ascii="宋体" w:hAnsi="宋体" w:eastAsia="宋体" w:cs="宋体"/>
          <w:sz w:val="24"/>
        </w:rPr>
      </w:pPr>
      <w:r>
        <w:rPr>
          <w:rFonts w:hint="eastAsia" w:ascii="宋体" w:hAnsi="宋体" w:eastAsia="宋体" w:cs="宋体"/>
          <w:sz w:val="24"/>
        </w:rPr>
        <w:t>10.1采购代理机构应当在评审结束后2个工作日内将评审报告送采购单位确认。</w:t>
      </w:r>
    </w:p>
    <w:p w14:paraId="3369A1D9">
      <w:pPr>
        <w:pStyle w:val="348"/>
        <w:spacing w:line="360" w:lineRule="auto"/>
        <w:ind w:firstLine="480"/>
        <w:rPr>
          <w:rFonts w:hint="eastAsia" w:ascii="宋体" w:hAnsi="宋体" w:eastAsia="宋体" w:cs="宋体"/>
          <w:sz w:val="24"/>
        </w:rPr>
      </w:pPr>
      <w:r>
        <w:rPr>
          <w:rFonts w:hint="eastAsia" w:ascii="宋体" w:hAnsi="宋体" w:eastAsia="宋体" w:cs="宋体"/>
          <w:sz w:val="24"/>
        </w:rPr>
        <w:t>10.2 采购单位应当在收到评审报告后5个工作日内，从评审报告提出的成交候选人中，按照排序从高到低的原则确定成交供应商。</w:t>
      </w:r>
    </w:p>
    <w:p w14:paraId="484234BE">
      <w:pPr>
        <w:pStyle w:val="348"/>
        <w:spacing w:line="360" w:lineRule="auto"/>
        <w:ind w:firstLine="480"/>
        <w:rPr>
          <w:rFonts w:hint="eastAsia" w:ascii="宋体" w:hAnsi="宋体" w:eastAsia="宋体" w:cs="宋体"/>
          <w:sz w:val="24"/>
        </w:rPr>
      </w:pPr>
      <w:r>
        <w:rPr>
          <w:rFonts w:hint="eastAsia" w:ascii="宋体" w:hAnsi="宋体" w:eastAsia="宋体" w:cs="宋体"/>
          <w:sz w:val="24"/>
        </w:rPr>
        <w:t>10.3采购单位确定成交供应商过程中，发现成交候选供应商有下列情形之一的，将不予确定其为成交供应商：</w:t>
      </w:r>
    </w:p>
    <w:p w14:paraId="03ABFE78">
      <w:pPr>
        <w:widowControl w:val="0"/>
        <w:tabs>
          <w:tab w:val="left" w:pos="0"/>
          <w:tab w:val="left" w:pos="1080"/>
        </w:tabs>
        <w:spacing w:line="360" w:lineRule="auto"/>
        <w:ind w:firstLine="480" w:firstLineChars="200"/>
        <w:jc w:val="both"/>
        <w:rPr>
          <w:rFonts w:ascii="宋体" w:hAnsi="宋体" w:cs="宋体"/>
        </w:rPr>
      </w:pPr>
      <w:r>
        <w:rPr>
          <w:rFonts w:hint="eastAsia" w:ascii="宋体" w:hAnsi="宋体" w:cs="宋体"/>
        </w:rPr>
        <w:t>（一）成交候选供应商存在违法、违纪行为的；</w:t>
      </w:r>
    </w:p>
    <w:p w14:paraId="2566B6BE">
      <w:pPr>
        <w:widowControl w:val="0"/>
        <w:tabs>
          <w:tab w:val="left" w:pos="0"/>
          <w:tab w:val="left" w:pos="1080"/>
        </w:tabs>
        <w:spacing w:line="360" w:lineRule="auto"/>
        <w:ind w:firstLine="480" w:firstLineChars="200"/>
        <w:jc w:val="both"/>
        <w:rPr>
          <w:rFonts w:ascii="宋体" w:hAnsi="宋体" w:cs="宋体"/>
        </w:rPr>
      </w:pPr>
      <w:r>
        <w:rPr>
          <w:rFonts w:hint="eastAsia" w:ascii="宋体" w:hAnsi="宋体" w:cs="宋体"/>
        </w:rPr>
        <w:t>（二）成交候选供应商因不可抗力、社会经济形势发生重大变化、破产、重组等原因确定无法履行政府采购合同的；</w:t>
      </w:r>
    </w:p>
    <w:p w14:paraId="59E2A30F">
      <w:pPr>
        <w:widowControl w:val="0"/>
        <w:tabs>
          <w:tab w:val="left" w:pos="0"/>
          <w:tab w:val="left" w:pos="1080"/>
        </w:tabs>
        <w:spacing w:line="360" w:lineRule="auto"/>
        <w:ind w:firstLine="480" w:firstLineChars="200"/>
        <w:jc w:val="both"/>
        <w:rPr>
          <w:rFonts w:ascii="宋体" w:hAnsi="宋体" w:cs="宋体"/>
        </w:rPr>
      </w:pPr>
      <w:r>
        <w:rPr>
          <w:rFonts w:hint="eastAsia" w:ascii="宋体" w:hAnsi="宋体" w:cs="宋体"/>
        </w:rPr>
        <w:t>（三）成交候选供应商书面自愿放弃成交，且无其他非法目的的。</w:t>
      </w:r>
    </w:p>
    <w:p w14:paraId="0CFC9B66">
      <w:pPr>
        <w:widowControl w:val="0"/>
        <w:tabs>
          <w:tab w:val="left" w:pos="0"/>
          <w:tab w:val="left" w:pos="1080"/>
        </w:tabs>
        <w:spacing w:line="360" w:lineRule="auto"/>
        <w:ind w:firstLine="480" w:firstLineChars="200"/>
        <w:jc w:val="both"/>
        <w:rPr>
          <w:rFonts w:ascii="宋体" w:hAnsi="宋体" w:cs="宋体"/>
        </w:rPr>
      </w:pPr>
      <w:r>
        <w:rPr>
          <w:rFonts w:hint="eastAsia" w:ascii="宋体" w:hAnsi="宋体" w:cs="宋体"/>
        </w:rPr>
        <w:t>成交候选供应商有本款情形之一的，采购单位将确定后一位成交候选供应商为成交供应商。依次类推。无法确定成交供应商的，采购单位将重新组织采购。</w:t>
      </w:r>
    </w:p>
    <w:p w14:paraId="6847CC1A">
      <w:pPr>
        <w:widowControl w:val="0"/>
        <w:tabs>
          <w:tab w:val="left" w:pos="0"/>
          <w:tab w:val="left" w:pos="1080"/>
        </w:tabs>
        <w:spacing w:line="360" w:lineRule="auto"/>
        <w:ind w:firstLine="480" w:firstLineChars="200"/>
        <w:jc w:val="both"/>
        <w:rPr>
          <w:rFonts w:ascii="宋体" w:hAnsi="宋体" w:cs="宋体"/>
        </w:rPr>
      </w:pPr>
      <w:r>
        <w:rPr>
          <w:rFonts w:hint="eastAsia" w:ascii="宋体" w:hAnsi="宋体" w:cs="宋体"/>
        </w:rPr>
        <w:t>成交候选供应商以本款第（三）项放弃成交的，应当说明理由，但其磋商保证金将被没收。</w:t>
      </w:r>
    </w:p>
    <w:p w14:paraId="5DCD0011">
      <w:pPr>
        <w:pStyle w:val="348"/>
        <w:spacing w:line="360" w:lineRule="auto"/>
        <w:ind w:firstLine="480"/>
        <w:rPr>
          <w:rFonts w:ascii="宋体" w:hAnsi="宋体" w:cs="宋体"/>
          <w:sz w:val="24"/>
        </w:rPr>
      </w:pPr>
      <w:r>
        <w:rPr>
          <w:rFonts w:hint="eastAsia" w:ascii="宋体" w:hAnsi="宋体" w:cs="宋体"/>
          <w:sz w:val="24"/>
        </w:rPr>
        <w:t>11、成交通知书</w:t>
      </w:r>
    </w:p>
    <w:p w14:paraId="58D08395">
      <w:pPr>
        <w:pStyle w:val="348"/>
        <w:spacing w:line="360" w:lineRule="auto"/>
        <w:ind w:firstLine="480"/>
        <w:rPr>
          <w:rFonts w:ascii="宋体" w:hAnsi="宋体" w:cs="宋体"/>
          <w:sz w:val="24"/>
        </w:rPr>
      </w:pPr>
      <w:r>
        <w:rPr>
          <w:rFonts w:hint="eastAsia" w:ascii="宋体" w:hAnsi="宋体" w:cs="宋体"/>
          <w:sz w:val="24"/>
        </w:rPr>
        <w:t>采购代理机构在成交供应商确定后2个工作日内，在</w:t>
      </w:r>
      <w:r>
        <w:rPr>
          <w:rFonts w:hint="eastAsia" w:ascii="宋体" w:hAnsi="宋体" w:cs="宋体"/>
          <w:b/>
          <w:sz w:val="24"/>
        </w:rPr>
        <w:t>《青海政府采购网》《青海省电子招标投标服务平台》</w:t>
      </w:r>
      <w:r>
        <w:rPr>
          <w:rFonts w:hint="eastAsia" w:ascii="宋体" w:hAnsi="宋体" w:cs="宋体"/>
          <w:sz w:val="24"/>
        </w:rPr>
        <w:t>上公告成交结果，同时向成交供应商发出成交通知书。</w:t>
      </w:r>
    </w:p>
    <w:p w14:paraId="5EFEC963">
      <w:pPr>
        <w:spacing w:line="360" w:lineRule="auto"/>
        <w:ind w:firstLine="480" w:firstLineChars="200"/>
        <w:rPr>
          <w:rFonts w:ascii="宋体" w:hAnsi="宋体" w:cs="宋体"/>
        </w:rPr>
      </w:pPr>
      <w:r>
        <w:rPr>
          <w:rFonts w:hint="eastAsia" w:ascii="宋体" w:hAnsi="宋体" w:cs="宋体"/>
        </w:rPr>
        <w:t>12、签订合同</w:t>
      </w:r>
    </w:p>
    <w:p w14:paraId="3463DF7D">
      <w:pPr>
        <w:pStyle w:val="348"/>
        <w:spacing w:line="360" w:lineRule="auto"/>
        <w:ind w:firstLine="480"/>
        <w:rPr>
          <w:rFonts w:ascii="宋体" w:hAnsi="宋体" w:cs="宋体"/>
          <w:sz w:val="24"/>
        </w:rPr>
      </w:pPr>
      <w:r>
        <w:rPr>
          <w:rFonts w:hint="eastAsia" w:ascii="宋体" w:hAnsi="宋体" w:cs="宋体"/>
          <w:sz w:val="24"/>
        </w:rPr>
        <w:t>12.1成交供应商应在领取成交通知书后30日内，按照磋商文件、响应文件以及磋商过程中确定的事项与采购单位签订采购合同。</w:t>
      </w:r>
    </w:p>
    <w:p w14:paraId="32BFE371">
      <w:pPr>
        <w:pStyle w:val="348"/>
        <w:spacing w:line="360" w:lineRule="auto"/>
        <w:ind w:firstLine="480"/>
        <w:rPr>
          <w:rFonts w:ascii="宋体" w:hAnsi="宋体" w:cs="宋体"/>
          <w:sz w:val="24"/>
        </w:rPr>
      </w:pPr>
      <w:r>
        <w:rPr>
          <w:rFonts w:hint="eastAsia" w:ascii="宋体" w:hAnsi="宋体" w:cs="宋体"/>
          <w:sz w:val="24"/>
        </w:rPr>
        <w:t>12.2竞争性磋商文件、供应商提交的响应文件、磋商中的最终报价、供应商承诺书、成交通知书等均成为有法律约束力的合同的组成内容。</w:t>
      </w:r>
    </w:p>
    <w:p w14:paraId="7F83EE7A">
      <w:pPr>
        <w:pStyle w:val="348"/>
        <w:spacing w:line="360" w:lineRule="auto"/>
        <w:ind w:firstLine="489"/>
        <w:rPr>
          <w:rFonts w:ascii="宋体" w:hAnsi="宋体" w:cs="宋体"/>
          <w:b/>
          <w:sz w:val="24"/>
        </w:rPr>
      </w:pPr>
      <w:r>
        <w:rPr>
          <w:rFonts w:hint="eastAsia" w:ascii="宋体" w:hAnsi="宋体" w:cs="宋体"/>
          <w:b/>
          <w:sz w:val="24"/>
        </w:rPr>
        <w:t>收费标准及金额：根据2026年关于印发《青海省招标代理机构服务标准和行为规范》通知的规定，由采购人和采购代理机构共同确定合理的收费金额。由中标人支付：</w:t>
      </w:r>
    </w:p>
    <w:p w14:paraId="59ADF05A">
      <w:pPr>
        <w:pStyle w:val="348"/>
        <w:spacing w:line="360" w:lineRule="auto"/>
        <w:ind w:firstLine="489"/>
        <w:rPr>
          <w:rFonts w:hint="eastAsia" w:ascii="宋体" w:hAnsi="宋体" w:eastAsia="宋体" w:cs="宋体"/>
          <w:b/>
          <w:sz w:val="24"/>
        </w:rPr>
      </w:pPr>
      <w:r>
        <w:rPr>
          <w:rFonts w:hint="eastAsia" w:ascii="宋体" w:hAnsi="宋体" w:eastAsia="宋体" w:cs="宋体"/>
          <w:b/>
          <w:sz w:val="24"/>
          <w:lang w:val="en-US" w:eastAsia="zh-CN"/>
        </w:rPr>
        <w:t>包</w:t>
      </w:r>
      <w:r>
        <w:rPr>
          <w:rFonts w:hint="eastAsia" w:ascii="宋体" w:hAnsi="宋体" w:cs="宋体"/>
          <w:b/>
          <w:sz w:val="24"/>
          <w:lang w:val="en-US" w:eastAsia="zh-CN"/>
        </w:rPr>
        <w:t>一</w:t>
      </w:r>
      <w:r>
        <w:rPr>
          <w:rFonts w:hint="eastAsia" w:ascii="宋体" w:hAnsi="宋体" w:eastAsia="宋体" w:cs="宋体"/>
          <w:b/>
          <w:sz w:val="24"/>
          <w:lang w:val="en-US" w:eastAsia="zh-CN"/>
        </w:rPr>
        <w:t>：</w:t>
      </w:r>
      <w:r>
        <w:rPr>
          <w:rFonts w:hint="eastAsia" w:ascii="宋体" w:hAnsi="宋体" w:eastAsia="宋体" w:cs="宋体"/>
          <w:b/>
          <w:sz w:val="24"/>
        </w:rPr>
        <w:t>（小写）</w:t>
      </w:r>
      <w:r>
        <w:rPr>
          <w:rFonts w:hint="eastAsia" w:ascii="宋体" w:hAnsi="宋体" w:cs="宋体"/>
          <w:b/>
          <w:sz w:val="24"/>
          <w:lang w:val="en-US" w:eastAsia="zh-CN"/>
        </w:rPr>
        <w:t>7500.00</w:t>
      </w:r>
      <w:r>
        <w:rPr>
          <w:rFonts w:hint="eastAsia" w:ascii="宋体" w:hAnsi="宋体" w:eastAsia="宋体" w:cs="宋体"/>
          <w:b/>
          <w:sz w:val="24"/>
          <w:lang w:val="en-US" w:eastAsia="zh-CN"/>
        </w:rPr>
        <w:t>元</w:t>
      </w:r>
      <w:r>
        <w:rPr>
          <w:rFonts w:hint="eastAsia" w:ascii="宋体" w:hAnsi="宋体" w:eastAsia="宋体" w:cs="宋体"/>
          <w:b/>
          <w:sz w:val="24"/>
        </w:rPr>
        <w:t>，（大写）</w:t>
      </w:r>
      <w:r>
        <w:rPr>
          <w:rFonts w:hint="eastAsia" w:ascii="宋体" w:hAnsi="宋体" w:cs="宋体"/>
          <w:b/>
          <w:sz w:val="24"/>
          <w:lang w:val="en-US" w:eastAsia="zh-CN"/>
        </w:rPr>
        <w:t>柒仟伍佰元整</w:t>
      </w:r>
      <w:r>
        <w:rPr>
          <w:rFonts w:hint="eastAsia" w:ascii="宋体" w:hAnsi="宋体" w:eastAsia="宋体" w:cs="宋体"/>
          <w:b/>
          <w:sz w:val="24"/>
        </w:rPr>
        <w:t>。</w:t>
      </w:r>
    </w:p>
    <w:p w14:paraId="2BE187FC">
      <w:pPr>
        <w:pStyle w:val="348"/>
        <w:spacing w:line="360" w:lineRule="auto"/>
        <w:ind w:firstLine="480"/>
        <w:rPr>
          <w:rFonts w:ascii="宋体" w:hAnsi="宋体" w:cs="宋体"/>
          <w:sz w:val="24"/>
        </w:rPr>
      </w:pPr>
      <w:r>
        <w:rPr>
          <w:rFonts w:hint="eastAsia" w:ascii="宋体" w:hAnsi="宋体" w:cs="宋体"/>
          <w:sz w:val="24"/>
        </w:rPr>
        <w:t>13、竞争性磋商有效期</w:t>
      </w:r>
      <w:r>
        <w:rPr>
          <w:rFonts w:hint="eastAsia" w:ascii="宋体" w:hAnsi="宋体" w:cs="宋体"/>
          <w:sz w:val="24"/>
          <w:lang w:eastAsia="zh-CN"/>
        </w:rPr>
        <w:t>：</w:t>
      </w:r>
      <w:r>
        <w:rPr>
          <w:rFonts w:hint="eastAsia" w:ascii="宋体" w:hAnsi="宋体" w:cs="宋体"/>
          <w:sz w:val="24"/>
        </w:rPr>
        <w:t>60个日历日；</w:t>
      </w:r>
    </w:p>
    <w:p w14:paraId="1E1A1DF6">
      <w:pPr>
        <w:pStyle w:val="348"/>
        <w:ind w:firstLine="199" w:firstLineChars="83"/>
        <w:rPr>
          <w:rFonts w:ascii="宋体" w:hAnsi="宋体" w:cs="宋体"/>
          <w:sz w:val="24"/>
        </w:rPr>
      </w:pPr>
    </w:p>
    <w:p w14:paraId="33185428">
      <w:pPr>
        <w:tabs>
          <w:tab w:val="left" w:pos="425"/>
          <w:tab w:val="left" w:pos="4265"/>
        </w:tabs>
        <w:spacing w:line="360" w:lineRule="auto"/>
        <w:ind w:left="420" w:leftChars="175" w:firstLine="1932" w:firstLineChars="690"/>
        <w:outlineLvl w:val="0"/>
        <w:rPr>
          <w:rFonts w:ascii="宋体" w:hAnsi="宋体" w:cs="宋体"/>
          <w:sz w:val="28"/>
          <w:szCs w:val="28"/>
        </w:rPr>
      </w:pPr>
      <w:r>
        <w:rPr>
          <w:rFonts w:hint="eastAsia" w:ascii="宋体" w:hAnsi="宋体" w:cs="宋体"/>
          <w:sz w:val="28"/>
          <w:szCs w:val="28"/>
        </w:rPr>
        <w:br w:type="page"/>
      </w:r>
      <w:bookmarkStart w:id="12" w:name="_Toc11058"/>
      <w:r>
        <w:rPr>
          <w:rFonts w:hint="eastAsia" w:ascii="宋体" w:hAnsi="宋体" w:cs="宋体"/>
          <w:b/>
          <w:bCs/>
          <w:sz w:val="28"/>
          <w:szCs w:val="28"/>
        </w:rPr>
        <w:t>第三</w:t>
      </w:r>
      <w:r>
        <w:rPr>
          <w:rFonts w:hint="eastAsia" w:ascii="宋体" w:hAnsi="宋体" w:cs="宋体"/>
          <w:b/>
          <w:bCs/>
          <w:sz w:val="28"/>
          <w:szCs w:val="28"/>
          <w:lang w:val="en-US" w:eastAsia="zh-CN"/>
        </w:rPr>
        <w:t>部分</w:t>
      </w:r>
      <w:r>
        <w:rPr>
          <w:rFonts w:hint="eastAsia" w:ascii="宋体" w:hAnsi="宋体" w:cs="宋体"/>
          <w:b/>
          <w:bCs/>
          <w:sz w:val="28"/>
          <w:szCs w:val="28"/>
        </w:rPr>
        <w:t xml:space="preserve">  供应商资格证明文件</w:t>
      </w:r>
      <w:bookmarkEnd w:id="12"/>
    </w:p>
    <w:p w14:paraId="7058D687">
      <w:pPr>
        <w:spacing w:line="360" w:lineRule="auto"/>
        <w:ind w:firstLine="463" w:firstLineChars="192"/>
        <w:jc w:val="both"/>
        <w:rPr>
          <w:rFonts w:ascii="宋体" w:hAnsi="宋体" w:cs="宋体"/>
          <w:b/>
        </w:rPr>
      </w:pPr>
      <w:r>
        <w:rPr>
          <w:rFonts w:hint="eastAsia" w:ascii="宋体" w:hAnsi="宋体" w:cs="宋体"/>
          <w:b/>
        </w:rPr>
        <w:t>一、供应商应提交的资格证明材料</w:t>
      </w:r>
    </w:p>
    <w:p w14:paraId="58AA7D10">
      <w:pPr>
        <w:spacing w:line="360" w:lineRule="auto"/>
        <w:ind w:firstLine="480" w:firstLineChars="200"/>
        <w:jc w:val="both"/>
        <w:rPr>
          <w:rFonts w:hint="eastAsia" w:ascii="宋体" w:hAnsi="宋体" w:cs="宋体"/>
        </w:rPr>
      </w:pPr>
      <w:r>
        <w:rPr>
          <w:rFonts w:hint="eastAsia" w:ascii="宋体" w:hAnsi="宋体" w:cs="宋体"/>
        </w:rPr>
        <w:t>（1）第三方出具的202</w:t>
      </w:r>
      <w:r>
        <w:rPr>
          <w:rFonts w:hint="eastAsia" w:ascii="宋体" w:hAnsi="宋体" w:cs="宋体"/>
          <w:lang w:val="en-US" w:eastAsia="zh-CN"/>
        </w:rPr>
        <w:t>5</w:t>
      </w:r>
      <w:r>
        <w:rPr>
          <w:rFonts w:hint="eastAsia" w:ascii="宋体" w:hAnsi="宋体" w:cs="宋体"/>
        </w:rPr>
        <w:t xml:space="preserve">年度的财务审计报告或近三个月银行资信证明，提供近半年内任意月份依法缴纳税收及社会保障资金的证明，不能提供的应提供证明材料。 </w:t>
      </w:r>
    </w:p>
    <w:p w14:paraId="436E334A">
      <w:pPr>
        <w:spacing w:line="360" w:lineRule="auto"/>
        <w:ind w:firstLine="480" w:firstLineChars="200"/>
        <w:jc w:val="both"/>
        <w:rPr>
          <w:rFonts w:hint="eastAsia" w:ascii="宋体" w:hAnsi="宋体" w:cs="宋体"/>
        </w:rPr>
      </w:pPr>
      <w:r>
        <w:rPr>
          <w:rFonts w:hint="eastAsia" w:ascii="宋体" w:hAnsi="宋体" w:cs="宋体"/>
        </w:rPr>
        <w:t>（2）参加政府采购活动前3年内在经营活动中没有重大违法记录的承诺函。</w:t>
      </w:r>
    </w:p>
    <w:p w14:paraId="4C7ACC58">
      <w:pPr>
        <w:spacing w:line="360" w:lineRule="auto"/>
        <w:ind w:firstLine="480" w:firstLineChars="200"/>
        <w:jc w:val="both"/>
        <w:rPr>
          <w:rFonts w:hint="eastAsia" w:ascii="宋体" w:hAnsi="宋体" w:cs="宋体"/>
        </w:rPr>
      </w:pPr>
      <w:r>
        <w:rPr>
          <w:rFonts w:hint="eastAsia" w:ascii="宋体" w:hAnsi="宋体" w:cs="宋体"/>
        </w:rPr>
        <w:t>（3）法定代表人授权书。</w:t>
      </w:r>
    </w:p>
    <w:p w14:paraId="551AF42B">
      <w:pPr>
        <w:spacing w:line="360" w:lineRule="auto"/>
        <w:ind w:firstLine="480" w:firstLineChars="200"/>
        <w:jc w:val="both"/>
        <w:rPr>
          <w:rFonts w:hint="eastAsia" w:ascii="宋体" w:hAnsi="宋体" w:cs="宋体"/>
        </w:rPr>
      </w:pPr>
      <w:r>
        <w:rPr>
          <w:rFonts w:hint="eastAsia" w:ascii="宋体" w:hAnsi="宋体" w:cs="宋体"/>
        </w:rPr>
        <w:t>（4）被授权代表的身份证明文件复印件。</w:t>
      </w:r>
    </w:p>
    <w:p w14:paraId="34BE873B">
      <w:pPr>
        <w:spacing w:line="360" w:lineRule="auto"/>
        <w:ind w:firstLine="480" w:firstLineChars="200"/>
        <w:jc w:val="both"/>
        <w:rPr>
          <w:rFonts w:hint="eastAsia" w:ascii="宋体" w:hAnsi="宋体" w:cs="宋体"/>
          <w:lang w:val="zh-CN"/>
        </w:rPr>
      </w:pPr>
      <w:r>
        <w:rPr>
          <w:rFonts w:hint="eastAsia" w:ascii="宋体" w:hAnsi="宋体" w:cs="宋体"/>
        </w:rPr>
        <w:t>（</w:t>
      </w:r>
      <w:r>
        <w:rPr>
          <w:rFonts w:hint="eastAsia" w:ascii="宋体" w:hAnsi="宋体" w:cs="宋体"/>
          <w:lang w:val="en-US" w:eastAsia="zh-CN"/>
        </w:rPr>
        <w:t>5</w:t>
      </w:r>
      <w:r>
        <w:rPr>
          <w:rFonts w:hint="eastAsia" w:ascii="宋体" w:hAnsi="宋体" w:cs="宋体"/>
        </w:rPr>
        <w:t>）</w:t>
      </w:r>
      <w:r>
        <w:rPr>
          <w:rFonts w:hint="eastAsia" w:ascii="宋体" w:hAnsi="宋体" w:cs="宋体"/>
          <w:lang w:val="zh-CN"/>
        </w:rPr>
        <w:t>经信用中国</w:t>
      </w:r>
      <w:r>
        <w:rPr>
          <w:rFonts w:hint="eastAsia" w:ascii="宋体" w:hAnsi="宋体" w:cs="宋体"/>
        </w:rPr>
        <w:t>（</w:t>
      </w:r>
      <w:r>
        <w:rPr>
          <w:rFonts w:hint="eastAsia" w:ascii="宋体" w:hAnsi="宋体" w:cs="宋体"/>
        </w:rPr>
        <w:fldChar w:fldCharType="begin"/>
      </w:r>
      <w:r>
        <w:rPr>
          <w:rFonts w:hint="eastAsia" w:ascii="宋体" w:hAnsi="宋体" w:cs="宋体"/>
        </w:rPr>
        <w:instrText xml:space="preserve"> HYPERLINK "http://www.creditchina.gov.cn/" \h </w:instrText>
      </w:r>
      <w:r>
        <w:rPr>
          <w:rFonts w:hint="eastAsia" w:ascii="宋体" w:hAnsi="宋体" w:cs="宋体"/>
        </w:rPr>
        <w:fldChar w:fldCharType="separate"/>
      </w:r>
      <w:r>
        <w:rPr>
          <w:rFonts w:hint="eastAsia" w:ascii="宋体" w:hAnsi="宋体" w:cs="宋体"/>
        </w:rPr>
        <w:t>www.creditchina.gov.cn</w:t>
      </w:r>
      <w:r>
        <w:rPr>
          <w:rFonts w:hint="eastAsia" w:ascii="宋体" w:hAnsi="宋体" w:cs="宋体"/>
        </w:rPr>
        <w:fldChar w:fldCharType="end"/>
      </w:r>
      <w:r>
        <w:rPr>
          <w:rFonts w:hint="eastAsia" w:ascii="宋体" w:hAnsi="宋体" w:cs="宋体"/>
        </w:rPr>
        <w:t>）</w:t>
      </w:r>
      <w:r>
        <w:rPr>
          <w:rFonts w:hint="eastAsia" w:ascii="宋体" w:hAnsi="宋体" w:cs="宋体"/>
          <w:lang w:val="zh-CN"/>
        </w:rPr>
        <w:t>、中国政府采购网</w:t>
      </w:r>
      <w:r>
        <w:rPr>
          <w:rFonts w:hint="eastAsia" w:ascii="宋体" w:hAnsi="宋体" w:cs="宋体"/>
          <w:lang w:val="zh-CN"/>
        </w:rPr>
        <w:fldChar w:fldCharType="begin"/>
      </w:r>
      <w:r>
        <w:rPr>
          <w:rFonts w:hint="eastAsia" w:ascii="宋体" w:hAnsi="宋体" w:cs="宋体"/>
        </w:rPr>
        <w:instrText xml:space="preserve"> HYPERLINK "http://www.ccgp.gov.cn/" \h </w:instrText>
      </w:r>
      <w:r>
        <w:rPr>
          <w:rFonts w:hint="eastAsia" w:ascii="宋体" w:hAnsi="宋体" w:cs="宋体"/>
          <w:lang w:val="zh-CN"/>
        </w:rPr>
        <w:fldChar w:fldCharType="separate"/>
      </w:r>
      <w:r>
        <w:rPr>
          <w:rFonts w:hint="eastAsia" w:ascii="宋体" w:hAnsi="宋体" w:cs="宋体"/>
        </w:rPr>
        <w:t>（www.ccgp.gov.cn</w:t>
      </w:r>
      <w:r>
        <w:rPr>
          <w:rFonts w:hint="eastAsia" w:ascii="宋体" w:hAnsi="宋体" w:cs="宋体"/>
          <w:lang w:val="zh-CN"/>
        </w:rPr>
        <w:fldChar w:fldCharType="end"/>
      </w:r>
      <w:r>
        <w:rPr>
          <w:rFonts w:hint="eastAsia" w:ascii="宋体" w:hAnsi="宋体" w:cs="宋体"/>
        </w:rPr>
        <w:t>）</w:t>
      </w:r>
      <w:r>
        <w:rPr>
          <w:rFonts w:hint="eastAsia" w:ascii="宋体" w:hAnsi="宋体" w:cs="宋体"/>
          <w:lang w:val="zh-CN"/>
        </w:rPr>
        <w:t>等渠道查询后</w:t>
      </w:r>
      <w:r>
        <w:rPr>
          <w:rFonts w:hint="eastAsia" w:ascii="宋体" w:hAnsi="宋体" w:cs="宋体"/>
        </w:rPr>
        <w:t>，</w:t>
      </w:r>
      <w:r>
        <w:rPr>
          <w:rFonts w:hint="eastAsia" w:ascii="宋体" w:hAnsi="宋体" w:cs="宋体"/>
          <w:lang w:val="zh-CN"/>
        </w:rPr>
        <w:t>列入失信被执行人、重大税收违法案件当事人名单、政府采购严重违法失信行为记录名单的</w:t>
      </w:r>
      <w:r>
        <w:rPr>
          <w:rFonts w:hint="eastAsia" w:ascii="宋体" w:hAnsi="宋体" w:cs="宋体"/>
        </w:rPr>
        <w:t>，</w:t>
      </w:r>
      <w:r>
        <w:rPr>
          <w:rFonts w:hint="eastAsia" w:ascii="宋体" w:hAnsi="宋体" w:cs="宋体"/>
          <w:lang w:val="zh-CN"/>
        </w:rPr>
        <w:t>取消投标资格。</w:t>
      </w:r>
    </w:p>
    <w:p w14:paraId="3443D1FC">
      <w:pPr>
        <w:spacing w:line="360" w:lineRule="auto"/>
        <w:ind w:firstLine="480" w:firstLineChars="200"/>
        <w:jc w:val="both"/>
        <w:rPr>
          <w:rFonts w:hint="eastAsia"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w:t>
      </w:r>
      <w:r>
        <w:rPr>
          <w:rFonts w:hint="eastAsia" w:ascii="宋体" w:hAnsi="宋体" w:cs="宋体"/>
          <w:lang w:val="en-US" w:eastAsia="zh-CN"/>
        </w:rPr>
        <w:t>包一：本次采购要求投标人须符合《医疗器械监督管理条例》要求并提供投标人经营该产品的经营许可或经营备案证明材料；投标人所投医疗产品符合《医疗器械注册管理办法》要求并提供产品的注册或备案证明材料。</w:t>
      </w:r>
    </w:p>
    <w:p w14:paraId="30EA623C">
      <w:pPr>
        <w:spacing w:line="360" w:lineRule="auto"/>
        <w:ind w:firstLine="460" w:firstLineChars="192"/>
        <w:jc w:val="both"/>
        <w:rPr>
          <w:rFonts w:ascii="宋体" w:hAnsi="宋体" w:cs="宋体"/>
        </w:rPr>
      </w:pPr>
      <w:r>
        <w:rPr>
          <w:rFonts w:hint="eastAsia" w:ascii="宋体" w:hAnsi="宋体" w:cs="宋体"/>
        </w:rPr>
        <w:t>说明：</w:t>
      </w:r>
    </w:p>
    <w:p w14:paraId="45AC8130">
      <w:pPr>
        <w:spacing w:line="360" w:lineRule="auto"/>
        <w:ind w:firstLine="463" w:firstLineChars="192"/>
        <w:jc w:val="both"/>
        <w:rPr>
          <w:rFonts w:ascii="宋体" w:hAnsi="宋体" w:cs="宋体"/>
          <w:b/>
          <w:u w:val="single"/>
        </w:rPr>
      </w:pPr>
      <w:r>
        <w:rPr>
          <w:rFonts w:hint="eastAsia" w:ascii="宋体" w:hAnsi="宋体" w:cs="宋体"/>
          <w:b/>
        </w:rPr>
        <w:t xml:space="preserve">1）确定参加磋商的供应商数量采用合格制，即磋商小组对各供应商资格审查后，凡符合本竞争性磋商文件规定资格条件的，均进入参加磋商的供应商名单。 </w:t>
      </w:r>
    </w:p>
    <w:p w14:paraId="102F3B5B">
      <w:pPr>
        <w:adjustRightInd w:val="0"/>
        <w:snapToGrid w:val="0"/>
        <w:spacing w:line="360" w:lineRule="auto"/>
        <w:jc w:val="center"/>
        <w:outlineLvl w:val="0"/>
        <w:rPr>
          <w:rFonts w:ascii="宋体" w:hAnsi="宋体" w:cs="宋体"/>
          <w:b/>
          <w:bCs/>
          <w:sz w:val="28"/>
          <w:szCs w:val="28"/>
        </w:rPr>
      </w:pPr>
      <w:bookmarkStart w:id="13" w:name="_Toc496715342"/>
      <w:r>
        <w:rPr>
          <w:rFonts w:hint="eastAsia" w:ascii="宋体" w:hAnsi="宋体" w:cs="宋体"/>
          <w:sz w:val="28"/>
          <w:szCs w:val="28"/>
        </w:rPr>
        <w:br w:type="page"/>
      </w:r>
      <w:bookmarkEnd w:id="13"/>
      <w:bookmarkStart w:id="14" w:name="_Toc7808"/>
      <w:r>
        <w:rPr>
          <w:rFonts w:hint="eastAsia" w:ascii="宋体" w:hAnsi="宋体" w:cs="宋体"/>
          <w:b/>
          <w:bCs/>
          <w:sz w:val="28"/>
          <w:szCs w:val="28"/>
        </w:rPr>
        <w:t>第四</w:t>
      </w:r>
      <w:r>
        <w:rPr>
          <w:rFonts w:hint="eastAsia" w:ascii="宋体" w:hAnsi="宋体" w:cs="宋体"/>
          <w:b/>
          <w:bCs/>
          <w:sz w:val="28"/>
          <w:szCs w:val="28"/>
          <w:lang w:val="en-US" w:eastAsia="zh-CN"/>
        </w:rPr>
        <w:t>部分</w:t>
      </w:r>
      <w:r>
        <w:rPr>
          <w:rFonts w:hint="eastAsia" w:ascii="宋体" w:hAnsi="宋体" w:cs="宋体"/>
          <w:b/>
          <w:bCs/>
          <w:sz w:val="28"/>
          <w:szCs w:val="28"/>
        </w:rPr>
        <w:t xml:space="preserve"> 磋商程序</w:t>
      </w:r>
      <w:bookmarkEnd w:id="14"/>
    </w:p>
    <w:p w14:paraId="12AAD585">
      <w:pPr>
        <w:jc w:val="both"/>
        <w:rPr>
          <w:rFonts w:ascii="宋体" w:hAnsi="宋体" w:cs="宋体"/>
          <w:b/>
          <w:bCs/>
          <w:sz w:val="28"/>
          <w:szCs w:val="28"/>
        </w:rPr>
      </w:pPr>
    </w:p>
    <w:p w14:paraId="0AB68D54">
      <w:pPr>
        <w:snapToGrid w:val="0"/>
        <w:spacing w:line="360" w:lineRule="auto"/>
        <w:rPr>
          <w:rFonts w:ascii="宋体" w:hAnsi="宋体" w:cs="宋体"/>
        </w:rPr>
      </w:pPr>
      <w:r>
        <w:rPr>
          <w:rFonts w:hint="eastAsia" w:ascii="宋体" w:hAnsi="宋体" w:cs="宋体"/>
        </w:rPr>
        <w:t>1、磋商小组及专家组成</w:t>
      </w:r>
    </w:p>
    <w:p w14:paraId="67C78EDB">
      <w:pPr>
        <w:pStyle w:val="25"/>
        <w:snapToGrid w:val="0"/>
        <w:spacing w:line="360" w:lineRule="auto"/>
        <w:ind w:firstLine="480" w:firstLineChars="200"/>
        <w:rPr>
          <w:rFonts w:hint="default" w:hAnsi="宋体" w:cs="宋体"/>
          <w:sz w:val="24"/>
          <w:szCs w:val="24"/>
        </w:rPr>
      </w:pPr>
      <w:r>
        <w:rPr>
          <w:rFonts w:hAnsi="宋体" w:cs="宋体"/>
          <w:sz w:val="24"/>
          <w:szCs w:val="24"/>
        </w:rPr>
        <w:t>根据《中华人民共和国政府采购法》和《政府采购竞争性磋商采购方式管理暂行办法》等的规定并结合本次采购项目的实际情况，磋商小组由采购单位的代表和有关方面的专家3人以上的单数组成，其中专家人数不少于成员总数的三分之二，负责本次采购项目的竞争性磋商和评审工作。</w:t>
      </w:r>
    </w:p>
    <w:p w14:paraId="095C2E04">
      <w:pPr>
        <w:snapToGrid w:val="0"/>
        <w:spacing w:line="360" w:lineRule="auto"/>
        <w:rPr>
          <w:rFonts w:ascii="宋体" w:hAnsi="宋体" w:cs="宋体"/>
        </w:rPr>
      </w:pPr>
      <w:r>
        <w:rPr>
          <w:rFonts w:hint="eastAsia" w:ascii="宋体" w:hAnsi="宋体" w:cs="宋体"/>
        </w:rPr>
        <w:t>2、磋商组织</w:t>
      </w:r>
    </w:p>
    <w:p w14:paraId="47F8A57A">
      <w:pPr>
        <w:pStyle w:val="25"/>
        <w:snapToGrid w:val="0"/>
        <w:spacing w:line="360" w:lineRule="auto"/>
        <w:ind w:firstLine="480" w:firstLineChars="200"/>
        <w:rPr>
          <w:rFonts w:hint="default" w:hAnsi="宋体" w:cs="宋体"/>
          <w:sz w:val="24"/>
          <w:szCs w:val="24"/>
        </w:rPr>
      </w:pPr>
      <w:r>
        <w:rPr>
          <w:rFonts w:hAnsi="宋体" w:cs="宋体"/>
          <w:sz w:val="24"/>
          <w:szCs w:val="24"/>
          <w:lang w:val="zh-CN"/>
        </w:rPr>
        <w:t>磋商工作由采购代理机构组织，具体磋商事务由依法组建的磋商小组负责。</w:t>
      </w:r>
    </w:p>
    <w:p w14:paraId="4049DA80">
      <w:pPr>
        <w:snapToGrid w:val="0"/>
        <w:spacing w:line="360" w:lineRule="auto"/>
        <w:rPr>
          <w:rFonts w:ascii="宋体" w:hAnsi="宋体" w:cs="宋体"/>
        </w:rPr>
      </w:pPr>
      <w:r>
        <w:rPr>
          <w:rFonts w:hint="eastAsia" w:ascii="宋体" w:hAnsi="宋体" w:cs="宋体"/>
        </w:rPr>
        <w:t>3、磋商程序</w:t>
      </w:r>
    </w:p>
    <w:p w14:paraId="4F1AA083">
      <w:pPr>
        <w:pStyle w:val="25"/>
        <w:snapToGrid w:val="0"/>
        <w:spacing w:line="360" w:lineRule="auto"/>
        <w:ind w:firstLine="480" w:firstLineChars="200"/>
        <w:rPr>
          <w:rFonts w:hint="default" w:hAnsi="宋体" w:cs="宋体"/>
          <w:sz w:val="24"/>
          <w:szCs w:val="24"/>
          <w:lang w:val="zh-CN"/>
        </w:rPr>
      </w:pPr>
      <w:r>
        <w:rPr>
          <w:rFonts w:hAnsi="宋体" w:cs="宋体"/>
          <w:sz w:val="24"/>
          <w:szCs w:val="24"/>
        </w:rPr>
        <w:t xml:space="preserve">3.1 </w:t>
      </w:r>
      <w:r>
        <w:rPr>
          <w:rFonts w:hAnsi="宋体" w:cs="宋体"/>
          <w:sz w:val="24"/>
          <w:szCs w:val="24"/>
          <w:lang w:val="zh-CN"/>
        </w:rPr>
        <w:t>在供应商递交响应文件截止时间结束后，采购代理机构组织磋商小组对递交响应文件的供应商进行资格审查，确定邀请参加磋商的供应商名单。</w:t>
      </w:r>
    </w:p>
    <w:p w14:paraId="1EA98B2B">
      <w:pPr>
        <w:pStyle w:val="25"/>
        <w:snapToGrid w:val="0"/>
        <w:spacing w:line="360" w:lineRule="auto"/>
        <w:ind w:firstLine="480" w:firstLineChars="200"/>
        <w:rPr>
          <w:rFonts w:hint="default" w:hAnsi="宋体" w:cs="宋体"/>
          <w:sz w:val="24"/>
          <w:szCs w:val="24"/>
          <w:lang w:val="zh-CN"/>
        </w:rPr>
      </w:pPr>
      <w:r>
        <w:rPr>
          <w:rFonts w:hAnsi="宋体" w:cs="宋体"/>
          <w:sz w:val="24"/>
          <w:szCs w:val="24"/>
          <w:lang w:val="zh-CN"/>
        </w:rPr>
        <w:t>确定参加磋商的供应商数量采用合格数量制，即磋商小组对各供应商资格审查后，凡符合本竞争性磋商文件规定资格条件的，均进入参加磋商的供应商名单。</w:t>
      </w:r>
    </w:p>
    <w:p w14:paraId="308EC281">
      <w:pPr>
        <w:pStyle w:val="25"/>
        <w:snapToGrid w:val="0"/>
        <w:spacing w:line="360" w:lineRule="auto"/>
        <w:ind w:firstLine="480" w:firstLineChars="200"/>
        <w:rPr>
          <w:rFonts w:hint="default" w:hAnsi="宋体" w:cs="宋体"/>
          <w:sz w:val="24"/>
          <w:szCs w:val="24"/>
        </w:rPr>
      </w:pPr>
      <w:r>
        <w:rPr>
          <w:rFonts w:hAnsi="宋体" w:cs="宋体"/>
          <w:sz w:val="24"/>
          <w:szCs w:val="24"/>
        </w:rPr>
        <w:t>磋商小组资格审查结束后，向采购</w:t>
      </w:r>
      <w:r>
        <w:rPr>
          <w:rFonts w:hAnsi="宋体" w:cs="宋体"/>
          <w:sz w:val="24"/>
          <w:szCs w:val="24"/>
          <w:lang w:val="zh-CN"/>
        </w:rPr>
        <w:t>代理机构</w:t>
      </w:r>
      <w:r>
        <w:rPr>
          <w:rFonts w:hAnsi="宋体" w:cs="宋体"/>
          <w:sz w:val="24"/>
          <w:szCs w:val="24"/>
        </w:rPr>
        <w:t>出具资格审查报告，确定参加磋商的供应商名单。没有通过资格审查的供应商，磋商小组应在资格审查报告中说明原因。</w:t>
      </w:r>
    </w:p>
    <w:p w14:paraId="3A68CF40">
      <w:pPr>
        <w:pStyle w:val="25"/>
        <w:snapToGrid w:val="0"/>
        <w:spacing w:line="360" w:lineRule="auto"/>
        <w:ind w:firstLine="480" w:firstLineChars="200"/>
        <w:rPr>
          <w:rFonts w:hint="default" w:hAnsi="宋体" w:cs="宋体"/>
          <w:sz w:val="24"/>
          <w:szCs w:val="24"/>
        </w:rPr>
      </w:pPr>
      <w:r>
        <w:rPr>
          <w:rFonts w:hAnsi="宋体" w:cs="宋体"/>
          <w:sz w:val="24"/>
          <w:szCs w:val="24"/>
        </w:rPr>
        <w:t>3.2 采购</w:t>
      </w:r>
      <w:r>
        <w:rPr>
          <w:rFonts w:hAnsi="宋体" w:cs="宋体"/>
          <w:sz w:val="24"/>
          <w:szCs w:val="24"/>
          <w:lang w:val="zh-CN"/>
        </w:rPr>
        <w:t>代理机构</w:t>
      </w:r>
      <w:r>
        <w:rPr>
          <w:rFonts w:hAnsi="宋体" w:cs="宋体"/>
          <w:sz w:val="24"/>
          <w:szCs w:val="24"/>
        </w:rPr>
        <w:t>组织磋商小组成员按磋商文件规定集中与通过资格审查的供应商分别进行磋商。</w:t>
      </w:r>
    </w:p>
    <w:p w14:paraId="2C830D52">
      <w:pPr>
        <w:pStyle w:val="25"/>
        <w:snapToGrid w:val="0"/>
        <w:spacing w:line="360" w:lineRule="auto"/>
        <w:ind w:firstLine="480" w:firstLineChars="200"/>
        <w:rPr>
          <w:rFonts w:hint="default" w:hAnsi="宋体" w:cs="宋体"/>
          <w:sz w:val="24"/>
          <w:szCs w:val="24"/>
        </w:rPr>
      </w:pPr>
      <w:r>
        <w:rPr>
          <w:rFonts w:hAnsi="宋体" w:cs="宋体"/>
          <w:sz w:val="24"/>
          <w:szCs w:val="24"/>
        </w:rPr>
        <w:t>3.3 磋商小组经采购单位代表确认后，可以根据磋商情况实质性变动采购需求中的技术、服务要求以及合同草案条款，并将变更的内容及时以书面形式通知所有参加磋商的供应商，变动通知为本次磋商文件的有效组成部分。</w:t>
      </w:r>
    </w:p>
    <w:p w14:paraId="6EB4E2FF">
      <w:pPr>
        <w:pStyle w:val="25"/>
        <w:snapToGrid w:val="0"/>
        <w:spacing w:line="360" w:lineRule="auto"/>
        <w:ind w:firstLine="480" w:firstLineChars="200"/>
        <w:rPr>
          <w:rFonts w:hint="default" w:hAnsi="宋体" w:cs="宋体"/>
          <w:sz w:val="24"/>
          <w:szCs w:val="24"/>
        </w:rPr>
      </w:pPr>
      <w:r>
        <w:rPr>
          <w:rFonts w:hAnsi="宋体" w:cs="宋体"/>
          <w:sz w:val="24"/>
          <w:szCs w:val="24"/>
        </w:rPr>
        <w:t>3.4 磋商过程中，供应商可以根据磋商情况变更其响应文件，并将变更内容形成书面材料送磋商小组。变更内容应作为响应文件的一部分。</w:t>
      </w:r>
    </w:p>
    <w:p w14:paraId="3165FB40">
      <w:pPr>
        <w:pStyle w:val="25"/>
        <w:snapToGrid w:val="0"/>
        <w:spacing w:line="360" w:lineRule="auto"/>
        <w:ind w:firstLine="480" w:firstLineChars="200"/>
        <w:rPr>
          <w:rFonts w:hint="default" w:hAnsi="宋体" w:cs="宋体"/>
          <w:sz w:val="24"/>
          <w:szCs w:val="24"/>
        </w:rPr>
      </w:pPr>
      <w:r>
        <w:rPr>
          <w:rFonts w:hAnsi="宋体" w:cs="宋体"/>
          <w:sz w:val="24"/>
          <w:szCs w:val="24"/>
        </w:rPr>
        <w:t>供应商书面材料应当签字确认，否则无效。供应商为法人的，应当由其法定代表人或者代理人签字确认。</w:t>
      </w:r>
    </w:p>
    <w:p w14:paraId="51565EFF">
      <w:pPr>
        <w:tabs>
          <w:tab w:val="left" w:pos="8787"/>
        </w:tabs>
        <w:spacing w:line="360" w:lineRule="auto"/>
        <w:ind w:firstLine="480"/>
        <w:rPr>
          <w:rFonts w:ascii="宋体" w:hAnsi="宋体" w:cs="宋体"/>
        </w:rPr>
      </w:pPr>
      <w:r>
        <w:rPr>
          <w:rFonts w:hint="eastAsia" w:ascii="宋体" w:hAnsi="宋体" w:cs="宋体"/>
        </w:rPr>
        <w:t>3.5 磋商达到供应商响应文件符合采购需求、质量和服务要求的前提下，磋商小组应要求供应商进行最后报价。</w:t>
      </w:r>
      <w:r>
        <w:rPr>
          <w:rFonts w:ascii="宋体" w:hAnsi="宋体" w:eastAsia="宋体" w:cs="Times New Roman"/>
          <w:color w:val="auto"/>
          <w:sz w:val="24"/>
          <w:szCs w:val="24"/>
        </w:rPr>
        <w:t>应当在</w:t>
      </w:r>
      <w:r>
        <w:rPr>
          <w:rFonts w:hint="eastAsia" w:ascii="宋体" w:hAnsi="宋体" w:eastAsia="宋体" w:cs="Times New Roman"/>
          <w:color w:val="auto"/>
          <w:sz w:val="24"/>
          <w:szCs w:val="24"/>
        </w:rPr>
        <w:t>政采云平台（https</w:t>
      </w:r>
      <w:r>
        <w:rPr>
          <w:rFonts w:hint="eastAsia" w:hAnsi="宋体" w:cs="Times New Roman"/>
          <w:color w:val="auto"/>
          <w:sz w:val="24"/>
          <w:szCs w:val="24"/>
          <w:lang w:eastAsia="zh-CN"/>
        </w:rPr>
        <w:t>：</w:t>
      </w:r>
      <w:r>
        <w:rPr>
          <w:rFonts w:hint="eastAsia" w:ascii="宋体" w:hAnsi="宋体" w:eastAsia="宋体" w:cs="Times New Roman"/>
          <w:color w:val="auto"/>
          <w:sz w:val="24"/>
          <w:szCs w:val="24"/>
        </w:rPr>
        <w:t>//www.zcygov.cn/ ）线上填写</w:t>
      </w:r>
      <w:r>
        <w:rPr>
          <w:rFonts w:ascii="宋体" w:hAnsi="宋体" w:eastAsia="宋体" w:cs="Times New Roman"/>
          <w:color w:val="auto"/>
          <w:sz w:val="24"/>
          <w:szCs w:val="24"/>
        </w:rPr>
        <w:t>。</w:t>
      </w:r>
      <w:r>
        <w:rPr>
          <w:rFonts w:hAnsi="宋体"/>
          <w:b/>
          <w:bCs/>
          <w:color w:val="auto"/>
        </w:rPr>
        <w:t>供应商</w:t>
      </w:r>
      <w:r>
        <w:rPr>
          <w:rFonts w:hint="eastAsia" w:hAnsi="宋体"/>
          <w:b/>
          <w:bCs/>
          <w:color w:val="auto"/>
        </w:rPr>
        <w:t>未</w:t>
      </w:r>
      <w:r>
        <w:rPr>
          <w:rFonts w:hint="eastAsia" w:ascii="宋体" w:hAnsi="宋体" w:cs="宋体"/>
          <w:b/>
          <w:bCs/>
          <w:color w:val="auto"/>
        </w:rPr>
        <w:t>在政采云平台（https://www.zcygov.cn/）上按规定的时间填写最后报价</w:t>
      </w:r>
      <w:r>
        <w:rPr>
          <w:rFonts w:hint="eastAsia" w:ascii="宋体" w:hAnsi="宋体" w:cs="宋体"/>
          <w:b/>
          <w:bCs/>
          <w:color w:val="auto"/>
          <w:lang w:val="zh-CN"/>
        </w:rPr>
        <w:t>的，</w:t>
      </w:r>
      <w:r>
        <w:rPr>
          <w:rFonts w:hint="eastAsia" w:ascii="宋体" w:hAnsi="宋体" w:cs="宋体"/>
          <w:b/>
          <w:bCs/>
          <w:color w:val="auto"/>
        </w:rPr>
        <w:t>视为自动放弃填写最终报价表。</w:t>
      </w:r>
    </w:p>
    <w:p w14:paraId="0E02D4F7">
      <w:pPr>
        <w:pStyle w:val="25"/>
        <w:snapToGrid w:val="0"/>
        <w:spacing w:line="360" w:lineRule="auto"/>
        <w:ind w:firstLine="480" w:firstLineChars="200"/>
        <w:rPr>
          <w:rFonts w:hint="default" w:hAnsi="宋体" w:cs="宋体"/>
          <w:sz w:val="24"/>
          <w:szCs w:val="24"/>
        </w:rPr>
      </w:pPr>
      <w:r>
        <w:rPr>
          <w:rFonts w:hAnsi="宋体" w:cs="宋体"/>
          <w:sz w:val="24"/>
          <w:szCs w:val="24"/>
        </w:rPr>
        <w:t>供应商响应文件满足或者高于磋商文件规定的采购项目最低要求时，即视同供应商响应文件符合采购需求、质量和服务。</w:t>
      </w:r>
    </w:p>
    <w:p w14:paraId="13CC405A">
      <w:pPr>
        <w:pStyle w:val="25"/>
        <w:snapToGrid w:val="0"/>
        <w:spacing w:line="360" w:lineRule="auto"/>
        <w:ind w:firstLine="480" w:firstLineChars="200"/>
        <w:rPr>
          <w:rFonts w:hint="default" w:hAnsi="宋体" w:cs="宋体"/>
          <w:sz w:val="24"/>
          <w:szCs w:val="24"/>
        </w:rPr>
      </w:pPr>
      <w:r>
        <w:rPr>
          <w:rFonts w:hAnsi="宋体" w:cs="宋体"/>
          <w:sz w:val="24"/>
          <w:szCs w:val="24"/>
        </w:rPr>
        <w:t>3.6 磋商小组经过磋商后，供应商响应文件仍然不能满足磋商文件规定的采购项目最低要求的，或者磋商过程中，磋商小组发现或者知晓供应商存在违法、违纪行为的，磋商小组应当将该供应商淘汰，不允许其参加最后报价。</w:t>
      </w:r>
    </w:p>
    <w:p w14:paraId="0EF1F42B">
      <w:pPr>
        <w:pStyle w:val="25"/>
        <w:snapToGrid w:val="0"/>
        <w:spacing w:line="360" w:lineRule="auto"/>
        <w:ind w:firstLine="480" w:firstLineChars="200"/>
        <w:rPr>
          <w:rFonts w:hint="default" w:hAnsi="宋体" w:cs="宋体"/>
          <w:sz w:val="24"/>
          <w:szCs w:val="24"/>
        </w:rPr>
      </w:pPr>
      <w:r>
        <w:rPr>
          <w:rFonts w:hAnsi="宋体" w:cs="宋体"/>
          <w:sz w:val="24"/>
          <w:szCs w:val="24"/>
        </w:rPr>
        <w:t>磋商小组淘汰供应商的，应当书面通知该供应商，并说明理由。</w:t>
      </w:r>
    </w:p>
    <w:p w14:paraId="13191777">
      <w:pPr>
        <w:pStyle w:val="25"/>
        <w:snapToGrid w:val="0"/>
        <w:spacing w:line="360" w:lineRule="auto"/>
        <w:ind w:firstLine="480" w:firstLineChars="200"/>
        <w:rPr>
          <w:rFonts w:hint="default" w:hAnsi="宋体" w:cs="宋体"/>
          <w:sz w:val="24"/>
          <w:szCs w:val="24"/>
        </w:rPr>
      </w:pPr>
      <w:r>
        <w:rPr>
          <w:rFonts w:hAnsi="宋体" w:cs="宋体"/>
          <w:sz w:val="24"/>
          <w:szCs w:val="24"/>
        </w:rPr>
        <w:t>3.7 在磋商中，磋商的任何一方不得透露与磋商有关的其他供应商的技术资料、价格和其他信息。</w:t>
      </w:r>
    </w:p>
    <w:p w14:paraId="4A63D2AB">
      <w:pPr>
        <w:pStyle w:val="25"/>
        <w:snapToGrid w:val="0"/>
        <w:spacing w:line="360" w:lineRule="auto"/>
        <w:ind w:firstLine="480" w:firstLineChars="200"/>
        <w:rPr>
          <w:rFonts w:hint="default" w:hAnsi="宋体" w:cs="宋体"/>
          <w:sz w:val="24"/>
          <w:szCs w:val="24"/>
        </w:rPr>
      </w:pPr>
      <w:r>
        <w:rPr>
          <w:rFonts w:hAnsi="宋体" w:cs="宋体"/>
          <w:sz w:val="24"/>
          <w:szCs w:val="24"/>
        </w:rPr>
        <w:t>3.8 经磋商确定最终采购需求和提交最后报价的供应商后，由磋商小组采用综合评分法对提交最后报价的供应商的响应文件和最后报价进行综合评分。</w:t>
      </w:r>
    </w:p>
    <w:p w14:paraId="262E9946">
      <w:pPr>
        <w:pStyle w:val="25"/>
        <w:snapToGrid w:val="0"/>
        <w:spacing w:line="360" w:lineRule="auto"/>
        <w:ind w:firstLine="480" w:firstLineChars="200"/>
        <w:rPr>
          <w:rFonts w:hint="default" w:hAnsi="宋体" w:cs="宋体"/>
          <w:sz w:val="24"/>
          <w:szCs w:val="24"/>
        </w:rPr>
      </w:pPr>
      <w:r>
        <w:rPr>
          <w:rFonts w:hAnsi="宋体" w:cs="宋体"/>
          <w:sz w:val="24"/>
          <w:szCs w:val="24"/>
        </w:rPr>
        <w:t>3.9</w:t>
      </w:r>
      <w:r>
        <w:rPr>
          <w:rFonts w:hint="eastAsia" w:hAnsi="宋体" w:cs="宋体"/>
          <w:sz w:val="24"/>
          <w:szCs w:val="24"/>
          <w:lang w:val="en-US" w:eastAsia="zh-CN"/>
        </w:rPr>
        <w:t xml:space="preserve"> </w:t>
      </w:r>
      <w:r>
        <w:rPr>
          <w:rFonts w:hAnsi="宋体" w:cs="宋体"/>
          <w:sz w:val="24"/>
          <w:szCs w:val="24"/>
        </w:rPr>
        <w:t>综合评分表；</w:t>
      </w:r>
    </w:p>
    <w:p w14:paraId="21D64F6E">
      <w:pPr>
        <w:pStyle w:val="25"/>
        <w:snapToGrid w:val="0"/>
        <w:ind w:firstLine="480" w:firstLineChars="200"/>
        <w:rPr>
          <w:rFonts w:hint="default" w:hAnsi="宋体" w:cs="宋体"/>
          <w:sz w:val="24"/>
          <w:szCs w:val="24"/>
        </w:rPr>
      </w:pPr>
      <w:r>
        <w:rPr>
          <w:rFonts w:hAnsi="宋体" w:cs="宋体"/>
          <w:sz w:val="24"/>
          <w:szCs w:val="24"/>
        </w:rPr>
        <w:t>评分标准：</w:t>
      </w:r>
    </w:p>
    <w:tbl>
      <w:tblPr>
        <w:tblStyle w:val="45"/>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676"/>
        <w:gridCol w:w="876"/>
        <w:gridCol w:w="5304"/>
      </w:tblGrid>
      <w:tr w14:paraId="0BDE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6" w:type="dxa"/>
            <w:shd w:val="clear" w:color="000000" w:fill="FFFFFF"/>
            <w:noWrap w:val="0"/>
            <w:vAlign w:val="center"/>
          </w:tcPr>
          <w:p w14:paraId="03BB782E">
            <w:pPr>
              <w:autoSpaceDE w:val="0"/>
              <w:autoSpaceDN w:val="0"/>
              <w:adjustRightInd w:val="0"/>
              <w:spacing w:line="400" w:lineRule="exact"/>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类别</w:t>
            </w:r>
          </w:p>
        </w:tc>
        <w:tc>
          <w:tcPr>
            <w:tcW w:w="1676" w:type="dxa"/>
            <w:shd w:val="clear" w:color="000000" w:fill="FFFFFF"/>
            <w:noWrap w:val="0"/>
            <w:vAlign w:val="center"/>
          </w:tcPr>
          <w:p w14:paraId="59856DEF">
            <w:pPr>
              <w:autoSpaceDE w:val="0"/>
              <w:autoSpaceDN w:val="0"/>
              <w:adjustRightInd w:val="0"/>
              <w:spacing w:line="400" w:lineRule="exact"/>
              <w:ind w:firstLine="480"/>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项目</w:t>
            </w:r>
          </w:p>
        </w:tc>
        <w:tc>
          <w:tcPr>
            <w:tcW w:w="876" w:type="dxa"/>
            <w:shd w:val="clear" w:color="000000" w:fill="FFFFFF"/>
            <w:noWrap w:val="0"/>
            <w:vAlign w:val="center"/>
          </w:tcPr>
          <w:p w14:paraId="7DB1FD86">
            <w:pPr>
              <w:autoSpaceDE w:val="0"/>
              <w:autoSpaceDN w:val="0"/>
              <w:adjustRightInd w:val="0"/>
              <w:spacing w:line="400" w:lineRule="exact"/>
              <w:jc w:val="left"/>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满分 分值</w:t>
            </w:r>
          </w:p>
        </w:tc>
        <w:tc>
          <w:tcPr>
            <w:tcW w:w="5304" w:type="dxa"/>
            <w:shd w:val="clear" w:color="000000" w:fill="FFFFFF"/>
            <w:noWrap w:val="0"/>
            <w:vAlign w:val="center"/>
          </w:tcPr>
          <w:p w14:paraId="4D50F73D">
            <w:pPr>
              <w:autoSpaceDE w:val="0"/>
              <w:autoSpaceDN w:val="0"/>
              <w:adjustRightInd w:val="0"/>
              <w:spacing w:line="400" w:lineRule="exact"/>
              <w:jc w:val="center"/>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评审标准</w:t>
            </w:r>
          </w:p>
        </w:tc>
      </w:tr>
      <w:tr w14:paraId="10CE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1176" w:type="dxa"/>
            <w:shd w:val="clear" w:color="000000" w:fill="FFFFFF"/>
            <w:noWrap w:val="0"/>
            <w:vAlign w:val="center"/>
          </w:tcPr>
          <w:p w14:paraId="728BE500">
            <w:pPr>
              <w:autoSpaceDE w:val="0"/>
              <w:autoSpaceDN w:val="0"/>
              <w:adjustRightInd w:val="0"/>
              <w:spacing w:line="400" w:lineRule="exact"/>
              <w:jc w:val="center"/>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投标报价</w:t>
            </w: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kern w:val="0"/>
                <w:sz w:val="24"/>
                <w:szCs w:val="24"/>
                <w:lang w:val="en-US" w:eastAsia="zh-CN"/>
              </w:rPr>
              <w:t>0</w:t>
            </w:r>
            <w:r>
              <w:rPr>
                <w:rFonts w:hint="eastAsia" w:asciiTheme="minorEastAsia" w:hAnsiTheme="minorEastAsia" w:eastAsiaTheme="minorEastAsia" w:cstheme="minorEastAsia"/>
                <w:color w:val="000000"/>
                <w:kern w:val="0"/>
                <w:sz w:val="24"/>
                <w:szCs w:val="24"/>
                <w:lang w:val="zh-CN"/>
              </w:rPr>
              <w:t>分</w:t>
            </w:r>
          </w:p>
        </w:tc>
        <w:tc>
          <w:tcPr>
            <w:tcW w:w="1676" w:type="dxa"/>
            <w:shd w:val="clear" w:color="000000" w:fill="FFFFFF"/>
            <w:noWrap w:val="0"/>
            <w:vAlign w:val="center"/>
          </w:tcPr>
          <w:p w14:paraId="4EAD309D">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报价分</w:t>
            </w:r>
          </w:p>
        </w:tc>
        <w:tc>
          <w:tcPr>
            <w:tcW w:w="876" w:type="dxa"/>
            <w:shd w:val="clear" w:color="000000" w:fill="FFFFFF"/>
            <w:noWrap w:val="0"/>
            <w:vAlign w:val="center"/>
          </w:tcPr>
          <w:p w14:paraId="715FF4A7">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30</w:t>
            </w:r>
          </w:p>
        </w:tc>
        <w:tc>
          <w:tcPr>
            <w:tcW w:w="5304" w:type="dxa"/>
            <w:shd w:val="clear" w:color="000000" w:fill="FFFFFF"/>
            <w:noWrap w:val="0"/>
            <w:vAlign w:val="center"/>
          </w:tcPr>
          <w:p w14:paraId="76850403">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在所有的有效投标报价中，以最低投标报价为基准价，其价格分为满分。其他投标人的报价分统一按下列公式计算：投标报价得分=(评标基准价／投标报价)×价格权值（3</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lang w:val="zh-CN"/>
              </w:rPr>
              <w:t>%）×100（四舍五入后保留小数点后两位）。</w:t>
            </w:r>
          </w:p>
          <w:p w14:paraId="75604D1E">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注：</w:t>
            </w:r>
          </w:p>
          <w:p w14:paraId="26FA708F">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zh-CN"/>
              </w:rPr>
              <w:t>根据《政府采购促进中小企业发展暂行办法》的相关规定，对小型和微型企业制造（生产）产品的价格给予10%的扣除，用扣除后的价格参与评审。残疾人福利性单位属于小型、微型企业的，不重复享受政策。（注：1、专门面向中小企业采购的项目不适用本条；2、未预留份额专门面向中小企业采购的采购项目，以及预留份额项目中的非预留部分采购包适用本条。）</w:t>
            </w:r>
          </w:p>
          <w:p w14:paraId="1C9B0FCF">
            <w:pPr>
              <w:pStyle w:val="41"/>
              <w:widowControl/>
              <w:spacing w:before="0" w:beforeAutospacing="0" w:after="0" w:afterAutospacing="0" w:line="460" w:lineRule="exact"/>
              <w:jc w:val="both"/>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bidi="ar-SA"/>
              </w:rPr>
              <w:t>2、</w:t>
            </w:r>
            <w:r>
              <w:rPr>
                <w:rFonts w:hint="eastAsia" w:asciiTheme="minorEastAsia" w:hAnsiTheme="minorEastAsia" w:eastAsiaTheme="minorEastAsia" w:cstheme="minorEastAsia"/>
                <w:color w:val="000000"/>
                <w:sz w:val="24"/>
                <w:szCs w:val="24"/>
                <w:lang w:val="zh-CN" w:eastAsia="zh-CN" w:bidi="ar-SA"/>
              </w:rPr>
              <w:t>根据《国务院办公厅关于在政府采购中实施本国产品标准及相关政策的通知》国办发〔202</w:t>
            </w:r>
            <w:r>
              <w:rPr>
                <w:rFonts w:hint="eastAsia" w:asciiTheme="minorEastAsia" w:hAnsiTheme="minorEastAsia" w:eastAsiaTheme="minorEastAsia" w:cstheme="minorEastAsia"/>
                <w:color w:val="000000"/>
                <w:sz w:val="24"/>
                <w:szCs w:val="24"/>
                <w:lang w:val="en-US" w:eastAsia="zh-CN" w:bidi="ar-SA"/>
              </w:rPr>
              <w:t>5</w:t>
            </w:r>
            <w:r>
              <w:rPr>
                <w:rFonts w:hint="eastAsia" w:asciiTheme="minorEastAsia" w:hAnsiTheme="minorEastAsia" w:eastAsiaTheme="minorEastAsia" w:cstheme="minorEastAsia"/>
                <w:color w:val="000000"/>
                <w:sz w:val="24"/>
                <w:szCs w:val="24"/>
                <w:lang w:val="zh-CN" w:eastAsia="zh-CN" w:bidi="ar-SA"/>
              </w:rPr>
              <w:t>〕34号文件</w:t>
            </w:r>
            <w:r>
              <w:rPr>
                <w:rFonts w:hint="eastAsia" w:asciiTheme="minorEastAsia" w:hAnsiTheme="minorEastAsia" w:eastAsiaTheme="minorEastAsia" w:cstheme="minorEastAsia"/>
                <w:color w:val="000000"/>
                <w:sz w:val="24"/>
                <w:szCs w:val="24"/>
                <w:lang w:val="zh-CN" w:eastAsia="zh-CN"/>
              </w:rPr>
              <w:t>政府采购活动中既有本国产品又有非本国产品参与竞争的，依法对本国产品给予价格评审优惠，对本国产品的报价给予20%的价格扣除，用扣除后的价格参与评审。</w:t>
            </w:r>
          </w:p>
          <w:p w14:paraId="7669F685">
            <w:pPr>
              <w:autoSpaceDE w:val="0"/>
              <w:autoSpaceDN w:val="0"/>
              <w:adjustRightInd w:val="0"/>
              <w:spacing w:line="400" w:lineRule="exact"/>
              <w:jc w:val="left"/>
              <w:rPr>
                <w:rFonts w:hint="eastAsia"/>
                <w:lang w:val="zh-CN"/>
              </w:rPr>
            </w:pPr>
            <w:r>
              <w:rPr>
                <w:rFonts w:hint="eastAsia" w:asciiTheme="minorEastAsia" w:hAnsiTheme="minorEastAsia" w:eastAsiaTheme="minorEastAsia" w:cstheme="minorEastAsia"/>
                <w:color w:val="000000"/>
                <w:sz w:val="24"/>
                <w:szCs w:val="24"/>
                <w:lang w:val="zh-CN"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476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76" w:type="dxa"/>
            <w:shd w:val="clear" w:color="000000" w:fill="FFFFFF"/>
            <w:noWrap w:val="0"/>
            <w:vAlign w:val="center"/>
          </w:tcPr>
          <w:p w14:paraId="6B9EF42E">
            <w:pPr>
              <w:autoSpaceDE w:val="0"/>
              <w:autoSpaceDN w:val="0"/>
              <w:adjustRightInd w:val="0"/>
              <w:spacing w:line="400" w:lineRule="exact"/>
              <w:jc w:val="center"/>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履约能力</w:t>
            </w:r>
          </w:p>
          <w:p w14:paraId="56A98B76">
            <w:pPr>
              <w:autoSpaceDE w:val="0"/>
              <w:autoSpaceDN w:val="0"/>
              <w:adjustRightInd w:val="0"/>
              <w:spacing w:line="400" w:lineRule="exact"/>
              <w:jc w:val="center"/>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lang w:val="zh-CN"/>
              </w:rPr>
              <w:t>分</w:t>
            </w:r>
          </w:p>
        </w:tc>
        <w:tc>
          <w:tcPr>
            <w:tcW w:w="1676" w:type="dxa"/>
            <w:shd w:val="clear" w:color="000000" w:fill="FFFFFF"/>
            <w:noWrap w:val="0"/>
            <w:vAlign w:val="center"/>
          </w:tcPr>
          <w:p w14:paraId="5510C462">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p>
          <w:p w14:paraId="7CD43155">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业绩情况</w:t>
            </w:r>
          </w:p>
          <w:p w14:paraId="044DC336">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p>
        </w:tc>
        <w:tc>
          <w:tcPr>
            <w:tcW w:w="876" w:type="dxa"/>
            <w:shd w:val="clear" w:color="000000" w:fill="FFFFFF"/>
            <w:noWrap w:val="0"/>
            <w:vAlign w:val="center"/>
          </w:tcPr>
          <w:p w14:paraId="2B52BF69">
            <w:pPr>
              <w:autoSpaceDE w:val="0"/>
              <w:autoSpaceDN w:val="0"/>
              <w:adjustRightInd w:val="0"/>
              <w:spacing w:line="400" w:lineRule="exact"/>
              <w:jc w:val="center"/>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2</w:t>
            </w:r>
          </w:p>
        </w:tc>
        <w:tc>
          <w:tcPr>
            <w:tcW w:w="5304" w:type="dxa"/>
            <w:shd w:val="clear" w:color="000000" w:fill="FFFFFF"/>
            <w:noWrap w:val="0"/>
            <w:vAlign w:val="center"/>
          </w:tcPr>
          <w:p w14:paraId="755C4113">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提供自202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zh-CN"/>
              </w:rPr>
              <w:t>年以来的</w:t>
            </w:r>
            <w:r>
              <w:rPr>
                <w:rFonts w:hint="eastAsia" w:asciiTheme="minorEastAsia" w:hAnsiTheme="minorEastAsia" w:eastAsiaTheme="minorEastAsia" w:cstheme="minorEastAsia"/>
                <w:color w:val="000000"/>
                <w:sz w:val="24"/>
                <w:szCs w:val="24"/>
                <w:lang w:val="en-US" w:eastAsia="zh-CN"/>
              </w:rPr>
              <w:t>类似</w:t>
            </w:r>
            <w:r>
              <w:rPr>
                <w:rFonts w:hint="eastAsia" w:asciiTheme="minorEastAsia" w:hAnsiTheme="minorEastAsia" w:eastAsiaTheme="minorEastAsia" w:cstheme="minorEastAsia"/>
                <w:color w:val="000000"/>
                <w:sz w:val="24"/>
                <w:szCs w:val="24"/>
                <w:lang w:val="zh-CN"/>
              </w:rPr>
              <w:t>业绩证明材料。每提供1项得</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zh-CN"/>
              </w:rPr>
              <w:t>分；满分</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zh-CN"/>
              </w:rPr>
              <w:t>分，不提供不得分。(需提供包含合同首页、标的及金额所在页、合同签字盖章页或中标通知书的扫描件或复印件)</w:t>
            </w:r>
          </w:p>
        </w:tc>
      </w:tr>
      <w:tr w14:paraId="1841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76" w:type="dxa"/>
            <w:vMerge w:val="restart"/>
            <w:shd w:val="clear" w:color="000000" w:fill="FFFFFF"/>
            <w:noWrap w:val="0"/>
            <w:vAlign w:val="center"/>
          </w:tcPr>
          <w:p w14:paraId="67A5DEDD">
            <w:pPr>
              <w:autoSpaceDE w:val="0"/>
              <w:autoSpaceDN w:val="0"/>
              <w:adjustRightInd w:val="0"/>
              <w:spacing w:line="400" w:lineRule="exact"/>
              <w:jc w:val="center"/>
              <w:rPr>
                <w:rFonts w:hint="eastAsia" w:asciiTheme="minorEastAsia" w:hAnsiTheme="minorEastAsia" w:eastAsiaTheme="minorEastAsia" w:cstheme="minorEastAsia"/>
                <w:color w:val="000000"/>
                <w:kern w:val="0"/>
                <w:sz w:val="24"/>
                <w:szCs w:val="24"/>
                <w:lang w:val="zh-CN"/>
              </w:rPr>
            </w:pPr>
            <w:r>
              <w:rPr>
                <w:rFonts w:hint="eastAsia" w:asciiTheme="minorEastAsia" w:hAnsiTheme="minorEastAsia" w:eastAsiaTheme="minorEastAsia" w:cstheme="minorEastAsia"/>
                <w:color w:val="000000"/>
                <w:kern w:val="0"/>
                <w:sz w:val="24"/>
                <w:szCs w:val="24"/>
                <w:lang w:val="zh-CN"/>
              </w:rPr>
              <w:t>技术部分</w:t>
            </w:r>
            <w:r>
              <w:rPr>
                <w:rFonts w:hint="eastAsia" w:asciiTheme="minorEastAsia" w:hAnsiTheme="minorEastAsia" w:eastAsiaTheme="minorEastAsia" w:cstheme="minorEastAsia"/>
                <w:color w:val="000000"/>
                <w:kern w:val="0"/>
                <w:sz w:val="24"/>
                <w:szCs w:val="24"/>
                <w:lang w:val="en-US" w:eastAsia="zh-CN"/>
              </w:rPr>
              <w:t>60</w:t>
            </w:r>
            <w:r>
              <w:rPr>
                <w:rFonts w:hint="eastAsia" w:asciiTheme="minorEastAsia" w:hAnsiTheme="minorEastAsia" w:eastAsiaTheme="minorEastAsia" w:cstheme="minorEastAsia"/>
                <w:color w:val="000000"/>
                <w:kern w:val="0"/>
                <w:sz w:val="24"/>
                <w:szCs w:val="24"/>
              </w:rPr>
              <w:t>分</w:t>
            </w:r>
          </w:p>
          <w:p w14:paraId="74EA4BBA">
            <w:pPr>
              <w:pStyle w:val="248"/>
              <w:spacing w:line="360" w:lineRule="exact"/>
              <w:ind w:left="153"/>
              <w:jc w:val="both"/>
              <w:rPr>
                <w:rFonts w:hint="eastAsia" w:asciiTheme="minorEastAsia" w:hAnsiTheme="minorEastAsia" w:eastAsiaTheme="minorEastAsia" w:cstheme="minorEastAsia"/>
                <w:color w:val="000000"/>
                <w:kern w:val="0"/>
                <w:sz w:val="24"/>
                <w:szCs w:val="24"/>
              </w:rPr>
            </w:pPr>
          </w:p>
        </w:tc>
        <w:tc>
          <w:tcPr>
            <w:tcW w:w="1676" w:type="dxa"/>
            <w:shd w:val="clear" w:color="000000" w:fill="FFFFFF"/>
            <w:noWrap w:val="0"/>
            <w:vAlign w:val="center"/>
          </w:tcPr>
          <w:p w14:paraId="1CA1B802">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技术参数</w:t>
            </w:r>
          </w:p>
        </w:tc>
        <w:tc>
          <w:tcPr>
            <w:tcW w:w="876" w:type="dxa"/>
            <w:shd w:val="clear" w:color="000000" w:fill="FFFFFF"/>
            <w:noWrap w:val="0"/>
            <w:vAlign w:val="center"/>
          </w:tcPr>
          <w:p w14:paraId="7A0222D2">
            <w:pPr>
              <w:autoSpaceDE w:val="0"/>
              <w:autoSpaceDN w:val="0"/>
              <w:adjustRightInd w:val="0"/>
              <w:spacing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w:t>
            </w:r>
          </w:p>
        </w:tc>
        <w:tc>
          <w:tcPr>
            <w:tcW w:w="5304" w:type="dxa"/>
            <w:shd w:val="clear" w:color="000000" w:fill="FFFFFF"/>
            <w:noWrap w:val="0"/>
            <w:vAlign w:val="center"/>
          </w:tcPr>
          <w:p w14:paraId="5BE17D01">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投标产品技术参数和配置完全满足或高于</w:t>
            </w:r>
            <w:r>
              <w:rPr>
                <w:rFonts w:hint="eastAsia" w:asciiTheme="minorEastAsia" w:hAnsiTheme="minorEastAsia" w:eastAsiaTheme="minorEastAsia" w:cstheme="minorEastAsia"/>
                <w:color w:val="000000"/>
                <w:sz w:val="24"/>
                <w:szCs w:val="24"/>
                <w:lang w:val="en-US" w:eastAsia="zh-CN"/>
              </w:rPr>
              <w:t>招标</w:t>
            </w:r>
            <w:r>
              <w:rPr>
                <w:rFonts w:hint="eastAsia" w:asciiTheme="minorEastAsia" w:hAnsiTheme="minorEastAsia" w:eastAsiaTheme="minorEastAsia" w:cstheme="minorEastAsia"/>
                <w:color w:val="000000"/>
                <w:sz w:val="24"/>
                <w:szCs w:val="24"/>
                <w:lang w:val="zh-CN"/>
              </w:rPr>
              <w:t>文件要求的，最高得</w:t>
            </w:r>
            <w:r>
              <w:rPr>
                <w:rFonts w:hint="eastAsia" w:asciiTheme="minorEastAsia" w:hAnsiTheme="minorEastAsia" w:eastAsiaTheme="minorEastAsia" w:cstheme="minorEastAsia"/>
                <w:color w:val="000000"/>
                <w:sz w:val="24"/>
                <w:szCs w:val="24"/>
                <w:lang w:val="en-US" w:eastAsia="zh-CN"/>
              </w:rPr>
              <w:t>25</w:t>
            </w:r>
            <w:r>
              <w:rPr>
                <w:rFonts w:hint="eastAsia" w:asciiTheme="minorEastAsia" w:hAnsiTheme="minorEastAsia" w:eastAsiaTheme="minorEastAsia" w:cstheme="minorEastAsia"/>
                <w:color w:val="000000"/>
                <w:sz w:val="24"/>
                <w:szCs w:val="24"/>
                <w:lang w:val="zh-CN"/>
              </w:rPr>
              <w:t>分；所投产品技术参数，每有一项负偏离扣</w:t>
            </w:r>
            <w:r>
              <w:rPr>
                <w:rFonts w:hint="eastAsia" w:asciiTheme="minorEastAsia" w:hAnsiTheme="minorEastAsia" w:eastAsiaTheme="minorEastAsia" w:cstheme="minorEastAsia"/>
                <w:color w:val="000000"/>
                <w:sz w:val="24"/>
                <w:szCs w:val="24"/>
                <w:lang w:val="en-US" w:eastAsia="zh-CN"/>
              </w:rPr>
              <w:t>0.5</w:t>
            </w:r>
            <w:r>
              <w:rPr>
                <w:rFonts w:hint="eastAsia" w:asciiTheme="minorEastAsia" w:hAnsiTheme="minorEastAsia" w:eastAsiaTheme="minorEastAsia" w:cstheme="minorEastAsia"/>
                <w:color w:val="000000"/>
                <w:sz w:val="24"/>
                <w:szCs w:val="24"/>
                <w:lang w:val="zh-CN"/>
              </w:rPr>
              <w:t>分，直到扣完为止。</w:t>
            </w:r>
          </w:p>
        </w:tc>
      </w:tr>
      <w:tr w14:paraId="3B37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176" w:type="dxa"/>
            <w:vMerge w:val="continue"/>
            <w:shd w:val="clear" w:color="000000" w:fill="FFFFFF"/>
            <w:noWrap w:val="0"/>
            <w:vAlign w:val="center"/>
          </w:tcPr>
          <w:p w14:paraId="25853D38">
            <w:pPr>
              <w:autoSpaceDE w:val="0"/>
              <w:autoSpaceDN w:val="0"/>
              <w:adjustRightInd w:val="0"/>
              <w:spacing w:line="400" w:lineRule="exact"/>
              <w:jc w:val="left"/>
              <w:rPr>
                <w:rFonts w:hint="eastAsia" w:asciiTheme="minorEastAsia" w:hAnsiTheme="minorEastAsia" w:eastAsiaTheme="minorEastAsia" w:cstheme="minorEastAsia"/>
                <w:color w:val="000000"/>
                <w:kern w:val="0"/>
                <w:sz w:val="24"/>
                <w:szCs w:val="24"/>
                <w:lang w:val="zh-CN"/>
              </w:rPr>
            </w:pPr>
          </w:p>
        </w:tc>
        <w:tc>
          <w:tcPr>
            <w:tcW w:w="1676" w:type="dxa"/>
            <w:shd w:val="clear" w:color="000000" w:fill="FFFFFF"/>
            <w:noWrap w:val="0"/>
            <w:vAlign w:val="center"/>
          </w:tcPr>
          <w:p w14:paraId="752653E5">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环保和节能</w:t>
            </w:r>
          </w:p>
        </w:tc>
        <w:tc>
          <w:tcPr>
            <w:tcW w:w="876" w:type="dxa"/>
            <w:shd w:val="clear" w:color="000000" w:fill="FFFFFF"/>
            <w:noWrap w:val="0"/>
            <w:vAlign w:val="center"/>
          </w:tcPr>
          <w:p w14:paraId="62D34535">
            <w:pPr>
              <w:autoSpaceDE w:val="0"/>
              <w:autoSpaceDN w:val="0"/>
              <w:adjustRightInd w:val="0"/>
              <w:spacing w:line="400" w:lineRule="exact"/>
              <w:jc w:val="center"/>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en-US" w:eastAsia="zh-CN"/>
              </w:rPr>
              <w:t>1</w:t>
            </w:r>
          </w:p>
        </w:tc>
        <w:tc>
          <w:tcPr>
            <w:tcW w:w="5304" w:type="dxa"/>
            <w:shd w:val="clear" w:color="000000" w:fill="FFFFFF"/>
            <w:noWrap w:val="0"/>
            <w:vAlign w:val="center"/>
          </w:tcPr>
          <w:p w14:paraId="4C97D384">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所投产品为节能产品，得</w:t>
            </w:r>
            <w:r>
              <w:rPr>
                <w:rFonts w:hint="eastAsia" w:asciiTheme="minorEastAsia" w:hAnsiTheme="minorEastAsia" w:eastAsiaTheme="minorEastAsia" w:cstheme="minorEastAsia"/>
                <w:color w:val="000000"/>
                <w:sz w:val="24"/>
                <w:szCs w:val="24"/>
                <w:lang w:val="en-US" w:eastAsia="zh-CN"/>
              </w:rPr>
              <w:t>0.5</w:t>
            </w:r>
            <w:r>
              <w:rPr>
                <w:rFonts w:hint="eastAsia" w:asciiTheme="minorEastAsia" w:hAnsiTheme="minorEastAsia" w:eastAsiaTheme="minorEastAsia" w:cstheme="minorEastAsia"/>
                <w:color w:val="000000"/>
                <w:sz w:val="24"/>
                <w:szCs w:val="24"/>
                <w:lang w:val="zh-CN"/>
              </w:rPr>
              <w:t>分，所投产品为环保产品，得</w:t>
            </w:r>
            <w:r>
              <w:rPr>
                <w:rFonts w:hint="eastAsia" w:asciiTheme="minorEastAsia" w:hAnsiTheme="minorEastAsia" w:eastAsiaTheme="minorEastAsia" w:cstheme="minorEastAsia"/>
                <w:color w:val="000000"/>
                <w:sz w:val="24"/>
                <w:szCs w:val="24"/>
                <w:lang w:val="en-US" w:eastAsia="zh-CN"/>
              </w:rPr>
              <w:t>0.5</w:t>
            </w:r>
            <w:r>
              <w:rPr>
                <w:rFonts w:hint="eastAsia" w:asciiTheme="minorEastAsia" w:hAnsiTheme="minorEastAsia" w:eastAsiaTheme="minorEastAsia" w:cstheme="minorEastAsia"/>
                <w:color w:val="000000"/>
                <w:sz w:val="24"/>
                <w:szCs w:val="24"/>
                <w:lang w:val="zh-CN"/>
              </w:rPr>
              <w:t>分，未提供不得分。该项得分的认定以有效《中国节能产品认证证书》、《中国环境标志产品认证证书》复印件或扫描件为准，满分1分。</w:t>
            </w:r>
          </w:p>
        </w:tc>
      </w:tr>
      <w:tr w14:paraId="2EB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76" w:type="dxa"/>
            <w:vMerge w:val="continue"/>
            <w:shd w:val="clear" w:color="000000" w:fill="FFFFFF"/>
            <w:noWrap w:val="0"/>
            <w:vAlign w:val="center"/>
          </w:tcPr>
          <w:p w14:paraId="0F594EC8">
            <w:pPr>
              <w:autoSpaceDE w:val="0"/>
              <w:autoSpaceDN w:val="0"/>
              <w:adjustRightInd w:val="0"/>
              <w:spacing w:line="400" w:lineRule="exact"/>
              <w:jc w:val="left"/>
              <w:rPr>
                <w:rFonts w:hint="eastAsia" w:asciiTheme="minorEastAsia" w:hAnsiTheme="minorEastAsia" w:eastAsiaTheme="minorEastAsia" w:cstheme="minorEastAsia"/>
                <w:color w:val="000000"/>
                <w:kern w:val="0"/>
                <w:sz w:val="24"/>
                <w:szCs w:val="24"/>
                <w:lang w:val="zh-CN"/>
              </w:rPr>
            </w:pPr>
          </w:p>
        </w:tc>
        <w:tc>
          <w:tcPr>
            <w:tcW w:w="1676" w:type="dxa"/>
            <w:shd w:val="clear" w:color="000000" w:fill="FFFFFF"/>
            <w:noWrap w:val="0"/>
            <w:vAlign w:val="center"/>
          </w:tcPr>
          <w:p w14:paraId="1B4256AC">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项目管理及实施方案</w:t>
            </w:r>
          </w:p>
        </w:tc>
        <w:tc>
          <w:tcPr>
            <w:tcW w:w="876" w:type="dxa"/>
            <w:shd w:val="clear" w:color="000000" w:fill="FFFFFF"/>
            <w:noWrap w:val="0"/>
            <w:vAlign w:val="center"/>
          </w:tcPr>
          <w:p w14:paraId="7324E164">
            <w:pPr>
              <w:autoSpaceDE w:val="0"/>
              <w:autoSpaceDN w:val="0"/>
              <w:adjustRightInd w:val="0"/>
              <w:spacing w:line="400" w:lineRule="exact"/>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12</w:t>
            </w:r>
          </w:p>
        </w:tc>
        <w:tc>
          <w:tcPr>
            <w:tcW w:w="5304" w:type="dxa"/>
            <w:shd w:val="clear" w:color="000000" w:fill="FFFFFF"/>
            <w:noWrap w:val="0"/>
            <w:vAlign w:val="center"/>
          </w:tcPr>
          <w:p w14:paraId="3C06632D">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供应商针对本项目制定项目管理及实施方案，具体内容包括：①设置项目管理机构②有具体的项目管理措施③结合项目特点制定实施方案④突发事件处理措施等；上述</w:t>
            </w:r>
            <w:r>
              <w:rPr>
                <w:rFonts w:hint="eastAsia" w:asciiTheme="minorEastAsia" w:hAnsiTheme="minorEastAsia" w:eastAsiaTheme="minorEastAsia" w:cstheme="minorEastAsia"/>
                <w:color w:val="000000"/>
                <w:sz w:val="24"/>
                <w:szCs w:val="24"/>
                <w:lang w:val="en-US" w:eastAsia="zh-CN"/>
              </w:rPr>
              <w:t>四项内容</w:t>
            </w:r>
            <w:r>
              <w:rPr>
                <w:rFonts w:hint="eastAsia" w:asciiTheme="minorEastAsia" w:hAnsiTheme="minorEastAsia" w:eastAsiaTheme="minorEastAsia" w:cstheme="minorEastAsia"/>
                <w:color w:val="000000"/>
                <w:sz w:val="24"/>
                <w:szCs w:val="24"/>
                <w:lang w:val="zh-CN"/>
              </w:rPr>
              <w:t>供应商每提供一项得</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zh-CN"/>
              </w:rPr>
              <w:t>分，满分</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lang w:val="zh-CN"/>
              </w:rPr>
              <w:t>分。在此基础上，方案中存在缺陷或不足的，每有一处扣</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zh-CN"/>
              </w:rPr>
              <w:t>分，扣完为止。</w:t>
            </w:r>
          </w:p>
        </w:tc>
      </w:tr>
      <w:tr w14:paraId="76CB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176" w:type="dxa"/>
            <w:vMerge w:val="continue"/>
            <w:shd w:val="clear" w:color="000000" w:fill="FFFFFF"/>
            <w:noWrap w:val="0"/>
            <w:vAlign w:val="center"/>
          </w:tcPr>
          <w:p w14:paraId="62B40F95">
            <w:pPr>
              <w:autoSpaceDE w:val="0"/>
              <w:autoSpaceDN w:val="0"/>
              <w:adjustRightInd w:val="0"/>
              <w:spacing w:line="400" w:lineRule="exact"/>
              <w:jc w:val="left"/>
              <w:rPr>
                <w:rFonts w:hint="eastAsia" w:asciiTheme="minorEastAsia" w:hAnsiTheme="minorEastAsia" w:eastAsiaTheme="minorEastAsia" w:cstheme="minorEastAsia"/>
                <w:color w:val="000000"/>
                <w:kern w:val="0"/>
                <w:sz w:val="24"/>
                <w:szCs w:val="24"/>
                <w:lang w:val="zh-CN"/>
              </w:rPr>
            </w:pPr>
          </w:p>
        </w:tc>
        <w:tc>
          <w:tcPr>
            <w:tcW w:w="1676" w:type="dxa"/>
            <w:shd w:val="clear" w:color="000000" w:fill="FFFFFF"/>
            <w:noWrap w:val="0"/>
            <w:vAlign w:val="center"/>
          </w:tcPr>
          <w:p w14:paraId="444378EC">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p>
          <w:p w14:paraId="1DA67ECD">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质量保证</w:t>
            </w:r>
          </w:p>
          <w:p w14:paraId="679A699C">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措施</w:t>
            </w:r>
          </w:p>
        </w:tc>
        <w:tc>
          <w:tcPr>
            <w:tcW w:w="876" w:type="dxa"/>
            <w:shd w:val="clear" w:color="000000" w:fill="FFFFFF"/>
            <w:noWrap w:val="0"/>
            <w:vAlign w:val="center"/>
          </w:tcPr>
          <w:p w14:paraId="6D3A7266">
            <w:pPr>
              <w:autoSpaceDE w:val="0"/>
              <w:autoSpaceDN w:val="0"/>
              <w:adjustRightInd w:val="0"/>
              <w:spacing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w:t>
            </w:r>
          </w:p>
        </w:tc>
        <w:tc>
          <w:tcPr>
            <w:tcW w:w="5304" w:type="dxa"/>
            <w:shd w:val="clear" w:color="000000" w:fill="FFFFFF"/>
            <w:noWrap w:val="0"/>
            <w:vAlign w:val="center"/>
          </w:tcPr>
          <w:p w14:paraId="121ADA10">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zh-CN" w:eastAsia="zh-CN"/>
              </w:rPr>
              <w:t>供应商针对本项目提供质量保证措施，具体内容包括：①有具体质量保证计划②有具体的质量保证措施③有具体的质量控制流程；</w:t>
            </w:r>
            <w:r>
              <w:rPr>
                <w:rFonts w:hint="eastAsia" w:asciiTheme="minorEastAsia" w:hAnsiTheme="minorEastAsia" w:eastAsiaTheme="minorEastAsia" w:cstheme="minorEastAsia"/>
                <w:color w:val="000000"/>
                <w:sz w:val="24"/>
                <w:szCs w:val="24"/>
                <w:lang w:val="zh-CN"/>
              </w:rPr>
              <w:t>上述</w:t>
            </w:r>
            <w:r>
              <w:rPr>
                <w:rFonts w:hint="eastAsia" w:asciiTheme="minorEastAsia" w:hAnsiTheme="minorEastAsia" w:eastAsiaTheme="minorEastAsia" w:cstheme="minorEastAsia"/>
                <w:color w:val="000000"/>
                <w:sz w:val="24"/>
                <w:szCs w:val="24"/>
                <w:lang w:val="en-US" w:eastAsia="zh-CN"/>
              </w:rPr>
              <w:t>三项内容</w:t>
            </w:r>
            <w:r>
              <w:rPr>
                <w:rFonts w:hint="eastAsia" w:asciiTheme="minorEastAsia" w:hAnsiTheme="minorEastAsia" w:eastAsiaTheme="minorEastAsia" w:cstheme="minorEastAsia"/>
                <w:color w:val="000000"/>
                <w:sz w:val="24"/>
                <w:szCs w:val="24"/>
                <w:lang w:val="zh-CN"/>
              </w:rPr>
              <w:t>供应商每提供一项</w:t>
            </w:r>
            <w:r>
              <w:rPr>
                <w:rFonts w:hint="eastAsia" w:asciiTheme="minorEastAsia" w:hAnsiTheme="minorEastAsia" w:eastAsiaTheme="minorEastAsia" w:cstheme="minorEastAsia"/>
                <w:color w:val="000000"/>
                <w:sz w:val="24"/>
                <w:szCs w:val="24"/>
                <w:lang w:val="zh-CN" w:eastAsia="zh-CN"/>
              </w:rPr>
              <w:t>得</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val="zh-CN" w:eastAsia="zh-CN"/>
              </w:rPr>
              <w:t>分，满分</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lang w:val="zh-CN" w:eastAsia="zh-CN"/>
              </w:rPr>
              <w:t>分。在此基础上，方案中存在缺陷或不足的，每有一处扣</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zh-CN" w:eastAsia="zh-CN"/>
              </w:rPr>
              <w:t>分，扣完为止。</w:t>
            </w:r>
          </w:p>
        </w:tc>
      </w:tr>
      <w:tr w14:paraId="5D90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76" w:type="dxa"/>
            <w:vMerge w:val="continue"/>
            <w:shd w:val="clear" w:color="000000" w:fill="FFFFFF"/>
            <w:noWrap w:val="0"/>
            <w:vAlign w:val="center"/>
          </w:tcPr>
          <w:p w14:paraId="21C93868">
            <w:pPr>
              <w:autoSpaceDE w:val="0"/>
              <w:autoSpaceDN w:val="0"/>
              <w:adjustRightInd w:val="0"/>
              <w:spacing w:line="400" w:lineRule="exact"/>
              <w:jc w:val="left"/>
              <w:rPr>
                <w:rFonts w:hint="eastAsia" w:asciiTheme="minorEastAsia" w:hAnsiTheme="minorEastAsia" w:eastAsiaTheme="minorEastAsia" w:cstheme="minorEastAsia"/>
                <w:color w:val="000000"/>
                <w:kern w:val="0"/>
                <w:sz w:val="24"/>
                <w:szCs w:val="24"/>
                <w:lang w:val="zh-CN"/>
              </w:rPr>
            </w:pPr>
          </w:p>
        </w:tc>
        <w:tc>
          <w:tcPr>
            <w:tcW w:w="1676" w:type="dxa"/>
            <w:shd w:val="clear" w:color="000000" w:fill="FFFFFF"/>
            <w:noWrap w:val="0"/>
            <w:vAlign w:val="center"/>
          </w:tcPr>
          <w:p w14:paraId="3D49C963">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供货及配送方案</w:t>
            </w:r>
          </w:p>
        </w:tc>
        <w:tc>
          <w:tcPr>
            <w:tcW w:w="876" w:type="dxa"/>
            <w:shd w:val="clear" w:color="000000" w:fill="FFFFFF"/>
            <w:noWrap w:val="0"/>
            <w:vAlign w:val="center"/>
          </w:tcPr>
          <w:p w14:paraId="2FFF5CB3">
            <w:pPr>
              <w:autoSpaceDE w:val="0"/>
              <w:autoSpaceDN w:val="0"/>
              <w:adjustRightInd w:val="0"/>
              <w:spacing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5304" w:type="dxa"/>
            <w:shd w:val="clear" w:color="000000" w:fill="FFFFFF"/>
            <w:noWrap w:val="0"/>
            <w:vAlign w:val="center"/>
          </w:tcPr>
          <w:p w14:paraId="5B8C68ED">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eastAsia="zh-CN"/>
              </w:rPr>
            </w:pPr>
            <w:r>
              <w:rPr>
                <w:rFonts w:hint="eastAsia" w:asciiTheme="minorEastAsia" w:hAnsiTheme="minorEastAsia" w:eastAsiaTheme="minorEastAsia" w:cstheme="minorEastAsia"/>
                <w:color w:val="000000"/>
                <w:sz w:val="24"/>
                <w:szCs w:val="24"/>
                <w:lang w:val="zh-CN" w:eastAsia="zh-CN"/>
              </w:rPr>
              <w:t>结合采购人需求及配送地点等因素制作的完备性、可操作性强的配送方案。配送方案完善，组织程序周密，①配货②送货③协调</w:t>
            </w:r>
            <w:r>
              <w:rPr>
                <w:rFonts w:hint="eastAsia" w:asciiTheme="minorEastAsia" w:hAnsiTheme="minorEastAsia" w:eastAsiaTheme="minorEastAsia" w:cstheme="minorEastAsia"/>
                <w:color w:val="000000"/>
                <w:sz w:val="24"/>
                <w:szCs w:val="24"/>
                <w:lang w:val="en-US" w:eastAsia="zh-CN"/>
              </w:rPr>
              <w:t>及</w:t>
            </w:r>
            <w:r>
              <w:rPr>
                <w:rFonts w:hint="eastAsia" w:asciiTheme="minorEastAsia" w:hAnsiTheme="minorEastAsia" w:eastAsiaTheme="minorEastAsia" w:cstheme="minorEastAsia"/>
                <w:color w:val="000000"/>
                <w:sz w:val="24"/>
                <w:szCs w:val="24"/>
                <w:lang w:val="zh-CN" w:eastAsia="zh-CN"/>
              </w:rPr>
              <w:t>保障④沟通⑤安装调试；</w:t>
            </w:r>
            <w:r>
              <w:rPr>
                <w:rFonts w:hint="eastAsia" w:asciiTheme="minorEastAsia" w:hAnsiTheme="minorEastAsia" w:eastAsiaTheme="minorEastAsia" w:cstheme="minorEastAsia"/>
                <w:color w:val="000000"/>
                <w:sz w:val="24"/>
                <w:szCs w:val="24"/>
                <w:lang w:val="zh-CN"/>
              </w:rPr>
              <w:t>上述</w:t>
            </w:r>
            <w:r>
              <w:rPr>
                <w:rFonts w:hint="eastAsia" w:asciiTheme="minorEastAsia" w:hAnsiTheme="minorEastAsia" w:eastAsiaTheme="minorEastAsia" w:cstheme="minorEastAsia"/>
                <w:color w:val="000000"/>
                <w:sz w:val="24"/>
                <w:szCs w:val="24"/>
                <w:lang w:val="en-US" w:eastAsia="zh-CN"/>
              </w:rPr>
              <w:t>五项内容</w:t>
            </w:r>
            <w:r>
              <w:rPr>
                <w:rFonts w:hint="eastAsia" w:asciiTheme="minorEastAsia" w:hAnsiTheme="minorEastAsia" w:eastAsiaTheme="minorEastAsia" w:cstheme="minorEastAsia"/>
                <w:color w:val="000000"/>
                <w:sz w:val="24"/>
                <w:szCs w:val="24"/>
                <w:lang w:val="zh-CN"/>
              </w:rPr>
              <w:t>供应商每提供一项</w:t>
            </w:r>
            <w:r>
              <w:rPr>
                <w:rFonts w:hint="eastAsia" w:asciiTheme="minorEastAsia" w:hAnsiTheme="minorEastAsia" w:eastAsiaTheme="minorEastAsia" w:cstheme="minorEastAsia"/>
                <w:color w:val="000000"/>
                <w:sz w:val="24"/>
                <w:szCs w:val="24"/>
                <w:lang w:val="zh-CN" w:eastAsia="zh-CN"/>
              </w:rPr>
              <w:t>得2分，满分1</w:t>
            </w: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lang w:val="zh-CN" w:eastAsia="zh-CN"/>
              </w:rPr>
              <w:t>分。在此基础上，方案中存在缺陷或不足的，每有一处扣</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zh-CN" w:eastAsia="zh-CN"/>
              </w:rPr>
              <w:t>分，扣完为止。</w:t>
            </w:r>
          </w:p>
        </w:tc>
      </w:tr>
      <w:tr w14:paraId="29B7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6" w:type="dxa"/>
            <w:shd w:val="clear" w:color="000000" w:fill="FFFFFF"/>
            <w:noWrap w:val="0"/>
            <w:vAlign w:val="center"/>
          </w:tcPr>
          <w:p w14:paraId="4300DB53">
            <w:pPr>
              <w:autoSpaceDE w:val="0"/>
              <w:autoSpaceDN w:val="0"/>
              <w:adjustRightInd w:val="0"/>
              <w:spacing w:line="400" w:lineRule="exact"/>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zh-CN"/>
              </w:rPr>
              <w:t>售后服务</w:t>
            </w:r>
            <w:r>
              <w:rPr>
                <w:rFonts w:hint="eastAsia" w:asciiTheme="minorEastAsia" w:hAnsiTheme="minorEastAsia" w:eastAsiaTheme="minorEastAsia" w:cstheme="minorEastAsia"/>
                <w:color w:val="000000"/>
                <w:kern w:val="0"/>
                <w:sz w:val="24"/>
                <w:szCs w:val="24"/>
                <w:lang w:val="en-US" w:eastAsia="zh-CN"/>
              </w:rPr>
              <w:t>8分</w:t>
            </w:r>
          </w:p>
        </w:tc>
        <w:tc>
          <w:tcPr>
            <w:tcW w:w="1676" w:type="dxa"/>
            <w:shd w:val="clear" w:color="000000" w:fill="FFFFFF"/>
            <w:noWrap w:val="0"/>
            <w:vAlign w:val="center"/>
          </w:tcPr>
          <w:p w14:paraId="6109A493">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售后服务计划及措施</w:t>
            </w:r>
          </w:p>
        </w:tc>
        <w:tc>
          <w:tcPr>
            <w:tcW w:w="876" w:type="dxa"/>
            <w:shd w:val="clear" w:color="000000" w:fill="FFFFFF"/>
            <w:noWrap w:val="0"/>
            <w:vAlign w:val="center"/>
          </w:tcPr>
          <w:p w14:paraId="1A7F24FC">
            <w:pPr>
              <w:autoSpaceDE w:val="0"/>
              <w:autoSpaceDN w:val="0"/>
              <w:adjustRightInd w:val="0"/>
              <w:spacing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5304" w:type="dxa"/>
            <w:shd w:val="clear" w:color="000000" w:fill="FFFFFF"/>
            <w:noWrap w:val="0"/>
            <w:vAlign w:val="center"/>
          </w:tcPr>
          <w:p w14:paraId="5B16F386">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供应商针对本项目有详细的售后服务，提供①售后服务机构及人员；②售后服务计划内容和流程；③售后服务方式和特色；</w:t>
            </w:r>
            <w:r>
              <w:rPr>
                <w:rFonts w:hint="eastAsia" w:asciiTheme="minorEastAsia" w:hAnsiTheme="minorEastAsia" w:eastAsiaTheme="minorEastAsia" w:cstheme="minorEastAsia"/>
                <w:color w:val="000000"/>
                <w:sz w:val="24"/>
                <w:szCs w:val="24"/>
                <w:lang w:val="zh-CN" w:eastAsia="zh-CN"/>
              </w:rPr>
              <w:t>④</w:t>
            </w:r>
            <w:r>
              <w:rPr>
                <w:rFonts w:hint="eastAsia" w:asciiTheme="minorEastAsia" w:hAnsiTheme="minorEastAsia" w:eastAsiaTheme="minorEastAsia" w:cstheme="minorEastAsia"/>
                <w:color w:val="000000"/>
                <w:sz w:val="24"/>
                <w:szCs w:val="24"/>
                <w:lang w:val="zh-CN"/>
              </w:rPr>
              <w:t>售后服务承诺；上述</w:t>
            </w:r>
            <w:r>
              <w:rPr>
                <w:rFonts w:hint="eastAsia" w:asciiTheme="minorEastAsia" w:hAnsiTheme="minorEastAsia" w:eastAsiaTheme="minorEastAsia" w:cstheme="minorEastAsia"/>
                <w:color w:val="000000"/>
                <w:sz w:val="24"/>
                <w:szCs w:val="24"/>
                <w:lang w:val="en-US" w:eastAsia="zh-CN"/>
              </w:rPr>
              <w:t>四项内容</w:t>
            </w:r>
            <w:r>
              <w:rPr>
                <w:rFonts w:hint="eastAsia" w:asciiTheme="minorEastAsia" w:hAnsiTheme="minorEastAsia" w:eastAsiaTheme="minorEastAsia" w:cstheme="minorEastAsia"/>
                <w:color w:val="000000"/>
                <w:sz w:val="24"/>
                <w:szCs w:val="24"/>
                <w:lang w:val="zh-CN"/>
              </w:rPr>
              <w:t>供应商每提供一项得</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zh-CN"/>
              </w:rPr>
              <w:t>分，满分</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lang w:val="zh-CN"/>
              </w:rPr>
              <w:t>分。在此基础上，方案中存在缺陷或不足的，每有一处扣</w:t>
            </w: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zh-CN"/>
              </w:rPr>
              <w:t>分，扣完为止。</w:t>
            </w:r>
          </w:p>
        </w:tc>
      </w:tr>
      <w:tr w14:paraId="21AC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32" w:type="dxa"/>
            <w:gridSpan w:val="4"/>
            <w:shd w:val="clear" w:color="000000" w:fill="FFFFFF"/>
            <w:noWrap w:val="0"/>
            <w:vAlign w:val="center"/>
          </w:tcPr>
          <w:p w14:paraId="4B7AE5E3">
            <w:pPr>
              <w:autoSpaceDE w:val="0"/>
              <w:autoSpaceDN w:val="0"/>
              <w:adjustRightInd w:val="0"/>
              <w:spacing w:line="400" w:lineRule="exact"/>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注：缺陷或不足是指：存在项目名称错误、地点区域错误、内容与本项目需求无关、方案内容矛盾或表述前后不一致、内容描述不符合国家相关法律法规、规范要求或该项内容阐述的方式方法明显不符合本项目实际情况以及其他情况等</w:t>
            </w:r>
            <w:r>
              <w:rPr>
                <w:rFonts w:hint="eastAsia" w:asciiTheme="minorEastAsia" w:hAnsiTheme="minorEastAsia" w:eastAsiaTheme="minorEastAsia" w:cstheme="minorEastAsia"/>
                <w:color w:val="000000"/>
                <w:sz w:val="24"/>
                <w:szCs w:val="24"/>
                <w:lang w:val="en-US" w:eastAsia="zh-CN"/>
              </w:rPr>
              <w:t>不合理的</w:t>
            </w:r>
            <w:r>
              <w:rPr>
                <w:rFonts w:hint="eastAsia" w:asciiTheme="minorEastAsia" w:hAnsiTheme="minorEastAsia" w:eastAsiaTheme="minorEastAsia" w:cstheme="minorEastAsia"/>
                <w:color w:val="000000"/>
                <w:sz w:val="24"/>
                <w:szCs w:val="24"/>
                <w:lang w:val="zh-CN"/>
              </w:rPr>
              <w:t>情形。）</w:t>
            </w:r>
          </w:p>
        </w:tc>
      </w:tr>
    </w:tbl>
    <w:p w14:paraId="0B10E418">
      <w:pPr>
        <w:pStyle w:val="25"/>
        <w:snapToGrid w:val="0"/>
        <w:spacing w:line="300" w:lineRule="auto"/>
        <w:rPr>
          <w:rFonts w:hint="default" w:hAnsi="宋体" w:cs="宋体"/>
          <w:sz w:val="24"/>
          <w:szCs w:val="24"/>
        </w:rPr>
      </w:pPr>
    </w:p>
    <w:p w14:paraId="7D3BA6CA">
      <w:pPr>
        <w:snapToGrid w:val="0"/>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3.10投标人存在下列情况之一的，投标无效</w:t>
      </w:r>
      <w:r>
        <w:rPr>
          <w:rFonts w:hint="eastAsia" w:asciiTheme="minorEastAsia" w:hAnsiTheme="minorEastAsia" w:eastAsiaTheme="minorEastAsia" w:cstheme="minorEastAsia"/>
          <w:lang w:eastAsia="zh-CN"/>
        </w:rPr>
        <w:t>：</w:t>
      </w:r>
    </w:p>
    <w:p w14:paraId="01D589FF">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（1）未按招标文件要求签署、盖章的；</w:t>
      </w:r>
    </w:p>
    <w:p w14:paraId="5C720A80">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（2）产品交货时间不能满足招标文件要求的；</w:t>
      </w:r>
    </w:p>
    <w:p w14:paraId="5AC7A2D3">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（3）存在串通投标行为；</w:t>
      </w:r>
    </w:p>
    <w:p w14:paraId="341F8282">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（4）投标文件含有采购人不能接受的附加条件的；</w:t>
      </w:r>
    </w:p>
    <w:p w14:paraId="79359511">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（5）法律、法规和招标文件规定的其他无效情形。</w:t>
      </w:r>
    </w:p>
    <w:p w14:paraId="07C6C106">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对投标无效的投标人，采购人或采购代理机构应当告知其投标无效的原因。</w:t>
      </w:r>
    </w:p>
    <w:p w14:paraId="2D206478">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3.11出现下列情形之一的，采购代理机构应当终止竞争性磋商采购活动，发布项目终止公告并说明原因，重新开展采购活动：</w:t>
      </w:r>
    </w:p>
    <w:p w14:paraId="748A7516">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（1）因情况变化，不再符合规定的竞争性磋商采购方式适用情形的；</w:t>
      </w:r>
    </w:p>
    <w:p w14:paraId="143FB617">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（2）出现影响采购公正的违法、违规行为的；</w:t>
      </w:r>
    </w:p>
    <w:p w14:paraId="03A016C2">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（3）除《政府采购竞争性磋商采购方式管理暂行办法》第二十一条第三款规定的情形外，在采购过程中符合要求的供应商或者报价未超过采购预算的供应商不足3家的。</w:t>
      </w:r>
    </w:p>
    <w:p w14:paraId="18E7BD04">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3.12 终止磋商活动后，由采购代理机构发布终止公告并说明原因。</w:t>
      </w:r>
    </w:p>
    <w:p w14:paraId="6C720F4F">
      <w:pPr>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4、确定成交供应商的标准</w:t>
      </w:r>
    </w:p>
    <w:p w14:paraId="27E56695">
      <w:pPr>
        <w:pStyle w:val="25"/>
        <w:snapToGrid w:val="0"/>
        <w:spacing w:line="360" w:lineRule="auto"/>
        <w:ind w:firstLine="460" w:firstLineChars="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本次磋商小组成员应当按照客观、公正、审慎的原则进行。</w:t>
      </w:r>
    </w:p>
    <w:p w14:paraId="27786DB6">
      <w:pPr>
        <w:pStyle w:val="25"/>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供应商报价结束后，磋商小组应当根据综合评分情况，按照评审得分由高到低顺序推荐三名成交候选供应商。评审得分相同的，按照最后报价由低到高的顺序推荐。评审得分且最后报价相同的，按照技术指标优劣顺序推荐。</w:t>
      </w:r>
    </w:p>
    <w:p w14:paraId="76E61D1D">
      <w:pPr>
        <w:pStyle w:val="25"/>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磋商小组推荐成交候选供应商后，应当向采购代理机构出具评审报告。</w:t>
      </w:r>
    </w:p>
    <w:p w14:paraId="6B193AA9">
      <w:pPr>
        <w:pStyle w:val="25"/>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对于违反磋商纪律的将可能被取消成交供应商资格或视为无效响应。</w:t>
      </w:r>
    </w:p>
    <w:p w14:paraId="3C1235BF">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outlineLvl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bookmarkStart w:id="15" w:name="_Toc7768"/>
      <w:bookmarkStart w:id="16" w:name="_Toc376936764"/>
      <w:bookmarkStart w:id="17" w:name="_Toc325726033"/>
      <w:r>
        <w:rPr>
          <w:rFonts w:hint="eastAsia" w:asciiTheme="minorEastAsia" w:hAnsiTheme="minorEastAsia" w:eastAsiaTheme="minorEastAsia" w:cstheme="minorEastAsia"/>
          <w:color w:val="auto"/>
          <w:sz w:val="24"/>
          <w:szCs w:val="24"/>
          <w:lang w:val="en-US" w:eastAsia="zh-CN"/>
        </w:rPr>
        <w:t>处罚</w:t>
      </w:r>
    </w:p>
    <w:p w14:paraId="7EF7C67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outlineLvl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5.1处罚情形</w:t>
      </w:r>
      <w:bookmarkEnd w:id="15"/>
      <w:bookmarkEnd w:id="16"/>
      <w:bookmarkEnd w:id="17"/>
    </w:p>
    <w:p w14:paraId="4E18BB8C">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有下列情形之一的，</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的磋商保证金不予退还；成交供应商的成交结果无效，履约保证金不予退还。情节严重的，报省财政厅依法进行处理：</w:t>
      </w:r>
    </w:p>
    <w:p w14:paraId="02D4C1F9">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在提交响应文件截止时间之后撤回响应文件的。</w:t>
      </w:r>
    </w:p>
    <w:p w14:paraId="5BCC0CF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在响应文件中提供虚假材料的。</w:t>
      </w:r>
    </w:p>
    <w:p w14:paraId="31F46647">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.3采取不正当手段诋毁、排挤其他供应商的。</w:t>
      </w:r>
    </w:p>
    <w:p w14:paraId="4C6895B1">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.4有恶意串通等不正当竞争行为的。</w:t>
      </w:r>
    </w:p>
    <w:p w14:paraId="1150B7DD">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.5成交后无正当理由拒不与采购人签订采购合同的。</w:t>
      </w:r>
    </w:p>
    <w:p w14:paraId="169C2CD3">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.6未按照磋商文件、磋商响应文件确定的事项签订采购合同的。</w:t>
      </w:r>
    </w:p>
    <w:p w14:paraId="377E41F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.7擅自变更、中止或者终止政府采购合同的。</w:t>
      </w:r>
    </w:p>
    <w:p w14:paraId="72577D14">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.8成交供应商签订合同后，因种种原因不能履约或无故拖延履约期的。</w:t>
      </w:r>
    </w:p>
    <w:p w14:paraId="34AD5C7C">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5.1</w:t>
      </w:r>
      <w:r>
        <w:rPr>
          <w:rFonts w:hint="eastAsia" w:asciiTheme="minorEastAsia" w:hAnsiTheme="minorEastAsia" w:eastAsiaTheme="minorEastAsia" w:cstheme="minorEastAsia"/>
          <w:color w:val="auto"/>
          <w:sz w:val="24"/>
          <w:szCs w:val="24"/>
        </w:rPr>
        <w:t>.9法律、法规规定的其他情形的。</w:t>
      </w:r>
    </w:p>
    <w:p w14:paraId="184697BC">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outlineLvl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5.2.有下列情形之一的，视为投标人串通投标，其投标无效：</w:t>
      </w:r>
    </w:p>
    <w:p w14:paraId="31023D9B">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5.2.1不同投标人的投标文件由同一单位或者个人编制；</w:t>
      </w:r>
    </w:p>
    <w:p w14:paraId="52E15B7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w:t>
      </w:r>
      <w:r>
        <w:rPr>
          <w:rFonts w:hint="eastAsia" w:ascii="宋体" w:hAnsi="宋体" w:eastAsia="宋体" w:cs="宋体"/>
          <w:color w:val="auto"/>
          <w:sz w:val="24"/>
          <w:szCs w:val="24"/>
          <w:lang w:val="en-US" w:eastAsia="zh-CN"/>
        </w:rPr>
        <w:t>2不同投标人委托同一单位或者个人办理投标事宜；</w:t>
      </w:r>
    </w:p>
    <w:p w14:paraId="06ADD058">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5.2.3不同投标人的投标文件载明的项目管理成员或者联系人员为同一人；</w:t>
      </w:r>
    </w:p>
    <w:p w14:paraId="15B32B3D">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5.2.4不同投标人的投标文件异常一致或者投标报价呈规律性差异；</w:t>
      </w:r>
    </w:p>
    <w:p w14:paraId="153AFBC8">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5.2.5不同投标人的投标文件相互混装；</w:t>
      </w:r>
    </w:p>
    <w:p w14:paraId="1A564374">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5.2.6不同投标人的投标保证金从同一单位或者个人的账户转出。</w:t>
      </w:r>
    </w:p>
    <w:p w14:paraId="3BAF35A7">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default" w:ascii="宋体" w:hAnsi="宋体" w:eastAsia="宋体" w:cs="宋体"/>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w:t>
      </w:r>
      <w:r>
        <w:rPr>
          <w:rFonts w:hint="eastAsia" w:ascii="宋体" w:hAnsi="宋体" w:eastAsia="宋体" w:cs="宋体"/>
          <w:color w:val="auto"/>
          <w:sz w:val="24"/>
          <w:szCs w:val="24"/>
          <w:lang w:val="en-US" w:eastAsia="zh-CN"/>
        </w:rPr>
        <w:t>.7不同响应人的响应文件系统中出现串通投标风险预警行为(IP地址、Mac地址一致等涉嫌串通行为)。</w:t>
      </w:r>
    </w:p>
    <w:p w14:paraId="3D4DC2F0">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6.评审中出现下列情形之一的，评审委员会应当启动异常低价投标（响应）审查程序：</w:t>
      </w:r>
    </w:p>
    <w:p w14:paraId="79042C5F">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（1）投标（响应）报价低于全部通过符合性审查供应商投标（响应）报价平均值65%的，即投标（响应）报价&lt;全部通过符合性审查供应商投标（响应）报价平均值×65%；</w:t>
      </w:r>
    </w:p>
    <w:p w14:paraId="322F6EA8">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（2）投标（响应）报价低于通过符合性审查的次低报价供应商投标（响应）报价65%的，即投标（响应）报价&lt;通过符合性审查的次低报价供应商投标（响应）报价×65%；</w:t>
      </w:r>
    </w:p>
    <w:p w14:paraId="0AE44C82">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（3）投标（响应）报价低于采购项目最高限价65%的，即投标（响应）报价&lt;采购项目最高限价×65%；</w:t>
      </w:r>
    </w:p>
    <w:p w14:paraId="45036131">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（4）评审委员会基于专业判断，认为供应商报价过低，有可能影响产品质量或者不能诚信履约的其他情形。</w:t>
      </w:r>
    </w:p>
    <w:p w14:paraId="431F3F61">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采购人可以结合具体项目实际情况，提高上述第1项至第3项中启动异常低价投标（响应）审查的数值标准，但是最高不得超过65%。</w:t>
      </w:r>
    </w:p>
    <w:p w14:paraId="255D0F99">
      <w:pPr>
        <w:keepNext w:val="0"/>
        <w:keepLines w:val="0"/>
        <w:pageBreakBefore w:val="0"/>
        <w:kinsoku/>
        <w:wordWrap/>
        <w:overflowPunct/>
        <w:topLinePunct w:val="0"/>
        <w:autoSpaceDE/>
        <w:autoSpaceDN/>
        <w:bidi w:val="0"/>
        <w:adjustRightInd/>
        <w:snapToGrid/>
        <w:spacing w:beforeAutospacing="0" w:afterAutospacing="0" w:line="500" w:lineRule="exact"/>
        <w:ind w:firstLine="48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评审委员会启动异常低价投标（响应）审查后，属于前述第1项至第4项情形的，相关供应商在评审现场30分钟内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将其作为无效投标（响应）处理。</w:t>
      </w:r>
    </w:p>
    <w:p w14:paraId="31C95BCA">
      <w:pPr>
        <w:pStyle w:val="25"/>
        <w:snapToGrid w:val="0"/>
        <w:spacing w:line="360" w:lineRule="auto"/>
        <w:rPr>
          <w:rFonts w:hint="default" w:hAnsi="宋体" w:cs="宋体"/>
          <w:sz w:val="24"/>
          <w:szCs w:val="24"/>
          <w:lang w:val="zh-CN"/>
        </w:rPr>
      </w:pPr>
      <w:r>
        <w:rPr>
          <w:rFonts w:hAnsi="宋体" w:cs="宋体"/>
          <w:sz w:val="24"/>
          <w:szCs w:val="24"/>
          <w:lang w:val="zh-CN"/>
        </w:rPr>
        <w:br w:type="page"/>
      </w:r>
    </w:p>
    <w:p w14:paraId="15C3A1C9">
      <w:pPr>
        <w:pStyle w:val="25"/>
        <w:snapToGrid w:val="0"/>
        <w:spacing w:line="300" w:lineRule="auto"/>
        <w:ind w:firstLine="964" w:firstLineChars="200"/>
        <w:rPr>
          <w:rFonts w:hint="default" w:hAnsi="宋体" w:cs="宋体"/>
          <w:b/>
          <w:bCs/>
          <w:sz w:val="48"/>
          <w:szCs w:val="48"/>
          <w:lang w:val="zh-CN"/>
        </w:rPr>
      </w:pPr>
    </w:p>
    <w:p w14:paraId="75B1351B">
      <w:pPr>
        <w:tabs>
          <w:tab w:val="left" w:pos="425"/>
          <w:tab w:val="left" w:pos="4265"/>
        </w:tabs>
        <w:spacing w:line="360" w:lineRule="auto"/>
        <w:jc w:val="center"/>
        <w:outlineLvl w:val="0"/>
        <w:rPr>
          <w:rFonts w:ascii="宋体" w:hAnsi="宋体" w:cs="宋体"/>
          <w:b/>
          <w:bCs/>
          <w:sz w:val="28"/>
          <w:szCs w:val="28"/>
        </w:rPr>
      </w:pPr>
      <w:bookmarkStart w:id="18" w:name="_Toc25782"/>
      <w:r>
        <w:rPr>
          <w:rFonts w:hint="eastAsia" w:ascii="宋体" w:hAnsi="宋体" w:cs="宋体"/>
          <w:b/>
          <w:bCs/>
          <w:sz w:val="28"/>
          <w:szCs w:val="28"/>
        </w:rPr>
        <w:t>第五</w:t>
      </w:r>
      <w:r>
        <w:rPr>
          <w:rFonts w:hint="eastAsia" w:ascii="宋体" w:hAnsi="宋体" w:cs="宋体"/>
          <w:b/>
          <w:bCs/>
          <w:sz w:val="28"/>
          <w:szCs w:val="28"/>
          <w:lang w:val="en-US" w:eastAsia="zh-CN"/>
        </w:rPr>
        <w:t>部分</w:t>
      </w:r>
      <w:r>
        <w:rPr>
          <w:rFonts w:hint="eastAsia" w:ascii="宋体" w:hAnsi="宋体" w:cs="宋体"/>
          <w:b/>
          <w:bCs/>
          <w:sz w:val="28"/>
          <w:szCs w:val="28"/>
        </w:rPr>
        <w:t xml:space="preserve"> </w:t>
      </w:r>
      <w:r>
        <w:rPr>
          <w:rFonts w:hint="eastAsia" w:ascii="宋体" w:hAnsi="宋体" w:cs="宋体"/>
          <w:b/>
          <w:bCs/>
          <w:sz w:val="28"/>
          <w:szCs w:val="28"/>
          <w:lang w:val="zh-CN"/>
        </w:rPr>
        <w:t>青海省政府采购项目合同书范本</w:t>
      </w:r>
      <w:bookmarkEnd w:id="18"/>
    </w:p>
    <w:p w14:paraId="3073897A">
      <w:pPr>
        <w:autoSpaceDE w:val="0"/>
        <w:autoSpaceDN w:val="0"/>
        <w:adjustRightInd w:val="0"/>
        <w:spacing w:line="360" w:lineRule="auto"/>
        <w:jc w:val="center"/>
        <w:rPr>
          <w:rFonts w:ascii="宋体" w:hAnsi="宋体" w:cs="宋体"/>
          <w:b/>
          <w:bCs/>
          <w:sz w:val="36"/>
          <w:szCs w:val="36"/>
        </w:rPr>
      </w:pPr>
      <w:r>
        <w:rPr>
          <w:rFonts w:hint="eastAsia" w:ascii="宋体" w:hAnsi="宋体" w:cs="宋体"/>
          <w:b/>
          <w:bCs/>
          <w:sz w:val="36"/>
          <w:szCs w:val="36"/>
          <w:lang w:val="zh-CN"/>
        </w:rPr>
        <w:t>（货物类）</w:t>
      </w:r>
    </w:p>
    <w:p w14:paraId="2D7508F6">
      <w:pPr>
        <w:autoSpaceDE w:val="0"/>
        <w:autoSpaceDN w:val="0"/>
        <w:adjustRightInd w:val="0"/>
        <w:spacing w:line="360" w:lineRule="auto"/>
        <w:rPr>
          <w:rFonts w:ascii="宋体" w:hAnsi="宋体" w:cs="宋体"/>
          <w:sz w:val="28"/>
          <w:szCs w:val="28"/>
        </w:rPr>
      </w:pPr>
      <w:r>
        <w:rPr>
          <w:rFonts w:hint="eastAsia" w:ascii="宋体" w:hAnsi="宋体" w:cs="宋体"/>
          <w:sz w:val="28"/>
          <w:szCs w:val="28"/>
        </w:rPr>
        <w:t xml:space="preserve"> </w:t>
      </w:r>
    </w:p>
    <w:p w14:paraId="20154D60">
      <w:pPr>
        <w:autoSpaceDE w:val="0"/>
        <w:autoSpaceDN w:val="0"/>
        <w:adjustRightInd w:val="0"/>
        <w:spacing w:line="360" w:lineRule="auto"/>
        <w:rPr>
          <w:rFonts w:ascii="宋体" w:hAnsi="宋体" w:cs="宋体"/>
          <w:sz w:val="28"/>
          <w:szCs w:val="28"/>
        </w:rPr>
      </w:pPr>
      <w:r>
        <w:rPr>
          <w:rFonts w:hint="eastAsia" w:ascii="宋体" w:hAnsi="宋体" w:cs="宋体"/>
          <w:sz w:val="28"/>
          <w:szCs w:val="28"/>
        </w:rPr>
        <w:t xml:space="preserve"> </w:t>
      </w:r>
    </w:p>
    <w:p w14:paraId="5124EC9A">
      <w:pPr>
        <w:autoSpaceDE w:val="0"/>
        <w:autoSpaceDN w:val="0"/>
        <w:adjustRightInd w:val="0"/>
        <w:spacing w:line="360" w:lineRule="auto"/>
        <w:rPr>
          <w:rFonts w:ascii="宋体" w:hAnsi="宋体" w:cs="宋体"/>
          <w:sz w:val="28"/>
          <w:szCs w:val="28"/>
        </w:rPr>
      </w:pPr>
      <w:r>
        <w:rPr>
          <w:rFonts w:hint="eastAsia" w:ascii="宋体" w:hAnsi="宋体" w:cs="宋体"/>
          <w:sz w:val="28"/>
          <w:szCs w:val="28"/>
        </w:rPr>
        <w:t xml:space="preserve"> </w:t>
      </w:r>
    </w:p>
    <w:p w14:paraId="5D5235BE">
      <w:pPr>
        <w:autoSpaceDE w:val="0"/>
        <w:autoSpaceDN w:val="0"/>
        <w:adjustRightInd w:val="0"/>
        <w:spacing w:line="360" w:lineRule="auto"/>
        <w:jc w:val="center"/>
        <w:rPr>
          <w:rFonts w:ascii="宋体" w:hAnsi="宋体" w:cs="宋体"/>
          <w:b/>
          <w:bCs/>
          <w:sz w:val="48"/>
          <w:szCs w:val="48"/>
        </w:rPr>
      </w:pPr>
      <w:r>
        <w:rPr>
          <w:rFonts w:hint="eastAsia" w:ascii="宋体" w:hAnsi="宋体" w:cs="宋体"/>
          <w:b/>
          <w:bCs/>
          <w:sz w:val="48"/>
          <w:szCs w:val="48"/>
          <w:lang w:val="zh-CN"/>
        </w:rPr>
        <w:t>青海省政府采购项目合同书</w:t>
      </w:r>
    </w:p>
    <w:p w14:paraId="6CE9D70F">
      <w:pPr>
        <w:autoSpaceDE w:val="0"/>
        <w:autoSpaceDN w:val="0"/>
        <w:adjustRightInd w:val="0"/>
        <w:spacing w:line="360" w:lineRule="auto"/>
        <w:rPr>
          <w:rFonts w:ascii="宋体" w:hAnsi="宋体" w:cs="宋体"/>
          <w:sz w:val="28"/>
          <w:szCs w:val="28"/>
        </w:rPr>
      </w:pPr>
      <w:r>
        <w:rPr>
          <w:rFonts w:hint="eastAsia" w:ascii="宋体" w:hAnsi="宋体" w:cs="宋体"/>
          <w:sz w:val="28"/>
          <w:szCs w:val="28"/>
        </w:rPr>
        <w:t xml:space="preserve"> </w:t>
      </w:r>
    </w:p>
    <w:p w14:paraId="44C8BBDB">
      <w:pPr>
        <w:autoSpaceDE w:val="0"/>
        <w:autoSpaceDN w:val="0"/>
        <w:adjustRightInd w:val="0"/>
        <w:spacing w:line="400" w:lineRule="exact"/>
        <w:rPr>
          <w:rFonts w:ascii="宋体" w:hAnsi="宋体" w:cs="宋体"/>
          <w:sz w:val="28"/>
          <w:szCs w:val="28"/>
        </w:rPr>
      </w:pPr>
      <w:r>
        <w:rPr>
          <w:rFonts w:hint="eastAsia" w:ascii="宋体" w:hAnsi="宋体" w:cs="宋体"/>
          <w:sz w:val="28"/>
          <w:szCs w:val="28"/>
        </w:rPr>
        <w:t xml:space="preserve"> </w:t>
      </w:r>
    </w:p>
    <w:p w14:paraId="11A4A1BE">
      <w:pPr>
        <w:pStyle w:val="14"/>
        <w:ind w:left="480" w:firstLine="560"/>
        <w:rPr>
          <w:rFonts w:ascii="宋体" w:hAnsi="宋体" w:cs="宋体"/>
          <w:sz w:val="28"/>
          <w:szCs w:val="28"/>
        </w:rPr>
      </w:pPr>
    </w:p>
    <w:p w14:paraId="26D04132">
      <w:pPr>
        <w:pStyle w:val="14"/>
        <w:ind w:left="0" w:leftChars="0" w:firstLine="0" w:firstLineChars="0"/>
        <w:rPr>
          <w:rFonts w:ascii="宋体" w:hAnsi="宋体" w:cs="宋体"/>
          <w:sz w:val="28"/>
          <w:szCs w:val="28"/>
        </w:rPr>
      </w:pPr>
    </w:p>
    <w:p w14:paraId="5BDA6A25">
      <w:pPr>
        <w:autoSpaceDE w:val="0"/>
        <w:autoSpaceDN w:val="0"/>
        <w:adjustRightInd w:val="0"/>
        <w:spacing w:line="400" w:lineRule="exact"/>
        <w:rPr>
          <w:rFonts w:ascii="宋体" w:hAnsi="宋体" w:cs="宋体"/>
          <w:sz w:val="28"/>
          <w:szCs w:val="28"/>
        </w:rPr>
      </w:pPr>
      <w:r>
        <w:rPr>
          <w:rFonts w:hint="eastAsia" w:ascii="宋体" w:hAnsi="宋体" w:cs="宋体"/>
          <w:sz w:val="28"/>
          <w:szCs w:val="28"/>
        </w:rPr>
        <w:t xml:space="preserve">  </w:t>
      </w:r>
    </w:p>
    <w:p w14:paraId="7879BB20">
      <w:pPr>
        <w:autoSpaceDE w:val="0"/>
        <w:autoSpaceDN w:val="0"/>
        <w:adjustRightInd w:val="0"/>
        <w:spacing w:line="400" w:lineRule="exact"/>
        <w:rPr>
          <w:rFonts w:ascii="宋体" w:hAnsi="宋体" w:cs="宋体"/>
          <w:sz w:val="28"/>
          <w:szCs w:val="28"/>
        </w:rPr>
      </w:pPr>
      <w:r>
        <w:rPr>
          <w:rFonts w:hint="eastAsia" w:ascii="宋体" w:hAnsi="宋体" w:cs="宋体"/>
          <w:sz w:val="28"/>
          <w:szCs w:val="28"/>
        </w:rPr>
        <w:t xml:space="preserve"> </w:t>
      </w:r>
    </w:p>
    <w:p w14:paraId="1F2E52A5">
      <w:pPr>
        <w:autoSpaceDE w:val="0"/>
        <w:autoSpaceDN w:val="0"/>
        <w:adjustRightInd w:val="0"/>
        <w:spacing w:line="360" w:lineRule="auto"/>
        <w:rPr>
          <w:rFonts w:ascii="宋体" w:hAnsi="宋体" w:cs="宋体"/>
          <w:b/>
          <w:bCs/>
          <w:sz w:val="30"/>
          <w:szCs w:val="30"/>
          <w:u w:val="single"/>
          <w:lang w:val="zh-CN"/>
        </w:rPr>
      </w:pPr>
      <w:r>
        <w:rPr>
          <w:rFonts w:hint="eastAsia" w:ascii="宋体" w:hAnsi="宋体" w:cs="宋体"/>
          <w:b/>
          <w:bCs/>
          <w:sz w:val="30"/>
          <w:szCs w:val="30"/>
          <w:lang w:val="zh-CN"/>
        </w:rPr>
        <w:t>项目名称：</w:t>
      </w:r>
      <w:r>
        <w:rPr>
          <w:rFonts w:hint="eastAsia" w:ascii="宋体" w:hAnsi="宋体" w:cs="宋体"/>
          <w:b/>
          <w:bCs/>
          <w:sz w:val="30"/>
          <w:szCs w:val="30"/>
          <w:u w:val="single"/>
          <w:lang w:val="zh-CN"/>
        </w:rPr>
        <w:t>青海柴达木职业技术学院医学系专业群实训室建设和升级改造项目（二次）</w:t>
      </w:r>
    </w:p>
    <w:p w14:paraId="694AD110">
      <w:pPr>
        <w:autoSpaceDE w:val="0"/>
        <w:autoSpaceDN w:val="0"/>
        <w:adjustRightInd w:val="0"/>
        <w:spacing w:line="360" w:lineRule="auto"/>
        <w:rPr>
          <w:rFonts w:ascii="宋体" w:hAnsi="宋体" w:cs="宋体"/>
          <w:b/>
          <w:bCs/>
          <w:sz w:val="30"/>
          <w:szCs w:val="30"/>
          <w:lang w:val="zh-CN"/>
        </w:rPr>
      </w:pPr>
      <w:r>
        <w:rPr>
          <w:rFonts w:hint="eastAsia" w:ascii="宋体" w:hAnsi="宋体" w:cs="宋体"/>
          <w:b/>
          <w:bCs/>
          <w:sz w:val="30"/>
          <w:szCs w:val="30"/>
          <w:lang w:val="zh-CN"/>
        </w:rPr>
        <w:t>项目编号：</w:t>
      </w:r>
      <w:r>
        <w:rPr>
          <w:rFonts w:hint="eastAsia" w:ascii="宋体" w:hAnsi="宋体" w:cs="宋体"/>
          <w:b/>
          <w:bCs/>
          <w:sz w:val="30"/>
          <w:szCs w:val="30"/>
          <w:u w:val="single"/>
          <w:lang w:val="zh-CN"/>
        </w:rPr>
        <w:t xml:space="preserve">青海宸晖竞磋（货物）2026-020号 </w:t>
      </w:r>
      <w:r>
        <w:rPr>
          <w:rFonts w:hint="eastAsia" w:ascii="宋体" w:hAnsi="宋体" w:cs="宋体"/>
          <w:b/>
          <w:bCs/>
          <w:sz w:val="30"/>
          <w:szCs w:val="30"/>
          <w:lang w:val="zh-CN"/>
        </w:rPr>
        <w:t xml:space="preserve">           </w:t>
      </w:r>
    </w:p>
    <w:p w14:paraId="79586C2D">
      <w:pPr>
        <w:autoSpaceDE w:val="0"/>
        <w:autoSpaceDN w:val="0"/>
        <w:adjustRightInd w:val="0"/>
        <w:spacing w:line="360" w:lineRule="auto"/>
        <w:rPr>
          <w:rFonts w:ascii="宋体" w:hAnsi="宋体" w:cs="宋体"/>
          <w:b/>
          <w:bCs/>
          <w:sz w:val="30"/>
          <w:szCs w:val="30"/>
        </w:rPr>
      </w:pPr>
      <w:r>
        <w:rPr>
          <w:rFonts w:hint="eastAsia" w:ascii="宋体" w:hAnsi="宋体" w:cs="宋体"/>
          <w:b/>
          <w:bCs/>
          <w:sz w:val="30"/>
          <w:szCs w:val="30"/>
          <w:lang w:val="zh-CN"/>
        </w:rPr>
        <w:t>合同编号：</w:t>
      </w:r>
      <w:r>
        <w:rPr>
          <w:rFonts w:hint="eastAsia" w:ascii="宋体" w:hAnsi="宋体" w:cs="宋体"/>
          <w:b/>
          <w:bCs/>
          <w:sz w:val="30"/>
          <w:szCs w:val="30"/>
          <w:u w:val="single"/>
          <w:lang w:val="zh-CN"/>
        </w:rPr>
        <w:t>QH</w:t>
      </w:r>
      <w:r>
        <w:rPr>
          <w:rFonts w:hint="eastAsia" w:ascii="宋体" w:hAnsi="宋体" w:cs="宋体"/>
          <w:b/>
          <w:bCs/>
          <w:sz w:val="30"/>
          <w:szCs w:val="30"/>
          <w:u w:val="single"/>
          <w:lang w:val="en-US" w:eastAsia="zh-CN"/>
        </w:rPr>
        <w:t>CH</w:t>
      </w:r>
      <w:r>
        <w:rPr>
          <w:rFonts w:hint="eastAsia" w:ascii="宋体" w:hAnsi="宋体" w:cs="宋体"/>
          <w:b/>
          <w:bCs/>
          <w:sz w:val="30"/>
          <w:szCs w:val="30"/>
          <w:u w:val="single"/>
          <w:lang w:val="zh-CN"/>
        </w:rPr>
        <w:t>-2026-</w:t>
      </w:r>
      <w:r>
        <w:rPr>
          <w:rFonts w:hint="eastAsia" w:ascii="宋体" w:hAnsi="宋体" w:cs="宋体"/>
          <w:b/>
          <w:bCs/>
          <w:sz w:val="30"/>
          <w:szCs w:val="30"/>
          <w:u w:val="single"/>
          <w:lang w:val="en-US" w:eastAsia="zh-CN"/>
        </w:rPr>
        <w:t>020-01</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 xml:space="preserve">  </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 xml:space="preserve">   </w:t>
      </w:r>
      <w:r>
        <w:rPr>
          <w:rFonts w:hint="eastAsia" w:ascii="宋体" w:hAnsi="宋体" w:cs="宋体"/>
          <w:b/>
          <w:bCs/>
          <w:sz w:val="30"/>
          <w:szCs w:val="30"/>
          <w:u w:val="single"/>
        </w:rPr>
        <w:t xml:space="preserve"> </w:t>
      </w:r>
    </w:p>
    <w:p w14:paraId="39AEF588">
      <w:pPr>
        <w:autoSpaceDE w:val="0"/>
        <w:autoSpaceDN w:val="0"/>
        <w:adjustRightInd w:val="0"/>
        <w:spacing w:line="360" w:lineRule="auto"/>
        <w:rPr>
          <w:rFonts w:ascii="宋体" w:hAnsi="宋体" w:cs="宋体"/>
          <w:b/>
          <w:bCs/>
          <w:sz w:val="30"/>
          <w:szCs w:val="30"/>
        </w:rPr>
      </w:pPr>
      <w:r>
        <w:rPr>
          <w:rFonts w:hint="eastAsia" w:ascii="宋体" w:hAnsi="宋体" w:cs="宋体"/>
          <w:b/>
          <w:bCs/>
          <w:sz w:val="30"/>
          <w:szCs w:val="30"/>
          <w:lang w:val="zh-CN"/>
        </w:rPr>
        <w:t>合同金额（人民币）：</w:t>
      </w:r>
      <w:r>
        <w:rPr>
          <w:rFonts w:hint="eastAsia" w:ascii="宋体" w:hAnsi="宋体" w:cs="宋体"/>
          <w:b/>
          <w:bCs/>
          <w:sz w:val="30"/>
          <w:szCs w:val="30"/>
          <w:u w:val="single"/>
        </w:rPr>
        <w:t xml:space="preserve">                         </w:t>
      </w:r>
    </w:p>
    <w:p w14:paraId="55687C94">
      <w:pPr>
        <w:autoSpaceDE w:val="0"/>
        <w:autoSpaceDN w:val="0"/>
        <w:adjustRightInd w:val="0"/>
        <w:spacing w:line="360" w:lineRule="auto"/>
        <w:rPr>
          <w:rFonts w:ascii="宋体" w:hAnsi="宋体" w:cs="宋体"/>
          <w:b/>
          <w:bCs/>
          <w:sz w:val="30"/>
          <w:szCs w:val="30"/>
        </w:rPr>
      </w:pPr>
      <w:r>
        <w:rPr>
          <w:rFonts w:hint="eastAsia" w:ascii="宋体" w:hAnsi="宋体" w:cs="宋体"/>
          <w:b/>
          <w:bCs/>
          <w:sz w:val="30"/>
          <w:szCs w:val="30"/>
          <w:lang w:val="zh-CN"/>
        </w:rPr>
        <w:t>采购单位（甲方）：</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（盖章）</w:t>
      </w:r>
    </w:p>
    <w:p w14:paraId="11061EF8">
      <w:pPr>
        <w:autoSpaceDE w:val="0"/>
        <w:autoSpaceDN w:val="0"/>
        <w:adjustRightInd w:val="0"/>
        <w:spacing w:line="360" w:lineRule="auto"/>
        <w:rPr>
          <w:rFonts w:ascii="宋体" w:hAnsi="宋体" w:cs="宋体"/>
          <w:b/>
          <w:bCs/>
          <w:sz w:val="30"/>
          <w:szCs w:val="30"/>
        </w:rPr>
      </w:pPr>
      <w:r>
        <w:rPr>
          <w:rFonts w:hint="eastAsia" w:ascii="宋体" w:hAnsi="宋体" w:cs="宋体"/>
          <w:b/>
          <w:bCs/>
          <w:sz w:val="30"/>
          <w:szCs w:val="30"/>
          <w:lang w:val="zh-CN"/>
        </w:rPr>
        <w:t>成交人（乙方）：</w:t>
      </w:r>
      <w:r>
        <w:rPr>
          <w:rFonts w:hint="eastAsia" w:ascii="宋体" w:hAnsi="宋体" w:cs="宋体"/>
          <w:b/>
          <w:bCs/>
          <w:sz w:val="30"/>
          <w:szCs w:val="30"/>
          <w:u w:val="single"/>
        </w:rPr>
        <w:t xml:space="preserve">                     </w:t>
      </w:r>
      <w:r>
        <w:rPr>
          <w:rFonts w:hint="eastAsia" w:ascii="宋体" w:hAnsi="宋体" w:cs="宋体"/>
          <w:b/>
          <w:bCs/>
          <w:sz w:val="30"/>
          <w:szCs w:val="30"/>
          <w:u w:val="single"/>
          <w:lang w:val="zh-CN"/>
        </w:rPr>
        <w:t>（盖章）</w:t>
      </w:r>
    </w:p>
    <w:p w14:paraId="5DF7570C">
      <w:pPr>
        <w:autoSpaceDE w:val="0"/>
        <w:autoSpaceDN w:val="0"/>
        <w:adjustRightInd w:val="0"/>
        <w:spacing w:line="360" w:lineRule="auto"/>
        <w:rPr>
          <w:rFonts w:ascii="宋体" w:hAnsi="宋体" w:cs="宋体"/>
          <w:b/>
          <w:bCs/>
          <w:sz w:val="30"/>
          <w:szCs w:val="30"/>
        </w:rPr>
      </w:pPr>
      <w:r>
        <w:rPr>
          <w:rFonts w:hint="eastAsia" w:ascii="宋体" w:hAnsi="宋体" w:cs="宋体"/>
          <w:b/>
          <w:bCs/>
          <w:sz w:val="30"/>
          <w:szCs w:val="30"/>
          <w:lang w:val="zh-CN"/>
        </w:rPr>
        <w:t>采购日期：</w:t>
      </w:r>
      <w:r>
        <w:rPr>
          <w:rFonts w:hint="eastAsia" w:ascii="宋体" w:hAnsi="宋体" w:cs="宋体"/>
          <w:b/>
          <w:bCs/>
          <w:sz w:val="30"/>
          <w:szCs w:val="30"/>
          <w:u w:val="single"/>
        </w:rPr>
        <w:t xml:space="preserve">                                   </w:t>
      </w:r>
    </w:p>
    <w:p w14:paraId="51DF7916">
      <w:pPr>
        <w:autoSpaceDE w:val="0"/>
        <w:autoSpaceDN w:val="0"/>
        <w:adjustRightInd w:val="0"/>
        <w:spacing w:line="360" w:lineRule="auto"/>
        <w:rPr>
          <w:rFonts w:ascii="宋体" w:hAnsi="宋体" w:cs="宋体"/>
          <w:sz w:val="28"/>
          <w:szCs w:val="28"/>
        </w:rPr>
      </w:pPr>
      <w:r>
        <w:rPr>
          <w:rFonts w:hint="eastAsia" w:ascii="宋体" w:hAnsi="宋体" w:cs="宋体"/>
          <w:sz w:val="28"/>
          <w:szCs w:val="28"/>
        </w:rPr>
        <w:t xml:space="preserve"> </w:t>
      </w:r>
    </w:p>
    <w:p w14:paraId="6A365AF1">
      <w:pPr>
        <w:autoSpaceDE w:val="0"/>
        <w:autoSpaceDN w:val="0"/>
        <w:adjustRightInd w:val="0"/>
        <w:spacing w:line="400" w:lineRule="exact"/>
        <w:rPr>
          <w:rFonts w:ascii="宋体" w:hAnsi="宋体" w:cs="宋体"/>
          <w:sz w:val="28"/>
          <w:szCs w:val="28"/>
        </w:rPr>
      </w:pPr>
      <w:r>
        <w:rPr>
          <w:rFonts w:hint="eastAsia" w:ascii="宋体" w:hAnsi="宋体" w:cs="宋体"/>
          <w:sz w:val="28"/>
          <w:szCs w:val="28"/>
        </w:rPr>
        <w:br w:type="page"/>
      </w:r>
      <w:r>
        <w:rPr>
          <w:rFonts w:hint="eastAsia" w:ascii="宋体" w:hAnsi="宋体" w:cs="宋体"/>
          <w:b/>
          <w:bCs/>
          <w:sz w:val="28"/>
          <w:szCs w:val="28"/>
          <w:lang w:val="zh-CN"/>
        </w:rPr>
        <w:t>采</w:t>
      </w:r>
      <w:r>
        <w:rPr>
          <w:rFonts w:hint="eastAsia" w:ascii="宋体" w:hAnsi="宋体" w:cs="宋体"/>
          <w:b/>
          <w:bCs/>
          <w:sz w:val="28"/>
          <w:szCs w:val="28"/>
        </w:rPr>
        <w:t xml:space="preserve"> </w:t>
      </w:r>
      <w:r>
        <w:rPr>
          <w:rFonts w:hint="eastAsia" w:ascii="宋体" w:hAnsi="宋体" w:cs="宋体"/>
          <w:b/>
          <w:bCs/>
          <w:sz w:val="28"/>
          <w:szCs w:val="28"/>
          <w:lang w:val="zh-CN"/>
        </w:rPr>
        <w:t>购</w:t>
      </w:r>
      <w:r>
        <w:rPr>
          <w:rFonts w:hint="eastAsia" w:ascii="宋体" w:hAnsi="宋体" w:cs="宋体"/>
          <w:b/>
          <w:bCs/>
          <w:sz w:val="28"/>
          <w:szCs w:val="28"/>
        </w:rPr>
        <w:t xml:space="preserve"> </w:t>
      </w:r>
      <w:r>
        <w:rPr>
          <w:rFonts w:hint="eastAsia" w:ascii="宋体" w:hAnsi="宋体" w:cs="宋体"/>
          <w:b/>
          <w:bCs/>
          <w:sz w:val="28"/>
          <w:szCs w:val="28"/>
          <w:lang w:val="zh-CN"/>
        </w:rPr>
        <w:t>人（以下简称甲方）：</w:t>
      </w:r>
    </w:p>
    <w:p w14:paraId="58D6FAD9">
      <w:pPr>
        <w:autoSpaceDE w:val="0"/>
        <w:autoSpaceDN w:val="0"/>
        <w:adjustRightInd w:val="0"/>
        <w:spacing w:line="400" w:lineRule="exact"/>
        <w:rPr>
          <w:rFonts w:ascii="宋体" w:hAnsi="宋体" w:cs="宋体"/>
          <w:sz w:val="28"/>
          <w:szCs w:val="28"/>
        </w:rPr>
      </w:pPr>
      <w:r>
        <w:rPr>
          <w:rFonts w:hint="eastAsia" w:ascii="宋体" w:hAnsi="宋体" w:cs="宋体"/>
          <w:b/>
          <w:bCs/>
          <w:sz w:val="28"/>
          <w:szCs w:val="28"/>
          <w:lang w:val="zh-CN"/>
        </w:rPr>
        <w:t>成 交 人（以下简称乙方）：</w:t>
      </w:r>
    </w:p>
    <w:p w14:paraId="33654F97">
      <w:pPr>
        <w:pStyle w:val="15"/>
        <w:ind w:firstLine="432"/>
        <w:rPr>
          <w:rFonts w:hAnsi="宋体" w:cs="宋体"/>
          <w:sz w:val="24"/>
          <w:lang w:val="zh-CN"/>
        </w:rPr>
      </w:pPr>
      <w:r>
        <w:rPr>
          <w:rFonts w:hint="eastAsia" w:hAnsi="宋体" w:cs="宋体"/>
          <w:sz w:val="24"/>
          <w:lang w:val="zh-CN"/>
        </w:rPr>
        <w:t>甲、乙双方根据</w:t>
      </w:r>
      <w:r>
        <w:rPr>
          <w:rFonts w:hint="eastAsia" w:hAnsi="宋体" w:cs="宋体"/>
          <w:sz w:val="24"/>
          <w:u w:val="single" w:color="000000"/>
          <w:lang w:val="zh-CN"/>
        </w:rPr>
        <w:t xml:space="preserve"> 青海柴达木职业技术学院医学系专业群实训室建设和升级改造项目（包一）（二次）（项</w:t>
      </w:r>
      <w:r>
        <w:rPr>
          <w:rFonts w:hint="eastAsia" w:hAnsi="宋体" w:cs="宋体"/>
          <w:sz w:val="24"/>
          <w:u w:val="single" w:color="000000"/>
        </w:rPr>
        <w:t>目编号：</w:t>
      </w:r>
      <w:r>
        <w:rPr>
          <w:rFonts w:hint="eastAsia" w:hAnsi="宋体" w:cs="宋体"/>
          <w:sz w:val="24"/>
          <w:u w:val="single" w:color="000000"/>
          <w:lang w:val="zh-CN"/>
        </w:rPr>
        <w:t>青海宸晖竞磋（货物）2026-020号）</w:t>
      </w:r>
      <w:r>
        <w:rPr>
          <w:rFonts w:hint="eastAsia" w:hAnsi="宋体" w:cs="宋体"/>
          <w:sz w:val="24"/>
          <w:lang w:val="zh-CN"/>
        </w:rPr>
        <w:t>的磋商文件要求、成交人响应文件内容及承诺和采购代理机构出具的《成交通知书》，并经双方协商一致，签订本合同协议书。</w:t>
      </w:r>
    </w:p>
    <w:p w14:paraId="2580037E">
      <w:pPr>
        <w:autoSpaceDE w:val="0"/>
        <w:autoSpaceDN w:val="0"/>
        <w:adjustRightInd w:val="0"/>
        <w:spacing w:line="360" w:lineRule="auto"/>
        <w:ind w:firstLine="480"/>
        <w:rPr>
          <w:rFonts w:ascii="宋体" w:hAnsi="宋体" w:cs="宋体"/>
          <w:lang w:val="zh-CN"/>
        </w:rPr>
      </w:pPr>
      <w:r>
        <w:rPr>
          <w:rFonts w:hint="eastAsia" w:ascii="宋体" w:hAnsi="宋体" w:cs="宋体"/>
          <w:lang w:val="zh-CN"/>
        </w:rPr>
        <w:t>一、签订本政府采购合同的依据</w:t>
      </w:r>
    </w:p>
    <w:p w14:paraId="62866D40">
      <w:pPr>
        <w:autoSpaceDE w:val="0"/>
        <w:autoSpaceDN w:val="0"/>
        <w:adjustRightInd w:val="0"/>
        <w:spacing w:line="360" w:lineRule="auto"/>
        <w:ind w:firstLine="480"/>
        <w:rPr>
          <w:rFonts w:ascii="宋体" w:hAnsi="宋体" w:cs="宋体"/>
          <w:lang w:val="zh-CN"/>
        </w:rPr>
      </w:pPr>
      <w:r>
        <w:rPr>
          <w:rFonts w:hint="eastAsia" w:ascii="宋体" w:hAnsi="宋体" w:cs="宋体"/>
          <w:lang w:val="zh-CN"/>
        </w:rPr>
        <w:t>本政府采购合同所附下列文件是构成本政府采购合同不可分割的部分：</w:t>
      </w:r>
    </w:p>
    <w:p w14:paraId="6AFD0923">
      <w:pPr>
        <w:autoSpaceDE w:val="0"/>
        <w:autoSpaceDN w:val="0"/>
        <w:adjustRightInd w:val="0"/>
        <w:spacing w:line="360" w:lineRule="auto"/>
        <w:ind w:firstLine="480"/>
        <w:rPr>
          <w:rFonts w:ascii="宋体" w:hAnsi="宋体" w:cs="宋体"/>
          <w:lang w:val="zh-CN"/>
        </w:rPr>
      </w:pPr>
      <w:r>
        <w:rPr>
          <w:rFonts w:hint="eastAsia" w:ascii="宋体" w:hAnsi="宋体" w:cs="宋体"/>
          <w:lang w:val="zh-CN"/>
        </w:rPr>
        <w:t>1.磋商文件；</w:t>
      </w:r>
    </w:p>
    <w:p w14:paraId="7F2767EB">
      <w:pPr>
        <w:autoSpaceDE w:val="0"/>
        <w:autoSpaceDN w:val="0"/>
        <w:adjustRightInd w:val="0"/>
        <w:spacing w:line="360" w:lineRule="auto"/>
        <w:ind w:firstLine="480"/>
        <w:rPr>
          <w:rFonts w:ascii="宋体" w:hAnsi="宋体" w:cs="宋体"/>
          <w:lang w:val="zh-CN"/>
        </w:rPr>
      </w:pPr>
      <w:r>
        <w:rPr>
          <w:rFonts w:hint="eastAsia" w:ascii="宋体" w:hAnsi="宋体" w:cs="宋体"/>
          <w:lang w:val="zh-CN"/>
        </w:rPr>
        <w:t>2.磋商文件的更正、变更公告；</w:t>
      </w:r>
    </w:p>
    <w:p w14:paraId="37ADD1DD">
      <w:pPr>
        <w:autoSpaceDE w:val="0"/>
        <w:autoSpaceDN w:val="0"/>
        <w:adjustRightInd w:val="0"/>
        <w:spacing w:line="360" w:lineRule="auto"/>
        <w:ind w:firstLine="480"/>
        <w:rPr>
          <w:rFonts w:ascii="宋体" w:hAnsi="宋体" w:cs="宋体"/>
          <w:lang w:val="zh-CN"/>
        </w:rPr>
      </w:pPr>
      <w:r>
        <w:rPr>
          <w:rFonts w:hint="eastAsia" w:ascii="宋体" w:hAnsi="宋体" w:cs="宋体"/>
          <w:lang w:val="zh-CN"/>
        </w:rPr>
        <w:t>3.成交人提交的响应文件；</w:t>
      </w:r>
    </w:p>
    <w:p w14:paraId="1ED61BFE">
      <w:pPr>
        <w:autoSpaceDE w:val="0"/>
        <w:autoSpaceDN w:val="0"/>
        <w:adjustRightInd w:val="0"/>
        <w:spacing w:line="360" w:lineRule="auto"/>
        <w:ind w:firstLine="480"/>
        <w:rPr>
          <w:rFonts w:ascii="宋体" w:hAnsi="宋体" w:cs="宋体"/>
          <w:lang w:val="zh-CN"/>
        </w:rPr>
      </w:pPr>
      <w:r>
        <w:rPr>
          <w:rFonts w:hint="eastAsia" w:ascii="宋体" w:hAnsi="宋体" w:cs="宋体"/>
          <w:lang w:val="zh-CN"/>
        </w:rPr>
        <w:t>二、合同组成</w:t>
      </w:r>
    </w:p>
    <w:p w14:paraId="24BD900B">
      <w:pPr>
        <w:autoSpaceDE w:val="0"/>
        <w:autoSpaceDN w:val="0"/>
        <w:adjustRightInd w:val="0"/>
        <w:spacing w:line="360" w:lineRule="auto"/>
        <w:ind w:firstLine="480"/>
        <w:rPr>
          <w:rFonts w:ascii="宋体" w:hAnsi="宋体" w:cs="宋体"/>
          <w:lang w:val="zh-CN"/>
        </w:rPr>
      </w:pPr>
      <w:r>
        <w:rPr>
          <w:rFonts w:hint="eastAsia" w:ascii="宋体" w:hAnsi="宋体" w:cs="宋体"/>
          <w:lang w:val="zh-CN"/>
        </w:rPr>
        <w:t>1.分项报价表；</w:t>
      </w:r>
    </w:p>
    <w:p w14:paraId="59D92A9D">
      <w:pPr>
        <w:autoSpaceDE w:val="0"/>
        <w:autoSpaceDN w:val="0"/>
        <w:adjustRightInd w:val="0"/>
        <w:spacing w:line="360" w:lineRule="auto"/>
        <w:ind w:firstLine="480"/>
        <w:rPr>
          <w:rFonts w:ascii="宋体" w:hAnsi="宋体" w:cs="宋体"/>
          <w:lang w:val="zh-CN"/>
        </w:rPr>
      </w:pPr>
      <w:r>
        <w:rPr>
          <w:rFonts w:hint="eastAsia" w:ascii="宋体" w:hAnsi="宋体" w:cs="宋体"/>
          <w:lang w:val="zh-CN"/>
        </w:rPr>
        <w:t>2.技术条款偏离表；</w:t>
      </w:r>
    </w:p>
    <w:p w14:paraId="5898ACD7">
      <w:pPr>
        <w:autoSpaceDE w:val="0"/>
        <w:autoSpaceDN w:val="0"/>
        <w:adjustRightInd w:val="0"/>
        <w:spacing w:line="360" w:lineRule="auto"/>
        <w:ind w:firstLine="480"/>
        <w:rPr>
          <w:rFonts w:ascii="宋体" w:hAnsi="宋体" w:cs="宋体"/>
          <w:lang w:val="zh-CN"/>
        </w:rPr>
      </w:pPr>
      <w:r>
        <w:rPr>
          <w:rFonts w:hint="eastAsia" w:ascii="宋体" w:hAnsi="宋体" w:cs="宋体"/>
          <w:lang w:val="zh-CN"/>
        </w:rPr>
        <w:t>3.其他相关承诺；</w:t>
      </w:r>
    </w:p>
    <w:p w14:paraId="7A5CD78F">
      <w:pPr>
        <w:autoSpaceDE w:val="0"/>
        <w:autoSpaceDN w:val="0"/>
        <w:adjustRightInd w:val="0"/>
        <w:spacing w:line="360" w:lineRule="auto"/>
        <w:ind w:firstLine="480"/>
        <w:rPr>
          <w:rFonts w:ascii="宋体" w:hAnsi="宋体" w:cs="宋体"/>
          <w:lang w:val="zh-CN"/>
        </w:rPr>
      </w:pPr>
      <w:r>
        <w:rPr>
          <w:rFonts w:hint="eastAsia" w:ascii="宋体" w:hAnsi="宋体" w:cs="宋体"/>
          <w:lang w:val="zh-CN"/>
        </w:rPr>
        <w:t>4.成交通知书（交采购人）；</w:t>
      </w:r>
    </w:p>
    <w:p w14:paraId="5FD78C13">
      <w:pPr>
        <w:autoSpaceDE w:val="0"/>
        <w:autoSpaceDN w:val="0"/>
        <w:adjustRightInd w:val="0"/>
        <w:spacing w:line="360" w:lineRule="auto"/>
        <w:ind w:firstLine="480"/>
        <w:rPr>
          <w:rFonts w:ascii="宋体" w:hAnsi="宋体" w:cs="宋体"/>
          <w:lang w:val="zh-CN"/>
        </w:rPr>
      </w:pPr>
      <w:r>
        <w:rPr>
          <w:rFonts w:hint="eastAsia" w:ascii="宋体" w:hAnsi="宋体" w:cs="宋体"/>
          <w:lang w:val="zh-CN"/>
        </w:rPr>
        <w:t>5.履约保证金证明材料；</w:t>
      </w:r>
    </w:p>
    <w:p w14:paraId="08BF8465">
      <w:pPr>
        <w:autoSpaceDE w:val="0"/>
        <w:autoSpaceDN w:val="0"/>
        <w:adjustRightInd w:val="0"/>
        <w:spacing w:line="360" w:lineRule="auto"/>
        <w:ind w:firstLine="480"/>
        <w:rPr>
          <w:rFonts w:ascii="宋体" w:hAnsi="宋体" w:cs="宋体"/>
          <w:lang w:val="zh-CN"/>
        </w:rPr>
      </w:pPr>
      <w:r>
        <w:rPr>
          <w:rFonts w:hint="eastAsia" w:ascii="宋体" w:hAnsi="宋体" w:cs="宋体"/>
          <w:lang w:val="zh-CN"/>
        </w:rPr>
        <w:t>6.磋商文件中规定的政府采购合同通用条款；</w:t>
      </w:r>
    </w:p>
    <w:p w14:paraId="5AA82959">
      <w:pPr>
        <w:autoSpaceDE w:val="0"/>
        <w:autoSpaceDN w:val="0"/>
        <w:adjustRightInd w:val="0"/>
        <w:spacing w:line="360" w:lineRule="auto"/>
        <w:ind w:firstLine="480"/>
        <w:rPr>
          <w:rFonts w:ascii="宋体" w:hAnsi="宋体" w:cs="宋体"/>
        </w:rPr>
      </w:pPr>
      <w:r>
        <w:rPr>
          <w:rFonts w:hint="eastAsia" w:ascii="宋体" w:hAnsi="宋体" w:cs="宋体"/>
          <w:lang w:val="zh-CN"/>
        </w:rPr>
        <w:t>三、合同标的及金额                                  单位：元</w:t>
      </w:r>
    </w:p>
    <w:tbl>
      <w:tblPr>
        <w:tblStyle w:val="45"/>
        <w:tblW w:w="8617" w:type="dxa"/>
        <w:jc w:val="center"/>
        <w:tblLayout w:type="fixed"/>
        <w:tblCellMar>
          <w:top w:w="0" w:type="dxa"/>
          <w:left w:w="108" w:type="dxa"/>
          <w:bottom w:w="0" w:type="dxa"/>
          <w:right w:w="108" w:type="dxa"/>
        </w:tblCellMar>
      </w:tblPr>
      <w:tblGrid>
        <w:gridCol w:w="731"/>
        <w:gridCol w:w="2271"/>
        <w:gridCol w:w="1899"/>
        <w:gridCol w:w="990"/>
        <w:gridCol w:w="945"/>
        <w:gridCol w:w="1020"/>
        <w:gridCol w:w="761"/>
      </w:tblGrid>
      <w:tr w14:paraId="1906C48C">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03484403">
            <w:pPr>
              <w:autoSpaceDE w:val="0"/>
              <w:autoSpaceDN w:val="0"/>
              <w:spacing w:line="360" w:lineRule="auto"/>
              <w:jc w:val="center"/>
              <w:rPr>
                <w:rFonts w:ascii="宋体" w:hAnsi="宋体" w:cs="宋体"/>
                <w:lang w:val="zh-CN"/>
              </w:rPr>
            </w:pPr>
            <w:r>
              <w:rPr>
                <w:rFonts w:hint="eastAsia" w:ascii="宋体" w:hAnsi="宋体" w:cs="宋体"/>
                <w:lang w:val="zh-CN"/>
              </w:rPr>
              <w:t>包号</w:t>
            </w:r>
          </w:p>
        </w:tc>
        <w:tc>
          <w:tcPr>
            <w:tcW w:w="2271" w:type="dxa"/>
            <w:tcBorders>
              <w:top w:val="single" w:color="auto" w:sz="4" w:space="0"/>
              <w:left w:val="single" w:color="auto" w:sz="4" w:space="0"/>
              <w:bottom w:val="single" w:color="auto" w:sz="4" w:space="0"/>
              <w:right w:val="single" w:color="auto" w:sz="4" w:space="0"/>
            </w:tcBorders>
            <w:vAlign w:val="center"/>
          </w:tcPr>
          <w:p w14:paraId="0203E3D7">
            <w:pPr>
              <w:autoSpaceDE w:val="0"/>
              <w:autoSpaceDN w:val="0"/>
              <w:spacing w:line="360" w:lineRule="auto"/>
              <w:jc w:val="center"/>
              <w:rPr>
                <w:rFonts w:ascii="宋体" w:hAnsi="宋体" w:cs="宋体"/>
                <w:lang w:val="zh-CN"/>
              </w:rPr>
            </w:pPr>
            <w:r>
              <w:rPr>
                <w:rFonts w:hint="eastAsia" w:ascii="宋体" w:hAnsi="宋体" w:cs="宋体"/>
                <w:lang w:val="zh-CN"/>
              </w:rPr>
              <w:t>标的名称</w:t>
            </w:r>
          </w:p>
        </w:tc>
        <w:tc>
          <w:tcPr>
            <w:tcW w:w="1899" w:type="dxa"/>
            <w:tcBorders>
              <w:top w:val="single" w:color="auto" w:sz="4" w:space="0"/>
              <w:left w:val="single" w:color="auto" w:sz="4" w:space="0"/>
              <w:bottom w:val="single" w:color="auto" w:sz="4" w:space="0"/>
              <w:right w:val="single" w:color="auto" w:sz="4" w:space="0"/>
            </w:tcBorders>
            <w:vAlign w:val="center"/>
          </w:tcPr>
          <w:p w14:paraId="62362982">
            <w:pPr>
              <w:autoSpaceDE w:val="0"/>
              <w:autoSpaceDN w:val="0"/>
              <w:spacing w:line="360" w:lineRule="auto"/>
              <w:jc w:val="center"/>
              <w:rPr>
                <w:rFonts w:ascii="宋体" w:hAnsi="宋体" w:cs="宋体"/>
                <w:lang w:val="zh-CN"/>
              </w:rPr>
            </w:pPr>
            <w:r>
              <w:rPr>
                <w:rFonts w:hint="eastAsia" w:ascii="宋体" w:hAnsi="宋体" w:cs="宋体"/>
                <w:lang w:val="zh-CN"/>
              </w:rPr>
              <w:t>规格型号</w:t>
            </w:r>
          </w:p>
        </w:tc>
        <w:tc>
          <w:tcPr>
            <w:tcW w:w="990" w:type="dxa"/>
            <w:tcBorders>
              <w:top w:val="single" w:color="auto" w:sz="4" w:space="0"/>
              <w:left w:val="single" w:color="auto" w:sz="4" w:space="0"/>
              <w:bottom w:val="single" w:color="auto" w:sz="4" w:space="0"/>
              <w:right w:val="single" w:color="auto" w:sz="4" w:space="0"/>
            </w:tcBorders>
            <w:vAlign w:val="center"/>
          </w:tcPr>
          <w:p w14:paraId="3883186A">
            <w:pPr>
              <w:autoSpaceDE w:val="0"/>
              <w:autoSpaceDN w:val="0"/>
              <w:spacing w:line="360" w:lineRule="auto"/>
              <w:jc w:val="center"/>
              <w:rPr>
                <w:rFonts w:ascii="宋体" w:hAnsi="宋体" w:cs="宋体"/>
                <w:lang w:val="zh-CN"/>
              </w:rPr>
            </w:pPr>
            <w:r>
              <w:rPr>
                <w:rFonts w:hint="eastAsia" w:ascii="宋体" w:hAnsi="宋体" w:cs="宋体"/>
                <w:lang w:val="zh-CN"/>
              </w:rPr>
              <w:t>数量</w:t>
            </w:r>
          </w:p>
        </w:tc>
        <w:tc>
          <w:tcPr>
            <w:tcW w:w="945" w:type="dxa"/>
            <w:tcBorders>
              <w:top w:val="single" w:color="auto" w:sz="4" w:space="0"/>
              <w:left w:val="single" w:color="auto" w:sz="4" w:space="0"/>
              <w:bottom w:val="single" w:color="auto" w:sz="4" w:space="0"/>
              <w:right w:val="single" w:color="auto" w:sz="4" w:space="0"/>
            </w:tcBorders>
            <w:vAlign w:val="center"/>
          </w:tcPr>
          <w:p w14:paraId="2E962DB2">
            <w:pPr>
              <w:autoSpaceDE w:val="0"/>
              <w:autoSpaceDN w:val="0"/>
              <w:spacing w:line="360" w:lineRule="auto"/>
              <w:jc w:val="center"/>
              <w:rPr>
                <w:rFonts w:ascii="宋体" w:hAnsi="宋体" w:cs="宋体"/>
                <w:lang w:val="zh-CN"/>
              </w:rPr>
            </w:pPr>
            <w:r>
              <w:rPr>
                <w:rFonts w:hint="eastAsia" w:ascii="宋体" w:hAnsi="宋体" w:cs="宋体"/>
                <w:lang w:val="zh-CN"/>
              </w:rPr>
              <w:t>单价</w:t>
            </w:r>
          </w:p>
        </w:tc>
        <w:tc>
          <w:tcPr>
            <w:tcW w:w="1020" w:type="dxa"/>
            <w:tcBorders>
              <w:top w:val="single" w:color="auto" w:sz="4" w:space="0"/>
              <w:left w:val="single" w:color="auto" w:sz="4" w:space="0"/>
              <w:bottom w:val="single" w:color="auto" w:sz="4" w:space="0"/>
              <w:right w:val="single" w:color="auto" w:sz="4" w:space="0"/>
            </w:tcBorders>
            <w:vAlign w:val="center"/>
          </w:tcPr>
          <w:p w14:paraId="269A39DC">
            <w:pPr>
              <w:autoSpaceDE w:val="0"/>
              <w:autoSpaceDN w:val="0"/>
              <w:spacing w:line="360" w:lineRule="auto"/>
              <w:jc w:val="center"/>
              <w:rPr>
                <w:rFonts w:ascii="宋体" w:hAnsi="宋体" w:cs="宋体"/>
                <w:lang w:val="zh-CN"/>
              </w:rPr>
            </w:pPr>
            <w:r>
              <w:rPr>
                <w:rFonts w:hint="eastAsia" w:ascii="宋体" w:hAnsi="宋体" w:cs="宋体"/>
                <w:lang w:val="zh-CN"/>
              </w:rPr>
              <w:t>总价</w:t>
            </w:r>
          </w:p>
        </w:tc>
        <w:tc>
          <w:tcPr>
            <w:tcW w:w="761" w:type="dxa"/>
            <w:tcBorders>
              <w:top w:val="single" w:color="auto" w:sz="4" w:space="0"/>
              <w:left w:val="single" w:color="auto" w:sz="4" w:space="0"/>
              <w:bottom w:val="single" w:color="auto" w:sz="4" w:space="0"/>
              <w:right w:val="single" w:color="auto" w:sz="4" w:space="0"/>
            </w:tcBorders>
            <w:vAlign w:val="center"/>
          </w:tcPr>
          <w:p w14:paraId="16B78BB5">
            <w:pPr>
              <w:autoSpaceDE w:val="0"/>
              <w:autoSpaceDN w:val="0"/>
              <w:spacing w:line="360" w:lineRule="auto"/>
              <w:jc w:val="center"/>
              <w:rPr>
                <w:rFonts w:ascii="宋体" w:hAnsi="宋体" w:cs="宋体"/>
                <w:lang w:val="zh-CN"/>
              </w:rPr>
            </w:pPr>
            <w:r>
              <w:rPr>
                <w:rFonts w:hint="eastAsia" w:ascii="宋体" w:hAnsi="宋体" w:cs="宋体"/>
                <w:lang w:val="zh-CN"/>
              </w:rPr>
              <w:t>备注</w:t>
            </w:r>
          </w:p>
        </w:tc>
      </w:tr>
      <w:tr w14:paraId="685666F2">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485A6437">
            <w:pPr>
              <w:autoSpaceDE w:val="0"/>
              <w:autoSpaceDN w:val="0"/>
              <w:spacing w:line="360" w:lineRule="auto"/>
              <w:jc w:val="center"/>
              <w:rPr>
                <w:rFonts w:ascii="宋体" w:hAnsi="宋体" w:cs="宋体"/>
                <w:lang w:val="zh-CN"/>
              </w:rPr>
            </w:pPr>
          </w:p>
        </w:tc>
        <w:tc>
          <w:tcPr>
            <w:tcW w:w="2271" w:type="dxa"/>
            <w:tcBorders>
              <w:top w:val="single" w:color="auto" w:sz="4" w:space="0"/>
              <w:left w:val="single" w:color="auto" w:sz="4" w:space="0"/>
              <w:bottom w:val="single" w:color="auto" w:sz="4" w:space="0"/>
              <w:right w:val="single" w:color="auto" w:sz="4" w:space="0"/>
            </w:tcBorders>
            <w:vAlign w:val="center"/>
          </w:tcPr>
          <w:p w14:paraId="7A2AF307">
            <w:pPr>
              <w:autoSpaceDE w:val="0"/>
              <w:autoSpaceDN w:val="0"/>
              <w:spacing w:line="360" w:lineRule="auto"/>
              <w:jc w:val="center"/>
              <w:rPr>
                <w:rFonts w:ascii="宋体" w:hAnsi="宋体" w:cs="宋体"/>
                <w:lang w:val="zh-CN"/>
              </w:rPr>
            </w:pPr>
          </w:p>
        </w:tc>
        <w:tc>
          <w:tcPr>
            <w:tcW w:w="1899" w:type="dxa"/>
            <w:tcBorders>
              <w:top w:val="single" w:color="auto" w:sz="4" w:space="0"/>
              <w:left w:val="single" w:color="auto" w:sz="4" w:space="0"/>
              <w:bottom w:val="single" w:color="auto" w:sz="4" w:space="0"/>
              <w:right w:val="single" w:color="auto" w:sz="4" w:space="0"/>
            </w:tcBorders>
            <w:vAlign w:val="center"/>
          </w:tcPr>
          <w:p w14:paraId="4890D61C">
            <w:pPr>
              <w:autoSpaceDE w:val="0"/>
              <w:autoSpaceDN w:val="0"/>
              <w:spacing w:line="360" w:lineRule="auto"/>
              <w:jc w:val="center"/>
              <w:rPr>
                <w:rFonts w:ascii="宋体" w:hAnsi="宋体" w:cs="宋体"/>
                <w:lang w:val="zh-CN"/>
              </w:rPr>
            </w:pPr>
          </w:p>
        </w:tc>
        <w:tc>
          <w:tcPr>
            <w:tcW w:w="990" w:type="dxa"/>
            <w:tcBorders>
              <w:top w:val="single" w:color="auto" w:sz="4" w:space="0"/>
              <w:left w:val="single" w:color="auto" w:sz="4" w:space="0"/>
              <w:bottom w:val="single" w:color="auto" w:sz="4" w:space="0"/>
              <w:right w:val="single" w:color="auto" w:sz="4" w:space="0"/>
            </w:tcBorders>
            <w:vAlign w:val="center"/>
          </w:tcPr>
          <w:p w14:paraId="5BE783CF">
            <w:pPr>
              <w:autoSpaceDE w:val="0"/>
              <w:autoSpaceDN w:val="0"/>
              <w:spacing w:line="360" w:lineRule="auto"/>
              <w:jc w:val="center"/>
              <w:rPr>
                <w:rFonts w:ascii="宋体" w:hAnsi="宋体" w:cs="宋体"/>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6F60C69E">
            <w:pPr>
              <w:autoSpaceDE w:val="0"/>
              <w:autoSpaceDN w:val="0"/>
              <w:spacing w:line="360" w:lineRule="auto"/>
              <w:jc w:val="center"/>
              <w:rPr>
                <w:rFonts w:ascii="宋体" w:hAnsi="宋体" w:cs="宋体"/>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5DB628E2">
            <w:pPr>
              <w:autoSpaceDE w:val="0"/>
              <w:autoSpaceDN w:val="0"/>
              <w:spacing w:line="360" w:lineRule="auto"/>
              <w:jc w:val="center"/>
              <w:rPr>
                <w:rFonts w:ascii="宋体" w:hAnsi="宋体" w:cs="宋体"/>
                <w:lang w:val="zh-CN"/>
              </w:rPr>
            </w:pPr>
          </w:p>
        </w:tc>
        <w:tc>
          <w:tcPr>
            <w:tcW w:w="761" w:type="dxa"/>
            <w:tcBorders>
              <w:top w:val="single" w:color="auto" w:sz="4" w:space="0"/>
              <w:left w:val="single" w:color="auto" w:sz="4" w:space="0"/>
              <w:bottom w:val="single" w:color="auto" w:sz="4" w:space="0"/>
              <w:right w:val="single" w:color="auto" w:sz="4" w:space="0"/>
            </w:tcBorders>
            <w:vAlign w:val="center"/>
          </w:tcPr>
          <w:p w14:paraId="10382087">
            <w:pPr>
              <w:autoSpaceDE w:val="0"/>
              <w:autoSpaceDN w:val="0"/>
              <w:spacing w:line="360" w:lineRule="auto"/>
              <w:jc w:val="center"/>
              <w:rPr>
                <w:rFonts w:ascii="宋体" w:hAnsi="宋体" w:cs="宋体"/>
                <w:lang w:val="zh-CN"/>
              </w:rPr>
            </w:pPr>
          </w:p>
        </w:tc>
      </w:tr>
      <w:tr w14:paraId="3A4EB1B9">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603B9D4E">
            <w:pPr>
              <w:autoSpaceDE w:val="0"/>
              <w:autoSpaceDN w:val="0"/>
              <w:spacing w:line="360" w:lineRule="auto"/>
              <w:jc w:val="center"/>
              <w:rPr>
                <w:rFonts w:ascii="宋体" w:hAnsi="宋体" w:cs="宋体"/>
                <w:lang w:val="zh-CN"/>
              </w:rPr>
            </w:pPr>
          </w:p>
        </w:tc>
        <w:tc>
          <w:tcPr>
            <w:tcW w:w="2271" w:type="dxa"/>
            <w:tcBorders>
              <w:top w:val="single" w:color="auto" w:sz="4" w:space="0"/>
              <w:left w:val="single" w:color="auto" w:sz="4" w:space="0"/>
              <w:bottom w:val="single" w:color="auto" w:sz="4" w:space="0"/>
              <w:right w:val="single" w:color="auto" w:sz="4" w:space="0"/>
            </w:tcBorders>
            <w:vAlign w:val="center"/>
          </w:tcPr>
          <w:p w14:paraId="095E0022">
            <w:pPr>
              <w:autoSpaceDE w:val="0"/>
              <w:autoSpaceDN w:val="0"/>
              <w:spacing w:line="360" w:lineRule="auto"/>
              <w:jc w:val="center"/>
              <w:rPr>
                <w:rFonts w:ascii="宋体" w:hAnsi="宋体" w:cs="宋体"/>
                <w:lang w:val="zh-CN"/>
              </w:rPr>
            </w:pPr>
          </w:p>
        </w:tc>
        <w:tc>
          <w:tcPr>
            <w:tcW w:w="1899" w:type="dxa"/>
            <w:tcBorders>
              <w:top w:val="single" w:color="auto" w:sz="4" w:space="0"/>
              <w:left w:val="single" w:color="auto" w:sz="4" w:space="0"/>
              <w:bottom w:val="single" w:color="auto" w:sz="4" w:space="0"/>
              <w:right w:val="single" w:color="auto" w:sz="4" w:space="0"/>
            </w:tcBorders>
            <w:vAlign w:val="center"/>
          </w:tcPr>
          <w:p w14:paraId="08BDA84F">
            <w:pPr>
              <w:autoSpaceDE w:val="0"/>
              <w:autoSpaceDN w:val="0"/>
              <w:spacing w:line="360" w:lineRule="auto"/>
              <w:jc w:val="center"/>
              <w:rPr>
                <w:rFonts w:ascii="宋体" w:hAnsi="宋体" w:cs="宋体"/>
                <w:lang w:val="zh-CN"/>
              </w:rPr>
            </w:pPr>
          </w:p>
        </w:tc>
        <w:tc>
          <w:tcPr>
            <w:tcW w:w="990" w:type="dxa"/>
            <w:tcBorders>
              <w:top w:val="single" w:color="auto" w:sz="4" w:space="0"/>
              <w:left w:val="single" w:color="auto" w:sz="4" w:space="0"/>
              <w:bottom w:val="single" w:color="auto" w:sz="4" w:space="0"/>
              <w:right w:val="single" w:color="auto" w:sz="4" w:space="0"/>
            </w:tcBorders>
            <w:vAlign w:val="center"/>
          </w:tcPr>
          <w:p w14:paraId="45D2F578">
            <w:pPr>
              <w:autoSpaceDE w:val="0"/>
              <w:autoSpaceDN w:val="0"/>
              <w:spacing w:line="360" w:lineRule="auto"/>
              <w:jc w:val="center"/>
              <w:rPr>
                <w:rFonts w:ascii="宋体" w:hAnsi="宋体" w:cs="宋体"/>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3BDE2EA9">
            <w:pPr>
              <w:autoSpaceDE w:val="0"/>
              <w:autoSpaceDN w:val="0"/>
              <w:spacing w:line="360" w:lineRule="auto"/>
              <w:jc w:val="center"/>
              <w:rPr>
                <w:rFonts w:ascii="宋体" w:hAnsi="宋体" w:cs="宋体"/>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4D822A7D">
            <w:pPr>
              <w:autoSpaceDE w:val="0"/>
              <w:autoSpaceDN w:val="0"/>
              <w:spacing w:line="360" w:lineRule="auto"/>
              <w:jc w:val="center"/>
              <w:rPr>
                <w:rFonts w:ascii="宋体" w:hAnsi="宋体" w:cs="宋体"/>
                <w:lang w:val="zh-CN"/>
              </w:rPr>
            </w:pPr>
          </w:p>
        </w:tc>
        <w:tc>
          <w:tcPr>
            <w:tcW w:w="761" w:type="dxa"/>
            <w:tcBorders>
              <w:top w:val="single" w:color="auto" w:sz="4" w:space="0"/>
              <w:left w:val="single" w:color="auto" w:sz="4" w:space="0"/>
              <w:bottom w:val="single" w:color="auto" w:sz="4" w:space="0"/>
              <w:right w:val="single" w:color="auto" w:sz="4" w:space="0"/>
            </w:tcBorders>
            <w:vAlign w:val="center"/>
          </w:tcPr>
          <w:p w14:paraId="29350684">
            <w:pPr>
              <w:autoSpaceDE w:val="0"/>
              <w:autoSpaceDN w:val="0"/>
              <w:spacing w:line="360" w:lineRule="auto"/>
              <w:jc w:val="center"/>
              <w:rPr>
                <w:rFonts w:ascii="宋体" w:hAnsi="宋体" w:cs="宋体"/>
                <w:lang w:val="zh-CN"/>
              </w:rPr>
            </w:pPr>
          </w:p>
        </w:tc>
      </w:tr>
      <w:tr w14:paraId="1A4DDA09">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14:paraId="3FA47110">
            <w:pPr>
              <w:autoSpaceDE w:val="0"/>
              <w:autoSpaceDN w:val="0"/>
              <w:spacing w:line="360" w:lineRule="auto"/>
              <w:jc w:val="center"/>
              <w:rPr>
                <w:rFonts w:ascii="宋体" w:hAnsi="宋体" w:cs="宋体"/>
                <w:lang w:val="zh-CN"/>
              </w:rPr>
            </w:pPr>
          </w:p>
        </w:tc>
        <w:tc>
          <w:tcPr>
            <w:tcW w:w="2271" w:type="dxa"/>
            <w:tcBorders>
              <w:top w:val="single" w:color="auto" w:sz="4" w:space="0"/>
              <w:left w:val="single" w:color="auto" w:sz="4" w:space="0"/>
              <w:bottom w:val="single" w:color="auto" w:sz="4" w:space="0"/>
              <w:right w:val="single" w:color="auto" w:sz="4" w:space="0"/>
            </w:tcBorders>
            <w:vAlign w:val="center"/>
          </w:tcPr>
          <w:p w14:paraId="062DB31E">
            <w:pPr>
              <w:autoSpaceDE w:val="0"/>
              <w:autoSpaceDN w:val="0"/>
              <w:spacing w:line="360" w:lineRule="auto"/>
              <w:jc w:val="center"/>
              <w:rPr>
                <w:rFonts w:ascii="宋体" w:hAnsi="宋体" w:cs="宋体"/>
                <w:lang w:val="zh-CN"/>
              </w:rPr>
            </w:pPr>
          </w:p>
        </w:tc>
        <w:tc>
          <w:tcPr>
            <w:tcW w:w="1899" w:type="dxa"/>
            <w:tcBorders>
              <w:top w:val="single" w:color="auto" w:sz="4" w:space="0"/>
              <w:left w:val="single" w:color="auto" w:sz="4" w:space="0"/>
              <w:bottom w:val="single" w:color="auto" w:sz="4" w:space="0"/>
              <w:right w:val="single" w:color="auto" w:sz="4" w:space="0"/>
            </w:tcBorders>
            <w:vAlign w:val="center"/>
          </w:tcPr>
          <w:p w14:paraId="727F6239">
            <w:pPr>
              <w:autoSpaceDE w:val="0"/>
              <w:autoSpaceDN w:val="0"/>
              <w:spacing w:line="360" w:lineRule="auto"/>
              <w:jc w:val="center"/>
              <w:rPr>
                <w:rFonts w:ascii="宋体" w:hAnsi="宋体" w:cs="宋体"/>
                <w:lang w:val="zh-CN"/>
              </w:rPr>
            </w:pPr>
          </w:p>
        </w:tc>
        <w:tc>
          <w:tcPr>
            <w:tcW w:w="990" w:type="dxa"/>
            <w:tcBorders>
              <w:top w:val="single" w:color="auto" w:sz="4" w:space="0"/>
              <w:left w:val="single" w:color="auto" w:sz="4" w:space="0"/>
              <w:bottom w:val="single" w:color="auto" w:sz="4" w:space="0"/>
              <w:right w:val="single" w:color="auto" w:sz="4" w:space="0"/>
            </w:tcBorders>
            <w:vAlign w:val="center"/>
          </w:tcPr>
          <w:p w14:paraId="62E9504F">
            <w:pPr>
              <w:autoSpaceDE w:val="0"/>
              <w:autoSpaceDN w:val="0"/>
              <w:spacing w:line="360" w:lineRule="auto"/>
              <w:jc w:val="center"/>
              <w:rPr>
                <w:rFonts w:ascii="宋体" w:hAnsi="宋体" w:cs="宋体"/>
                <w:lang w:val="zh-CN"/>
              </w:rPr>
            </w:pPr>
          </w:p>
        </w:tc>
        <w:tc>
          <w:tcPr>
            <w:tcW w:w="945" w:type="dxa"/>
            <w:tcBorders>
              <w:top w:val="single" w:color="auto" w:sz="4" w:space="0"/>
              <w:left w:val="single" w:color="auto" w:sz="4" w:space="0"/>
              <w:bottom w:val="single" w:color="auto" w:sz="4" w:space="0"/>
              <w:right w:val="single" w:color="auto" w:sz="4" w:space="0"/>
            </w:tcBorders>
            <w:vAlign w:val="center"/>
          </w:tcPr>
          <w:p w14:paraId="632735DF">
            <w:pPr>
              <w:autoSpaceDE w:val="0"/>
              <w:autoSpaceDN w:val="0"/>
              <w:spacing w:line="360" w:lineRule="auto"/>
              <w:jc w:val="center"/>
              <w:rPr>
                <w:rFonts w:ascii="宋体" w:hAnsi="宋体" w:cs="宋体"/>
                <w:lang w:val="zh-CN"/>
              </w:rPr>
            </w:pPr>
          </w:p>
        </w:tc>
        <w:tc>
          <w:tcPr>
            <w:tcW w:w="1020" w:type="dxa"/>
            <w:tcBorders>
              <w:top w:val="single" w:color="auto" w:sz="4" w:space="0"/>
              <w:left w:val="single" w:color="auto" w:sz="4" w:space="0"/>
              <w:bottom w:val="single" w:color="auto" w:sz="4" w:space="0"/>
              <w:right w:val="single" w:color="auto" w:sz="4" w:space="0"/>
            </w:tcBorders>
            <w:vAlign w:val="center"/>
          </w:tcPr>
          <w:p w14:paraId="4B9B9539">
            <w:pPr>
              <w:autoSpaceDE w:val="0"/>
              <w:autoSpaceDN w:val="0"/>
              <w:spacing w:line="360" w:lineRule="auto"/>
              <w:jc w:val="center"/>
              <w:rPr>
                <w:rFonts w:ascii="宋体" w:hAnsi="宋体" w:cs="宋体"/>
                <w:lang w:val="zh-CN"/>
              </w:rPr>
            </w:pPr>
          </w:p>
        </w:tc>
        <w:tc>
          <w:tcPr>
            <w:tcW w:w="761" w:type="dxa"/>
            <w:tcBorders>
              <w:top w:val="single" w:color="auto" w:sz="4" w:space="0"/>
              <w:left w:val="single" w:color="auto" w:sz="4" w:space="0"/>
              <w:bottom w:val="single" w:color="auto" w:sz="4" w:space="0"/>
              <w:right w:val="single" w:color="auto" w:sz="4" w:space="0"/>
            </w:tcBorders>
            <w:vAlign w:val="center"/>
          </w:tcPr>
          <w:p w14:paraId="145A1609">
            <w:pPr>
              <w:autoSpaceDE w:val="0"/>
              <w:autoSpaceDN w:val="0"/>
              <w:spacing w:line="360" w:lineRule="auto"/>
              <w:jc w:val="center"/>
              <w:rPr>
                <w:rFonts w:ascii="宋体" w:hAnsi="宋体" w:cs="宋体"/>
                <w:lang w:val="zh-CN"/>
              </w:rPr>
            </w:pPr>
          </w:p>
        </w:tc>
      </w:tr>
    </w:tbl>
    <w:p w14:paraId="06FEB31A">
      <w:pPr>
        <w:autoSpaceDE w:val="0"/>
        <w:autoSpaceDN w:val="0"/>
        <w:adjustRightInd w:val="0"/>
        <w:spacing w:line="400" w:lineRule="exact"/>
        <w:ind w:firstLine="480" w:firstLineChars="200"/>
        <w:rPr>
          <w:rFonts w:ascii="宋体" w:hAnsi="宋体" w:cs="宋体"/>
          <w:lang w:val="zh-CN"/>
        </w:rPr>
      </w:pPr>
      <w:r>
        <w:rPr>
          <w:rFonts w:hint="eastAsia" w:ascii="宋体" w:hAnsi="宋体" w:cs="宋体"/>
          <w:lang w:val="zh-CN"/>
        </w:rPr>
        <w:t>根据上述政府采购合同文件要求，本政府采购合同的总金额为人民币</w:t>
      </w:r>
      <w:r>
        <w:rPr>
          <w:rFonts w:hint="eastAsia" w:ascii="宋体" w:hAnsi="宋体" w:cs="宋体"/>
          <w:u w:val="single"/>
          <w:lang w:val="zh-CN"/>
        </w:rPr>
        <w:t xml:space="preserve">         </w:t>
      </w:r>
      <w:r>
        <w:rPr>
          <w:rFonts w:hint="eastAsia" w:ascii="宋体" w:hAnsi="宋体" w:cs="宋体"/>
          <w:u w:val="single"/>
        </w:rPr>
        <w:t xml:space="preserve"> </w:t>
      </w:r>
      <w:r>
        <w:rPr>
          <w:rFonts w:hint="eastAsia" w:ascii="宋体" w:hAnsi="宋体" w:cs="宋体"/>
          <w:u w:val="single"/>
          <w:lang w:val="zh-CN"/>
        </w:rPr>
        <w:t xml:space="preserve">        </w:t>
      </w:r>
      <w:r>
        <w:rPr>
          <w:rFonts w:hint="eastAsia" w:ascii="宋体" w:hAnsi="宋体" w:cs="宋体"/>
          <w:lang w:val="zh-CN"/>
        </w:rPr>
        <w:t>。</w:t>
      </w:r>
    </w:p>
    <w:p w14:paraId="5815B9FC">
      <w:pPr>
        <w:autoSpaceDE w:val="0"/>
        <w:autoSpaceDN w:val="0"/>
        <w:adjustRightInd w:val="0"/>
        <w:spacing w:line="400" w:lineRule="exact"/>
        <w:ind w:firstLine="480" w:firstLineChars="200"/>
        <w:rPr>
          <w:rFonts w:ascii="宋体" w:hAnsi="宋体" w:cs="宋体"/>
        </w:rPr>
      </w:pPr>
      <w:r>
        <w:rPr>
          <w:rFonts w:hint="eastAsia" w:ascii="宋体" w:hAnsi="宋体" w:cs="宋体"/>
          <w:lang w:val="zh-CN"/>
        </w:rPr>
        <w:t>本合同以人民币进行结算，合同总价包括：产品费、手续费、包装费、运输费、验收费、售前、售中、售后服务费、招标代理费、税金及不可预见费等全部费用</w:t>
      </w:r>
      <w:r>
        <w:rPr>
          <w:rFonts w:hint="eastAsia" w:ascii="宋体" w:hAnsi="Calibri" w:cs="宋体"/>
          <w:lang w:val="zh-CN"/>
        </w:rPr>
        <w:t>。</w:t>
      </w:r>
    </w:p>
    <w:p w14:paraId="6ED569A3">
      <w:pPr>
        <w:autoSpaceDE w:val="0"/>
        <w:autoSpaceDN w:val="0"/>
        <w:adjustRightInd w:val="0"/>
        <w:spacing w:line="400" w:lineRule="exact"/>
        <w:rPr>
          <w:rFonts w:ascii="宋体" w:hAnsi="宋体" w:cs="宋体"/>
        </w:rPr>
      </w:pPr>
      <w:r>
        <w:rPr>
          <w:rFonts w:hint="eastAsia" w:ascii="宋体" w:hAnsi="宋体" w:cs="宋体"/>
          <w:lang w:val="zh-CN"/>
        </w:rPr>
        <w:t>四、交付时间、地点和要求</w:t>
      </w:r>
    </w:p>
    <w:p w14:paraId="41F5A773">
      <w:pPr>
        <w:autoSpaceDE w:val="0"/>
        <w:autoSpaceDN w:val="0"/>
        <w:adjustRightInd w:val="0"/>
        <w:spacing w:line="400" w:lineRule="exact"/>
        <w:ind w:firstLine="240" w:firstLineChars="100"/>
        <w:rPr>
          <w:rFonts w:ascii="宋体" w:hAnsi="宋体" w:cs="宋体"/>
          <w:lang w:val="zh-CN"/>
        </w:rPr>
      </w:pPr>
      <w:r>
        <w:rPr>
          <w:rFonts w:hint="eastAsia" w:ascii="宋体" w:hAnsi="宋体" w:cs="宋体"/>
          <w:lang w:val="zh-CN"/>
        </w:rPr>
        <w:t>1.</w:t>
      </w:r>
      <w:r>
        <w:rPr>
          <w:rFonts w:hint="eastAsia" w:ascii="宋体" w:hAnsi="宋体" w:cs="宋体"/>
        </w:rPr>
        <w:t>交货期</w:t>
      </w:r>
      <w:r>
        <w:rPr>
          <w:rFonts w:hint="eastAsia" w:ascii="宋体" w:hAnsi="宋体" w:cs="宋体"/>
          <w:lang w:val="zh-CN"/>
        </w:rPr>
        <w:t xml:space="preserve">：合同签订后60天内交货并验收完成。      </w:t>
      </w:r>
    </w:p>
    <w:p w14:paraId="7CAC1A9F">
      <w:pPr>
        <w:autoSpaceDE w:val="0"/>
        <w:autoSpaceDN w:val="0"/>
        <w:adjustRightInd w:val="0"/>
        <w:spacing w:line="400" w:lineRule="exact"/>
        <w:ind w:firstLine="480" w:firstLineChars="200"/>
        <w:rPr>
          <w:rFonts w:ascii="宋体" w:hAnsi="宋体" w:cs="宋体"/>
          <w:lang w:val="zh-CN"/>
        </w:rPr>
      </w:pPr>
      <w:r>
        <w:rPr>
          <w:rFonts w:hint="eastAsia" w:ascii="宋体" w:hAnsi="宋体" w:cs="宋体"/>
        </w:rPr>
        <w:t>交货地点</w:t>
      </w:r>
      <w:r>
        <w:rPr>
          <w:rFonts w:hint="eastAsia" w:ascii="宋体" w:hAnsi="宋体" w:cs="宋体"/>
          <w:lang w:val="zh-CN"/>
        </w:rPr>
        <w:t>：</w:t>
      </w:r>
      <w:r>
        <w:rPr>
          <w:rFonts w:hint="eastAsia" w:ascii="宋体" w:hAnsi="宋体" w:cs="宋体"/>
          <w:lang w:val="en-US" w:eastAsia="zh-CN"/>
        </w:rPr>
        <w:t>按合同约定执行</w:t>
      </w:r>
      <w:r>
        <w:rPr>
          <w:rFonts w:hint="eastAsia" w:ascii="宋体" w:hAnsi="宋体" w:cs="宋体"/>
          <w:lang w:val="zh-CN"/>
        </w:rPr>
        <w:t xml:space="preserve">。       </w:t>
      </w:r>
    </w:p>
    <w:p w14:paraId="444A14CE">
      <w:pPr>
        <w:autoSpaceDE w:val="0"/>
        <w:autoSpaceDN w:val="0"/>
        <w:adjustRightInd w:val="0"/>
        <w:spacing w:line="400" w:lineRule="exact"/>
        <w:ind w:firstLine="360"/>
        <w:rPr>
          <w:rFonts w:ascii="宋体" w:hAnsi="宋体" w:cs="宋体"/>
        </w:rPr>
      </w:pPr>
      <w:r>
        <w:rPr>
          <w:rFonts w:hint="eastAsia" w:ascii="宋体" w:hAnsi="宋体" w:cs="宋体"/>
        </w:rPr>
        <w:t>2.</w:t>
      </w:r>
      <w:r>
        <w:rPr>
          <w:rFonts w:hint="eastAsia" w:ascii="宋体" w:hAnsi="宋体" w:cs="宋体"/>
          <w:lang w:val="zh-CN"/>
        </w:rPr>
        <w:t>乙方提供不符合招响应文件和本合同规定的服务，甲方有权拒绝接受。</w:t>
      </w:r>
    </w:p>
    <w:p w14:paraId="0FAFBAD3">
      <w:pPr>
        <w:autoSpaceDE w:val="0"/>
        <w:autoSpaceDN w:val="0"/>
        <w:adjustRightInd w:val="0"/>
        <w:spacing w:line="400" w:lineRule="exact"/>
        <w:ind w:firstLine="360"/>
        <w:rPr>
          <w:rFonts w:ascii="宋体" w:hAnsi="宋体" w:cs="宋体"/>
        </w:rPr>
      </w:pPr>
      <w:r>
        <w:rPr>
          <w:rFonts w:hint="eastAsia" w:ascii="宋体" w:hAnsi="宋体" w:cs="宋体"/>
        </w:rPr>
        <w:t>3.</w:t>
      </w:r>
      <w:r>
        <w:rPr>
          <w:rFonts w:hint="eastAsia" w:ascii="宋体" w:hAnsi="宋体" w:cs="宋体"/>
          <w:lang w:val="zh-CN"/>
        </w:rPr>
        <w:t>乙方应将提供服务品的清单、资料、工具和备品、备件等交付给甲方，如有缺失应及时补齐，否则视为逾期服务。</w:t>
      </w:r>
    </w:p>
    <w:p w14:paraId="7C5E5C06">
      <w:pPr>
        <w:autoSpaceDE w:val="0"/>
        <w:autoSpaceDN w:val="0"/>
        <w:adjustRightInd w:val="0"/>
        <w:spacing w:line="400" w:lineRule="exact"/>
        <w:ind w:firstLine="360"/>
        <w:rPr>
          <w:rFonts w:ascii="宋体" w:hAnsi="宋体" w:cs="宋体"/>
        </w:rPr>
      </w:pPr>
      <w:r>
        <w:rPr>
          <w:rFonts w:hint="eastAsia" w:ascii="宋体" w:hAnsi="宋体" w:cs="宋体"/>
        </w:rPr>
        <w:t>4.</w:t>
      </w:r>
      <w:r>
        <w:rPr>
          <w:rFonts w:hint="eastAsia" w:ascii="宋体" w:hAnsi="宋体" w:cs="宋体"/>
          <w:lang w:val="zh-CN"/>
        </w:rPr>
        <w:t>甲方应当在服务完成后</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lang w:val="zh-CN"/>
        </w:rPr>
        <w:t>个工作日内进行验收，逾期不验收的，乙方可视为验收合格。验收合格后，由甲乙双方签署产品验收单并加盖采购人公章，甲乙双方各执一份。</w:t>
      </w:r>
    </w:p>
    <w:p w14:paraId="295F5EB0">
      <w:pPr>
        <w:autoSpaceDE w:val="0"/>
        <w:autoSpaceDN w:val="0"/>
        <w:adjustRightInd w:val="0"/>
        <w:spacing w:line="400" w:lineRule="exact"/>
        <w:ind w:firstLine="360"/>
        <w:rPr>
          <w:rFonts w:ascii="宋体" w:hAnsi="宋体" w:cs="宋体"/>
        </w:rPr>
      </w:pPr>
      <w:r>
        <w:rPr>
          <w:rFonts w:hint="eastAsia" w:ascii="宋体" w:hAnsi="宋体" w:cs="宋体"/>
        </w:rPr>
        <w:t>5.</w:t>
      </w:r>
      <w:r>
        <w:rPr>
          <w:rFonts w:hint="eastAsia" w:ascii="宋体" w:hAnsi="宋体" w:cs="宋体"/>
          <w:lang w:val="zh-CN"/>
        </w:rPr>
        <w:t xml:space="preserve"> 甲方应提供该项目验收报告交同级财政监管部门，由财政部门按规定程序抽验后办理资金拨付。</w:t>
      </w:r>
    </w:p>
    <w:p w14:paraId="04E303EB">
      <w:pPr>
        <w:autoSpaceDE w:val="0"/>
        <w:autoSpaceDN w:val="0"/>
        <w:adjustRightInd w:val="0"/>
        <w:spacing w:line="400" w:lineRule="exact"/>
        <w:ind w:firstLine="360"/>
        <w:rPr>
          <w:rFonts w:ascii="宋体" w:hAnsi="宋体" w:cs="宋体"/>
        </w:rPr>
      </w:pPr>
      <w:r>
        <w:rPr>
          <w:rFonts w:hint="eastAsia" w:ascii="宋体" w:hAnsi="宋体" w:cs="宋体"/>
        </w:rPr>
        <w:t>6.</w:t>
      </w:r>
      <w:r>
        <w:rPr>
          <w:rFonts w:hint="eastAsia" w:ascii="宋体" w:hAnsi="宋体" w:cs="宋体"/>
          <w:lang w:val="zh-CN"/>
        </w:rPr>
        <w:t xml:space="preserve"> 甲方在验收过程中发现乙方有违约问题，可按招、响应文件的规定要求乙方及时予以解决。</w:t>
      </w:r>
    </w:p>
    <w:p w14:paraId="5388EEE5">
      <w:pPr>
        <w:autoSpaceDE w:val="0"/>
        <w:autoSpaceDN w:val="0"/>
        <w:adjustRightInd w:val="0"/>
        <w:spacing w:line="400" w:lineRule="exact"/>
        <w:ind w:firstLine="240" w:firstLineChars="100"/>
        <w:rPr>
          <w:rFonts w:ascii="宋体" w:hAnsi="宋体" w:cs="宋体"/>
        </w:rPr>
      </w:pPr>
      <w:r>
        <w:rPr>
          <w:rFonts w:hint="eastAsia" w:ascii="宋体" w:hAnsi="宋体" w:cs="宋体"/>
        </w:rPr>
        <w:t>7.</w:t>
      </w:r>
      <w:r>
        <w:rPr>
          <w:rFonts w:hint="eastAsia" w:ascii="宋体" w:hAnsi="宋体" w:cs="宋体"/>
          <w:lang w:val="zh-CN"/>
        </w:rPr>
        <w:t>乙方向甲方提供产品相关完税销售发票。</w:t>
      </w:r>
    </w:p>
    <w:p w14:paraId="3842A34E">
      <w:pPr>
        <w:autoSpaceDE w:val="0"/>
        <w:autoSpaceDN w:val="0"/>
        <w:adjustRightInd w:val="0"/>
        <w:spacing w:line="400" w:lineRule="exact"/>
        <w:ind w:firstLine="240" w:firstLineChars="100"/>
        <w:rPr>
          <w:rFonts w:hint="eastAsia" w:ascii="宋体" w:hAnsi="宋体" w:eastAsia="宋体" w:cs="宋体"/>
          <w:lang w:val="zh-CN"/>
        </w:rPr>
      </w:pPr>
      <w:r>
        <w:rPr>
          <w:rFonts w:hint="eastAsia" w:ascii="宋体" w:hAnsi="宋体" w:cs="宋体"/>
          <w:lang w:val="zh-CN"/>
        </w:rPr>
        <w:t>五</w:t>
      </w:r>
      <w:r>
        <w:rPr>
          <w:rFonts w:hint="eastAsia" w:ascii="宋体" w:hAnsi="宋体" w:eastAsia="宋体" w:cs="宋体"/>
          <w:lang w:val="zh-CN"/>
        </w:rPr>
        <w:t>、付款方式：</w:t>
      </w:r>
    </w:p>
    <w:p w14:paraId="68EFE54F">
      <w:pPr>
        <w:autoSpaceDE w:val="0"/>
        <w:autoSpaceDN w:val="0"/>
        <w:adjustRightInd w:val="0"/>
        <w:spacing w:line="400" w:lineRule="exact"/>
        <w:ind w:firstLine="240" w:firstLineChars="100"/>
        <w:rPr>
          <w:rFonts w:hint="eastAsia" w:ascii="宋体" w:hAnsi="宋体" w:eastAsia="宋体" w:cs="宋体"/>
          <w:u w:val="single"/>
          <w:lang w:val="zh-CN"/>
        </w:rPr>
      </w:pPr>
      <w:r>
        <w:rPr>
          <w:rFonts w:hint="eastAsia" w:ascii="宋体" w:hAnsi="宋体" w:eastAsia="宋体" w:cs="宋体"/>
          <w:u w:val="single"/>
          <w:lang w:val="zh-CN"/>
        </w:rPr>
        <w:t>1.签订合同前乙方向甲方支付合同价5%履约保证金至甲方指定账户（或5%的保函），即人民币        ，大写：      ,或金融机构、担保机构出具的履约保函，保证项目的正常实施。</w:t>
      </w:r>
    </w:p>
    <w:p w14:paraId="33EF6A55">
      <w:pPr>
        <w:autoSpaceDE w:val="0"/>
        <w:autoSpaceDN w:val="0"/>
        <w:adjustRightInd w:val="0"/>
        <w:spacing w:line="400" w:lineRule="exact"/>
        <w:ind w:firstLine="240" w:firstLineChars="100"/>
        <w:rPr>
          <w:rFonts w:hint="eastAsia" w:ascii="宋体" w:hAnsi="宋体" w:eastAsia="宋体" w:cs="宋体"/>
          <w:u w:val="single"/>
          <w:lang w:val="en-US" w:eastAsia="zh-CN"/>
        </w:rPr>
      </w:pPr>
      <w:r>
        <w:rPr>
          <w:rFonts w:hint="eastAsia" w:ascii="宋体" w:hAnsi="宋体" w:eastAsia="宋体" w:cs="宋体"/>
          <w:u w:val="single"/>
          <w:lang w:val="zh-CN"/>
        </w:rPr>
        <w:t>2. 自合同签订生效后，甲方向乙方支付预付款（中标价的30%），即人民币        ，大写：      ；到货清点后15个工作日内甲方向乙方支付合同总价款的40%，即人民币        ，大写：      。验收合格后   个工作日内甲方向乙方支付合同总价款的30%，即人民币        ，大写：     。</w:t>
      </w:r>
      <w:r>
        <w:rPr>
          <w:rFonts w:hint="eastAsia" w:ascii="宋体" w:hAnsi="宋体" w:eastAsia="宋体" w:cs="宋体"/>
          <w:u w:val="single"/>
          <w:lang w:val="en-US" w:eastAsia="zh-CN"/>
        </w:rPr>
        <w:t xml:space="preserve"> </w:t>
      </w:r>
    </w:p>
    <w:p w14:paraId="000ADE97">
      <w:pPr>
        <w:autoSpaceDE w:val="0"/>
        <w:autoSpaceDN w:val="0"/>
        <w:adjustRightInd w:val="0"/>
        <w:spacing w:line="400" w:lineRule="exact"/>
        <w:ind w:firstLine="240" w:firstLineChars="100"/>
        <w:rPr>
          <w:rFonts w:hint="eastAsia" w:ascii="宋体" w:hAnsi="宋体" w:eastAsia="宋体" w:cs="宋体"/>
          <w:lang w:val="zh-CN"/>
        </w:rPr>
      </w:pPr>
      <w:r>
        <w:rPr>
          <w:rFonts w:hint="eastAsia" w:ascii="宋体" w:hAnsi="宋体" w:eastAsia="宋体" w:cs="宋体"/>
          <w:lang w:val="zh-CN"/>
        </w:rPr>
        <w:t>3.履约保证金待项目完工甲方验收产品无质量问题后15日内，由甲方以转账方式予以拨付，不计利息。</w:t>
      </w:r>
    </w:p>
    <w:p w14:paraId="0799178F">
      <w:pPr>
        <w:autoSpaceDE w:val="0"/>
        <w:autoSpaceDN w:val="0"/>
        <w:adjustRightInd w:val="0"/>
        <w:spacing w:line="400" w:lineRule="exact"/>
        <w:ind w:firstLine="240" w:firstLineChars="100"/>
        <w:rPr>
          <w:rFonts w:ascii="宋体" w:hAnsi="宋体" w:cs="宋体"/>
          <w:lang w:val="zh-CN"/>
        </w:rPr>
      </w:pPr>
      <w:r>
        <w:rPr>
          <w:rFonts w:hint="eastAsia" w:ascii="宋体" w:hAnsi="宋体" w:cs="宋体"/>
          <w:lang w:val="zh-CN"/>
        </w:rPr>
        <w:t>六、合同的变更、终止与转让</w:t>
      </w:r>
    </w:p>
    <w:p w14:paraId="7EAFEA5B">
      <w:pPr>
        <w:autoSpaceDE w:val="0"/>
        <w:autoSpaceDN w:val="0"/>
        <w:adjustRightInd w:val="0"/>
        <w:spacing w:line="400" w:lineRule="exact"/>
        <w:ind w:firstLine="240" w:firstLineChars="100"/>
        <w:rPr>
          <w:rFonts w:ascii="宋体" w:hAnsi="宋体" w:cs="宋体"/>
        </w:rPr>
      </w:pPr>
      <w:r>
        <w:rPr>
          <w:rFonts w:hint="eastAsia" w:ascii="宋体" w:hAnsi="宋体" w:cs="宋体"/>
        </w:rPr>
        <w:t>1.</w:t>
      </w:r>
      <w:r>
        <w:rPr>
          <w:rFonts w:hint="eastAsia" w:ascii="宋体" w:hAnsi="宋体" w:cs="宋体"/>
          <w:lang w:val="zh-CN"/>
        </w:rPr>
        <w:t>除《中华人民共和国政府采购法》第</w:t>
      </w:r>
      <w:r>
        <w:rPr>
          <w:rFonts w:hint="eastAsia" w:ascii="宋体" w:hAnsi="宋体" w:cs="宋体"/>
        </w:rPr>
        <w:t>50</w:t>
      </w:r>
      <w:r>
        <w:rPr>
          <w:rFonts w:hint="eastAsia" w:ascii="宋体" w:hAnsi="宋体" w:cs="宋体"/>
          <w:lang w:val="zh-CN"/>
        </w:rPr>
        <w:t>条规定的情形外，本合同一经签订，甲乙双方不得擅自变更、中止或终止。</w:t>
      </w:r>
    </w:p>
    <w:p w14:paraId="07B87384">
      <w:pPr>
        <w:autoSpaceDE w:val="0"/>
        <w:autoSpaceDN w:val="0"/>
        <w:adjustRightInd w:val="0"/>
        <w:spacing w:line="400" w:lineRule="exact"/>
        <w:ind w:firstLine="240" w:firstLineChars="100"/>
        <w:rPr>
          <w:rFonts w:ascii="宋体" w:hAnsi="宋体" w:cs="宋体"/>
        </w:rPr>
      </w:pPr>
      <w:r>
        <w:rPr>
          <w:rFonts w:hint="eastAsia" w:ascii="宋体" w:hAnsi="宋体" w:cs="宋体"/>
        </w:rPr>
        <w:t>2.</w:t>
      </w:r>
      <w:r>
        <w:rPr>
          <w:rFonts w:hint="eastAsia" w:ascii="宋体" w:hAnsi="宋体" w:cs="宋体"/>
          <w:lang w:val="zh-CN"/>
        </w:rPr>
        <w:t>乙方不得擅自转让其应履行的合同义务。</w:t>
      </w:r>
    </w:p>
    <w:p w14:paraId="3B076825">
      <w:pPr>
        <w:autoSpaceDE w:val="0"/>
        <w:autoSpaceDN w:val="0"/>
        <w:adjustRightInd w:val="0"/>
        <w:spacing w:line="400" w:lineRule="exact"/>
        <w:rPr>
          <w:rFonts w:ascii="宋体" w:hAnsi="宋体" w:cs="宋体"/>
        </w:rPr>
      </w:pPr>
      <w:r>
        <w:rPr>
          <w:rFonts w:hint="eastAsia" w:ascii="宋体" w:hAnsi="宋体" w:cs="宋体"/>
          <w:lang w:val="zh-CN"/>
        </w:rPr>
        <w:t>七、违约责任</w:t>
      </w:r>
    </w:p>
    <w:p w14:paraId="35893B56">
      <w:pPr>
        <w:autoSpaceDE w:val="0"/>
        <w:autoSpaceDN w:val="0"/>
        <w:adjustRightInd w:val="0"/>
        <w:spacing w:line="400" w:lineRule="exact"/>
        <w:ind w:firstLine="360"/>
        <w:rPr>
          <w:rFonts w:ascii="宋体" w:hAnsi="宋体" w:cs="宋体"/>
        </w:rPr>
      </w:pPr>
      <w:r>
        <w:rPr>
          <w:rFonts w:hint="eastAsia" w:ascii="宋体" w:hAnsi="宋体" w:cs="宋体"/>
        </w:rPr>
        <w:t>1.</w:t>
      </w:r>
      <w:r>
        <w:rPr>
          <w:rFonts w:hint="eastAsia" w:ascii="宋体" w:hAnsi="宋体" w:cs="宋体"/>
          <w:lang w:val="zh-CN"/>
        </w:rPr>
        <w:t>乙方所提供的产品规格、技术标准、材料等质量不合格的，应及时更换；更换不及时的，按逾期交货处罚；因质量问题甲方不同意接收的，质保金全额扣除，并由乙方赔偿由此引起的甲方的一切经济损失。</w:t>
      </w:r>
    </w:p>
    <w:p w14:paraId="3E38EFA5">
      <w:pPr>
        <w:autoSpaceDE w:val="0"/>
        <w:autoSpaceDN w:val="0"/>
        <w:adjustRightInd w:val="0"/>
        <w:spacing w:line="400" w:lineRule="exact"/>
        <w:ind w:firstLine="360"/>
        <w:rPr>
          <w:rFonts w:ascii="宋体" w:hAnsi="宋体" w:cs="宋体"/>
        </w:rPr>
      </w:pPr>
      <w:r>
        <w:rPr>
          <w:rFonts w:hint="eastAsia" w:ascii="宋体" w:hAnsi="宋体" w:cs="宋体"/>
        </w:rPr>
        <w:t>2.</w:t>
      </w:r>
      <w:r>
        <w:rPr>
          <w:rFonts w:hint="eastAsia" w:ascii="宋体" w:hAnsi="宋体" w:cs="宋体"/>
          <w:lang w:val="zh-CN"/>
        </w:rPr>
        <w:t>乙方提供的货物如侵犯了第三方权益而引发纠纷或诉讼的，均由乙方负责交涉并承担全部责任。</w:t>
      </w:r>
      <w:r>
        <w:rPr>
          <w:rFonts w:hint="eastAsia" w:ascii="宋体" w:hAnsi="宋体" w:cs="宋体"/>
        </w:rPr>
        <w:t xml:space="preserve">                                                                                                                                                                                                                                                                                                                                                                                                                                                                                                                                                                                                                                                                                                                                                                                                                                                                                                                                                                                                                                                                                                                                                                                                                                                                                                                                                                                                                                                                                                                                                                                                                                                                                                                                                                                                                                                                                                                                                                                                                                                                                                                                                                        </w:t>
      </w:r>
    </w:p>
    <w:p w14:paraId="1D94F37E">
      <w:pPr>
        <w:autoSpaceDE w:val="0"/>
        <w:autoSpaceDN w:val="0"/>
        <w:adjustRightInd w:val="0"/>
        <w:spacing w:line="400" w:lineRule="exact"/>
        <w:ind w:firstLine="360"/>
        <w:rPr>
          <w:rFonts w:ascii="宋体" w:hAnsi="宋体" w:cs="宋体"/>
        </w:rPr>
      </w:pPr>
      <w:r>
        <w:rPr>
          <w:rFonts w:hint="eastAsia" w:ascii="宋体" w:hAnsi="宋体" w:cs="宋体"/>
        </w:rPr>
        <w:t>3.</w:t>
      </w:r>
      <w:r>
        <w:rPr>
          <w:rFonts w:hint="eastAsia" w:ascii="宋体" w:hAnsi="宋体" w:cs="宋体"/>
          <w:lang w:val="zh-CN"/>
        </w:rPr>
        <w:t>因包装、运输引起的货物损坏，按质量不合格处罚。</w:t>
      </w:r>
    </w:p>
    <w:p w14:paraId="347DCB23">
      <w:pPr>
        <w:autoSpaceDE w:val="0"/>
        <w:autoSpaceDN w:val="0"/>
        <w:adjustRightInd w:val="0"/>
        <w:spacing w:line="400" w:lineRule="exact"/>
        <w:ind w:firstLine="360"/>
        <w:rPr>
          <w:rFonts w:ascii="宋体" w:hAnsi="宋体" w:cs="宋体"/>
        </w:rPr>
      </w:pPr>
      <w:r>
        <w:rPr>
          <w:rFonts w:hint="eastAsia" w:ascii="宋体" w:hAnsi="宋体" w:cs="宋体"/>
        </w:rPr>
        <w:t>4.</w:t>
      </w:r>
      <w:r>
        <w:rPr>
          <w:rFonts w:hint="eastAsia" w:ascii="宋体" w:hAnsi="宋体" w:cs="宋体"/>
          <w:lang w:val="zh-CN"/>
        </w:rPr>
        <w:t>甲方无故延期接受货物和乙方逾期交货的，每天应向对方偿付未交货物的货款</w:t>
      </w:r>
      <w:r>
        <w:rPr>
          <w:rFonts w:hint="eastAsia" w:ascii="宋体" w:hAnsi="宋体" w:cs="宋体"/>
          <w:lang w:val="en-US" w:eastAsia="zh-CN"/>
        </w:rPr>
        <w:t>1</w:t>
      </w:r>
      <w:r>
        <w:rPr>
          <w:rFonts w:hint="eastAsia" w:ascii="宋体" w:hAnsi="宋体" w:cs="宋体"/>
          <w:lang w:val="zh-CN"/>
        </w:rPr>
        <w:t>%的违约金，但违约金累计不得超过违约货款的</w:t>
      </w:r>
      <w:r>
        <w:rPr>
          <w:rFonts w:hint="eastAsia" w:ascii="宋体" w:hAnsi="宋体" w:cs="宋体"/>
        </w:rPr>
        <w:t>5%</w:t>
      </w:r>
      <w:r>
        <w:rPr>
          <w:rFonts w:hint="eastAsia" w:ascii="宋体" w:hAnsi="宋体" w:cs="宋体"/>
          <w:lang w:val="zh-CN"/>
        </w:rPr>
        <w:t>，超过</w:t>
      </w:r>
      <w:r>
        <w:rPr>
          <w:rFonts w:hint="eastAsia" w:ascii="宋体" w:hAnsi="宋体" w:cs="宋体"/>
          <w:u w:val="single"/>
        </w:rPr>
        <w:t xml:space="preserve"> 30 </w:t>
      </w:r>
      <w:r>
        <w:rPr>
          <w:rFonts w:hint="eastAsia" w:ascii="宋体" w:hAnsi="宋体" w:cs="宋体"/>
          <w:lang w:val="zh-CN"/>
        </w:rPr>
        <w:t>天对方有权解除合同，违约方承担因此给对方造成的经济损失</w:t>
      </w:r>
      <w:r>
        <w:rPr>
          <w:rFonts w:hint="eastAsia" w:ascii="宋体" w:hAnsi="宋体" w:cs="宋体"/>
        </w:rPr>
        <w:t xml:space="preserve"> </w:t>
      </w:r>
      <w:r>
        <w:rPr>
          <w:rFonts w:hint="eastAsia" w:ascii="宋体" w:hAnsi="宋体" w:cs="宋体"/>
          <w:lang w:val="zh-CN"/>
        </w:rPr>
        <w:t>。</w:t>
      </w:r>
    </w:p>
    <w:p w14:paraId="4154544C">
      <w:pPr>
        <w:autoSpaceDE w:val="0"/>
        <w:autoSpaceDN w:val="0"/>
        <w:adjustRightInd w:val="0"/>
        <w:spacing w:line="400" w:lineRule="exact"/>
        <w:ind w:firstLine="360"/>
        <w:rPr>
          <w:rFonts w:ascii="宋体" w:hAnsi="宋体" w:cs="宋体"/>
        </w:rPr>
      </w:pPr>
      <w:r>
        <w:rPr>
          <w:rFonts w:hint="eastAsia" w:ascii="宋体" w:hAnsi="宋体" w:cs="宋体"/>
        </w:rPr>
        <w:t>5.</w:t>
      </w:r>
      <w:r>
        <w:rPr>
          <w:rFonts w:hint="eastAsia" w:ascii="宋体" w:hAnsi="宋体" w:cs="宋体"/>
          <w:lang w:val="zh-CN"/>
        </w:rPr>
        <w:t>乙方未按本合同和响应文件中规定的服务承诺提供售后服务的，乙方应按本合同合计金额的</w:t>
      </w:r>
      <w:r>
        <w:rPr>
          <w:rFonts w:hint="eastAsia" w:ascii="宋体" w:hAnsi="宋体" w:cs="宋体"/>
        </w:rPr>
        <w:t>5%</w:t>
      </w:r>
      <w:r>
        <w:rPr>
          <w:rFonts w:hint="eastAsia" w:ascii="宋体" w:hAnsi="宋体" w:cs="宋体"/>
          <w:lang w:val="zh-CN"/>
        </w:rPr>
        <w:t>向甲方支付违约金。</w:t>
      </w:r>
    </w:p>
    <w:p w14:paraId="067A1247">
      <w:pPr>
        <w:autoSpaceDE w:val="0"/>
        <w:autoSpaceDN w:val="0"/>
        <w:adjustRightInd w:val="0"/>
        <w:spacing w:line="400" w:lineRule="exact"/>
        <w:ind w:firstLine="360"/>
        <w:rPr>
          <w:rFonts w:ascii="宋体" w:hAnsi="宋体" w:cs="宋体"/>
        </w:rPr>
      </w:pPr>
      <w:r>
        <w:rPr>
          <w:rFonts w:hint="eastAsia" w:ascii="宋体" w:hAnsi="宋体" w:cs="宋体"/>
        </w:rPr>
        <w:t>6.</w:t>
      </w:r>
      <w:r>
        <w:rPr>
          <w:rFonts w:hint="eastAsia" w:ascii="宋体" w:hAnsi="宋体" w:cs="宋体"/>
          <w:lang w:val="zh-CN"/>
        </w:rPr>
        <w:t>乙方提供的货物在质量保证期内，因设计、工艺或材料的缺陷和其它质量原因造成的问题，由乙方负责，费用从合同款中扣除，不足另补。</w:t>
      </w:r>
    </w:p>
    <w:p w14:paraId="3B388205">
      <w:pPr>
        <w:autoSpaceDE w:val="0"/>
        <w:autoSpaceDN w:val="0"/>
        <w:adjustRightInd w:val="0"/>
        <w:spacing w:line="400" w:lineRule="exact"/>
        <w:ind w:firstLine="360"/>
        <w:rPr>
          <w:rFonts w:ascii="宋体" w:hAnsi="宋体" w:cs="宋体"/>
        </w:rPr>
      </w:pPr>
      <w:r>
        <w:rPr>
          <w:rFonts w:hint="eastAsia" w:ascii="宋体" w:hAnsi="宋体" w:cs="宋体"/>
        </w:rPr>
        <w:t>7.</w:t>
      </w:r>
      <w:r>
        <w:rPr>
          <w:rFonts w:hint="eastAsia" w:ascii="宋体" w:hAnsi="宋体" w:cs="宋体"/>
          <w:lang w:val="zh-CN"/>
        </w:rPr>
        <w:t>其它违约行为按违约货款额</w:t>
      </w:r>
      <w:r>
        <w:rPr>
          <w:rFonts w:hint="eastAsia" w:ascii="宋体" w:hAnsi="宋体" w:cs="宋体"/>
        </w:rPr>
        <w:t>5%</w:t>
      </w:r>
      <w:r>
        <w:rPr>
          <w:rFonts w:hint="eastAsia" w:ascii="宋体" w:hAnsi="宋体" w:cs="宋体"/>
          <w:lang w:val="zh-CN"/>
        </w:rPr>
        <w:t>收取违约金并赔偿经济损失。</w:t>
      </w:r>
    </w:p>
    <w:p w14:paraId="7408738B">
      <w:pPr>
        <w:autoSpaceDE w:val="0"/>
        <w:autoSpaceDN w:val="0"/>
        <w:adjustRightInd w:val="0"/>
        <w:spacing w:line="400" w:lineRule="exact"/>
        <w:rPr>
          <w:rFonts w:ascii="宋体" w:hAnsi="宋体" w:cs="宋体"/>
        </w:rPr>
      </w:pPr>
      <w:r>
        <w:rPr>
          <w:rFonts w:hint="eastAsia" w:ascii="宋体" w:hAnsi="宋体" w:cs="宋体"/>
          <w:lang w:val="zh-CN"/>
        </w:rPr>
        <w:t>十二、不可抗力</w:t>
      </w:r>
    </w:p>
    <w:p w14:paraId="46B21042">
      <w:pPr>
        <w:autoSpaceDE w:val="0"/>
        <w:autoSpaceDN w:val="0"/>
        <w:adjustRightInd w:val="0"/>
        <w:spacing w:line="400" w:lineRule="exact"/>
        <w:ind w:firstLine="360"/>
        <w:rPr>
          <w:rFonts w:ascii="宋体" w:hAnsi="宋体" w:cs="宋体"/>
        </w:rPr>
      </w:pPr>
      <w:r>
        <w:rPr>
          <w:rFonts w:hint="eastAsia" w:ascii="宋体" w:hAnsi="宋体" w:cs="宋体"/>
        </w:rPr>
        <w:t>1.</w:t>
      </w:r>
      <w:r>
        <w:rPr>
          <w:rFonts w:hint="eastAsia" w:ascii="宋体" w:hAnsi="宋体" w:cs="宋体"/>
          <w:lang w:val="zh-CN"/>
        </w:rPr>
        <w:t>不可抗力使合同的某些内容有变更必要的，双方应通过协商在</w:t>
      </w:r>
      <w:r>
        <w:rPr>
          <w:rFonts w:hint="eastAsia" w:ascii="宋体" w:hAnsi="宋体" w:cs="宋体"/>
          <w:u w:val="single"/>
        </w:rPr>
        <w:t xml:space="preserve"> 30 </w:t>
      </w:r>
      <w:r>
        <w:rPr>
          <w:rFonts w:hint="eastAsia" w:ascii="宋体" w:hAnsi="宋体" w:cs="宋体"/>
          <w:lang w:val="zh-CN"/>
        </w:rPr>
        <w:t>天内达成进一步履行合同的协议，因不可抗力致使合同不能履行的，合同终止。</w:t>
      </w:r>
    </w:p>
    <w:p w14:paraId="5FEDCC69">
      <w:pPr>
        <w:autoSpaceDE w:val="0"/>
        <w:autoSpaceDN w:val="0"/>
        <w:adjustRightInd w:val="0"/>
        <w:spacing w:line="400" w:lineRule="exact"/>
        <w:ind w:firstLine="360"/>
        <w:rPr>
          <w:rFonts w:ascii="宋体" w:hAnsi="宋体" w:cs="宋体"/>
        </w:rPr>
      </w:pPr>
      <w:r>
        <w:rPr>
          <w:rFonts w:hint="eastAsia" w:ascii="宋体" w:hAnsi="宋体" w:cs="宋体"/>
        </w:rPr>
        <w:t>2.</w:t>
      </w:r>
      <w:r>
        <w:rPr>
          <w:rFonts w:hint="eastAsia" w:ascii="宋体" w:hAnsi="宋体" w:cs="宋体"/>
          <w:lang w:val="zh-CN"/>
        </w:rPr>
        <w:t>除法律、法规规定的不可抗力情形外，双方约定出现</w:t>
      </w:r>
      <w:r>
        <w:rPr>
          <w:rFonts w:hint="eastAsia" w:ascii="宋体" w:hAnsi="宋体" w:cs="宋体"/>
          <w:u w:val="single"/>
        </w:rPr>
        <w:t xml:space="preserve"> 无 </w:t>
      </w:r>
      <w:r>
        <w:rPr>
          <w:rFonts w:hint="eastAsia" w:ascii="宋体" w:hAnsi="宋体" w:cs="宋体"/>
          <w:lang w:val="zh-CN"/>
        </w:rPr>
        <w:t>情况亦视为不可抗力。</w:t>
      </w:r>
    </w:p>
    <w:p w14:paraId="56CA2C40">
      <w:pPr>
        <w:autoSpaceDE w:val="0"/>
        <w:autoSpaceDN w:val="0"/>
        <w:adjustRightInd w:val="0"/>
        <w:spacing w:line="400" w:lineRule="exact"/>
        <w:rPr>
          <w:rFonts w:ascii="宋体" w:hAnsi="宋体" w:cs="宋体"/>
        </w:rPr>
      </w:pPr>
      <w:r>
        <w:rPr>
          <w:rFonts w:hint="eastAsia" w:ascii="宋体" w:hAnsi="宋体" w:cs="宋体"/>
          <w:lang w:val="zh-CN"/>
        </w:rPr>
        <w:t>九、知识产权：</w:t>
      </w:r>
    </w:p>
    <w:p w14:paraId="3ACB3A70">
      <w:pPr>
        <w:autoSpaceDE w:val="0"/>
        <w:autoSpaceDN w:val="0"/>
        <w:adjustRightInd w:val="0"/>
        <w:spacing w:line="400" w:lineRule="exact"/>
        <w:rPr>
          <w:rFonts w:hint="eastAsia" w:ascii="宋体" w:hAnsi="宋体" w:eastAsia="宋体" w:cs="宋体"/>
          <w:lang w:val="en-US" w:eastAsia="zh-CN"/>
        </w:rPr>
      </w:pPr>
      <w:r>
        <w:rPr>
          <w:rFonts w:hint="eastAsia" w:ascii="宋体" w:hAnsi="宋体" w:cs="宋体"/>
          <w:lang w:val="zh-CN"/>
        </w:rPr>
        <w:t>十、其他约定：</w:t>
      </w:r>
    </w:p>
    <w:p w14:paraId="7B69E238">
      <w:pPr>
        <w:autoSpaceDE w:val="0"/>
        <w:autoSpaceDN w:val="0"/>
        <w:adjustRightInd w:val="0"/>
        <w:spacing w:line="400" w:lineRule="exact"/>
        <w:rPr>
          <w:rFonts w:ascii="宋体" w:hAnsi="宋体" w:cs="宋体"/>
        </w:rPr>
      </w:pPr>
      <w:r>
        <w:rPr>
          <w:rFonts w:hint="eastAsia" w:ascii="宋体" w:hAnsi="宋体" w:cs="宋体"/>
          <w:lang w:val="zh-CN"/>
        </w:rPr>
        <w:t>十一、合同争议解决</w:t>
      </w:r>
    </w:p>
    <w:p w14:paraId="632CEB09">
      <w:pPr>
        <w:autoSpaceDE w:val="0"/>
        <w:autoSpaceDN w:val="0"/>
        <w:adjustRightInd w:val="0"/>
        <w:spacing w:line="400" w:lineRule="exact"/>
        <w:ind w:firstLine="360"/>
        <w:rPr>
          <w:rFonts w:ascii="宋体" w:hAnsi="宋体" w:cs="宋体"/>
        </w:rPr>
      </w:pPr>
      <w:r>
        <w:rPr>
          <w:rFonts w:hint="eastAsia" w:ascii="宋体" w:hAnsi="宋体" w:cs="宋体"/>
        </w:rPr>
        <w:t>1.</w:t>
      </w:r>
      <w:r>
        <w:rPr>
          <w:rFonts w:hint="eastAsia" w:ascii="宋体" w:hAnsi="宋体" w:cs="宋体"/>
          <w:lang w:val="zh-CN"/>
        </w:rPr>
        <w:t>因产品质量问题发生争议的，应邀请国家认可的质量监测机构进行鉴定。产品符合标准的，鉴定费由甲方承担；产品不符合标准的，鉴定费由乙方承担。</w:t>
      </w:r>
    </w:p>
    <w:p w14:paraId="62394E27">
      <w:pPr>
        <w:autoSpaceDE w:val="0"/>
        <w:autoSpaceDN w:val="0"/>
        <w:adjustRightInd w:val="0"/>
        <w:spacing w:line="400" w:lineRule="exact"/>
        <w:ind w:firstLine="360"/>
        <w:rPr>
          <w:rFonts w:ascii="宋体" w:hAnsi="宋体" w:cs="宋体"/>
        </w:rPr>
      </w:pPr>
      <w:r>
        <w:rPr>
          <w:rFonts w:hint="eastAsia" w:ascii="宋体" w:hAnsi="宋体" w:cs="宋体"/>
        </w:rPr>
        <w:t>2.</w:t>
      </w:r>
      <w:r>
        <w:rPr>
          <w:rFonts w:hint="eastAsia" w:ascii="宋体" w:hAnsi="宋体" w:cs="宋体"/>
          <w:lang w:val="zh-CN"/>
        </w:rPr>
        <w:t>因履行本合同引起的或与本合同有关的争议，甲乙双方应首先通过友好协商解决，如果协商不能解决，可向</w:t>
      </w:r>
      <w:r>
        <w:rPr>
          <w:rFonts w:hint="eastAsia" w:ascii="宋体" w:hAnsi="宋体" w:cs="宋体"/>
          <w:u w:val="single"/>
          <w:lang w:val="zh-CN"/>
        </w:rPr>
        <w:t>甲方</w:t>
      </w:r>
      <w:r>
        <w:rPr>
          <w:rFonts w:hint="eastAsia" w:ascii="宋体" w:hAnsi="宋体" w:cs="宋体"/>
          <w:lang w:val="zh-CN"/>
        </w:rPr>
        <w:t>所在地仲裁委员会申请仲裁或向甲方所在地人民法院提起诉讼。</w:t>
      </w:r>
    </w:p>
    <w:p w14:paraId="02ABE8E7">
      <w:pPr>
        <w:autoSpaceDE w:val="0"/>
        <w:autoSpaceDN w:val="0"/>
        <w:adjustRightInd w:val="0"/>
        <w:spacing w:line="400" w:lineRule="exact"/>
        <w:ind w:firstLine="360"/>
        <w:rPr>
          <w:rFonts w:ascii="宋体" w:hAnsi="宋体" w:cs="宋体"/>
        </w:rPr>
      </w:pPr>
      <w:r>
        <w:rPr>
          <w:rFonts w:hint="eastAsia" w:ascii="宋体" w:hAnsi="宋体" w:cs="宋体"/>
        </w:rPr>
        <w:t>3.</w:t>
      </w:r>
      <w:r>
        <w:rPr>
          <w:rFonts w:hint="eastAsia" w:ascii="宋体" w:hAnsi="宋体" w:cs="宋体"/>
          <w:lang w:val="zh-CN"/>
        </w:rPr>
        <w:t>诉讼期间，本合同继续履行。</w:t>
      </w:r>
    </w:p>
    <w:p w14:paraId="4937FF35">
      <w:pPr>
        <w:autoSpaceDE w:val="0"/>
        <w:autoSpaceDN w:val="0"/>
        <w:adjustRightInd w:val="0"/>
        <w:spacing w:line="400" w:lineRule="exact"/>
        <w:rPr>
          <w:rFonts w:ascii="宋体" w:hAnsi="宋体" w:cs="宋体"/>
        </w:rPr>
      </w:pPr>
      <w:r>
        <w:rPr>
          <w:rFonts w:hint="eastAsia" w:ascii="宋体" w:hAnsi="宋体" w:cs="宋体"/>
          <w:lang w:val="zh-CN"/>
        </w:rPr>
        <w:t>十二、合同生效及其它</w:t>
      </w:r>
      <w:r>
        <w:rPr>
          <w:rFonts w:hint="eastAsia" w:ascii="宋体" w:hAnsi="宋体" w:cs="宋体"/>
        </w:rPr>
        <w:t>：</w:t>
      </w:r>
    </w:p>
    <w:p w14:paraId="5F57C582">
      <w:pPr>
        <w:autoSpaceDE w:val="0"/>
        <w:autoSpaceDN w:val="0"/>
        <w:adjustRightInd w:val="0"/>
        <w:spacing w:line="400" w:lineRule="exact"/>
        <w:ind w:firstLine="360"/>
        <w:rPr>
          <w:rFonts w:ascii="宋体" w:hAnsi="宋体" w:cs="宋体"/>
        </w:rPr>
      </w:pPr>
      <w:r>
        <w:rPr>
          <w:rFonts w:hint="eastAsia" w:ascii="宋体" w:hAnsi="宋体" w:cs="宋体"/>
        </w:rPr>
        <w:t>1.</w:t>
      </w:r>
      <w:r>
        <w:rPr>
          <w:rFonts w:hint="eastAsia" w:ascii="宋体" w:hAnsi="宋体" w:cs="宋体"/>
          <w:lang w:val="zh-CN"/>
        </w:rPr>
        <w:t>本合同一式</w:t>
      </w:r>
      <w:r>
        <w:rPr>
          <w:rFonts w:hint="eastAsia" w:ascii="宋体" w:hAnsi="宋体" w:cs="宋体"/>
        </w:rPr>
        <w:t>六</w:t>
      </w:r>
      <w:r>
        <w:rPr>
          <w:rFonts w:hint="eastAsia" w:ascii="宋体" w:hAnsi="宋体" w:cs="宋体"/>
          <w:lang w:val="zh-CN"/>
        </w:rPr>
        <w:t>份，经双方签字，并加盖公章即为生效。</w:t>
      </w:r>
    </w:p>
    <w:p w14:paraId="7984E883">
      <w:pPr>
        <w:autoSpaceDE w:val="0"/>
        <w:autoSpaceDN w:val="0"/>
        <w:adjustRightInd w:val="0"/>
        <w:spacing w:line="400" w:lineRule="exact"/>
        <w:ind w:firstLine="360"/>
        <w:rPr>
          <w:rFonts w:ascii="宋体" w:hAnsi="宋体" w:cs="宋体"/>
        </w:rPr>
      </w:pPr>
      <w:r>
        <w:rPr>
          <w:rFonts w:hint="eastAsia" w:ascii="宋体" w:hAnsi="宋体" w:cs="宋体"/>
        </w:rPr>
        <w:t>2.</w:t>
      </w:r>
      <w:r>
        <w:rPr>
          <w:rFonts w:hint="eastAsia" w:ascii="宋体" w:hAnsi="宋体" w:cs="宋体"/>
          <w:lang w:val="zh-CN"/>
        </w:rPr>
        <w:t>本合同未尽事宜，按《中华人民共和国民法典》有关规定处理。</w:t>
      </w:r>
    </w:p>
    <w:p w14:paraId="07CF5390">
      <w:pPr>
        <w:autoSpaceDE w:val="0"/>
        <w:autoSpaceDN w:val="0"/>
        <w:adjustRightInd w:val="0"/>
        <w:spacing w:line="400" w:lineRule="exact"/>
        <w:ind w:firstLine="360"/>
        <w:rPr>
          <w:rFonts w:ascii="宋体" w:hAnsi="宋体" w:cs="宋体"/>
        </w:rPr>
      </w:pPr>
      <w:r>
        <w:rPr>
          <w:rFonts w:hint="eastAsia" w:ascii="宋体" w:hAnsi="宋体" w:cs="宋体"/>
        </w:rPr>
        <w:t>3.</w:t>
      </w:r>
      <w:r>
        <w:rPr>
          <w:rFonts w:hint="eastAsia" w:ascii="宋体" w:hAnsi="宋体" w:cs="宋体"/>
          <w:lang w:val="zh-CN"/>
        </w:rPr>
        <w:t>本合同的组成包含《合同通用条款》，可自行在青海政府采购网下载《合同通用条款》。</w:t>
      </w:r>
    </w:p>
    <w:p w14:paraId="4DC33D25">
      <w:pPr>
        <w:autoSpaceDE w:val="0"/>
        <w:autoSpaceDN w:val="0"/>
        <w:adjustRightInd w:val="0"/>
        <w:spacing w:line="400" w:lineRule="exact"/>
        <w:rPr>
          <w:rFonts w:ascii="宋体" w:hAnsi="宋体" w:cs="宋体"/>
        </w:rPr>
      </w:pPr>
    </w:p>
    <w:p w14:paraId="628DC5B4">
      <w:pPr>
        <w:autoSpaceDE w:val="0"/>
        <w:autoSpaceDN w:val="0"/>
        <w:adjustRightInd w:val="0"/>
        <w:spacing w:line="400" w:lineRule="exact"/>
        <w:rPr>
          <w:rFonts w:ascii="宋体" w:hAnsi="宋体" w:cs="宋体"/>
        </w:rPr>
      </w:pPr>
      <w:r>
        <w:rPr>
          <w:rFonts w:hint="eastAsia" w:ascii="宋体" w:hAnsi="宋体" w:cs="宋体"/>
          <w:lang w:val="zh-CN"/>
        </w:rPr>
        <w:t>甲方（盖章）：</w:t>
      </w:r>
      <w:r>
        <w:rPr>
          <w:rFonts w:hint="eastAsia" w:ascii="宋体" w:hAnsi="宋体" w:cs="宋体"/>
        </w:rPr>
        <w:t xml:space="preserve">                         </w:t>
      </w:r>
      <w:r>
        <w:rPr>
          <w:rFonts w:hint="eastAsia" w:ascii="宋体" w:hAnsi="宋体" w:cs="宋体"/>
          <w:lang w:val="zh-CN"/>
        </w:rPr>
        <w:t>乙方（盖章）：</w:t>
      </w:r>
    </w:p>
    <w:p w14:paraId="4FE354AF">
      <w:pPr>
        <w:autoSpaceDE w:val="0"/>
        <w:autoSpaceDN w:val="0"/>
        <w:adjustRightInd w:val="0"/>
        <w:spacing w:line="400" w:lineRule="exact"/>
        <w:rPr>
          <w:rFonts w:ascii="宋体" w:hAnsi="宋体" w:cs="宋体"/>
        </w:rPr>
      </w:pPr>
      <w:r>
        <w:rPr>
          <w:rFonts w:hint="eastAsia" w:ascii="宋体" w:hAnsi="宋体" w:cs="宋体"/>
          <w:lang w:val="zh-CN"/>
        </w:rPr>
        <w:t>法定代表人或委托代理人</w:t>
      </w:r>
      <w:r>
        <w:rPr>
          <w:rFonts w:hint="eastAsia" w:ascii="宋体" w:hAnsi="宋体" w:cs="宋体"/>
        </w:rPr>
        <w:t xml:space="preserve">：               </w:t>
      </w:r>
      <w:r>
        <w:rPr>
          <w:rFonts w:hint="eastAsia" w:ascii="宋体" w:hAnsi="宋体" w:cs="宋体"/>
          <w:lang w:val="zh-CN"/>
        </w:rPr>
        <w:t>法定代表人或委托代理人</w:t>
      </w:r>
      <w:r>
        <w:rPr>
          <w:rFonts w:hint="eastAsia" w:ascii="宋体" w:hAnsi="宋体" w:cs="宋体"/>
        </w:rPr>
        <w:t>：</w:t>
      </w:r>
    </w:p>
    <w:p w14:paraId="127E55C7">
      <w:pPr>
        <w:autoSpaceDE w:val="0"/>
        <w:autoSpaceDN w:val="0"/>
        <w:adjustRightInd w:val="0"/>
        <w:spacing w:line="400" w:lineRule="exact"/>
        <w:rPr>
          <w:rFonts w:ascii="宋体" w:hAnsi="宋体" w:cs="宋体"/>
        </w:rPr>
      </w:pPr>
      <w:r>
        <w:rPr>
          <w:rFonts w:hint="eastAsia" w:ascii="宋体" w:hAnsi="宋体" w:cs="宋体"/>
        </w:rPr>
        <w:t xml:space="preserve">                                       </w:t>
      </w:r>
      <w:r>
        <w:rPr>
          <w:rFonts w:hint="eastAsia" w:ascii="宋体" w:hAnsi="宋体" w:cs="宋体"/>
          <w:lang w:val="zh-CN"/>
        </w:rPr>
        <w:t>开户银行：</w:t>
      </w:r>
      <w:r>
        <w:rPr>
          <w:rFonts w:hint="eastAsia" w:ascii="宋体" w:hAnsi="宋体" w:cs="宋体"/>
        </w:rPr>
        <w:t xml:space="preserve">     </w:t>
      </w:r>
    </w:p>
    <w:p w14:paraId="3A0B2FCF">
      <w:pPr>
        <w:autoSpaceDE w:val="0"/>
        <w:autoSpaceDN w:val="0"/>
        <w:adjustRightInd w:val="0"/>
        <w:spacing w:line="400" w:lineRule="exact"/>
        <w:rPr>
          <w:rFonts w:ascii="宋体" w:hAnsi="宋体" w:cs="宋体"/>
        </w:rPr>
      </w:pPr>
      <w:r>
        <w:rPr>
          <w:rFonts w:hint="eastAsia" w:ascii="宋体" w:hAnsi="宋体" w:cs="宋体"/>
          <w:lang w:val="zh-CN"/>
        </w:rPr>
        <w:t>联系电话：</w:t>
      </w:r>
      <w:r>
        <w:rPr>
          <w:rFonts w:hint="eastAsia" w:ascii="宋体" w:hAnsi="宋体" w:cs="宋体"/>
        </w:rPr>
        <w:t xml:space="preserve">                             </w:t>
      </w:r>
      <w:r>
        <w:rPr>
          <w:rFonts w:hint="eastAsia" w:ascii="宋体" w:hAnsi="宋体" w:cs="宋体"/>
          <w:lang w:val="zh-CN"/>
        </w:rPr>
        <w:t>账号：</w:t>
      </w:r>
    </w:p>
    <w:p w14:paraId="31AEC3B1">
      <w:pPr>
        <w:autoSpaceDE w:val="0"/>
        <w:autoSpaceDN w:val="0"/>
        <w:adjustRightInd w:val="0"/>
        <w:spacing w:line="400" w:lineRule="exact"/>
        <w:rPr>
          <w:rFonts w:ascii="宋体" w:hAnsi="宋体" w:cs="宋体"/>
        </w:rPr>
      </w:pPr>
      <w:r>
        <w:rPr>
          <w:rFonts w:hint="eastAsia" w:ascii="宋体" w:hAnsi="宋体" w:cs="宋体"/>
        </w:rPr>
        <w:t xml:space="preserve">                                       </w:t>
      </w:r>
      <w:r>
        <w:rPr>
          <w:rFonts w:hint="eastAsia" w:ascii="宋体" w:hAnsi="宋体" w:cs="宋体"/>
          <w:lang w:val="zh-CN"/>
        </w:rPr>
        <w:t>联系电话：</w:t>
      </w:r>
    </w:p>
    <w:p w14:paraId="7565EE19">
      <w:pPr>
        <w:autoSpaceDE w:val="0"/>
        <w:autoSpaceDN w:val="0"/>
        <w:adjustRightInd w:val="0"/>
        <w:spacing w:line="400" w:lineRule="exact"/>
        <w:rPr>
          <w:rFonts w:ascii="宋体" w:hAnsi="宋体" w:cs="宋体"/>
        </w:rPr>
      </w:pPr>
      <w:r>
        <w:rPr>
          <w:rFonts w:hint="eastAsia" w:ascii="宋体" w:hAnsi="宋体" w:cs="宋体"/>
          <w:lang w:val="zh-CN"/>
        </w:rPr>
        <w:t>签约时间：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560404F6">
      <w:pPr>
        <w:autoSpaceDE w:val="0"/>
        <w:autoSpaceDN w:val="0"/>
        <w:adjustRightInd w:val="0"/>
        <w:spacing w:line="400" w:lineRule="exact"/>
        <w:rPr>
          <w:rFonts w:ascii="宋体" w:hAnsi="宋体" w:cs="宋体"/>
        </w:rPr>
      </w:pPr>
      <w:r>
        <w:rPr>
          <w:rFonts w:hint="eastAsia" w:ascii="宋体" w:hAnsi="宋体" w:cs="宋体"/>
          <w:lang w:val="zh-CN"/>
        </w:rPr>
        <w:t>采购代理机构：</w:t>
      </w:r>
      <w:r>
        <w:rPr>
          <w:rFonts w:hint="eastAsia" w:ascii="宋体" w:hAnsi="宋体" w:cs="宋体"/>
        </w:rPr>
        <w:t xml:space="preserve">                        </w:t>
      </w:r>
    </w:p>
    <w:p w14:paraId="7B358D25">
      <w:pPr>
        <w:autoSpaceDE w:val="0"/>
        <w:autoSpaceDN w:val="0"/>
        <w:adjustRightInd w:val="0"/>
        <w:spacing w:line="400" w:lineRule="exact"/>
        <w:rPr>
          <w:rFonts w:ascii="宋体" w:hAnsi="宋体" w:cs="宋体"/>
        </w:rPr>
      </w:pPr>
      <w:r>
        <w:rPr>
          <w:rFonts w:hint="eastAsia" w:ascii="宋体" w:hAnsi="宋体" w:cs="宋体"/>
          <w:lang w:val="zh-CN"/>
        </w:rPr>
        <w:t>负责人或经办人：</w:t>
      </w:r>
    </w:p>
    <w:p w14:paraId="20396C92">
      <w:pPr>
        <w:autoSpaceDE w:val="0"/>
        <w:autoSpaceDN w:val="0"/>
        <w:adjustRightInd w:val="0"/>
        <w:spacing w:line="400" w:lineRule="exact"/>
        <w:rPr>
          <w:rFonts w:ascii="宋体" w:hAnsi="宋体" w:cs="宋体"/>
          <w:sz w:val="28"/>
          <w:szCs w:val="28"/>
        </w:rPr>
      </w:pPr>
      <w:r>
        <w:rPr>
          <w:rFonts w:hint="eastAsia" w:ascii="宋体" w:hAnsi="宋体" w:cs="宋体"/>
          <w:lang w:val="zh-CN"/>
        </w:rPr>
        <w:t>合同备案时间：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1D130572">
      <w:pPr>
        <w:autoSpaceDE w:val="0"/>
        <w:autoSpaceDN w:val="0"/>
        <w:adjustRightInd w:val="0"/>
        <w:spacing w:line="360" w:lineRule="auto"/>
        <w:jc w:val="center"/>
        <w:rPr>
          <w:rFonts w:ascii="宋体" w:hAnsi="宋体" w:cs="宋体"/>
          <w:b/>
          <w:bCs/>
          <w:sz w:val="28"/>
          <w:szCs w:val="28"/>
        </w:rPr>
      </w:pPr>
      <w:r>
        <w:rPr>
          <w:rFonts w:hint="eastAsia" w:ascii="宋体" w:hAnsi="宋体" w:cs="宋体"/>
          <w:b/>
          <w:bCs/>
          <w:sz w:val="28"/>
          <w:szCs w:val="28"/>
          <w:lang w:val="zh-CN"/>
        </w:rPr>
        <w:br w:type="page"/>
      </w:r>
      <w:r>
        <w:rPr>
          <w:rFonts w:hint="eastAsia" w:ascii="宋体" w:hAnsi="宋体" w:cs="宋体"/>
          <w:b/>
          <w:bCs/>
          <w:sz w:val="28"/>
          <w:szCs w:val="28"/>
          <w:lang w:val="zh-CN"/>
        </w:rPr>
        <w:t>合同通用条款</w:t>
      </w:r>
    </w:p>
    <w:p w14:paraId="002686EF">
      <w:pPr>
        <w:autoSpaceDE w:val="0"/>
        <w:autoSpaceDN w:val="0"/>
        <w:adjustRightInd w:val="0"/>
        <w:spacing w:line="360" w:lineRule="auto"/>
        <w:rPr>
          <w:rFonts w:ascii="宋体" w:hAnsi="宋体" w:cs="宋体"/>
          <w:sz w:val="28"/>
          <w:szCs w:val="28"/>
        </w:rPr>
      </w:pPr>
    </w:p>
    <w:p w14:paraId="4406E0F0">
      <w:pPr>
        <w:autoSpaceDE w:val="0"/>
        <w:autoSpaceDN w:val="0"/>
        <w:adjustRightInd w:val="0"/>
        <w:spacing w:line="360" w:lineRule="auto"/>
        <w:ind w:firstLine="480"/>
        <w:rPr>
          <w:rFonts w:ascii="宋体" w:hAnsi="宋体" w:cs="宋体"/>
        </w:rPr>
      </w:pPr>
      <w:r>
        <w:rPr>
          <w:rFonts w:hint="eastAsia" w:ascii="宋体" w:hAnsi="宋体" w:cs="宋体"/>
          <w:lang w:val="zh-CN"/>
        </w:rPr>
        <w:t>根据《中华人民共和国《中华人民共和国民法典》》、《中华人民共和国政府采购法》的规定，合同双方经协商达成一致，自愿订立本合同，遵循公平原则明确双方的权利、义务，确保双方诚实守信地履行合同。</w:t>
      </w:r>
    </w:p>
    <w:p w14:paraId="47917BBF">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w:t>
      </w:r>
      <w:r>
        <w:rPr>
          <w:rFonts w:hint="eastAsia" w:ascii="宋体" w:hAnsi="宋体" w:cs="宋体"/>
          <w:b/>
          <w:bCs/>
          <w:sz w:val="28"/>
          <w:szCs w:val="28"/>
          <w:lang w:val="zh-CN"/>
        </w:rPr>
        <w:t>定义</w:t>
      </w:r>
    </w:p>
    <w:p w14:paraId="01E8B75D">
      <w:pPr>
        <w:autoSpaceDE w:val="0"/>
        <w:autoSpaceDN w:val="0"/>
        <w:adjustRightInd w:val="0"/>
        <w:spacing w:line="360" w:lineRule="auto"/>
        <w:ind w:firstLine="480"/>
        <w:rPr>
          <w:rFonts w:ascii="宋体" w:hAnsi="宋体" w:cs="宋体"/>
        </w:rPr>
      </w:pPr>
      <w:r>
        <w:rPr>
          <w:rFonts w:hint="eastAsia" w:ascii="宋体" w:hAnsi="宋体" w:cs="宋体"/>
          <w:lang w:val="zh-CN"/>
        </w:rPr>
        <w:t>本合同中的下列术语应解释为：</w:t>
      </w:r>
    </w:p>
    <w:p w14:paraId="1F69D6FF">
      <w:pPr>
        <w:autoSpaceDE w:val="0"/>
        <w:autoSpaceDN w:val="0"/>
        <w:adjustRightInd w:val="0"/>
        <w:spacing w:line="360" w:lineRule="auto"/>
        <w:ind w:firstLine="480"/>
        <w:rPr>
          <w:rFonts w:ascii="宋体" w:hAnsi="宋体" w:cs="宋体"/>
        </w:rPr>
      </w:pPr>
      <w:r>
        <w:rPr>
          <w:rFonts w:hint="eastAsia" w:ascii="宋体" w:hAnsi="宋体" w:cs="宋体"/>
        </w:rPr>
        <w:t xml:space="preserve">1.1 </w:t>
      </w:r>
      <w:r>
        <w:rPr>
          <w:rFonts w:hint="eastAsia" w:ascii="宋体" w:hAnsi="宋体" w:cs="宋体"/>
          <w:lang w:val="zh-CN"/>
        </w:rPr>
        <w:t>“合同”指甲乙双方签署的、载明的甲乙双方权利义务的协议，包括所有的附件、附录和上述文件所提到的构成合同的所有文件。</w:t>
      </w:r>
    </w:p>
    <w:p w14:paraId="476B334B">
      <w:pPr>
        <w:autoSpaceDE w:val="0"/>
        <w:autoSpaceDN w:val="0"/>
        <w:adjustRightInd w:val="0"/>
        <w:spacing w:line="360" w:lineRule="auto"/>
        <w:ind w:firstLine="480"/>
        <w:rPr>
          <w:rFonts w:ascii="宋体" w:hAnsi="宋体" w:cs="宋体"/>
        </w:rPr>
      </w:pPr>
      <w:r>
        <w:rPr>
          <w:rFonts w:hint="eastAsia" w:ascii="宋体" w:hAnsi="宋体" w:cs="宋体"/>
        </w:rPr>
        <w:t xml:space="preserve">1.2 </w:t>
      </w:r>
      <w:r>
        <w:rPr>
          <w:rFonts w:hint="eastAsia" w:ascii="宋体" w:hAnsi="宋体" w:cs="宋体"/>
          <w:lang w:val="zh-CN"/>
        </w:rPr>
        <w:t>“合同金额”指根据合同规定，乙方在正确地完全履行合同义务后甲方应付给乙方的价款。</w:t>
      </w:r>
    </w:p>
    <w:p w14:paraId="2A5D29F7">
      <w:pPr>
        <w:autoSpaceDE w:val="0"/>
        <w:autoSpaceDN w:val="0"/>
        <w:adjustRightInd w:val="0"/>
        <w:spacing w:line="360" w:lineRule="auto"/>
        <w:ind w:firstLine="480"/>
        <w:rPr>
          <w:rFonts w:ascii="宋体" w:hAnsi="宋体" w:cs="宋体"/>
        </w:rPr>
      </w:pPr>
      <w:r>
        <w:rPr>
          <w:rFonts w:hint="eastAsia" w:ascii="宋体" w:hAnsi="宋体" w:cs="宋体"/>
        </w:rPr>
        <w:t xml:space="preserve">1.3 </w:t>
      </w:r>
      <w:r>
        <w:rPr>
          <w:rFonts w:hint="eastAsia" w:ascii="宋体" w:hAnsi="宋体" w:cs="宋体"/>
          <w:lang w:val="zh-CN"/>
        </w:rPr>
        <w:t>“合同条款”指本合同条款。</w:t>
      </w:r>
    </w:p>
    <w:p w14:paraId="466A73FB">
      <w:pPr>
        <w:autoSpaceDE w:val="0"/>
        <w:autoSpaceDN w:val="0"/>
        <w:adjustRightInd w:val="0"/>
        <w:spacing w:line="360" w:lineRule="auto"/>
        <w:ind w:firstLine="480"/>
        <w:rPr>
          <w:rFonts w:ascii="宋体" w:hAnsi="宋体" w:cs="宋体"/>
        </w:rPr>
      </w:pPr>
      <w:r>
        <w:rPr>
          <w:rFonts w:hint="eastAsia" w:ascii="宋体" w:hAnsi="宋体" w:cs="宋体"/>
        </w:rPr>
        <w:t xml:space="preserve">1.4 </w:t>
      </w:r>
      <w:r>
        <w:rPr>
          <w:rFonts w:hint="eastAsia" w:ascii="宋体" w:hAnsi="宋体" w:cs="宋体"/>
          <w:lang w:val="zh-CN"/>
        </w:rPr>
        <w:t>“货物”指乙方根据合同约定须向甲方提供的一切产品、设备、机械、仪表、备件等，包括辅助工具、使用手册等相关资料。</w:t>
      </w:r>
    </w:p>
    <w:p w14:paraId="7D8AE3A7">
      <w:pPr>
        <w:autoSpaceDE w:val="0"/>
        <w:autoSpaceDN w:val="0"/>
        <w:adjustRightInd w:val="0"/>
        <w:spacing w:line="360" w:lineRule="auto"/>
        <w:ind w:firstLine="480"/>
        <w:rPr>
          <w:rFonts w:ascii="宋体" w:hAnsi="宋体" w:cs="宋体"/>
        </w:rPr>
      </w:pPr>
      <w:r>
        <w:rPr>
          <w:rFonts w:hint="eastAsia" w:ascii="宋体" w:hAnsi="宋体" w:cs="宋体"/>
        </w:rPr>
        <w:t xml:space="preserve">1.5 </w:t>
      </w:r>
      <w:r>
        <w:rPr>
          <w:rFonts w:hint="eastAsia" w:ascii="宋体" w:hAnsi="宋体" w:cs="宋体"/>
          <w:lang w:val="zh-CN"/>
        </w:rPr>
        <w:t>“服务”指根据本合同规定乙方承担与供货有关的辅助服务，如运输、保险及安装、调试、提供技术援助、培训和合同中规定乙方应承担的其它义务。</w:t>
      </w:r>
    </w:p>
    <w:p w14:paraId="616B490C">
      <w:pPr>
        <w:autoSpaceDE w:val="0"/>
        <w:autoSpaceDN w:val="0"/>
        <w:adjustRightInd w:val="0"/>
        <w:spacing w:line="360" w:lineRule="auto"/>
        <w:ind w:firstLine="480"/>
        <w:rPr>
          <w:rFonts w:ascii="宋体" w:hAnsi="宋体" w:cs="宋体"/>
        </w:rPr>
      </w:pPr>
      <w:r>
        <w:rPr>
          <w:rFonts w:hint="eastAsia" w:ascii="宋体" w:hAnsi="宋体" w:cs="宋体"/>
        </w:rPr>
        <w:t xml:space="preserve">1.6 </w:t>
      </w:r>
      <w:r>
        <w:rPr>
          <w:rFonts w:hint="eastAsia" w:ascii="宋体" w:hAnsi="宋体" w:cs="宋体"/>
          <w:lang w:val="zh-CN"/>
        </w:rPr>
        <w:t>“甲方”指购买货物和服务的单位。</w:t>
      </w:r>
    </w:p>
    <w:p w14:paraId="7E743BE9">
      <w:pPr>
        <w:autoSpaceDE w:val="0"/>
        <w:autoSpaceDN w:val="0"/>
        <w:adjustRightInd w:val="0"/>
        <w:spacing w:line="360" w:lineRule="auto"/>
        <w:ind w:firstLine="480"/>
        <w:rPr>
          <w:rFonts w:ascii="宋体" w:hAnsi="宋体" w:cs="宋体"/>
        </w:rPr>
      </w:pPr>
      <w:r>
        <w:rPr>
          <w:rFonts w:hint="eastAsia" w:ascii="宋体" w:hAnsi="宋体" w:cs="宋体"/>
        </w:rPr>
        <w:t xml:space="preserve">1.7 </w:t>
      </w:r>
      <w:r>
        <w:rPr>
          <w:rFonts w:hint="eastAsia" w:ascii="宋体" w:hAnsi="宋体" w:cs="宋体"/>
          <w:lang w:val="zh-CN"/>
        </w:rPr>
        <w:t>“乙方”指提供本合同条款下货物和服务的公司或其他实体。</w:t>
      </w:r>
    </w:p>
    <w:p w14:paraId="3C8543F3">
      <w:pPr>
        <w:autoSpaceDE w:val="0"/>
        <w:autoSpaceDN w:val="0"/>
        <w:adjustRightInd w:val="0"/>
        <w:spacing w:line="360" w:lineRule="auto"/>
        <w:ind w:firstLine="480"/>
        <w:rPr>
          <w:rFonts w:ascii="宋体" w:hAnsi="宋体" w:cs="宋体"/>
        </w:rPr>
      </w:pPr>
      <w:r>
        <w:rPr>
          <w:rFonts w:hint="eastAsia" w:ascii="宋体" w:hAnsi="宋体" w:cs="宋体"/>
        </w:rPr>
        <w:t xml:space="preserve">1.8 </w:t>
      </w:r>
      <w:r>
        <w:rPr>
          <w:rFonts w:hint="eastAsia" w:ascii="宋体" w:hAnsi="宋体" w:cs="宋体"/>
          <w:lang w:val="zh-CN"/>
        </w:rPr>
        <w:t>“现场”指合同规定货物将要运至和安装的地点。</w:t>
      </w:r>
    </w:p>
    <w:p w14:paraId="65E6FBCB">
      <w:pPr>
        <w:autoSpaceDE w:val="0"/>
        <w:autoSpaceDN w:val="0"/>
        <w:adjustRightInd w:val="0"/>
        <w:spacing w:line="360" w:lineRule="auto"/>
        <w:ind w:firstLine="480"/>
        <w:rPr>
          <w:rFonts w:ascii="宋体" w:hAnsi="宋体" w:cs="宋体"/>
        </w:rPr>
      </w:pPr>
      <w:r>
        <w:rPr>
          <w:rFonts w:hint="eastAsia" w:ascii="宋体" w:hAnsi="宋体" w:cs="宋体"/>
        </w:rPr>
        <w:t xml:space="preserve">1.9 </w:t>
      </w:r>
      <w:r>
        <w:rPr>
          <w:rFonts w:hint="eastAsia" w:ascii="宋体" w:hAnsi="宋体" w:cs="宋体"/>
          <w:lang w:val="zh-CN"/>
        </w:rPr>
        <w:t>“验收”指合同双方依据强制性的国家技术质量规范和合同约定，确认合同条款下的货物符合合同规定的活动。</w:t>
      </w:r>
    </w:p>
    <w:p w14:paraId="76E60648">
      <w:pPr>
        <w:autoSpaceDE w:val="0"/>
        <w:autoSpaceDN w:val="0"/>
        <w:adjustRightInd w:val="0"/>
        <w:spacing w:line="360" w:lineRule="auto"/>
        <w:ind w:firstLine="480"/>
        <w:rPr>
          <w:rFonts w:ascii="宋体" w:hAnsi="宋体" w:cs="宋体"/>
        </w:rPr>
      </w:pPr>
      <w:r>
        <w:rPr>
          <w:rFonts w:hint="eastAsia" w:ascii="宋体" w:hAnsi="宋体" w:cs="宋体"/>
        </w:rPr>
        <w:t>1.10</w:t>
      </w:r>
      <w:r>
        <w:rPr>
          <w:rFonts w:hint="eastAsia" w:ascii="宋体" w:hAnsi="宋体" w:cs="宋体"/>
          <w:lang w:val="zh-CN"/>
        </w:rPr>
        <w:t>原厂商：产品制造商或其在中国境内设立的办事或技术服务机构。除另有说明外，本合同文件所述的制造商、产品制造商、制造厂家、产品制造厂家均为原厂商。</w:t>
      </w:r>
    </w:p>
    <w:p w14:paraId="188B5D51">
      <w:pPr>
        <w:autoSpaceDE w:val="0"/>
        <w:autoSpaceDN w:val="0"/>
        <w:adjustRightInd w:val="0"/>
        <w:spacing w:line="360" w:lineRule="auto"/>
        <w:ind w:firstLine="480"/>
        <w:rPr>
          <w:rFonts w:ascii="宋体" w:hAnsi="宋体" w:cs="宋体"/>
        </w:rPr>
      </w:pPr>
      <w:r>
        <w:rPr>
          <w:rFonts w:hint="eastAsia" w:ascii="宋体" w:hAnsi="宋体" w:cs="宋体"/>
        </w:rPr>
        <w:t xml:space="preserve">1.11 </w:t>
      </w:r>
      <w:r>
        <w:rPr>
          <w:rFonts w:hint="eastAsia" w:ascii="宋体" w:hAnsi="宋体" w:cs="宋体"/>
          <w:lang w:val="zh-CN"/>
        </w:rPr>
        <w:t>原产地：指产品的生产地，或提供服务的来源地。</w:t>
      </w:r>
    </w:p>
    <w:p w14:paraId="5DEA5D0C">
      <w:pPr>
        <w:autoSpaceDE w:val="0"/>
        <w:autoSpaceDN w:val="0"/>
        <w:adjustRightInd w:val="0"/>
        <w:spacing w:line="360" w:lineRule="auto"/>
        <w:ind w:firstLine="480"/>
        <w:rPr>
          <w:rFonts w:ascii="宋体" w:hAnsi="宋体" w:cs="宋体"/>
        </w:rPr>
      </w:pPr>
      <w:r>
        <w:rPr>
          <w:rFonts w:hint="eastAsia" w:ascii="宋体" w:hAnsi="宋体" w:cs="宋体"/>
        </w:rPr>
        <w:t xml:space="preserve">1.12 </w:t>
      </w:r>
      <w:r>
        <w:rPr>
          <w:rFonts w:hint="eastAsia" w:ascii="宋体" w:hAnsi="宋体" w:cs="宋体"/>
          <w:lang w:val="zh-CN"/>
        </w:rPr>
        <w:t>“工作日”指国家法定工作日，“天”指日历天数。</w:t>
      </w:r>
    </w:p>
    <w:p w14:paraId="19E9B0F4">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w:t>
      </w:r>
      <w:r>
        <w:rPr>
          <w:rFonts w:hint="eastAsia" w:ascii="宋体" w:hAnsi="宋体" w:cs="宋体"/>
          <w:b/>
          <w:bCs/>
          <w:sz w:val="28"/>
          <w:szCs w:val="28"/>
          <w:lang w:val="zh-CN"/>
        </w:rPr>
        <w:t>技术规格要求</w:t>
      </w:r>
    </w:p>
    <w:p w14:paraId="3DE27600">
      <w:pPr>
        <w:autoSpaceDE w:val="0"/>
        <w:autoSpaceDN w:val="0"/>
        <w:adjustRightInd w:val="0"/>
        <w:spacing w:line="360" w:lineRule="auto"/>
        <w:ind w:firstLine="480"/>
        <w:rPr>
          <w:rFonts w:ascii="宋体" w:hAnsi="宋体" w:cs="宋体"/>
        </w:rPr>
      </w:pPr>
      <w:r>
        <w:rPr>
          <w:rFonts w:hint="eastAsia" w:ascii="宋体" w:hAnsi="宋体" w:cs="宋体"/>
        </w:rPr>
        <w:t xml:space="preserve">2.1 </w:t>
      </w:r>
      <w:r>
        <w:rPr>
          <w:rFonts w:hint="eastAsia" w:ascii="宋体" w:hAnsi="宋体" w:cs="宋体"/>
          <w:lang w:val="zh-CN"/>
        </w:rPr>
        <w:t>本合同条款下提交货物的技术规格要求应等于或优于招响应文件技术规格要求。若技术规格要求中无相应规定，则应符合相应的国家有关部门最新颁布的相应正式标准。</w:t>
      </w:r>
    </w:p>
    <w:p w14:paraId="2EC644D6">
      <w:pPr>
        <w:autoSpaceDE w:val="0"/>
        <w:autoSpaceDN w:val="0"/>
        <w:adjustRightInd w:val="0"/>
        <w:spacing w:line="360" w:lineRule="auto"/>
        <w:ind w:firstLine="480"/>
        <w:rPr>
          <w:rFonts w:ascii="宋体" w:hAnsi="宋体" w:cs="宋体"/>
        </w:rPr>
      </w:pPr>
      <w:r>
        <w:rPr>
          <w:rFonts w:hint="eastAsia" w:ascii="宋体" w:hAnsi="宋体" w:cs="宋体"/>
        </w:rPr>
        <w:t xml:space="preserve">2.2 </w:t>
      </w:r>
      <w:r>
        <w:rPr>
          <w:rFonts w:hint="eastAsia" w:ascii="宋体" w:hAnsi="宋体" w:cs="宋体"/>
          <w:lang w:val="zh-CN"/>
        </w:rPr>
        <w:t>乙方应向甲方提供货物及服务有关的标准的中文文本。</w:t>
      </w:r>
    </w:p>
    <w:p w14:paraId="3224B45A">
      <w:pPr>
        <w:autoSpaceDE w:val="0"/>
        <w:autoSpaceDN w:val="0"/>
        <w:adjustRightInd w:val="0"/>
        <w:spacing w:line="360" w:lineRule="auto"/>
        <w:ind w:firstLine="480"/>
        <w:rPr>
          <w:rFonts w:ascii="宋体" w:hAnsi="宋体" w:cs="宋体"/>
        </w:rPr>
      </w:pPr>
      <w:r>
        <w:rPr>
          <w:rFonts w:hint="eastAsia" w:ascii="宋体" w:hAnsi="宋体" w:cs="宋体"/>
        </w:rPr>
        <w:t xml:space="preserve">2.3 </w:t>
      </w:r>
      <w:r>
        <w:rPr>
          <w:rFonts w:hint="eastAsia" w:ascii="宋体" w:hAnsi="宋体" w:cs="宋体"/>
          <w:lang w:val="zh-CN"/>
        </w:rPr>
        <w:t>除非技术规范中另有规定，计量单位均采用中华人民共和国法定计量单位。</w:t>
      </w:r>
    </w:p>
    <w:p w14:paraId="159440A7">
      <w:pPr>
        <w:autoSpaceDE w:val="0"/>
        <w:autoSpaceDN w:val="0"/>
        <w:adjustRightInd w:val="0"/>
        <w:spacing w:line="360" w:lineRule="auto"/>
        <w:rPr>
          <w:rFonts w:ascii="宋体" w:hAnsi="宋体" w:cs="宋体"/>
          <w:b/>
          <w:bCs/>
          <w:sz w:val="28"/>
          <w:szCs w:val="28"/>
        </w:rPr>
      </w:pPr>
    </w:p>
    <w:p w14:paraId="00F4BCF8">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3.</w:t>
      </w:r>
      <w:r>
        <w:rPr>
          <w:rFonts w:hint="eastAsia" w:ascii="宋体" w:hAnsi="宋体" w:cs="宋体"/>
          <w:b/>
          <w:bCs/>
          <w:sz w:val="28"/>
          <w:szCs w:val="28"/>
          <w:lang w:val="zh-CN"/>
        </w:rPr>
        <w:t>合同范围</w:t>
      </w:r>
    </w:p>
    <w:p w14:paraId="749B7965">
      <w:pPr>
        <w:autoSpaceDE w:val="0"/>
        <w:autoSpaceDN w:val="0"/>
        <w:adjustRightInd w:val="0"/>
        <w:spacing w:line="360" w:lineRule="auto"/>
        <w:ind w:firstLine="480"/>
        <w:rPr>
          <w:rFonts w:ascii="宋体" w:hAnsi="宋体" w:cs="宋体"/>
        </w:rPr>
      </w:pPr>
      <w:r>
        <w:rPr>
          <w:rFonts w:hint="eastAsia" w:ascii="宋体" w:hAnsi="宋体" w:cs="宋体"/>
        </w:rPr>
        <w:t xml:space="preserve">3.1 </w:t>
      </w:r>
      <w:r>
        <w:rPr>
          <w:rFonts w:hint="eastAsia" w:ascii="宋体" w:hAnsi="宋体" w:cs="宋体"/>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62E10F0C">
      <w:pPr>
        <w:autoSpaceDE w:val="0"/>
        <w:autoSpaceDN w:val="0"/>
        <w:adjustRightInd w:val="0"/>
        <w:spacing w:line="360" w:lineRule="auto"/>
        <w:ind w:firstLine="480"/>
        <w:rPr>
          <w:rFonts w:ascii="宋体" w:hAnsi="宋体" w:cs="宋体"/>
        </w:rPr>
      </w:pPr>
      <w:r>
        <w:rPr>
          <w:rFonts w:hint="eastAsia" w:ascii="宋体" w:hAnsi="宋体" w:cs="宋体"/>
        </w:rPr>
        <w:t xml:space="preserve">3.2 </w:t>
      </w:r>
      <w:r>
        <w:rPr>
          <w:rFonts w:hint="eastAsia" w:ascii="宋体" w:hAnsi="宋体" w:cs="宋体"/>
          <w:lang w:val="zh-CN"/>
        </w:rPr>
        <w:t>乙方应负责培训甲方的技术人员。</w:t>
      </w:r>
    </w:p>
    <w:p w14:paraId="6B280053">
      <w:pPr>
        <w:autoSpaceDE w:val="0"/>
        <w:autoSpaceDN w:val="0"/>
        <w:adjustRightInd w:val="0"/>
        <w:spacing w:line="360" w:lineRule="auto"/>
        <w:ind w:firstLine="480"/>
        <w:rPr>
          <w:rFonts w:ascii="宋体" w:hAnsi="宋体" w:cs="宋体"/>
        </w:rPr>
      </w:pPr>
      <w:r>
        <w:rPr>
          <w:rFonts w:hint="eastAsia" w:ascii="宋体" w:hAnsi="宋体" w:cs="宋体"/>
        </w:rPr>
        <w:t xml:space="preserve">3.3 </w:t>
      </w:r>
      <w:r>
        <w:rPr>
          <w:rFonts w:hint="eastAsia" w:ascii="宋体" w:hAnsi="宋体" w:cs="宋体"/>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6CFBDC5F">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4.</w:t>
      </w:r>
      <w:r>
        <w:rPr>
          <w:rFonts w:hint="eastAsia" w:ascii="宋体" w:hAnsi="宋体" w:cs="宋体"/>
          <w:b/>
          <w:bCs/>
          <w:sz w:val="28"/>
          <w:szCs w:val="28"/>
          <w:lang w:val="zh-CN"/>
        </w:rPr>
        <w:t>合同文件和资料</w:t>
      </w:r>
    </w:p>
    <w:p w14:paraId="567430E3">
      <w:pPr>
        <w:autoSpaceDE w:val="0"/>
        <w:autoSpaceDN w:val="0"/>
        <w:adjustRightInd w:val="0"/>
        <w:spacing w:line="360" w:lineRule="auto"/>
        <w:ind w:firstLine="480"/>
        <w:rPr>
          <w:rFonts w:ascii="宋体" w:hAnsi="宋体" w:cs="宋体"/>
        </w:rPr>
      </w:pPr>
      <w:r>
        <w:rPr>
          <w:rFonts w:hint="eastAsia" w:ascii="宋体" w:hAnsi="宋体" w:cs="宋体"/>
        </w:rPr>
        <w:t>4.1</w:t>
      </w:r>
      <w:r>
        <w:rPr>
          <w:rFonts w:hint="eastAsia" w:ascii="宋体" w:hAnsi="宋体" w:cs="宋体"/>
          <w:lang w:val="zh-CN"/>
        </w:rPr>
        <w:t>乙方在提供仪器设备时应同时提供中文版相关的技术资料，如目录索引、图纸、操作手册、使用指南、维修指南、服务手册等。</w:t>
      </w:r>
    </w:p>
    <w:p w14:paraId="45F53189">
      <w:pPr>
        <w:autoSpaceDE w:val="0"/>
        <w:autoSpaceDN w:val="0"/>
        <w:adjustRightInd w:val="0"/>
        <w:spacing w:line="360" w:lineRule="auto"/>
        <w:ind w:firstLine="480"/>
        <w:rPr>
          <w:rFonts w:ascii="宋体" w:hAnsi="宋体" w:cs="宋体"/>
        </w:rPr>
      </w:pPr>
      <w:r>
        <w:rPr>
          <w:rFonts w:hint="eastAsia" w:ascii="宋体" w:hAnsi="宋体" w:cs="宋体"/>
        </w:rPr>
        <w:t>4.2</w:t>
      </w:r>
      <w:r>
        <w:rPr>
          <w:rFonts w:hint="eastAsia" w:ascii="宋体" w:hAnsi="宋体" w:cs="宋体"/>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7DA4417B">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5.</w:t>
      </w:r>
      <w:r>
        <w:rPr>
          <w:rFonts w:hint="eastAsia" w:ascii="宋体" w:hAnsi="宋体" w:cs="宋体"/>
          <w:b/>
          <w:bCs/>
          <w:sz w:val="28"/>
          <w:szCs w:val="28"/>
          <w:lang w:val="zh-CN"/>
        </w:rPr>
        <w:t>知识产权</w:t>
      </w:r>
    </w:p>
    <w:p w14:paraId="4AEBD097">
      <w:pPr>
        <w:autoSpaceDE w:val="0"/>
        <w:autoSpaceDN w:val="0"/>
        <w:adjustRightInd w:val="0"/>
        <w:spacing w:line="360" w:lineRule="auto"/>
        <w:ind w:firstLine="480"/>
        <w:rPr>
          <w:rFonts w:ascii="宋体" w:hAnsi="宋体" w:cs="宋体"/>
        </w:rPr>
      </w:pPr>
      <w:r>
        <w:rPr>
          <w:rFonts w:hint="eastAsia" w:ascii="宋体" w:hAnsi="宋体" w:cs="宋体"/>
        </w:rPr>
        <w:t>5.1</w:t>
      </w:r>
      <w:r>
        <w:rPr>
          <w:rFonts w:hint="eastAsia" w:ascii="宋体" w:hAnsi="宋体" w:cs="宋体"/>
          <w:lang w:val="zh-CN"/>
        </w:rPr>
        <w:t>乙方应保证甲方在使用该货物或其任何一部分时不受第三方提出的侵犯专利权、</w:t>
      </w:r>
      <w:r>
        <w:rPr>
          <w:rFonts w:hint="eastAsia" w:ascii="宋体" w:hAnsi="宋体" w:cs="宋体"/>
        </w:rPr>
        <w:t xml:space="preserve"> </w:t>
      </w:r>
      <w:r>
        <w:rPr>
          <w:rFonts w:hint="eastAsia" w:ascii="宋体" w:hAnsi="宋体" w:cs="宋体"/>
          <w:lang w:val="zh-CN"/>
        </w:rPr>
        <w:t>著作权、商标权和工业设计权等的起诉。</w:t>
      </w:r>
    </w:p>
    <w:p w14:paraId="20CADBB7">
      <w:pPr>
        <w:autoSpaceDE w:val="0"/>
        <w:autoSpaceDN w:val="0"/>
        <w:adjustRightInd w:val="0"/>
        <w:spacing w:line="360" w:lineRule="auto"/>
        <w:ind w:firstLine="480"/>
        <w:rPr>
          <w:rFonts w:ascii="宋体" w:hAnsi="宋体" w:cs="宋体"/>
        </w:rPr>
      </w:pPr>
      <w:r>
        <w:rPr>
          <w:rFonts w:hint="eastAsia" w:ascii="宋体" w:hAnsi="宋体" w:cs="宋体"/>
        </w:rPr>
        <w:t>5.2</w:t>
      </w:r>
      <w:r>
        <w:rPr>
          <w:rFonts w:hint="eastAsia" w:ascii="宋体" w:hAnsi="宋体" w:cs="宋体"/>
          <w:lang w:val="zh-CN"/>
        </w:rPr>
        <w:t>任何第三方提出侵权指控，乙方须与第三方交涉并承担由此产生的一切责任、费用和经济赔偿。</w:t>
      </w:r>
    </w:p>
    <w:p w14:paraId="60FBA110">
      <w:pPr>
        <w:autoSpaceDE w:val="0"/>
        <w:autoSpaceDN w:val="0"/>
        <w:adjustRightInd w:val="0"/>
        <w:spacing w:line="360" w:lineRule="auto"/>
        <w:ind w:firstLine="480"/>
        <w:rPr>
          <w:rFonts w:ascii="宋体" w:hAnsi="宋体" w:cs="宋体"/>
        </w:rPr>
      </w:pPr>
      <w:r>
        <w:rPr>
          <w:rFonts w:hint="eastAsia" w:ascii="宋体" w:hAnsi="宋体" w:cs="宋体"/>
        </w:rPr>
        <w:t>5.3</w:t>
      </w:r>
      <w:r>
        <w:rPr>
          <w:rFonts w:hint="eastAsia" w:ascii="宋体" w:hAnsi="宋体" w:cs="宋体"/>
          <w:lang w:val="zh-CN"/>
        </w:rPr>
        <w:t>双方应共同遵守国家有关版权、专利、商标等知识产权方面的法律规定，相互尊重对方的知识产权，对本合同内容、对方的技术秘密和商业秘密负有保密责任。如有违反，违约方负相关法律责任。</w:t>
      </w:r>
    </w:p>
    <w:p w14:paraId="78413638">
      <w:pPr>
        <w:autoSpaceDE w:val="0"/>
        <w:autoSpaceDN w:val="0"/>
        <w:adjustRightInd w:val="0"/>
        <w:spacing w:line="360" w:lineRule="auto"/>
        <w:ind w:firstLine="480"/>
        <w:rPr>
          <w:rFonts w:ascii="宋体" w:hAnsi="宋体" w:cs="宋体"/>
        </w:rPr>
      </w:pPr>
      <w:r>
        <w:rPr>
          <w:rFonts w:hint="eastAsia" w:ascii="宋体" w:hAnsi="宋体" w:cs="宋体"/>
        </w:rPr>
        <w:t>5.4</w:t>
      </w:r>
      <w:r>
        <w:rPr>
          <w:rFonts w:hint="eastAsia" w:ascii="宋体" w:hAnsi="宋体" w:cs="宋体"/>
          <w:lang w:val="zh-CN"/>
        </w:rPr>
        <w:t>在本合同生效时已经存在并为各方合法拥有或使用的所有技术、资料和信息的知识产权，仍应属于其各自的原权利人所有或享有，另有约定的除外。</w:t>
      </w:r>
    </w:p>
    <w:p w14:paraId="56DD263C">
      <w:pPr>
        <w:autoSpaceDE w:val="0"/>
        <w:autoSpaceDN w:val="0"/>
        <w:adjustRightInd w:val="0"/>
        <w:spacing w:line="360" w:lineRule="auto"/>
        <w:ind w:firstLine="480"/>
        <w:rPr>
          <w:rFonts w:ascii="宋体" w:hAnsi="宋体" w:cs="宋体"/>
        </w:rPr>
      </w:pPr>
      <w:r>
        <w:rPr>
          <w:rFonts w:hint="eastAsia" w:ascii="宋体" w:hAnsi="宋体" w:cs="宋体"/>
        </w:rPr>
        <w:t>5.5</w:t>
      </w:r>
      <w:r>
        <w:rPr>
          <w:rFonts w:hint="eastAsia" w:ascii="宋体" w:hAnsi="宋体" w:cs="宋体"/>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1909BE8A">
      <w:pPr>
        <w:numPr>
          <w:ilvl w:val="0"/>
          <w:numId w:val="8"/>
        </w:numPr>
        <w:autoSpaceDE w:val="0"/>
        <w:autoSpaceDN w:val="0"/>
        <w:adjustRightInd w:val="0"/>
        <w:spacing w:line="360" w:lineRule="auto"/>
        <w:rPr>
          <w:rFonts w:ascii="宋体" w:hAnsi="宋体" w:cs="宋体"/>
          <w:b/>
          <w:bCs/>
          <w:sz w:val="28"/>
          <w:szCs w:val="28"/>
          <w:lang w:val="zh-CN"/>
        </w:rPr>
      </w:pPr>
      <w:r>
        <w:rPr>
          <w:rFonts w:hint="eastAsia" w:ascii="宋体" w:hAnsi="宋体" w:cs="宋体"/>
          <w:b/>
          <w:bCs/>
          <w:sz w:val="28"/>
          <w:szCs w:val="28"/>
          <w:lang w:val="zh-CN"/>
        </w:rPr>
        <w:t>保密</w:t>
      </w:r>
    </w:p>
    <w:p w14:paraId="1200F3C7">
      <w:pPr>
        <w:autoSpaceDE w:val="0"/>
        <w:autoSpaceDN w:val="0"/>
        <w:adjustRightInd w:val="0"/>
        <w:spacing w:line="360" w:lineRule="auto"/>
        <w:ind w:firstLine="480" w:firstLineChars="200"/>
        <w:rPr>
          <w:rFonts w:ascii="宋体" w:hAnsi="宋体" w:cs="宋体"/>
        </w:rPr>
      </w:pPr>
      <w:r>
        <w:rPr>
          <w:rFonts w:hint="eastAsia" w:ascii="宋体" w:hAnsi="宋体" w:cs="宋体"/>
        </w:rPr>
        <w:t>6.1</w:t>
      </w:r>
      <w:r>
        <w:rPr>
          <w:rFonts w:hint="eastAsia" w:ascii="宋体" w:hAnsi="宋体" w:cs="宋体"/>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4A60B703">
      <w:pPr>
        <w:autoSpaceDE w:val="0"/>
        <w:autoSpaceDN w:val="0"/>
        <w:adjustRightInd w:val="0"/>
        <w:spacing w:line="360" w:lineRule="auto"/>
        <w:ind w:firstLine="480"/>
        <w:rPr>
          <w:rFonts w:ascii="宋体" w:hAnsi="宋体" w:cs="宋体"/>
        </w:rPr>
      </w:pPr>
      <w:r>
        <w:rPr>
          <w:rFonts w:hint="eastAsia" w:ascii="宋体" w:hAnsi="宋体" w:cs="宋体"/>
        </w:rPr>
        <w:t>6.2</w:t>
      </w:r>
      <w:r>
        <w:rPr>
          <w:rFonts w:hint="eastAsia" w:ascii="宋体" w:hAnsi="宋体" w:cs="宋体"/>
          <w:lang w:val="zh-CN"/>
        </w:rPr>
        <w:t>保密信息指任何一方因履行本合同所知悉的任何以口头、书面、图表或电子形式存在的对方信息，具体包括：</w:t>
      </w:r>
    </w:p>
    <w:p w14:paraId="74CEEAF2">
      <w:pPr>
        <w:autoSpaceDE w:val="0"/>
        <w:autoSpaceDN w:val="0"/>
        <w:adjustRightInd w:val="0"/>
        <w:spacing w:line="360" w:lineRule="auto"/>
        <w:ind w:firstLine="480"/>
        <w:rPr>
          <w:rFonts w:ascii="宋体" w:hAnsi="宋体" w:cs="宋体"/>
        </w:rPr>
      </w:pPr>
      <w:r>
        <w:rPr>
          <w:rFonts w:hint="eastAsia" w:ascii="宋体" w:hAnsi="宋体" w:cs="宋体"/>
        </w:rPr>
        <w:t>6.2.1</w:t>
      </w:r>
      <w:r>
        <w:rPr>
          <w:rFonts w:hint="eastAsia" w:ascii="宋体" w:hAnsi="宋体" w:cs="宋体"/>
          <w:lang w:val="zh-CN"/>
        </w:rPr>
        <w:t>任何涉及对方过去、现在或将来的商业计划、规章制度、操作规程、处理手段、财务信息；</w:t>
      </w:r>
    </w:p>
    <w:p w14:paraId="18A75AB3">
      <w:pPr>
        <w:autoSpaceDE w:val="0"/>
        <w:autoSpaceDN w:val="0"/>
        <w:adjustRightInd w:val="0"/>
        <w:spacing w:line="360" w:lineRule="auto"/>
        <w:ind w:firstLine="480"/>
        <w:rPr>
          <w:rFonts w:ascii="宋体" w:hAnsi="宋体" w:cs="宋体"/>
        </w:rPr>
      </w:pPr>
      <w:r>
        <w:rPr>
          <w:rFonts w:hint="eastAsia" w:ascii="宋体" w:hAnsi="宋体" w:cs="宋体"/>
        </w:rPr>
        <w:t>6.2.2</w:t>
      </w:r>
      <w:r>
        <w:rPr>
          <w:rFonts w:hint="eastAsia" w:ascii="宋体" w:hAnsi="宋体" w:cs="宋体"/>
          <w:lang w:val="zh-CN"/>
        </w:rPr>
        <w:t>任何对方的技术措施、技术方案、软件应用及开发，硬件设备的品种、质量、数量、品牌等；</w:t>
      </w:r>
    </w:p>
    <w:p w14:paraId="1065E707">
      <w:pPr>
        <w:autoSpaceDE w:val="0"/>
        <w:autoSpaceDN w:val="0"/>
        <w:adjustRightInd w:val="0"/>
        <w:spacing w:line="360" w:lineRule="auto"/>
        <w:ind w:firstLine="480"/>
        <w:rPr>
          <w:rFonts w:ascii="宋体" w:hAnsi="宋体" w:cs="宋体"/>
        </w:rPr>
      </w:pPr>
      <w:r>
        <w:rPr>
          <w:rFonts w:hint="eastAsia" w:ascii="宋体" w:hAnsi="宋体" w:cs="宋体"/>
        </w:rPr>
        <w:t>6.2.3</w:t>
      </w:r>
      <w:r>
        <w:rPr>
          <w:rFonts w:hint="eastAsia" w:ascii="宋体" w:hAnsi="宋体" w:cs="宋体"/>
          <w:lang w:val="zh-CN"/>
        </w:rPr>
        <w:t>任何对方的技术秘密或专有知识、文件</w:t>
      </w:r>
      <w:r>
        <w:rPr>
          <w:rFonts w:hint="eastAsia" w:ascii="宋体" w:hAnsi="宋体" w:cs="宋体"/>
        </w:rPr>
        <w:t xml:space="preserve"> </w:t>
      </w:r>
      <w:r>
        <w:rPr>
          <w:rFonts w:hint="eastAsia" w:ascii="宋体" w:hAnsi="宋体" w:cs="宋体"/>
          <w:lang w:val="zh-CN"/>
        </w:rPr>
        <w:t>、报告、数据、客户软件、流程图、数据库、发明、知识、贸易秘密。</w:t>
      </w:r>
    </w:p>
    <w:p w14:paraId="33C44832">
      <w:pPr>
        <w:autoSpaceDE w:val="0"/>
        <w:autoSpaceDN w:val="0"/>
        <w:adjustRightInd w:val="0"/>
        <w:spacing w:line="360" w:lineRule="auto"/>
        <w:ind w:firstLine="480"/>
        <w:rPr>
          <w:rFonts w:ascii="宋体" w:hAnsi="宋体" w:cs="宋体"/>
        </w:rPr>
      </w:pPr>
      <w:r>
        <w:rPr>
          <w:rFonts w:hint="eastAsia" w:ascii="宋体" w:hAnsi="宋体" w:cs="宋体"/>
        </w:rPr>
        <w:t>6.3</w:t>
      </w:r>
      <w:r>
        <w:rPr>
          <w:rFonts w:hint="eastAsia" w:ascii="宋体" w:hAnsi="宋体" w:cs="宋体"/>
          <w:lang w:val="zh-CN"/>
        </w:rPr>
        <w:t>乙方应根据甲方的要求签署相应的保密协议，保密协议与本条款存在不一致的，以保密协议为准。</w:t>
      </w:r>
    </w:p>
    <w:p w14:paraId="35ABA239">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 xml:space="preserve">7. </w:t>
      </w:r>
      <w:r>
        <w:rPr>
          <w:rFonts w:hint="eastAsia" w:ascii="宋体" w:hAnsi="宋体" w:cs="宋体"/>
          <w:b/>
          <w:bCs/>
          <w:sz w:val="28"/>
          <w:szCs w:val="28"/>
          <w:lang w:val="zh-CN"/>
        </w:rPr>
        <w:t>质量保证</w:t>
      </w:r>
    </w:p>
    <w:p w14:paraId="4379AA43">
      <w:pPr>
        <w:autoSpaceDE w:val="0"/>
        <w:autoSpaceDN w:val="0"/>
        <w:adjustRightInd w:val="0"/>
        <w:spacing w:line="360" w:lineRule="auto"/>
        <w:ind w:firstLine="480"/>
        <w:rPr>
          <w:rFonts w:ascii="宋体" w:hAnsi="宋体" w:cs="宋体"/>
        </w:rPr>
      </w:pPr>
      <w:r>
        <w:rPr>
          <w:rFonts w:hint="eastAsia" w:ascii="宋体" w:hAnsi="宋体" w:cs="宋体"/>
        </w:rPr>
        <w:t>7.1</w:t>
      </w:r>
      <w:r>
        <w:rPr>
          <w:rFonts w:hint="eastAsia" w:ascii="宋体" w:hAnsi="宋体" w:cs="宋体"/>
          <w:lang w:val="zh-CN"/>
        </w:rPr>
        <w:t>货物质量保证</w:t>
      </w:r>
    </w:p>
    <w:p w14:paraId="5A4DD7CF">
      <w:pPr>
        <w:autoSpaceDE w:val="0"/>
        <w:autoSpaceDN w:val="0"/>
        <w:adjustRightInd w:val="0"/>
        <w:spacing w:line="360" w:lineRule="auto"/>
        <w:ind w:firstLine="480"/>
        <w:rPr>
          <w:rFonts w:ascii="宋体" w:hAnsi="宋体" w:cs="宋体"/>
        </w:rPr>
      </w:pPr>
      <w:r>
        <w:rPr>
          <w:rFonts w:hint="eastAsia" w:ascii="宋体" w:hAnsi="宋体" w:cs="宋体"/>
        </w:rPr>
        <w:t>7.1.1</w:t>
      </w:r>
      <w:r>
        <w:rPr>
          <w:rFonts w:hint="eastAsia" w:ascii="宋体" w:hAnsi="宋体" w:cs="宋体"/>
          <w:lang w:val="zh-CN"/>
        </w:rPr>
        <w:t>乙方必须保证货物是全新、未使用过的，并完全符合强制性的国家技术质量规范和合同规定的质量、规格、性能和技术规范等的要求。</w:t>
      </w:r>
    </w:p>
    <w:p w14:paraId="7B035919">
      <w:pPr>
        <w:autoSpaceDE w:val="0"/>
        <w:autoSpaceDN w:val="0"/>
        <w:adjustRightInd w:val="0"/>
        <w:spacing w:line="360" w:lineRule="auto"/>
        <w:ind w:firstLine="480"/>
        <w:rPr>
          <w:rFonts w:ascii="宋体" w:hAnsi="宋体" w:cs="宋体"/>
        </w:rPr>
      </w:pPr>
      <w:r>
        <w:rPr>
          <w:rFonts w:hint="eastAsia" w:ascii="宋体" w:hAnsi="宋体" w:cs="宋体"/>
        </w:rPr>
        <w:t>7.1.2</w:t>
      </w:r>
      <w:r>
        <w:rPr>
          <w:rFonts w:hint="eastAsia" w:ascii="宋体" w:hAnsi="宋体" w:cs="宋体"/>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01B7439C">
      <w:pPr>
        <w:autoSpaceDE w:val="0"/>
        <w:autoSpaceDN w:val="0"/>
        <w:adjustRightInd w:val="0"/>
        <w:spacing w:line="360" w:lineRule="auto"/>
        <w:ind w:firstLine="480"/>
        <w:rPr>
          <w:rFonts w:ascii="宋体" w:hAnsi="宋体" w:cs="宋体"/>
        </w:rPr>
      </w:pPr>
      <w:r>
        <w:rPr>
          <w:rFonts w:hint="eastAsia" w:ascii="宋体" w:hAnsi="宋体" w:cs="宋体"/>
        </w:rPr>
        <w:t>7.1.3</w:t>
      </w:r>
      <w:r>
        <w:rPr>
          <w:rFonts w:hint="eastAsia" w:ascii="宋体" w:hAnsi="宋体" w:cs="宋体"/>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3FE8064B">
      <w:pPr>
        <w:autoSpaceDE w:val="0"/>
        <w:autoSpaceDN w:val="0"/>
        <w:adjustRightInd w:val="0"/>
        <w:spacing w:line="360" w:lineRule="auto"/>
        <w:ind w:firstLine="480"/>
        <w:rPr>
          <w:rFonts w:ascii="宋体" w:hAnsi="宋体" w:cs="宋体"/>
        </w:rPr>
      </w:pPr>
      <w:r>
        <w:rPr>
          <w:rFonts w:hint="eastAsia" w:ascii="宋体" w:hAnsi="宋体" w:cs="宋体"/>
        </w:rPr>
        <w:t>7.1.4</w:t>
      </w:r>
      <w:r>
        <w:rPr>
          <w:rFonts w:hint="eastAsia" w:ascii="宋体" w:hAnsi="宋体" w:cs="宋体"/>
          <w:lang w:val="zh-CN"/>
        </w:rPr>
        <w:t>乙方在收到通知后虽答复，但没有弥补缺陷，甲方可采取必要的补救措施，但由此引发的风险和费用将由乙方承担。甲方可从合同款中扣款，不足部分，甲方有权要求乙方赔偿。甲方根据合同规定对卖方行使的其他权力不受影响。</w:t>
      </w:r>
    </w:p>
    <w:p w14:paraId="3973801F">
      <w:pPr>
        <w:autoSpaceDE w:val="0"/>
        <w:autoSpaceDN w:val="0"/>
        <w:adjustRightInd w:val="0"/>
        <w:spacing w:line="360" w:lineRule="auto"/>
        <w:ind w:firstLine="480"/>
        <w:rPr>
          <w:rFonts w:ascii="宋体" w:hAnsi="宋体" w:cs="宋体"/>
        </w:rPr>
      </w:pPr>
      <w:r>
        <w:rPr>
          <w:rFonts w:hint="eastAsia" w:ascii="宋体" w:hAnsi="宋体" w:cs="宋体"/>
        </w:rPr>
        <w:t xml:space="preserve">7.1.5 </w:t>
      </w:r>
      <w:r>
        <w:rPr>
          <w:rFonts w:hint="eastAsia" w:ascii="宋体" w:hAnsi="宋体" w:cs="宋体"/>
          <w:lang w:val="zh-CN"/>
        </w:rPr>
        <w:t>合同条款下货物的质量保证期自货物通过最终验收起算，合同另行规定除外。</w:t>
      </w:r>
    </w:p>
    <w:p w14:paraId="7FAC2666">
      <w:pPr>
        <w:autoSpaceDE w:val="0"/>
        <w:autoSpaceDN w:val="0"/>
        <w:adjustRightInd w:val="0"/>
        <w:spacing w:line="360" w:lineRule="auto"/>
        <w:ind w:firstLine="480"/>
        <w:rPr>
          <w:rFonts w:ascii="宋体" w:hAnsi="宋体" w:cs="宋体"/>
        </w:rPr>
      </w:pPr>
      <w:r>
        <w:rPr>
          <w:rFonts w:hint="eastAsia" w:ascii="宋体" w:hAnsi="宋体" w:cs="宋体"/>
        </w:rPr>
        <w:t>7.2</w:t>
      </w:r>
      <w:r>
        <w:rPr>
          <w:rFonts w:hint="eastAsia" w:ascii="宋体" w:hAnsi="宋体" w:cs="宋体"/>
          <w:lang w:val="zh-CN"/>
        </w:rPr>
        <w:t>辅助服务质量保证</w:t>
      </w:r>
    </w:p>
    <w:p w14:paraId="7FDA1EB6">
      <w:pPr>
        <w:autoSpaceDE w:val="0"/>
        <w:autoSpaceDN w:val="0"/>
        <w:adjustRightInd w:val="0"/>
        <w:spacing w:line="360" w:lineRule="auto"/>
        <w:ind w:firstLine="480"/>
        <w:rPr>
          <w:rFonts w:ascii="宋体" w:hAnsi="宋体" w:cs="宋体"/>
        </w:rPr>
      </w:pPr>
      <w:r>
        <w:rPr>
          <w:rFonts w:hint="eastAsia" w:ascii="宋体" w:hAnsi="宋体" w:cs="宋体"/>
        </w:rPr>
        <w:t>7.2.1</w:t>
      </w:r>
      <w:r>
        <w:rPr>
          <w:rFonts w:hint="eastAsia" w:ascii="宋体" w:hAnsi="宋体" w:cs="宋体"/>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44858D6">
      <w:pPr>
        <w:autoSpaceDE w:val="0"/>
        <w:autoSpaceDN w:val="0"/>
        <w:adjustRightInd w:val="0"/>
        <w:spacing w:line="360" w:lineRule="auto"/>
        <w:ind w:firstLine="480"/>
        <w:rPr>
          <w:rFonts w:ascii="宋体" w:hAnsi="宋体" w:cs="宋体"/>
        </w:rPr>
      </w:pPr>
      <w:r>
        <w:rPr>
          <w:rFonts w:hint="eastAsia" w:ascii="宋体" w:hAnsi="宋体" w:cs="宋体"/>
        </w:rPr>
        <w:t>7.2.2</w:t>
      </w:r>
      <w:r>
        <w:rPr>
          <w:rFonts w:hint="eastAsia" w:ascii="宋体" w:hAnsi="宋体" w:cs="宋体"/>
          <w:lang w:val="zh-CN"/>
        </w:rPr>
        <w:t>乙方应保证合同条款下所提供的服务包括培训、安装指导、单机调试、系统联调和试验等，按合同规定方式进行，并保证不存在因乙方工作人员的过失、错误或疏忽而产生的缺陷。</w:t>
      </w:r>
    </w:p>
    <w:p w14:paraId="7FF83530">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8.</w:t>
      </w:r>
      <w:r>
        <w:rPr>
          <w:rFonts w:hint="eastAsia" w:ascii="宋体" w:hAnsi="宋体" w:cs="宋体"/>
          <w:b/>
          <w:bCs/>
          <w:sz w:val="28"/>
          <w:szCs w:val="28"/>
          <w:lang w:val="zh-CN"/>
        </w:rPr>
        <w:t>包装要求</w:t>
      </w:r>
    </w:p>
    <w:p w14:paraId="52260AD4">
      <w:pPr>
        <w:autoSpaceDE w:val="0"/>
        <w:autoSpaceDN w:val="0"/>
        <w:adjustRightInd w:val="0"/>
        <w:spacing w:line="360" w:lineRule="auto"/>
        <w:ind w:firstLine="480"/>
        <w:rPr>
          <w:rFonts w:ascii="宋体" w:hAnsi="宋体" w:cs="宋体"/>
        </w:rPr>
      </w:pPr>
      <w:r>
        <w:rPr>
          <w:rFonts w:hint="eastAsia" w:ascii="宋体" w:hAnsi="宋体" w:cs="宋体"/>
        </w:rPr>
        <w:t xml:space="preserve">8.1 </w:t>
      </w:r>
      <w:r>
        <w:rPr>
          <w:rFonts w:hint="eastAsia" w:ascii="宋体" w:hAnsi="宋体" w:cs="宋体"/>
          <w:lang w:val="zh-CN"/>
        </w:rPr>
        <w:t>除合同另有约定外</w:t>
      </w:r>
      <w:r>
        <w:rPr>
          <w:rFonts w:hint="eastAsia" w:ascii="宋体" w:hAnsi="宋体" w:cs="宋体"/>
        </w:rPr>
        <w:t>,</w:t>
      </w:r>
      <w:r>
        <w:rPr>
          <w:rFonts w:hint="eastAsia" w:ascii="宋体" w:hAnsi="宋体" w:cs="宋体"/>
          <w:lang w:val="zh-CN"/>
        </w:rPr>
        <w:t>乙方提供的全部货物</w:t>
      </w:r>
      <w:r>
        <w:rPr>
          <w:rFonts w:hint="eastAsia" w:ascii="宋体" w:hAnsi="宋体" w:cs="宋体"/>
        </w:rPr>
        <w:t>,</w:t>
      </w:r>
      <w:r>
        <w:rPr>
          <w:rFonts w:hint="eastAsia" w:ascii="宋体" w:hAnsi="宋体" w:cs="宋体"/>
          <w:lang w:val="zh-CN"/>
        </w:rPr>
        <w:t>均应采用本行业通用的方式进行包装，且该包装应符合国家有关包装的法律、法规的规定。</w:t>
      </w:r>
    </w:p>
    <w:p w14:paraId="51B2FC60">
      <w:pPr>
        <w:autoSpaceDE w:val="0"/>
        <w:autoSpaceDN w:val="0"/>
        <w:adjustRightInd w:val="0"/>
        <w:spacing w:line="360" w:lineRule="auto"/>
        <w:ind w:firstLine="480"/>
        <w:rPr>
          <w:rFonts w:ascii="宋体" w:hAnsi="宋体" w:cs="宋体"/>
        </w:rPr>
      </w:pPr>
      <w:r>
        <w:rPr>
          <w:rFonts w:hint="eastAsia" w:ascii="宋体" w:hAnsi="宋体" w:cs="宋体"/>
        </w:rPr>
        <w:t xml:space="preserve">8.2 </w:t>
      </w:r>
      <w:r>
        <w:rPr>
          <w:rFonts w:hint="eastAsia" w:ascii="宋体" w:hAnsi="宋体" w:cs="宋体"/>
          <w:lang w:val="zh-CN"/>
        </w:rPr>
        <w:t>包装应适应于远距离运输，并有良好的防潮、防震、防锈和防粗暴装卸等保护措施，以确保货物安全运抵现场。由于包装不善所引起的货物锈蚀、损坏和损失均由乙方承担。</w:t>
      </w:r>
    </w:p>
    <w:p w14:paraId="00FE6188">
      <w:pPr>
        <w:autoSpaceDE w:val="0"/>
        <w:autoSpaceDN w:val="0"/>
        <w:adjustRightInd w:val="0"/>
        <w:spacing w:line="360" w:lineRule="auto"/>
        <w:rPr>
          <w:rFonts w:ascii="宋体" w:hAnsi="宋体" w:cs="宋体"/>
        </w:rPr>
      </w:pPr>
      <w:r>
        <w:rPr>
          <w:rFonts w:hint="eastAsia" w:ascii="宋体" w:hAnsi="宋体" w:cs="宋体"/>
          <w:lang w:val="zh-CN"/>
        </w:rPr>
        <w:t>乙方应提供货物运至合同规定的最终目的地所需要的包装，以防止货物在转运中损坏或变质。</w:t>
      </w:r>
    </w:p>
    <w:p w14:paraId="354CA733">
      <w:pPr>
        <w:autoSpaceDE w:val="0"/>
        <w:autoSpaceDN w:val="0"/>
        <w:adjustRightInd w:val="0"/>
        <w:spacing w:line="360" w:lineRule="auto"/>
        <w:ind w:firstLine="480"/>
        <w:rPr>
          <w:rFonts w:ascii="宋体" w:hAnsi="宋体" w:cs="宋体"/>
        </w:rPr>
      </w:pPr>
      <w:r>
        <w:rPr>
          <w:rFonts w:hint="eastAsia" w:ascii="宋体" w:hAnsi="宋体" w:cs="宋体"/>
        </w:rPr>
        <w:t xml:space="preserve">8.3 </w:t>
      </w:r>
      <w:r>
        <w:rPr>
          <w:rFonts w:hint="eastAsia" w:ascii="宋体" w:hAnsi="宋体" w:cs="宋体"/>
          <w:lang w:val="zh-CN"/>
        </w:rPr>
        <w:t>乙方所提供的货物包装均为出厂时原包装。</w:t>
      </w:r>
    </w:p>
    <w:p w14:paraId="38734189">
      <w:pPr>
        <w:autoSpaceDE w:val="0"/>
        <w:autoSpaceDN w:val="0"/>
        <w:adjustRightInd w:val="0"/>
        <w:spacing w:line="360" w:lineRule="auto"/>
        <w:ind w:firstLine="480"/>
        <w:rPr>
          <w:rFonts w:ascii="宋体" w:hAnsi="宋体" w:cs="宋体"/>
        </w:rPr>
      </w:pPr>
      <w:r>
        <w:rPr>
          <w:rFonts w:hint="eastAsia" w:ascii="宋体" w:hAnsi="宋体" w:cs="宋体"/>
        </w:rPr>
        <w:t xml:space="preserve">8.4 </w:t>
      </w:r>
      <w:r>
        <w:rPr>
          <w:rFonts w:hint="eastAsia" w:ascii="宋体" w:hAnsi="宋体" w:cs="宋体"/>
          <w:lang w:val="zh-CN"/>
        </w:rPr>
        <w:t>乙方所提供货物必须附有质量合格证，装箱清单，主机、附件、各种零部件和消耗品，有清楚的与装箱单相对应的名称和编号。</w:t>
      </w:r>
    </w:p>
    <w:p w14:paraId="1396BEFD">
      <w:pPr>
        <w:autoSpaceDE w:val="0"/>
        <w:autoSpaceDN w:val="0"/>
        <w:adjustRightInd w:val="0"/>
        <w:spacing w:line="360" w:lineRule="auto"/>
        <w:ind w:firstLine="480"/>
        <w:rPr>
          <w:rFonts w:ascii="宋体" w:hAnsi="宋体" w:cs="宋体"/>
        </w:rPr>
      </w:pPr>
      <w:r>
        <w:rPr>
          <w:rFonts w:hint="eastAsia" w:ascii="宋体" w:hAnsi="宋体" w:cs="宋体"/>
        </w:rPr>
        <w:t xml:space="preserve">8.5 </w:t>
      </w:r>
      <w:r>
        <w:rPr>
          <w:rFonts w:hint="eastAsia" w:ascii="宋体" w:hAnsi="宋体" w:cs="宋体"/>
          <w:lang w:val="zh-CN"/>
        </w:rPr>
        <w:t>货物运输中的运输费用和保险费用均由乙方承担。运输过程中的一切损失、损坏均由乙方负责。</w:t>
      </w:r>
    </w:p>
    <w:p w14:paraId="077B1893">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 xml:space="preserve">9. </w:t>
      </w:r>
      <w:r>
        <w:rPr>
          <w:rFonts w:hint="eastAsia" w:ascii="宋体" w:hAnsi="宋体" w:cs="宋体"/>
          <w:b/>
          <w:bCs/>
          <w:sz w:val="28"/>
          <w:szCs w:val="28"/>
          <w:lang w:val="zh-CN"/>
        </w:rPr>
        <w:t>价格</w:t>
      </w:r>
    </w:p>
    <w:p w14:paraId="1B05CEEB">
      <w:pPr>
        <w:autoSpaceDE w:val="0"/>
        <w:autoSpaceDN w:val="0"/>
        <w:adjustRightInd w:val="0"/>
        <w:spacing w:line="360" w:lineRule="auto"/>
        <w:ind w:firstLine="480"/>
        <w:rPr>
          <w:rFonts w:ascii="宋体" w:hAnsi="宋体" w:cs="宋体"/>
        </w:rPr>
      </w:pPr>
      <w:r>
        <w:rPr>
          <w:rFonts w:hint="eastAsia" w:ascii="宋体" w:hAnsi="宋体" w:cs="宋体"/>
        </w:rPr>
        <w:t xml:space="preserve">9.1 </w:t>
      </w:r>
      <w:r>
        <w:rPr>
          <w:rFonts w:hint="eastAsia" w:ascii="宋体" w:hAnsi="宋体" w:cs="宋体"/>
          <w:lang w:val="zh-CN"/>
        </w:rPr>
        <w:t>乙方履行合同所必须的所有费用，包括但不限于货物及部件的设计、监测与试验、制造、运输、装卸、保险、单机调试、安装调试指导、技术资料、培训、交通、人员、差旅、质量保证期服务费、其他管理费用、所有的检验、测试、调试、验收、试运行费用等均已包括在合同价格中。</w:t>
      </w:r>
    </w:p>
    <w:p w14:paraId="35C76842">
      <w:pPr>
        <w:autoSpaceDE w:val="0"/>
        <w:autoSpaceDN w:val="0"/>
        <w:adjustRightInd w:val="0"/>
        <w:spacing w:line="360" w:lineRule="auto"/>
        <w:ind w:firstLine="480"/>
        <w:rPr>
          <w:rFonts w:ascii="宋体" w:hAnsi="宋体" w:cs="宋体"/>
        </w:rPr>
      </w:pPr>
      <w:r>
        <w:rPr>
          <w:rFonts w:hint="eastAsia" w:ascii="宋体" w:hAnsi="宋体" w:cs="宋体"/>
        </w:rPr>
        <w:t xml:space="preserve">9.2 </w:t>
      </w:r>
      <w:r>
        <w:rPr>
          <w:rFonts w:hint="eastAsia" w:ascii="宋体" w:hAnsi="宋体" w:cs="宋体"/>
          <w:lang w:val="zh-CN"/>
        </w:rPr>
        <w:t>本合同价格为固定价格，包括了乙方履行合同全过程产生的所有成本和费用以及乙方应承担的一切税费。</w:t>
      </w:r>
    </w:p>
    <w:p w14:paraId="7A307F71">
      <w:pPr>
        <w:autoSpaceDE w:val="0"/>
        <w:autoSpaceDN w:val="0"/>
        <w:adjustRightInd w:val="0"/>
        <w:spacing w:line="360" w:lineRule="auto"/>
        <w:ind w:firstLine="480"/>
        <w:rPr>
          <w:rFonts w:ascii="宋体" w:hAnsi="宋体" w:cs="宋体"/>
        </w:rPr>
      </w:pPr>
      <w:r>
        <w:rPr>
          <w:rFonts w:hint="eastAsia" w:ascii="宋体" w:hAnsi="宋体" w:cs="宋体"/>
        </w:rPr>
        <w:t>9.3</w:t>
      </w:r>
      <w:r>
        <w:rPr>
          <w:rFonts w:hint="eastAsia" w:ascii="宋体" w:hAnsi="宋体" w:cs="宋体"/>
          <w:lang w:val="zh-CN"/>
        </w:rPr>
        <w:t>检验费用</w:t>
      </w:r>
    </w:p>
    <w:p w14:paraId="70470883">
      <w:pPr>
        <w:autoSpaceDE w:val="0"/>
        <w:autoSpaceDN w:val="0"/>
        <w:adjustRightInd w:val="0"/>
        <w:spacing w:line="360" w:lineRule="auto"/>
        <w:ind w:firstLine="480"/>
        <w:rPr>
          <w:rFonts w:ascii="宋体" w:hAnsi="宋体" w:cs="宋体"/>
        </w:rPr>
      </w:pPr>
      <w:r>
        <w:rPr>
          <w:rFonts w:hint="eastAsia" w:ascii="宋体" w:hAnsi="宋体" w:cs="宋体"/>
        </w:rPr>
        <w:t xml:space="preserve">9.3.1 </w:t>
      </w:r>
      <w:r>
        <w:rPr>
          <w:rFonts w:hint="eastAsia" w:ascii="宋体" w:hAnsi="宋体" w:cs="宋体"/>
          <w:lang w:val="zh-CN"/>
        </w:rPr>
        <w:t>乙方必须负担本条款下属于乙方负责的检验、测试、调试、试运行和验收的所有费用，并负责乙方派往买方组织的检验、测试和验收人员的所有费用。</w:t>
      </w:r>
    </w:p>
    <w:p w14:paraId="4007EA7B">
      <w:pPr>
        <w:autoSpaceDE w:val="0"/>
        <w:autoSpaceDN w:val="0"/>
        <w:adjustRightInd w:val="0"/>
        <w:spacing w:line="360" w:lineRule="auto"/>
        <w:ind w:firstLine="480"/>
        <w:rPr>
          <w:rFonts w:ascii="宋体" w:hAnsi="宋体" w:cs="宋体"/>
        </w:rPr>
      </w:pPr>
      <w:r>
        <w:rPr>
          <w:rFonts w:hint="eastAsia" w:ascii="宋体" w:hAnsi="宋体" w:cs="宋体"/>
        </w:rPr>
        <w:t xml:space="preserve">9.3.2 </w:t>
      </w:r>
      <w:r>
        <w:rPr>
          <w:rFonts w:hint="eastAsia" w:ascii="宋体" w:hAnsi="宋体" w:cs="宋体"/>
          <w:lang w:val="zh-CN"/>
        </w:rPr>
        <w:t>甲方按合同计划参加在乙方工厂所在地检验、测试和验收的费用全部由乙方负责并已包含在合同总价中。</w:t>
      </w:r>
    </w:p>
    <w:p w14:paraId="4BA98F57">
      <w:pPr>
        <w:autoSpaceDE w:val="0"/>
        <w:autoSpaceDN w:val="0"/>
        <w:adjustRightInd w:val="0"/>
        <w:spacing w:line="360" w:lineRule="auto"/>
        <w:ind w:firstLine="480"/>
        <w:rPr>
          <w:rFonts w:ascii="宋体" w:hAnsi="宋体" w:cs="宋体"/>
        </w:rPr>
      </w:pPr>
      <w:r>
        <w:rPr>
          <w:rFonts w:hint="eastAsia" w:ascii="宋体" w:hAnsi="宋体" w:cs="宋体"/>
        </w:rPr>
        <w:t>9.3.3</w:t>
      </w:r>
      <w:r>
        <w:rPr>
          <w:rFonts w:hint="eastAsia" w:ascii="宋体" w:hAnsi="宋体" w:cs="宋体"/>
          <w:lang w:val="zh-CN"/>
        </w:rPr>
        <w:t>甲方检验人员已到卖方所在地，测试无法依照合同进行，</w:t>
      </w:r>
      <w:r>
        <w:rPr>
          <w:rFonts w:hint="eastAsia" w:ascii="宋体" w:hAnsi="宋体" w:cs="宋体"/>
        </w:rPr>
        <w:t xml:space="preserve"> </w:t>
      </w:r>
      <w:r>
        <w:rPr>
          <w:rFonts w:hint="eastAsia" w:ascii="宋体" w:hAnsi="宋体" w:cs="宋体"/>
          <w:lang w:val="zh-CN"/>
        </w:rPr>
        <w:t>而引起甲方人员延长逗留时间，所有由此产生的包括甲方人员在内的直接费用及成本由乙方承担。</w:t>
      </w:r>
    </w:p>
    <w:p w14:paraId="16E30A92">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10.</w:t>
      </w:r>
      <w:r>
        <w:rPr>
          <w:rFonts w:hint="eastAsia" w:ascii="宋体" w:hAnsi="宋体" w:cs="宋体"/>
          <w:b/>
          <w:bCs/>
          <w:sz w:val="28"/>
          <w:szCs w:val="28"/>
          <w:lang w:val="zh-CN"/>
        </w:rPr>
        <w:t>交货方式及交货日期</w:t>
      </w:r>
    </w:p>
    <w:p w14:paraId="78D6F59F">
      <w:pPr>
        <w:autoSpaceDE w:val="0"/>
        <w:autoSpaceDN w:val="0"/>
        <w:adjustRightInd w:val="0"/>
        <w:spacing w:line="360" w:lineRule="auto"/>
        <w:ind w:firstLine="480"/>
        <w:rPr>
          <w:rFonts w:ascii="宋体" w:hAnsi="宋体" w:cs="宋体"/>
          <w:lang w:val="zh-CN"/>
        </w:rPr>
      </w:pPr>
      <w:r>
        <w:rPr>
          <w:rFonts w:hint="eastAsia" w:ascii="宋体" w:hAnsi="宋体" w:cs="宋体"/>
          <w:lang w:val="zh-CN"/>
        </w:rPr>
        <w:t>服务期限：</w:t>
      </w:r>
    </w:p>
    <w:p w14:paraId="57A8F8E4">
      <w:pPr>
        <w:autoSpaceDE w:val="0"/>
        <w:autoSpaceDN w:val="0"/>
        <w:adjustRightInd w:val="0"/>
        <w:spacing w:line="360" w:lineRule="auto"/>
        <w:ind w:firstLine="480"/>
        <w:rPr>
          <w:rFonts w:ascii="宋体" w:hAnsi="宋体" w:cs="宋体"/>
          <w:lang w:val="zh-CN"/>
        </w:rPr>
      </w:pPr>
      <w:r>
        <w:rPr>
          <w:rFonts w:hint="eastAsia" w:ascii="宋体" w:hAnsi="宋体" w:cs="宋体"/>
          <w:lang w:val="zh-CN"/>
        </w:rPr>
        <w:t>服务地点：</w:t>
      </w:r>
    </w:p>
    <w:p w14:paraId="1DB6E518">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11.检验和验收</w:t>
      </w:r>
    </w:p>
    <w:p w14:paraId="4F4E2793">
      <w:pPr>
        <w:autoSpaceDE w:val="0"/>
        <w:autoSpaceDN w:val="0"/>
        <w:adjustRightInd w:val="0"/>
        <w:spacing w:line="360" w:lineRule="auto"/>
        <w:ind w:firstLine="480"/>
        <w:rPr>
          <w:rFonts w:ascii="宋体" w:hAnsi="宋体" w:cs="宋体"/>
        </w:rPr>
      </w:pPr>
      <w:r>
        <w:rPr>
          <w:rFonts w:hint="eastAsia" w:ascii="宋体" w:hAnsi="宋体" w:cs="宋体"/>
        </w:rPr>
        <w:t>11.1</w:t>
      </w:r>
      <w:r>
        <w:rPr>
          <w:rFonts w:hint="eastAsia" w:ascii="宋体" w:hAnsi="宋体" w:cs="宋体"/>
          <w:lang w:val="zh-CN"/>
        </w:rPr>
        <w:t>开箱验收</w:t>
      </w:r>
    </w:p>
    <w:p w14:paraId="79534A10">
      <w:pPr>
        <w:autoSpaceDE w:val="0"/>
        <w:autoSpaceDN w:val="0"/>
        <w:adjustRightInd w:val="0"/>
        <w:spacing w:line="360" w:lineRule="auto"/>
        <w:ind w:firstLine="480"/>
        <w:rPr>
          <w:rFonts w:ascii="宋体" w:hAnsi="宋体" w:cs="宋体"/>
        </w:rPr>
      </w:pPr>
      <w:r>
        <w:rPr>
          <w:rFonts w:hint="eastAsia" w:ascii="宋体" w:hAnsi="宋体" w:cs="宋体"/>
        </w:rPr>
        <w:t>11.1.1</w:t>
      </w:r>
      <w:r>
        <w:rPr>
          <w:rFonts w:hint="eastAsia" w:ascii="宋体" w:hAnsi="宋体" w:cs="宋体"/>
          <w:lang w:val="zh-CN"/>
        </w:rPr>
        <w:t>货物运抵现场后，双方应及时开箱验收，并制作验收记录，以确认与本合同约定的数量、型号等是否一致。</w:t>
      </w:r>
    </w:p>
    <w:p w14:paraId="19203616">
      <w:pPr>
        <w:autoSpaceDE w:val="0"/>
        <w:autoSpaceDN w:val="0"/>
        <w:adjustRightInd w:val="0"/>
        <w:spacing w:line="360" w:lineRule="auto"/>
        <w:ind w:firstLine="480"/>
        <w:rPr>
          <w:rFonts w:ascii="宋体" w:hAnsi="宋体" w:cs="宋体"/>
        </w:rPr>
      </w:pPr>
      <w:r>
        <w:rPr>
          <w:rFonts w:hint="eastAsia" w:ascii="宋体" w:hAnsi="宋体" w:cs="宋体"/>
        </w:rPr>
        <w:t xml:space="preserve">11.1.2 </w:t>
      </w:r>
      <w:r>
        <w:rPr>
          <w:rFonts w:hint="eastAsia" w:ascii="宋体" w:hAnsi="宋体" w:cs="宋体"/>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28DE1579">
      <w:pPr>
        <w:autoSpaceDE w:val="0"/>
        <w:autoSpaceDN w:val="0"/>
        <w:adjustRightInd w:val="0"/>
        <w:spacing w:line="360" w:lineRule="auto"/>
        <w:ind w:firstLine="480"/>
        <w:rPr>
          <w:rFonts w:ascii="宋体" w:hAnsi="宋体" w:cs="宋体"/>
        </w:rPr>
      </w:pPr>
      <w:r>
        <w:rPr>
          <w:rFonts w:hint="eastAsia" w:ascii="宋体" w:hAnsi="宋体" w:cs="宋体"/>
        </w:rPr>
        <w:t xml:space="preserve">11.1.3 </w:t>
      </w:r>
      <w:r>
        <w:rPr>
          <w:rFonts w:hint="eastAsia" w:ascii="宋体" w:hAnsi="宋体" w:cs="宋体"/>
          <w:lang w:val="zh-CN"/>
        </w:rPr>
        <w:t>开箱验收中如发现货物的数量、规格与合同约定不符，甲方有权拒收货物，乙方应及时按甲方要求免费对拒收货物采取更换或其他必要的补救措施，直至开箱验收合格，方视为乙方完成交货。</w:t>
      </w:r>
    </w:p>
    <w:p w14:paraId="1F91F5FD">
      <w:pPr>
        <w:autoSpaceDE w:val="0"/>
        <w:autoSpaceDN w:val="0"/>
        <w:adjustRightInd w:val="0"/>
        <w:spacing w:line="360" w:lineRule="auto"/>
        <w:ind w:firstLine="480"/>
        <w:rPr>
          <w:rFonts w:ascii="宋体" w:hAnsi="宋体" w:cs="宋体"/>
        </w:rPr>
      </w:pPr>
      <w:r>
        <w:rPr>
          <w:rFonts w:hint="eastAsia" w:ascii="宋体" w:hAnsi="宋体" w:cs="宋体"/>
        </w:rPr>
        <w:t xml:space="preserve">11.2  </w:t>
      </w:r>
      <w:r>
        <w:rPr>
          <w:rFonts w:hint="eastAsia" w:ascii="宋体" w:hAnsi="宋体" w:cs="宋体"/>
          <w:lang w:val="zh-CN"/>
        </w:rPr>
        <w:t>检验验收</w:t>
      </w:r>
    </w:p>
    <w:p w14:paraId="061069E3">
      <w:pPr>
        <w:autoSpaceDE w:val="0"/>
        <w:autoSpaceDN w:val="0"/>
        <w:adjustRightInd w:val="0"/>
        <w:spacing w:line="360" w:lineRule="auto"/>
        <w:ind w:firstLine="480"/>
        <w:rPr>
          <w:rFonts w:ascii="宋体" w:hAnsi="宋体" w:cs="宋体"/>
        </w:rPr>
      </w:pPr>
      <w:r>
        <w:rPr>
          <w:rFonts w:hint="eastAsia" w:ascii="宋体" w:hAnsi="宋体" w:cs="宋体"/>
        </w:rPr>
        <w:t xml:space="preserve">11.2.1 </w:t>
      </w:r>
      <w:r>
        <w:rPr>
          <w:rFonts w:hint="eastAsia" w:ascii="宋体" w:hAnsi="宋体" w:cs="宋体"/>
          <w:lang w:val="zh-CN"/>
        </w:rPr>
        <w:t>交货完成后，乙方应及时组装、调试、试运行，按照合同专用条款规定的试运行完成后，双方及时组织对货物检验验收。合同双方均须派人参加合同要求双方参加的试验、检验。</w:t>
      </w:r>
    </w:p>
    <w:p w14:paraId="45D3291C">
      <w:pPr>
        <w:autoSpaceDE w:val="0"/>
        <w:autoSpaceDN w:val="0"/>
        <w:adjustRightInd w:val="0"/>
        <w:spacing w:line="360" w:lineRule="auto"/>
        <w:ind w:firstLine="480"/>
        <w:rPr>
          <w:rFonts w:ascii="宋体" w:hAnsi="宋体" w:cs="宋体"/>
        </w:rPr>
      </w:pPr>
      <w:r>
        <w:rPr>
          <w:rFonts w:hint="eastAsia" w:ascii="宋体" w:hAnsi="宋体" w:cs="宋体"/>
        </w:rPr>
        <w:t xml:space="preserve">11.2.2 </w:t>
      </w:r>
      <w:r>
        <w:rPr>
          <w:rFonts w:hint="eastAsia" w:ascii="宋体" w:hAnsi="宋体" w:cs="宋体"/>
          <w:lang w:val="zh-CN"/>
        </w:rPr>
        <w:t>在具体实施合同规定的检验验收之前，乙方需提前提交相应的测试计划（包括测试程序、测试内容和检验标准、试验时间安排等）供甲方确认。</w:t>
      </w:r>
    </w:p>
    <w:p w14:paraId="62CFAF2F">
      <w:pPr>
        <w:autoSpaceDE w:val="0"/>
        <w:autoSpaceDN w:val="0"/>
        <w:adjustRightInd w:val="0"/>
        <w:spacing w:line="360" w:lineRule="auto"/>
        <w:ind w:firstLine="480"/>
        <w:rPr>
          <w:rFonts w:ascii="宋体" w:hAnsi="宋体" w:cs="宋体"/>
        </w:rPr>
      </w:pPr>
      <w:r>
        <w:rPr>
          <w:rFonts w:hint="eastAsia" w:ascii="宋体" w:hAnsi="宋体" w:cs="宋体"/>
        </w:rPr>
        <w:t xml:space="preserve">11.2.3  </w:t>
      </w:r>
      <w:r>
        <w:rPr>
          <w:rFonts w:hint="eastAsia" w:ascii="宋体" w:hAnsi="宋体" w:cs="宋体"/>
          <w:lang w:val="zh-CN"/>
        </w:rPr>
        <w:t>除需甲方确认的试验验收外，乙方还应对所有检验验收测试的结果、步骤、原始数据等作妥善记录。如甲方要求，乙方应提供这些记录给买方。</w:t>
      </w:r>
    </w:p>
    <w:p w14:paraId="3B585111">
      <w:pPr>
        <w:autoSpaceDE w:val="0"/>
        <w:autoSpaceDN w:val="0"/>
        <w:adjustRightInd w:val="0"/>
        <w:spacing w:line="360" w:lineRule="auto"/>
        <w:ind w:firstLine="480"/>
        <w:rPr>
          <w:rFonts w:ascii="宋体" w:hAnsi="宋体" w:cs="宋体"/>
        </w:rPr>
      </w:pPr>
      <w:r>
        <w:rPr>
          <w:rFonts w:hint="eastAsia" w:ascii="宋体" w:hAnsi="宋体" w:cs="宋体"/>
        </w:rPr>
        <w:t xml:space="preserve">11.2.4  </w:t>
      </w:r>
      <w:r>
        <w:rPr>
          <w:rFonts w:hint="eastAsia" w:ascii="宋体" w:hAnsi="宋体" w:cs="宋体"/>
          <w:lang w:val="zh-CN"/>
        </w:rPr>
        <w:t>检验测试出现全部或部分未达到本合同所约定的技术指标，甲方有权选择下列任一处理方式：</w:t>
      </w:r>
    </w:p>
    <w:p w14:paraId="0F5D4F4E">
      <w:pPr>
        <w:autoSpaceDE w:val="0"/>
        <w:autoSpaceDN w:val="0"/>
        <w:adjustRightInd w:val="0"/>
        <w:spacing w:line="360" w:lineRule="auto"/>
        <w:ind w:firstLine="480"/>
        <w:rPr>
          <w:rFonts w:ascii="宋体" w:hAnsi="宋体" w:cs="宋体"/>
        </w:rPr>
      </w:pPr>
      <w:r>
        <w:rPr>
          <w:rFonts w:hint="eastAsia" w:ascii="宋体" w:hAnsi="宋体" w:cs="宋体"/>
        </w:rPr>
        <w:t>a.</w:t>
      </w:r>
      <w:r>
        <w:rPr>
          <w:rFonts w:hint="eastAsia" w:ascii="宋体" w:hAnsi="宋体" w:cs="宋体"/>
          <w:lang w:val="zh-CN"/>
        </w:rPr>
        <w:t>重新测试直至合格为止；</w:t>
      </w:r>
    </w:p>
    <w:p w14:paraId="796F9894">
      <w:pPr>
        <w:autoSpaceDE w:val="0"/>
        <w:autoSpaceDN w:val="0"/>
        <w:adjustRightInd w:val="0"/>
        <w:spacing w:line="360" w:lineRule="auto"/>
        <w:ind w:firstLine="480"/>
        <w:rPr>
          <w:rFonts w:ascii="宋体" w:hAnsi="宋体" w:cs="宋体"/>
        </w:rPr>
      </w:pPr>
      <w:r>
        <w:rPr>
          <w:rFonts w:hint="eastAsia" w:ascii="宋体" w:hAnsi="宋体" w:cs="宋体"/>
        </w:rPr>
        <w:t>b.</w:t>
      </w:r>
      <w:r>
        <w:rPr>
          <w:rFonts w:hint="eastAsia" w:ascii="宋体" w:hAnsi="宋体" w:cs="宋体"/>
          <w:lang w:val="zh-CN"/>
        </w:rPr>
        <w:t>要求乙方对货物进行免费更换，然后重新测试直至合格为止；</w:t>
      </w:r>
    </w:p>
    <w:p w14:paraId="087A38A0">
      <w:pPr>
        <w:autoSpaceDE w:val="0"/>
        <w:autoSpaceDN w:val="0"/>
        <w:adjustRightInd w:val="0"/>
        <w:spacing w:line="360" w:lineRule="auto"/>
        <w:rPr>
          <w:rFonts w:ascii="宋体" w:hAnsi="宋体" w:cs="宋体"/>
        </w:rPr>
      </w:pPr>
      <w:r>
        <w:rPr>
          <w:rFonts w:hint="eastAsia" w:ascii="宋体" w:hAnsi="宋体" w:cs="宋体"/>
          <w:lang w:val="zh-CN"/>
        </w:rPr>
        <w:t>无论选择何种方式，甲方因此而发生的因卖方原因引起的所有费用均由乙方负担。</w:t>
      </w:r>
    </w:p>
    <w:p w14:paraId="6324B721">
      <w:pPr>
        <w:autoSpaceDE w:val="0"/>
        <w:autoSpaceDN w:val="0"/>
        <w:adjustRightInd w:val="0"/>
        <w:spacing w:line="360" w:lineRule="auto"/>
        <w:ind w:firstLine="480"/>
        <w:rPr>
          <w:rFonts w:ascii="宋体" w:hAnsi="宋体" w:cs="宋体"/>
        </w:rPr>
      </w:pPr>
      <w:r>
        <w:rPr>
          <w:rFonts w:hint="eastAsia" w:ascii="宋体" w:hAnsi="宋体" w:cs="宋体"/>
        </w:rPr>
        <w:t xml:space="preserve">11.3  </w:t>
      </w:r>
      <w:r>
        <w:rPr>
          <w:rFonts w:hint="eastAsia" w:ascii="宋体" w:hAnsi="宋体" w:cs="宋体"/>
          <w:lang w:val="zh-CN"/>
        </w:rPr>
        <w:t>使用过程检验</w:t>
      </w:r>
    </w:p>
    <w:p w14:paraId="49805F20">
      <w:pPr>
        <w:autoSpaceDE w:val="0"/>
        <w:autoSpaceDN w:val="0"/>
        <w:adjustRightInd w:val="0"/>
        <w:spacing w:line="360" w:lineRule="auto"/>
        <w:ind w:firstLine="480"/>
        <w:rPr>
          <w:rFonts w:ascii="宋体" w:hAnsi="宋体" w:cs="宋体"/>
        </w:rPr>
      </w:pPr>
      <w:r>
        <w:rPr>
          <w:rFonts w:hint="eastAsia" w:ascii="宋体" w:hAnsi="宋体" w:cs="宋体"/>
        </w:rPr>
        <w:t>11.3.1</w:t>
      </w:r>
      <w:r>
        <w:rPr>
          <w:rFonts w:hint="eastAsia" w:ascii="宋体" w:hAnsi="宋体" w:cs="宋体"/>
          <w:lang w:val="zh-CN"/>
        </w:rPr>
        <w:t>在合同规定的质量保证期内，发现货物的质量或规格与合同规定不符，或证明货物有缺陷，包括潜在的缺陷或使用不合适的原材料等，由甲方组织质检（相关监测费用由卖方承担），据质检报告及质量保证条款向卖方提出索赔，此索赔并不免除乙方应承担的合同义务。</w:t>
      </w:r>
    </w:p>
    <w:p w14:paraId="7F82F081">
      <w:pPr>
        <w:autoSpaceDE w:val="0"/>
        <w:autoSpaceDN w:val="0"/>
        <w:adjustRightInd w:val="0"/>
        <w:spacing w:line="360" w:lineRule="auto"/>
        <w:ind w:firstLine="480"/>
        <w:rPr>
          <w:rFonts w:ascii="宋体" w:hAnsi="宋体" w:cs="宋体"/>
        </w:rPr>
      </w:pPr>
      <w:r>
        <w:rPr>
          <w:rFonts w:hint="eastAsia" w:ascii="宋体" w:hAnsi="宋体" w:cs="宋体"/>
        </w:rPr>
        <w:t>11.3.2</w:t>
      </w:r>
      <w:r>
        <w:rPr>
          <w:rFonts w:hint="eastAsia" w:ascii="宋体" w:hAnsi="宋体" w:cs="宋体"/>
          <w:lang w:val="zh-CN"/>
        </w:rPr>
        <w:t>如果合同双方对乙方提供的上述试验结果报告的解释有分歧，双方须于出现分歧后</w:t>
      </w:r>
      <w:r>
        <w:rPr>
          <w:rFonts w:hint="eastAsia" w:ascii="宋体" w:hAnsi="宋体" w:cs="宋体"/>
        </w:rPr>
        <w:t>10</w:t>
      </w:r>
      <w:r>
        <w:rPr>
          <w:rFonts w:hint="eastAsia" w:ascii="宋体" w:hAnsi="宋体" w:cs="宋体"/>
          <w:lang w:val="zh-CN"/>
        </w:rPr>
        <w:t>天内给对方声明，以陈述己方的观点。声明须附有关证据。分歧应通过协商解决。</w:t>
      </w:r>
    </w:p>
    <w:p w14:paraId="3E0B4A32">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12.</w:t>
      </w:r>
      <w:r>
        <w:rPr>
          <w:rFonts w:hint="eastAsia" w:ascii="宋体" w:hAnsi="宋体" w:cs="宋体"/>
          <w:b/>
          <w:bCs/>
          <w:sz w:val="28"/>
          <w:szCs w:val="28"/>
          <w:lang w:val="zh-CN"/>
        </w:rPr>
        <w:t>付款条件</w:t>
      </w:r>
    </w:p>
    <w:p w14:paraId="35D5FB7E">
      <w:pPr>
        <w:autoSpaceDE w:val="0"/>
        <w:autoSpaceDN w:val="0"/>
        <w:adjustRightInd w:val="0"/>
        <w:spacing w:line="360" w:lineRule="auto"/>
        <w:ind w:firstLine="480"/>
        <w:rPr>
          <w:rFonts w:ascii="宋体" w:hAnsi="宋体" w:cs="宋体"/>
        </w:rPr>
      </w:pPr>
      <w:r>
        <w:rPr>
          <w:rFonts w:hint="eastAsia" w:ascii="宋体" w:hAnsi="宋体" w:cs="宋体"/>
          <w:lang w:val="zh-CN"/>
        </w:rPr>
        <w:t>本合同条款下的付款方法和条件在“青海省政府采购合同书”中具体规定。</w:t>
      </w:r>
    </w:p>
    <w:p w14:paraId="30BBEC2C">
      <w:pPr>
        <w:autoSpaceDE w:val="0"/>
        <w:autoSpaceDN w:val="0"/>
        <w:adjustRightInd w:val="0"/>
        <w:spacing w:line="360" w:lineRule="auto"/>
        <w:rPr>
          <w:rFonts w:ascii="宋体" w:hAnsi="宋体" w:cs="宋体"/>
          <w:bCs/>
          <w:sz w:val="28"/>
          <w:szCs w:val="28"/>
          <w:lang w:val="zh-CN"/>
        </w:rPr>
      </w:pPr>
      <w:r>
        <w:rPr>
          <w:rFonts w:hint="eastAsia" w:ascii="宋体" w:hAnsi="宋体" w:cs="宋体"/>
          <w:b/>
          <w:bCs/>
          <w:sz w:val="28"/>
          <w:szCs w:val="28"/>
        </w:rPr>
        <w:t>13.</w:t>
      </w:r>
      <w:r>
        <w:rPr>
          <w:rFonts w:hint="eastAsia" w:ascii="宋体" w:hAnsi="宋体" w:cs="宋体"/>
          <w:b/>
          <w:bCs/>
          <w:sz w:val="28"/>
          <w:szCs w:val="28"/>
          <w:lang w:val="zh-CN"/>
        </w:rPr>
        <w:t>履约保证金：</w:t>
      </w:r>
    </w:p>
    <w:p w14:paraId="184F9857">
      <w:pPr>
        <w:autoSpaceDE w:val="0"/>
        <w:autoSpaceDN w:val="0"/>
        <w:adjustRightInd w:val="0"/>
        <w:spacing w:line="360" w:lineRule="auto"/>
        <w:ind w:firstLine="480"/>
        <w:rPr>
          <w:rFonts w:ascii="宋体" w:hAnsi="宋体" w:cs="宋体"/>
        </w:rPr>
      </w:pPr>
      <w:r>
        <w:rPr>
          <w:rFonts w:hint="eastAsia" w:ascii="宋体" w:hAnsi="宋体" w:cs="宋体"/>
        </w:rPr>
        <w:t>13.1</w:t>
      </w:r>
      <w:r>
        <w:rPr>
          <w:rFonts w:hint="eastAsia" w:ascii="宋体" w:hAnsi="宋体" w:cs="宋体"/>
          <w:lang w:val="zh-CN"/>
        </w:rPr>
        <w:t>乙方应在合同签订前，按磋商文件第二章 磋商须知 第9.5项的约定提交履约保证金。</w:t>
      </w:r>
    </w:p>
    <w:p w14:paraId="6C7E1AFB">
      <w:pPr>
        <w:autoSpaceDE w:val="0"/>
        <w:autoSpaceDN w:val="0"/>
        <w:adjustRightInd w:val="0"/>
        <w:spacing w:line="360" w:lineRule="auto"/>
        <w:ind w:firstLine="480"/>
        <w:rPr>
          <w:rFonts w:ascii="宋体" w:hAnsi="宋体" w:cs="宋体"/>
        </w:rPr>
      </w:pPr>
      <w:r>
        <w:rPr>
          <w:rFonts w:hint="eastAsia" w:ascii="宋体" w:hAnsi="宋体" w:cs="宋体"/>
        </w:rPr>
        <w:t>13.2</w:t>
      </w:r>
      <w:r>
        <w:rPr>
          <w:rFonts w:hint="eastAsia" w:ascii="宋体" w:hAnsi="宋体" w:cs="宋体"/>
          <w:lang w:val="zh-CN"/>
        </w:rPr>
        <w:t>履约保证金用于补偿甲方因乙方不能履行其合同义务而蒙受的损失。</w:t>
      </w:r>
    </w:p>
    <w:p w14:paraId="3492D790">
      <w:pPr>
        <w:autoSpaceDE w:val="0"/>
        <w:autoSpaceDN w:val="0"/>
        <w:adjustRightInd w:val="0"/>
        <w:spacing w:line="360" w:lineRule="auto"/>
        <w:ind w:firstLine="480"/>
        <w:rPr>
          <w:rFonts w:ascii="宋体" w:hAnsi="宋体" w:cs="宋体"/>
        </w:rPr>
      </w:pPr>
      <w:r>
        <w:rPr>
          <w:rFonts w:hint="eastAsia" w:ascii="宋体" w:hAnsi="宋体" w:cs="宋体"/>
        </w:rPr>
        <w:t>13.3</w:t>
      </w:r>
      <w:r>
        <w:rPr>
          <w:rFonts w:hint="eastAsia" w:ascii="宋体" w:hAnsi="宋体" w:cs="宋体"/>
          <w:lang w:val="zh-CN"/>
        </w:rPr>
        <w:t>履约保证金应使用本合同货币，按下述方式之一提交（磋商文件中另有约定的除外）：</w:t>
      </w:r>
    </w:p>
    <w:p w14:paraId="47C7CF00">
      <w:pPr>
        <w:autoSpaceDE w:val="0"/>
        <w:autoSpaceDN w:val="0"/>
        <w:adjustRightInd w:val="0"/>
        <w:spacing w:line="360" w:lineRule="auto"/>
        <w:ind w:firstLine="480"/>
        <w:rPr>
          <w:rFonts w:ascii="宋体" w:hAnsi="宋体" w:cs="宋体"/>
        </w:rPr>
      </w:pPr>
      <w:r>
        <w:rPr>
          <w:rFonts w:hint="eastAsia" w:ascii="宋体" w:hAnsi="宋体" w:cs="宋体"/>
        </w:rPr>
        <w:t>13.3.1</w:t>
      </w:r>
      <w:r>
        <w:rPr>
          <w:rFonts w:hint="eastAsia" w:ascii="宋体" w:hAnsi="宋体" w:cs="宋体"/>
          <w:lang w:val="zh-CN"/>
        </w:rPr>
        <w:t>甲方可接受的在中华人民共和国注册和营业的银行出具的履约保函；</w:t>
      </w:r>
    </w:p>
    <w:p w14:paraId="1629DA85">
      <w:pPr>
        <w:autoSpaceDE w:val="0"/>
        <w:autoSpaceDN w:val="0"/>
        <w:adjustRightInd w:val="0"/>
        <w:spacing w:line="360" w:lineRule="auto"/>
        <w:ind w:firstLine="480"/>
        <w:rPr>
          <w:rFonts w:ascii="宋体" w:hAnsi="宋体" w:cs="宋体"/>
        </w:rPr>
      </w:pPr>
      <w:r>
        <w:rPr>
          <w:rFonts w:hint="eastAsia" w:ascii="宋体" w:hAnsi="宋体" w:cs="宋体"/>
        </w:rPr>
        <w:t xml:space="preserve">13.3.2 </w:t>
      </w:r>
      <w:r>
        <w:rPr>
          <w:rFonts w:hint="eastAsia" w:ascii="宋体" w:hAnsi="宋体" w:cs="宋体"/>
          <w:lang w:val="zh-CN"/>
        </w:rPr>
        <w:t>支票。</w:t>
      </w:r>
    </w:p>
    <w:p w14:paraId="3813F181">
      <w:pPr>
        <w:autoSpaceDE w:val="0"/>
        <w:autoSpaceDN w:val="0"/>
        <w:adjustRightInd w:val="0"/>
        <w:spacing w:line="360" w:lineRule="auto"/>
        <w:rPr>
          <w:rFonts w:ascii="宋体" w:hAnsi="宋体" w:cs="宋体"/>
          <w:bCs/>
          <w:sz w:val="28"/>
          <w:szCs w:val="28"/>
        </w:rPr>
      </w:pPr>
      <w:r>
        <w:rPr>
          <w:rFonts w:hint="eastAsia" w:ascii="宋体" w:hAnsi="宋体" w:cs="宋体"/>
        </w:rPr>
        <w:t>13.4</w:t>
      </w:r>
      <w:r>
        <w:rPr>
          <w:rFonts w:hint="eastAsia" w:ascii="宋体" w:hAnsi="宋体" w:cs="宋体"/>
          <w:lang w:val="zh-CN"/>
        </w:rPr>
        <w:t>乙方未能按合同规定履行其义务，甲方有权从履约保证金中取得补偿。货物验收合格后，甲方将履约保证金退还乙方或转为质量保证金。</w:t>
      </w:r>
      <w:r>
        <w:rPr>
          <w:rFonts w:hint="eastAsia" w:ascii="宋体" w:hAnsi="宋体" w:cs="宋体"/>
          <w:bCs/>
          <w:sz w:val="28"/>
          <w:szCs w:val="28"/>
        </w:rPr>
        <w:t xml:space="preserve"> </w:t>
      </w:r>
    </w:p>
    <w:p w14:paraId="5372215E">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14.</w:t>
      </w:r>
      <w:r>
        <w:rPr>
          <w:rFonts w:hint="eastAsia" w:ascii="宋体" w:hAnsi="宋体" w:cs="宋体"/>
          <w:b/>
          <w:bCs/>
          <w:sz w:val="28"/>
          <w:szCs w:val="28"/>
          <w:lang w:val="zh-CN"/>
        </w:rPr>
        <w:t>索赔</w:t>
      </w:r>
    </w:p>
    <w:p w14:paraId="703CF99E">
      <w:pPr>
        <w:autoSpaceDE w:val="0"/>
        <w:autoSpaceDN w:val="0"/>
        <w:adjustRightInd w:val="0"/>
        <w:spacing w:line="360" w:lineRule="auto"/>
        <w:ind w:firstLine="480"/>
        <w:rPr>
          <w:rFonts w:ascii="宋体" w:hAnsi="宋体" w:cs="宋体"/>
        </w:rPr>
      </w:pPr>
      <w:r>
        <w:rPr>
          <w:rFonts w:hint="eastAsia" w:ascii="宋体" w:hAnsi="宋体" w:cs="宋体"/>
        </w:rPr>
        <w:t>14.1</w:t>
      </w:r>
      <w:r>
        <w:rPr>
          <w:rFonts w:hint="eastAsia" w:ascii="宋体" w:hAnsi="宋体" w:cs="宋体"/>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653AD2D">
      <w:pPr>
        <w:autoSpaceDE w:val="0"/>
        <w:autoSpaceDN w:val="0"/>
        <w:adjustRightInd w:val="0"/>
        <w:spacing w:line="360" w:lineRule="auto"/>
        <w:ind w:firstLine="480"/>
        <w:rPr>
          <w:rFonts w:ascii="宋体" w:hAnsi="宋体" w:cs="宋体"/>
        </w:rPr>
      </w:pPr>
      <w:r>
        <w:rPr>
          <w:rFonts w:hint="eastAsia" w:ascii="宋体" w:hAnsi="宋体" w:cs="宋体"/>
        </w:rPr>
        <w:t>14.2</w:t>
      </w:r>
      <w:r>
        <w:rPr>
          <w:rFonts w:hint="eastAsia" w:ascii="宋体" w:hAnsi="宋体" w:cs="宋体"/>
          <w:lang w:val="zh-CN"/>
        </w:rPr>
        <w:t>在履约保证期和检验期内，乙方对甲方提出的索赔负有责任，乙方应按照甲方同意的下列一种或多种方式解决索赔事宜：</w:t>
      </w:r>
    </w:p>
    <w:p w14:paraId="07485561">
      <w:pPr>
        <w:autoSpaceDE w:val="0"/>
        <w:autoSpaceDN w:val="0"/>
        <w:adjustRightInd w:val="0"/>
        <w:spacing w:line="360" w:lineRule="auto"/>
        <w:ind w:firstLine="480"/>
        <w:rPr>
          <w:rFonts w:ascii="宋体" w:hAnsi="宋体" w:cs="宋体"/>
        </w:rPr>
      </w:pPr>
      <w:r>
        <w:rPr>
          <w:rFonts w:hint="eastAsia" w:ascii="宋体" w:hAnsi="宋体" w:cs="宋体"/>
        </w:rPr>
        <w:t>14.2.1</w:t>
      </w:r>
      <w:r>
        <w:rPr>
          <w:rFonts w:hint="eastAsia" w:ascii="宋体" w:hAnsi="宋体" w:cs="宋体"/>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CC64259">
      <w:pPr>
        <w:autoSpaceDE w:val="0"/>
        <w:autoSpaceDN w:val="0"/>
        <w:adjustRightInd w:val="0"/>
        <w:spacing w:line="360" w:lineRule="auto"/>
        <w:ind w:firstLine="480"/>
        <w:rPr>
          <w:rFonts w:ascii="宋体" w:hAnsi="宋体" w:cs="宋体"/>
        </w:rPr>
      </w:pPr>
      <w:r>
        <w:rPr>
          <w:rFonts w:hint="eastAsia" w:ascii="宋体" w:hAnsi="宋体" w:cs="宋体"/>
        </w:rPr>
        <w:t>14.2.2</w:t>
      </w:r>
      <w:r>
        <w:rPr>
          <w:rFonts w:hint="eastAsia" w:ascii="宋体" w:hAnsi="宋体" w:cs="宋体"/>
          <w:lang w:val="zh-CN"/>
        </w:rPr>
        <w:t>根据货物低劣程度、损坏程度以及甲方所遭受损失的数额，经甲乙双方商定降低货物的价格，或由有资质的中介机构评估，以降低后的价格或评估价格为准。</w:t>
      </w:r>
    </w:p>
    <w:p w14:paraId="2BFF1821">
      <w:pPr>
        <w:autoSpaceDE w:val="0"/>
        <w:autoSpaceDN w:val="0"/>
        <w:adjustRightInd w:val="0"/>
        <w:spacing w:line="360" w:lineRule="auto"/>
        <w:ind w:firstLine="480"/>
        <w:rPr>
          <w:rFonts w:ascii="宋体" w:hAnsi="宋体" w:cs="宋体"/>
        </w:rPr>
      </w:pPr>
      <w:r>
        <w:rPr>
          <w:rFonts w:hint="eastAsia" w:ascii="宋体" w:hAnsi="宋体" w:cs="宋体"/>
        </w:rPr>
        <w:t>14.2.3</w:t>
      </w:r>
      <w:r>
        <w:rPr>
          <w:rFonts w:hint="eastAsia" w:ascii="宋体" w:hAnsi="宋体" w:cs="宋体"/>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2690ABEC">
      <w:pPr>
        <w:autoSpaceDE w:val="0"/>
        <w:autoSpaceDN w:val="0"/>
        <w:adjustRightInd w:val="0"/>
        <w:spacing w:line="360" w:lineRule="auto"/>
        <w:ind w:firstLine="480"/>
        <w:rPr>
          <w:rFonts w:ascii="宋体" w:hAnsi="宋体" w:cs="宋体"/>
        </w:rPr>
      </w:pPr>
      <w:r>
        <w:rPr>
          <w:rFonts w:hint="eastAsia" w:ascii="宋体" w:hAnsi="宋体" w:cs="宋体"/>
        </w:rPr>
        <w:t>14.3</w:t>
      </w:r>
      <w:r>
        <w:rPr>
          <w:rFonts w:hint="eastAsia" w:ascii="宋体" w:hAnsi="宋体" w:cs="宋体"/>
          <w:lang w:val="zh-CN"/>
        </w:rPr>
        <w:t>乙方收到甲方发出的索赔通知之日起</w:t>
      </w:r>
      <w:r>
        <w:rPr>
          <w:rFonts w:hint="eastAsia" w:ascii="宋体" w:hAnsi="宋体" w:cs="宋体"/>
        </w:rPr>
        <w:t>5</w:t>
      </w:r>
      <w:r>
        <w:rPr>
          <w:rFonts w:hint="eastAsia" w:ascii="宋体" w:hAnsi="宋体" w:cs="宋体"/>
          <w:lang w:val="zh-CN"/>
        </w:rPr>
        <w:t>个工作日内未作答复的，甲方可从合同款中扣回索赔金额，如金额不足以补偿索赔金额，乙方应补足差额部分。</w:t>
      </w:r>
    </w:p>
    <w:p w14:paraId="34595345">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15.</w:t>
      </w:r>
      <w:r>
        <w:rPr>
          <w:rFonts w:hint="eastAsia" w:ascii="宋体" w:hAnsi="宋体" w:cs="宋体"/>
          <w:b/>
          <w:bCs/>
          <w:sz w:val="28"/>
          <w:szCs w:val="28"/>
          <w:lang w:val="zh-CN"/>
        </w:rPr>
        <w:t>迟延交货</w:t>
      </w:r>
    </w:p>
    <w:p w14:paraId="5A0E7F96">
      <w:pPr>
        <w:autoSpaceDE w:val="0"/>
        <w:autoSpaceDN w:val="0"/>
        <w:adjustRightInd w:val="0"/>
        <w:spacing w:line="360" w:lineRule="auto"/>
        <w:ind w:firstLine="480"/>
        <w:rPr>
          <w:rFonts w:ascii="宋体" w:hAnsi="宋体" w:cs="宋体"/>
        </w:rPr>
      </w:pPr>
      <w:r>
        <w:rPr>
          <w:rFonts w:hint="eastAsia" w:ascii="宋体" w:hAnsi="宋体" w:cs="宋体"/>
        </w:rPr>
        <w:t xml:space="preserve">15.1 </w:t>
      </w:r>
      <w:r>
        <w:rPr>
          <w:rFonts w:hint="eastAsia" w:ascii="宋体" w:hAnsi="宋体" w:cs="宋体"/>
          <w:lang w:val="zh-CN"/>
        </w:rPr>
        <w:t>乙方应按照合同约定的时间交货和提供服务。</w:t>
      </w:r>
    </w:p>
    <w:p w14:paraId="645E9668">
      <w:pPr>
        <w:autoSpaceDE w:val="0"/>
        <w:autoSpaceDN w:val="0"/>
        <w:adjustRightInd w:val="0"/>
        <w:spacing w:line="360" w:lineRule="auto"/>
        <w:ind w:firstLine="480"/>
        <w:rPr>
          <w:rFonts w:ascii="宋体" w:hAnsi="宋体" w:cs="宋体"/>
        </w:rPr>
      </w:pPr>
      <w:r>
        <w:rPr>
          <w:rFonts w:hint="eastAsia" w:ascii="宋体" w:hAnsi="宋体" w:cs="宋体"/>
        </w:rPr>
        <w:t xml:space="preserve">15.2 </w:t>
      </w:r>
      <w:r>
        <w:rPr>
          <w:rFonts w:hint="eastAsia" w:ascii="宋体" w:hAnsi="宋体" w:cs="宋体"/>
          <w:lang w:val="zh-CN"/>
        </w:rPr>
        <w:t>除不可抗力因素外，乙方迟延交货，甲方有权提出违约损失赔偿或解除合同。</w:t>
      </w:r>
    </w:p>
    <w:p w14:paraId="55538AF2">
      <w:pPr>
        <w:autoSpaceDE w:val="0"/>
        <w:autoSpaceDN w:val="0"/>
        <w:adjustRightInd w:val="0"/>
        <w:spacing w:line="360" w:lineRule="auto"/>
        <w:ind w:firstLine="480"/>
        <w:rPr>
          <w:rFonts w:ascii="宋体" w:hAnsi="宋体" w:cs="宋体"/>
        </w:rPr>
      </w:pPr>
      <w:r>
        <w:rPr>
          <w:rFonts w:hint="eastAsia" w:ascii="宋体" w:hAnsi="宋体" w:cs="宋体"/>
        </w:rPr>
        <w:t>15.3</w:t>
      </w:r>
      <w:r>
        <w:rPr>
          <w:rFonts w:hint="eastAsia" w:ascii="宋体" w:hAnsi="宋体" w:cs="宋体"/>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0B0E4E85">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16.</w:t>
      </w:r>
      <w:r>
        <w:rPr>
          <w:rFonts w:hint="eastAsia" w:ascii="宋体" w:hAnsi="宋体" w:cs="宋体"/>
          <w:b/>
          <w:bCs/>
          <w:sz w:val="28"/>
          <w:szCs w:val="28"/>
          <w:lang w:val="zh-CN"/>
        </w:rPr>
        <w:t>违约赔偿</w:t>
      </w:r>
    </w:p>
    <w:p w14:paraId="014FF47D">
      <w:pPr>
        <w:autoSpaceDE w:val="0"/>
        <w:autoSpaceDN w:val="0"/>
        <w:adjustRightInd w:val="0"/>
        <w:spacing w:line="360" w:lineRule="auto"/>
        <w:ind w:firstLine="480"/>
        <w:rPr>
          <w:rFonts w:ascii="宋体" w:hAnsi="宋体" w:cs="宋体"/>
        </w:rPr>
      </w:pPr>
      <w:r>
        <w:rPr>
          <w:rFonts w:hint="eastAsia" w:ascii="宋体" w:hAnsi="宋体" w:cs="宋体"/>
          <w:lang w:val="zh-CN"/>
        </w:rPr>
        <w:t>除不可抗力因素外，乙方没有按照合同规定的时间交货和提供服务，甲方可要求乙方支付违约金。违约金每日按合同总价款的千分之五计收。</w:t>
      </w:r>
    </w:p>
    <w:p w14:paraId="5BDED654">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17.</w:t>
      </w:r>
      <w:r>
        <w:rPr>
          <w:rFonts w:hint="eastAsia" w:ascii="宋体" w:hAnsi="宋体" w:cs="宋体"/>
          <w:b/>
          <w:bCs/>
          <w:sz w:val="28"/>
          <w:szCs w:val="28"/>
          <w:lang w:val="zh-CN"/>
        </w:rPr>
        <w:t>不可抗力</w:t>
      </w:r>
    </w:p>
    <w:p w14:paraId="73AF2CFE">
      <w:pPr>
        <w:autoSpaceDE w:val="0"/>
        <w:autoSpaceDN w:val="0"/>
        <w:adjustRightInd w:val="0"/>
        <w:spacing w:line="360" w:lineRule="auto"/>
        <w:ind w:firstLine="480"/>
        <w:rPr>
          <w:rFonts w:ascii="宋体" w:hAnsi="宋体" w:cs="宋体"/>
        </w:rPr>
      </w:pPr>
      <w:r>
        <w:rPr>
          <w:rFonts w:hint="eastAsia" w:ascii="宋体" w:hAnsi="宋体" w:cs="宋体"/>
        </w:rPr>
        <w:t>17.1.</w:t>
      </w:r>
      <w:r>
        <w:rPr>
          <w:rFonts w:hint="eastAsia" w:ascii="宋体" w:hAnsi="宋体" w:cs="宋体"/>
          <w:lang w:val="zh-CN"/>
        </w:rPr>
        <w:t>双方中任何一方遭遇法律规定的不可抗力，致使合同履行受阻时，履行合同的期限应予延长，延长的期限应相当于不可抗力所影响的时间。</w:t>
      </w:r>
    </w:p>
    <w:p w14:paraId="0AD2F268">
      <w:pPr>
        <w:autoSpaceDE w:val="0"/>
        <w:autoSpaceDN w:val="0"/>
        <w:adjustRightInd w:val="0"/>
        <w:spacing w:line="360" w:lineRule="auto"/>
        <w:ind w:firstLine="480"/>
        <w:rPr>
          <w:rFonts w:ascii="宋体" w:hAnsi="宋体" w:cs="宋体"/>
        </w:rPr>
      </w:pPr>
      <w:r>
        <w:rPr>
          <w:rFonts w:hint="eastAsia" w:ascii="宋体" w:hAnsi="宋体" w:cs="宋体"/>
        </w:rPr>
        <w:t>17.2</w:t>
      </w:r>
      <w:r>
        <w:rPr>
          <w:rFonts w:hint="eastAsia" w:ascii="宋体" w:hAnsi="宋体" w:cs="宋体"/>
          <w:lang w:val="zh-CN"/>
        </w:rPr>
        <w:t>受事故影响的一方应在不可抗力的事故发生后以书面形式通知另一方。</w:t>
      </w:r>
    </w:p>
    <w:p w14:paraId="303BB421">
      <w:pPr>
        <w:autoSpaceDE w:val="0"/>
        <w:autoSpaceDN w:val="0"/>
        <w:adjustRightInd w:val="0"/>
        <w:spacing w:line="360" w:lineRule="auto"/>
        <w:ind w:firstLine="480"/>
        <w:rPr>
          <w:rFonts w:ascii="宋体" w:hAnsi="宋体" w:cs="宋体"/>
        </w:rPr>
      </w:pPr>
      <w:r>
        <w:rPr>
          <w:rFonts w:hint="eastAsia" w:ascii="宋体" w:hAnsi="宋体" w:cs="宋体"/>
        </w:rPr>
        <w:t>17.3</w:t>
      </w:r>
      <w:r>
        <w:rPr>
          <w:rFonts w:hint="eastAsia" w:ascii="宋体" w:hAnsi="宋体" w:cs="宋体"/>
          <w:lang w:val="zh-CN"/>
        </w:rPr>
        <w:t>不可抗力使合同的某些内容有变更必要的，</w:t>
      </w:r>
      <w:r>
        <w:rPr>
          <w:rFonts w:hint="eastAsia" w:ascii="宋体" w:hAnsi="宋体" w:cs="宋体"/>
        </w:rPr>
        <w:t xml:space="preserve"> </w:t>
      </w:r>
      <w:r>
        <w:rPr>
          <w:rFonts w:hint="eastAsia" w:ascii="宋体" w:hAnsi="宋体" w:cs="宋体"/>
          <w:lang w:val="zh-CN"/>
        </w:rPr>
        <w:t>双方应通过协商达成进一步履行合同的协议，因不可抗力致使合同不能履行的，合同终止。</w:t>
      </w:r>
    </w:p>
    <w:p w14:paraId="01DA02F4">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18.</w:t>
      </w:r>
      <w:r>
        <w:rPr>
          <w:rFonts w:hint="eastAsia" w:ascii="宋体" w:hAnsi="宋体" w:cs="宋体"/>
          <w:b/>
          <w:bCs/>
          <w:sz w:val="28"/>
          <w:szCs w:val="28"/>
          <w:lang w:val="zh-CN"/>
        </w:rPr>
        <w:t>税费</w:t>
      </w:r>
    </w:p>
    <w:p w14:paraId="20DDF092">
      <w:pPr>
        <w:autoSpaceDE w:val="0"/>
        <w:autoSpaceDN w:val="0"/>
        <w:adjustRightInd w:val="0"/>
        <w:spacing w:line="360" w:lineRule="auto"/>
        <w:ind w:firstLine="480"/>
        <w:rPr>
          <w:rFonts w:ascii="宋体" w:hAnsi="宋体" w:cs="宋体"/>
        </w:rPr>
      </w:pPr>
      <w:r>
        <w:rPr>
          <w:rFonts w:hint="eastAsia" w:ascii="宋体" w:hAnsi="宋体" w:cs="宋体"/>
          <w:lang w:val="zh-CN"/>
        </w:rPr>
        <w:t>与本合同有关的一切税费均由乙方承担。</w:t>
      </w:r>
    </w:p>
    <w:p w14:paraId="09385452">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19.</w:t>
      </w:r>
      <w:r>
        <w:rPr>
          <w:rFonts w:hint="eastAsia" w:ascii="宋体" w:hAnsi="宋体" w:cs="宋体"/>
          <w:b/>
          <w:bCs/>
          <w:sz w:val="28"/>
          <w:szCs w:val="28"/>
          <w:lang w:val="zh-CN"/>
        </w:rPr>
        <w:t>合同争议的解决</w:t>
      </w:r>
    </w:p>
    <w:p w14:paraId="798DAE77">
      <w:pPr>
        <w:autoSpaceDE w:val="0"/>
        <w:autoSpaceDN w:val="0"/>
        <w:adjustRightInd w:val="0"/>
        <w:spacing w:line="360" w:lineRule="auto"/>
        <w:ind w:firstLine="480"/>
        <w:rPr>
          <w:rFonts w:ascii="宋体" w:hAnsi="宋体" w:cs="宋体"/>
        </w:rPr>
      </w:pPr>
      <w:r>
        <w:rPr>
          <w:rFonts w:hint="eastAsia" w:ascii="宋体" w:hAnsi="宋体" w:cs="宋体"/>
        </w:rPr>
        <w:t>19.1</w:t>
      </w:r>
      <w:r>
        <w:rPr>
          <w:rFonts w:hint="eastAsia" w:ascii="宋体" w:hAnsi="宋体" w:cs="宋体"/>
          <w:lang w:val="zh-CN"/>
        </w:rPr>
        <w:t>甲方和乙方由于本合同的履行而发生任何争议时，双方可先通过协商解决。</w:t>
      </w:r>
    </w:p>
    <w:p w14:paraId="48DA038F">
      <w:pPr>
        <w:autoSpaceDE w:val="0"/>
        <w:autoSpaceDN w:val="0"/>
        <w:adjustRightInd w:val="0"/>
        <w:spacing w:line="360" w:lineRule="auto"/>
        <w:ind w:firstLine="480"/>
        <w:rPr>
          <w:rFonts w:ascii="宋体" w:hAnsi="宋体" w:cs="宋体"/>
        </w:rPr>
      </w:pPr>
      <w:r>
        <w:rPr>
          <w:rFonts w:hint="eastAsia" w:ascii="宋体" w:hAnsi="宋体" w:cs="宋体"/>
        </w:rPr>
        <w:t>19.2</w:t>
      </w:r>
      <w:r>
        <w:rPr>
          <w:rFonts w:hint="eastAsia" w:ascii="宋体" w:hAnsi="宋体" w:cs="宋体"/>
          <w:lang w:val="zh-CN"/>
        </w:rPr>
        <w:t>任何一方不愿通过协商或通过协商仍不能解决争议，则双方中任何一方均应向甲方所在地人民法院起诉。</w:t>
      </w:r>
    </w:p>
    <w:p w14:paraId="12956A2C">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20.</w:t>
      </w:r>
      <w:r>
        <w:rPr>
          <w:rFonts w:hint="eastAsia" w:ascii="宋体" w:hAnsi="宋体" w:cs="宋体"/>
          <w:b/>
          <w:bCs/>
          <w:sz w:val="28"/>
          <w:szCs w:val="28"/>
          <w:lang w:val="zh-CN"/>
        </w:rPr>
        <w:t>违约解除合同</w:t>
      </w:r>
    </w:p>
    <w:p w14:paraId="32348409">
      <w:pPr>
        <w:autoSpaceDE w:val="0"/>
        <w:autoSpaceDN w:val="0"/>
        <w:adjustRightInd w:val="0"/>
        <w:spacing w:line="360" w:lineRule="auto"/>
        <w:ind w:firstLine="480"/>
        <w:rPr>
          <w:rFonts w:ascii="宋体" w:hAnsi="宋体" w:cs="宋体"/>
        </w:rPr>
      </w:pPr>
      <w:r>
        <w:rPr>
          <w:rFonts w:hint="eastAsia" w:ascii="宋体" w:hAnsi="宋体" w:cs="宋体"/>
        </w:rPr>
        <w:t>20.1</w:t>
      </w:r>
      <w:r>
        <w:rPr>
          <w:rFonts w:hint="eastAsia" w:ascii="宋体" w:hAnsi="宋体" w:cs="宋体"/>
          <w:lang w:val="zh-CN"/>
        </w:rPr>
        <w:t>出现下列情形之一的，视为乙方违约。甲方可向乙方发出书面通知，部分或全部终止合同，同时保留向乙方索赔的权利。</w:t>
      </w:r>
    </w:p>
    <w:p w14:paraId="29B1BC4D">
      <w:pPr>
        <w:autoSpaceDE w:val="0"/>
        <w:autoSpaceDN w:val="0"/>
        <w:adjustRightInd w:val="0"/>
        <w:spacing w:line="360" w:lineRule="auto"/>
        <w:ind w:firstLine="480"/>
        <w:rPr>
          <w:rFonts w:ascii="宋体" w:hAnsi="宋体" w:cs="宋体"/>
        </w:rPr>
      </w:pPr>
      <w:r>
        <w:rPr>
          <w:rFonts w:hint="eastAsia" w:ascii="宋体" w:hAnsi="宋体" w:cs="宋体"/>
        </w:rPr>
        <w:t>20.1.1</w:t>
      </w:r>
      <w:r>
        <w:rPr>
          <w:rFonts w:hint="eastAsia" w:ascii="宋体" w:hAnsi="宋体" w:cs="宋体"/>
          <w:lang w:val="zh-CN"/>
        </w:rPr>
        <w:t>乙方未能在合同规定的限期或甲方同意延长的限期内，提供全部或部分货物的；</w:t>
      </w:r>
    </w:p>
    <w:p w14:paraId="133EBD33">
      <w:pPr>
        <w:autoSpaceDE w:val="0"/>
        <w:autoSpaceDN w:val="0"/>
        <w:adjustRightInd w:val="0"/>
        <w:spacing w:line="360" w:lineRule="auto"/>
        <w:ind w:firstLine="480"/>
        <w:rPr>
          <w:rFonts w:ascii="宋体" w:hAnsi="宋体" w:cs="宋体"/>
        </w:rPr>
      </w:pPr>
      <w:r>
        <w:rPr>
          <w:rFonts w:hint="eastAsia" w:ascii="宋体" w:hAnsi="宋体" w:cs="宋体"/>
        </w:rPr>
        <w:t>20.1.2</w:t>
      </w:r>
      <w:r>
        <w:rPr>
          <w:rFonts w:hint="eastAsia" w:ascii="宋体" w:hAnsi="宋体" w:cs="宋体"/>
          <w:lang w:val="zh-CN"/>
        </w:rPr>
        <w:t>乙方未能履行合同规定的其它主要义务的；</w:t>
      </w:r>
    </w:p>
    <w:p w14:paraId="69BAB239">
      <w:pPr>
        <w:autoSpaceDE w:val="0"/>
        <w:autoSpaceDN w:val="0"/>
        <w:adjustRightInd w:val="0"/>
        <w:spacing w:line="360" w:lineRule="auto"/>
        <w:ind w:firstLine="480"/>
        <w:rPr>
          <w:rFonts w:ascii="宋体" w:hAnsi="宋体" w:cs="宋体"/>
        </w:rPr>
      </w:pPr>
      <w:r>
        <w:rPr>
          <w:rFonts w:hint="eastAsia" w:ascii="宋体" w:hAnsi="宋体" w:cs="宋体"/>
        </w:rPr>
        <w:t>20.1.3</w:t>
      </w:r>
      <w:r>
        <w:rPr>
          <w:rFonts w:hint="eastAsia" w:ascii="宋体" w:hAnsi="宋体" w:cs="宋体"/>
          <w:lang w:val="zh-CN"/>
        </w:rPr>
        <w:t>乙方在本合同履行过程中有欺诈行为的。</w:t>
      </w:r>
    </w:p>
    <w:p w14:paraId="32368367">
      <w:pPr>
        <w:autoSpaceDE w:val="0"/>
        <w:autoSpaceDN w:val="0"/>
        <w:adjustRightInd w:val="0"/>
        <w:spacing w:line="360" w:lineRule="auto"/>
        <w:ind w:firstLine="480"/>
        <w:rPr>
          <w:rFonts w:ascii="宋体" w:hAnsi="宋体" w:cs="宋体"/>
        </w:rPr>
      </w:pPr>
      <w:r>
        <w:rPr>
          <w:rFonts w:hint="eastAsia" w:ascii="宋体" w:hAnsi="宋体" w:cs="宋体"/>
        </w:rPr>
        <w:t>20.2</w:t>
      </w:r>
      <w:r>
        <w:rPr>
          <w:rFonts w:hint="eastAsia" w:ascii="宋体" w:hAnsi="宋体" w:cs="宋体"/>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2F98F757">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21.</w:t>
      </w:r>
      <w:r>
        <w:rPr>
          <w:rFonts w:hint="eastAsia" w:ascii="宋体" w:hAnsi="宋体" w:cs="宋体"/>
          <w:b/>
          <w:bCs/>
          <w:sz w:val="28"/>
          <w:szCs w:val="28"/>
          <w:lang w:val="zh-CN"/>
        </w:rPr>
        <w:t>破产终止合同</w:t>
      </w:r>
    </w:p>
    <w:p w14:paraId="4798BFF9">
      <w:pPr>
        <w:autoSpaceDE w:val="0"/>
        <w:autoSpaceDN w:val="0"/>
        <w:adjustRightInd w:val="0"/>
        <w:spacing w:line="360" w:lineRule="auto"/>
        <w:ind w:firstLine="480"/>
        <w:rPr>
          <w:rFonts w:ascii="宋体" w:hAnsi="宋体" w:cs="宋体"/>
        </w:rPr>
      </w:pPr>
      <w:r>
        <w:rPr>
          <w:rFonts w:hint="eastAsia" w:ascii="宋体" w:hAnsi="宋体" w:cs="宋体"/>
          <w:lang w:val="zh-CN"/>
        </w:rPr>
        <w:t>乙方破产而无法完全履行本合同义务时，甲方可以书面方式通知乙方终止合同而不给予乙方补偿。该合同的终止将不损害或不影响甲方已经采取或将要采取任何行动或补救措施的权利。</w:t>
      </w:r>
    </w:p>
    <w:p w14:paraId="03914413">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22.</w:t>
      </w:r>
      <w:r>
        <w:rPr>
          <w:rFonts w:hint="eastAsia" w:ascii="宋体" w:hAnsi="宋体" w:cs="宋体"/>
          <w:b/>
          <w:bCs/>
          <w:sz w:val="28"/>
          <w:szCs w:val="28"/>
          <w:lang w:val="zh-CN"/>
        </w:rPr>
        <w:t>转让和分包</w:t>
      </w:r>
    </w:p>
    <w:p w14:paraId="63408530">
      <w:pPr>
        <w:autoSpaceDE w:val="0"/>
        <w:autoSpaceDN w:val="0"/>
        <w:adjustRightInd w:val="0"/>
        <w:spacing w:line="360" w:lineRule="auto"/>
        <w:ind w:firstLine="360"/>
        <w:rPr>
          <w:rFonts w:ascii="宋体" w:hAnsi="宋体" w:cs="宋体"/>
        </w:rPr>
      </w:pPr>
      <w:r>
        <w:rPr>
          <w:rFonts w:hint="eastAsia" w:ascii="宋体" w:hAnsi="宋体" w:cs="宋体"/>
        </w:rPr>
        <w:t>22.1</w:t>
      </w:r>
      <w:r>
        <w:rPr>
          <w:rFonts w:hint="eastAsia" w:ascii="宋体" w:hAnsi="宋体" w:cs="宋体"/>
          <w:lang w:val="zh-CN"/>
        </w:rPr>
        <w:t>政府采购合同不能转让。</w:t>
      </w:r>
    </w:p>
    <w:p w14:paraId="5E42602C">
      <w:pPr>
        <w:autoSpaceDE w:val="0"/>
        <w:autoSpaceDN w:val="0"/>
        <w:adjustRightInd w:val="0"/>
        <w:spacing w:line="360" w:lineRule="auto"/>
        <w:ind w:firstLine="360"/>
        <w:rPr>
          <w:rFonts w:ascii="宋体" w:hAnsi="宋体" w:cs="宋体"/>
        </w:rPr>
      </w:pPr>
      <w:r>
        <w:rPr>
          <w:rFonts w:hint="eastAsia" w:ascii="宋体" w:hAnsi="宋体" w:cs="宋体"/>
        </w:rPr>
        <w:t>22.2</w:t>
      </w:r>
      <w:r>
        <w:rPr>
          <w:rFonts w:hint="eastAsia" w:ascii="宋体" w:hAnsi="宋体" w:cs="宋体"/>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1667567E">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23.</w:t>
      </w:r>
      <w:r>
        <w:rPr>
          <w:rFonts w:hint="eastAsia" w:ascii="宋体" w:hAnsi="宋体" w:cs="宋体"/>
          <w:b/>
          <w:bCs/>
          <w:sz w:val="28"/>
          <w:szCs w:val="28"/>
          <w:lang w:val="zh-CN"/>
        </w:rPr>
        <w:t>合同修改</w:t>
      </w:r>
    </w:p>
    <w:p w14:paraId="31780A2F">
      <w:pPr>
        <w:autoSpaceDE w:val="0"/>
        <w:autoSpaceDN w:val="0"/>
        <w:adjustRightInd w:val="0"/>
        <w:spacing w:line="360" w:lineRule="auto"/>
        <w:rPr>
          <w:rFonts w:ascii="宋体" w:hAnsi="宋体" w:cs="宋体"/>
        </w:rPr>
      </w:pPr>
      <w:r>
        <w:rPr>
          <w:rFonts w:hint="eastAsia" w:ascii="宋体" w:hAnsi="宋体" w:cs="宋体"/>
          <w:lang w:val="zh-CN"/>
        </w:rPr>
        <w:t>甲方和乙方都不得擅自变更本合同，但合同继续履行将损害国家和社会公共利益的除外。如必须对合同条款进行改动时，当事人双方须共同签署书面文件，做为合同的补充。</w:t>
      </w:r>
    </w:p>
    <w:p w14:paraId="6B45F7DD">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24.</w:t>
      </w:r>
      <w:r>
        <w:rPr>
          <w:rFonts w:hint="eastAsia" w:ascii="宋体" w:hAnsi="宋体" w:cs="宋体"/>
          <w:b/>
          <w:bCs/>
          <w:sz w:val="28"/>
          <w:szCs w:val="28"/>
          <w:lang w:val="zh-CN"/>
        </w:rPr>
        <w:t>通知</w:t>
      </w:r>
    </w:p>
    <w:p w14:paraId="489A2761">
      <w:pPr>
        <w:autoSpaceDE w:val="0"/>
        <w:autoSpaceDN w:val="0"/>
        <w:adjustRightInd w:val="0"/>
        <w:spacing w:line="360" w:lineRule="auto"/>
        <w:ind w:firstLine="480"/>
        <w:rPr>
          <w:rFonts w:ascii="宋体" w:hAnsi="宋体" w:cs="宋体"/>
        </w:rPr>
      </w:pPr>
      <w:r>
        <w:rPr>
          <w:rFonts w:hint="eastAsia" w:ascii="宋体" w:hAnsi="宋体" w:cs="宋体"/>
          <w:lang w:val="zh-CN"/>
        </w:rPr>
        <w:t>本合同任何一方给另一方的通知，都应以书面形式发送，而另一方也应以书面形式确认并发送到对方明确的地址。</w:t>
      </w:r>
    </w:p>
    <w:p w14:paraId="6B9DF3D7">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25.</w:t>
      </w:r>
      <w:r>
        <w:rPr>
          <w:rFonts w:hint="eastAsia" w:ascii="宋体" w:hAnsi="宋体" w:cs="宋体"/>
          <w:b/>
          <w:bCs/>
          <w:sz w:val="28"/>
          <w:szCs w:val="28"/>
          <w:lang w:val="zh-CN"/>
        </w:rPr>
        <w:t>计量单位</w:t>
      </w:r>
    </w:p>
    <w:p w14:paraId="1C864508">
      <w:pPr>
        <w:autoSpaceDE w:val="0"/>
        <w:autoSpaceDN w:val="0"/>
        <w:adjustRightInd w:val="0"/>
        <w:spacing w:line="360" w:lineRule="auto"/>
        <w:ind w:firstLine="480"/>
        <w:rPr>
          <w:rFonts w:ascii="宋体" w:hAnsi="宋体" w:cs="宋体"/>
        </w:rPr>
      </w:pPr>
      <w:r>
        <w:rPr>
          <w:rFonts w:hint="eastAsia" w:ascii="宋体" w:hAnsi="宋体" w:cs="宋体"/>
          <w:lang w:val="zh-CN"/>
        </w:rPr>
        <w:t>除技术规范中另有规定外</w:t>
      </w:r>
      <w:r>
        <w:rPr>
          <w:rFonts w:hint="eastAsia" w:ascii="宋体" w:hAnsi="宋体" w:cs="宋体"/>
        </w:rPr>
        <w:t>,</w:t>
      </w:r>
      <w:r>
        <w:rPr>
          <w:rFonts w:hint="eastAsia" w:ascii="宋体" w:hAnsi="宋体" w:cs="宋体"/>
          <w:lang w:val="zh-CN"/>
        </w:rPr>
        <w:t>计量单位均使用国家法定计量单位。</w:t>
      </w:r>
    </w:p>
    <w:p w14:paraId="33D6061E">
      <w:pPr>
        <w:autoSpaceDE w:val="0"/>
        <w:autoSpaceDN w:val="0"/>
        <w:adjustRightInd w:val="0"/>
        <w:spacing w:line="360" w:lineRule="auto"/>
        <w:rPr>
          <w:rFonts w:ascii="宋体" w:hAnsi="宋体" w:cs="宋体"/>
          <w:b/>
          <w:bCs/>
          <w:sz w:val="28"/>
          <w:szCs w:val="28"/>
        </w:rPr>
      </w:pPr>
      <w:r>
        <w:rPr>
          <w:rFonts w:hint="eastAsia" w:ascii="宋体" w:hAnsi="宋体" w:cs="宋体"/>
          <w:b/>
          <w:bCs/>
          <w:sz w:val="28"/>
          <w:szCs w:val="28"/>
        </w:rPr>
        <w:t>26.</w:t>
      </w:r>
      <w:r>
        <w:rPr>
          <w:rFonts w:hint="eastAsia" w:ascii="宋体" w:hAnsi="宋体" w:cs="宋体"/>
          <w:b/>
          <w:bCs/>
          <w:sz w:val="28"/>
          <w:szCs w:val="28"/>
          <w:lang w:val="zh-CN"/>
        </w:rPr>
        <w:t>适用法律</w:t>
      </w:r>
    </w:p>
    <w:p w14:paraId="6B11E4C6">
      <w:pPr>
        <w:autoSpaceDE w:val="0"/>
        <w:autoSpaceDN w:val="0"/>
        <w:adjustRightInd w:val="0"/>
        <w:spacing w:line="360" w:lineRule="auto"/>
        <w:ind w:firstLine="480"/>
        <w:rPr>
          <w:rFonts w:ascii="宋体" w:hAnsi="宋体" w:cs="宋体"/>
          <w:sz w:val="28"/>
          <w:szCs w:val="28"/>
        </w:rPr>
      </w:pPr>
      <w:r>
        <w:rPr>
          <w:rFonts w:hint="eastAsia" w:ascii="宋体" w:hAnsi="宋体" w:cs="宋体"/>
          <w:lang w:val="zh-CN"/>
        </w:rPr>
        <w:t>本合同按照中华人民共和国的相关法律进行解释。</w:t>
      </w:r>
    </w:p>
    <w:p w14:paraId="284A9E6A">
      <w:pPr>
        <w:autoSpaceDE w:val="0"/>
        <w:autoSpaceDN w:val="0"/>
        <w:adjustRightInd w:val="0"/>
        <w:spacing w:line="400" w:lineRule="exact"/>
        <w:rPr>
          <w:rFonts w:ascii="宋体" w:hAnsi="宋体" w:cs="宋体"/>
          <w:sz w:val="28"/>
          <w:szCs w:val="28"/>
        </w:rPr>
      </w:pPr>
    </w:p>
    <w:p w14:paraId="3DBA819F">
      <w:pPr>
        <w:autoSpaceDE w:val="0"/>
        <w:autoSpaceDN w:val="0"/>
        <w:adjustRightInd w:val="0"/>
        <w:spacing w:line="400" w:lineRule="exact"/>
        <w:rPr>
          <w:rFonts w:ascii="宋体" w:hAnsi="宋体" w:cs="宋体"/>
          <w:sz w:val="28"/>
          <w:szCs w:val="28"/>
        </w:rPr>
      </w:pPr>
    </w:p>
    <w:p w14:paraId="634DA004">
      <w:pPr>
        <w:autoSpaceDE w:val="0"/>
        <w:autoSpaceDN w:val="0"/>
        <w:adjustRightInd w:val="0"/>
        <w:spacing w:line="400" w:lineRule="exact"/>
        <w:rPr>
          <w:rFonts w:ascii="宋体" w:hAnsi="宋体" w:cs="宋体"/>
          <w:sz w:val="28"/>
          <w:szCs w:val="28"/>
        </w:rPr>
      </w:pPr>
    </w:p>
    <w:p w14:paraId="08C67BBE">
      <w:pPr>
        <w:autoSpaceDE w:val="0"/>
        <w:autoSpaceDN w:val="0"/>
        <w:adjustRightInd w:val="0"/>
        <w:spacing w:line="400" w:lineRule="exact"/>
        <w:rPr>
          <w:rFonts w:ascii="宋体" w:hAnsi="宋体" w:cs="宋体"/>
          <w:sz w:val="28"/>
          <w:szCs w:val="28"/>
        </w:rPr>
      </w:pPr>
    </w:p>
    <w:p w14:paraId="18FB5B44">
      <w:pPr>
        <w:tabs>
          <w:tab w:val="left" w:pos="425"/>
          <w:tab w:val="left" w:pos="4265"/>
        </w:tabs>
        <w:spacing w:line="360" w:lineRule="auto"/>
        <w:jc w:val="center"/>
        <w:outlineLvl w:val="0"/>
        <w:rPr>
          <w:rFonts w:ascii="宋体" w:hAnsi="宋体" w:cs="宋体"/>
          <w:b/>
          <w:bCs/>
          <w:sz w:val="28"/>
          <w:szCs w:val="28"/>
          <w:lang w:val="zh-CN"/>
        </w:rPr>
      </w:pPr>
      <w:bookmarkStart w:id="19" w:name="_Toc22056"/>
      <w:r>
        <w:rPr>
          <w:rFonts w:hint="eastAsia" w:ascii="宋体" w:hAnsi="宋体" w:cs="宋体"/>
          <w:b/>
          <w:bCs/>
          <w:sz w:val="28"/>
          <w:szCs w:val="28"/>
        </w:rPr>
        <w:br w:type="column"/>
      </w:r>
      <w:r>
        <w:rPr>
          <w:rFonts w:hint="eastAsia" w:ascii="宋体" w:hAnsi="宋体" w:cs="宋体"/>
          <w:b/>
          <w:bCs/>
          <w:sz w:val="28"/>
          <w:szCs w:val="28"/>
        </w:rPr>
        <w:t xml:space="preserve">第六部分 </w:t>
      </w:r>
      <w:r>
        <w:rPr>
          <w:rFonts w:hint="eastAsia" w:ascii="宋体" w:hAnsi="宋体" w:cs="宋体"/>
          <w:b/>
          <w:bCs/>
          <w:sz w:val="28"/>
          <w:szCs w:val="28"/>
          <w:lang w:val="zh-CN"/>
        </w:rPr>
        <w:t>响应文件（格式）</w:t>
      </w:r>
      <w:bookmarkEnd w:id="19"/>
    </w:p>
    <w:p w14:paraId="067D1F64">
      <w:pPr>
        <w:rPr>
          <w:rFonts w:ascii="宋体" w:hAnsi="宋体" w:cs="宋体"/>
          <w:b/>
          <w:sz w:val="72"/>
        </w:rPr>
      </w:pPr>
    </w:p>
    <w:p w14:paraId="727A8FCF">
      <w:pPr>
        <w:rPr>
          <w:rFonts w:ascii="宋体" w:hAnsi="宋体" w:cs="宋体"/>
          <w:b/>
          <w:sz w:val="72"/>
        </w:rPr>
      </w:pPr>
    </w:p>
    <w:p w14:paraId="56778EB2">
      <w:pPr>
        <w:keepNext/>
        <w:keepLines/>
        <w:widowControl/>
        <w:snapToGrid w:val="0"/>
        <w:spacing w:line="400" w:lineRule="atLeast"/>
        <w:ind w:left="0" w:leftChars="0" w:firstLine="0" w:firstLineChars="0"/>
        <w:jc w:val="center"/>
        <w:outlineLvl w:val="0"/>
        <w:rPr>
          <w:rFonts w:hint="default" w:ascii="宋体" w:hAnsi="宋体"/>
          <w:b/>
          <w:color w:val="auto"/>
          <w:kern w:val="28"/>
          <w:sz w:val="36"/>
          <w:szCs w:val="20"/>
          <w:lang w:val="en-US" w:eastAsia="zh-CN"/>
        </w:rPr>
      </w:pPr>
      <w:r>
        <w:rPr>
          <w:rFonts w:hint="eastAsia" w:ascii="宋体" w:hAnsi="宋体"/>
          <w:b/>
          <w:color w:val="auto"/>
          <w:kern w:val="28"/>
          <w:sz w:val="36"/>
          <w:szCs w:val="20"/>
          <w:lang w:val="en-US" w:eastAsia="zh-CN"/>
        </w:rPr>
        <w:t>(本</w:t>
      </w:r>
      <w:r>
        <w:rPr>
          <w:rFonts w:hint="eastAsia" w:ascii="宋体" w:hAnsi="宋体"/>
          <w:b/>
          <w:color w:val="auto"/>
          <w:kern w:val="28"/>
          <w:sz w:val="36"/>
          <w:szCs w:val="20"/>
        </w:rPr>
        <w:t>磋商响应文件格式</w:t>
      </w:r>
      <w:r>
        <w:rPr>
          <w:rFonts w:hint="eastAsia" w:ascii="宋体" w:hAnsi="宋体"/>
          <w:b/>
          <w:color w:val="auto"/>
          <w:kern w:val="28"/>
          <w:sz w:val="36"/>
          <w:szCs w:val="20"/>
          <w:lang w:val="en-US" w:eastAsia="zh-CN"/>
        </w:rPr>
        <w:t>只适应于本项目包一)</w:t>
      </w:r>
    </w:p>
    <w:p w14:paraId="6128FF6A">
      <w:pPr>
        <w:rPr>
          <w:rFonts w:ascii="宋体" w:hAnsi="宋体" w:cs="宋体"/>
          <w:b/>
          <w:sz w:val="72"/>
        </w:rPr>
      </w:pPr>
    </w:p>
    <w:p w14:paraId="022E8E7F">
      <w:pPr>
        <w:rPr>
          <w:rFonts w:ascii="宋体" w:hAnsi="宋体" w:cs="宋体"/>
          <w:b/>
          <w:sz w:val="72"/>
        </w:rPr>
      </w:pPr>
    </w:p>
    <w:p w14:paraId="79837576">
      <w:pPr>
        <w:rPr>
          <w:rFonts w:ascii="宋体" w:hAnsi="宋体" w:cs="宋体"/>
          <w:b/>
          <w:sz w:val="72"/>
        </w:rPr>
      </w:pPr>
    </w:p>
    <w:p w14:paraId="7B266D10">
      <w:pPr>
        <w:rPr>
          <w:rFonts w:ascii="宋体" w:hAnsi="宋体" w:cs="宋体"/>
          <w:b/>
          <w:sz w:val="72"/>
        </w:rPr>
      </w:pPr>
    </w:p>
    <w:p w14:paraId="4EE227B9">
      <w:pPr>
        <w:rPr>
          <w:rFonts w:ascii="宋体" w:hAnsi="宋体" w:cs="宋体"/>
          <w:b/>
          <w:sz w:val="72"/>
        </w:rPr>
      </w:pPr>
    </w:p>
    <w:p w14:paraId="1761B3F0">
      <w:pPr>
        <w:rPr>
          <w:rFonts w:ascii="宋体" w:hAnsi="宋体" w:cs="宋体"/>
          <w:b/>
          <w:sz w:val="72"/>
        </w:rPr>
      </w:pPr>
    </w:p>
    <w:p w14:paraId="4C00C83D">
      <w:pPr>
        <w:rPr>
          <w:rFonts w:ascii="宋体" w:hAnsi="宋体" w:cs="宋体"/>
          <w:b/>
          <w:sz w:val="72"/>
        </w:rPr>
      </w:pPr>
    </w:p>
    <w:p w14:paraId="47E6EA96">
      <w:pPr>
        <w:rPr>
          <w:rFonts w:ascii="宋体" w:hAnsi="宋体" w:cs="宋体"/>
          <w:b/>
          <w:sz w:val="72"/>
        </w:rPr>
      </w:pPr>
    </w:p>
    <w:p w14:paraId="55783F20">
      <w:pPr>
        <w:rPr>
          <w:rFonts w:ascii="宋体" w:hAnsi="宋体" w:cs="宋体"/>
          <w:b/>
          <w:sz w:val="72"/>
        </w:rPr>
      </w:pPr>
    </w:p>
    <w:p w14:paraId="1FC28CAC">
      <w:pPr>
        <w:rPr>
          <w:rFonts w:ascii="宋体" w:hAnsi="宋体" w:cs="宋体"/>
          <w:b/>
          <w:sz w:val="72"/>
        </w:rPr>
      </w:pPr>
    </w:p>
    <w:p w14:paraId="4737A842">
      <w:pPr>
        <w:rPr>
          <w:rFonts w:ascii="宋体" w:hAnsi="宋体" w:cs="宋体"/>
          <w:b/>
          <w:sz w:val="72"/>
        </w:rPr>
      </w:pPr>
    </w:p>
    <w:p w14:paraId="0E92BCF6">
      <w:pPr>
        <w:rPr>
          <w:rFonts w:ascii="宋体" w:hAnsi="宋体" w:cs="宋体"/>
          <w:b/>
          <w:sz w:val="72"/>
        </w:rPr>
      </w:pPr>
    </w:p>
    <w:p w14:paraId="4F2506C4">
      <w:pPr>
        <w:jc w:val="center"/>
        <w:rPr>
          <w:rFonts w:ascii="宋体" w:hAnsi="宋体" w:cs="宋体"/>
          <w:b/>
          <w:sz w:val="72"/>
        </w:rPr>
      </w:pPr>
      <w:r>
        <w:rPr>
          <w:rFonts w:hint="eastAsia" w:ascii="宋体" w:hAnsi="宋体" w:cs="宋体"/>
          <w:b/>
          <w:sz w:val="72"/>
        </w:rPr>
        <w:t>政府采购项目</w:t>
      </w:r>
    </w:p>
    <w:p w14:paraId="6C961F30">
      <w:pPr>
        <w:jc w:val="center"/>
        <w:rPr>
          <w:rFonts w:ascii="宋体" w:hAnsi="宋体" w:cs="宋体"/>
          <w:b/>
          <w:sz w:val="72"/>
        </w:rPr>
      </w:pPr>
      <w:r>
        <w:rPr>
          <w:rFonts w:hint="eastAsia" w:ascii="宋体" w:hAnsi="宋体" w:cs="宋体"/>
          <w:b/>
          <w:sz w:val="72"/>
        </w:rPr>
        <w:t>响 应 文 件</w:t>
      </w:r>
    </w:p>
    <w:p w14:paraId="566E78FE">
      <w:pPr>
        <w:jc w:val="center"/>
        <w:rPr>
          <w:rFonts w:ascii="宋体" w:hAnsi="宋体" w:cs="宋体"/>
          <w:b/>
          <w:sz w:val="44"/>
        </w:rPr>
      </w:pPr>
      <w:r>
        <w:rPr>
          <w:rFonts w:hint="eastAsia" w:ascii="宋体" w:hAnsi="宋体" w:cs="宋体"/>
          <w:b/>
          <w:sz w:val="44"/>
        </w:rPr>
        <w:t>（封面）</w:t>
      </w:r>
    </w:p>
    <w:p w14:paraId="24BD9166">
      <w:pPr>
        <w:jc w:val="center"/>
        <w:rPr>
          <w:rFonts w:ascii="宋体" w:hAnsi="宋体" w:cs="宋体"/>
          <w:b/>
          <w:sz w:val="36"/>
        </w:rPr>
      </w:pPr>
    </w:p>
    <w:p w14:paraId="3BC6C124">
      <w:pPr>
        <w:jc w:val="center"/>
        <w:rPr>
          <w:rFonts w:ascii="宋体" w:hAnsi="宋体" w:cs="宋体"/>
          <w:b/>
          <w:sz w:val="36"/>
        </w:rPr>
      </w:pPr>
    </w:p>
    <w:p w14:paraId="401B5295">
      <w:pPr>
        <w:jc w:val="center"/>
        <w:rPr>
          <w:rFonts w:ascii="宋体" w:hAnsi="宋体" w:cs="宋体"/>
          <w:b/>
          <w:sz w:val="36"/>
        </w:rPr>
      </w:pPr>
    </w:p>
    <w:p w14:paraId="0C368FC5">
      <w:pPr>
        <w:jc w:val="center"/>
        <w:rPr>
          <w:rFonts w:ascii="宋体" w:hAnsi="宋体" w:cs="宋体"/>
          <w:b/>
          <w:sz w:val="36"/>
        </w:rPr>
      </w:pPr>
    </w:p>
    <w:p w14:paraId="179FF564">
      <w:pPr>
        <w:ind w:firstLine="1970" w:firstLineChars="545"/>
        <w:rPr>
          <w:rFonts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14:paraId="2D8F1FC0">
      <w:pPr>
        <w:ind w:firstLine="1970" w:firstLineChars="545"/>
        <w:rPr>
          <w:rFonts w:ascii="宋体" w:hAnsi="宋体" w:cs="宋体"/>
          <w:b/>
          <w:sz w:val="36"/>
          <w:u w:val="single"/>
        </w:rPr>
      </w:pPr>
      <w:r>
        <w:rPr>
          <w:rFonts w:hint="eastAsia" w:ascii="宋体" w:hAnsi="宋体" w:cs="宋体"/>
          <w:b/>
          <w:sz w:val="36"/>
        </w:rPr>
        <w:t>项目编号：</w:t>
      </w:r>
      <w:r>
        <w:rPr>
          <w:rFonts w:hint="eastAsia" w:ascii="宋体" w:hAnsi="宋体" w:cs="宋体"/>
          <w:b/>
          <w:sz w:val="36"/>
          <w:u w:val="single"/>
        </w:rPr>
        <w:t xml:space="preserve">               </w:t>
      </w:r>
    </w:p>
    <w:p w14:paraId="299E9522">
      <w:pPr>
        <w:spacing w:line="360" w:lineRule="auto"/>
        <w:jc w:val="center"/>
        <w:rPr>
          <w:rFonts w:ascii="宋体" w:hAnsi="宋体" w:cs="宋体"/>
          <w:b/>
          <w:sz w:val="36"/>
        </w:rPr>
      </w:pPr>
    </w:p>
    <w:p w14:paraId="3D8455CE">
      <w:pPr>
        <w:spacing w:line="360" w:lineRule="auto"/>
        <w:jc w:val="center"/>
        <w:rPr>
          <w:rFonts w:ascii="宋体" w:hAnsi="宋体" w:cs="宋体"/>
          <w:b/>
          <w:sz w:val="36"/>
        </w:rPr>
      </w:pPr>
    </w:p>
    <w:p w14:paraId="155D7841">
      <w:pPr>
        <w:jc w:val="center"/>
        <w:rPr>
          <w:rFonts w:ascii="宋体" w:hAnsi="宋体" w:cs="宋体"/>
          <w:b/>
          <w:sz w:val="36"/>
        </w:rPr>
      </w:pPr>
      <w:r>
        <w:rPr>
          <w:rFonts w:hint="eastAsia" w:ascii="宋体" w:hAnsi="宋体" w:cs="宋体"/>
          <w:b/>
          <w:sz w:val="36"/>
        </w:rPr>
        <w:t>（正本）</w:t>
      </w:r>
    </w:p>
    <w:p w14:paraId="635CEB9B">
      <w:pPr>
        <w:rPr>
          <w:rFonts w:ascii="宋体" w:hAnsi="宋体" w:cs="宋体"/>
          <w:b/>
          <w:sz w:val="36"/>
        </w:rPr>
      </w:pPr>
    </w:p>
    <w:p w14:paraId="76FB0565">
      <w:pPr>
        <w:rPr>
          <w:rFonts w:ascii="宋体" w:hAnsi="宋体" w:cs="宋体"/>
          <w:b/>
          <w:sz w:val="36"/>
        </w:rPr>
      </w:pPr>
    </w:p>
    <w:p w14:paraId="21A63DCE">
      <w:pPr>
        <w:rPr>
          <w:rFonts w:ascii="宋体" w:hAnsi="宋体" w:cs="宋体"/>
          <w:b/>
          <w:sz w:val="36"/>
        </w:rPr>
      </w:pPr>
    </w:p>
    <w:p w14:paraId="450F26F2">
      <w:pPr>
        <w:rPr>
          <w:rFonts w:ascii="宋体" w:hAnsi="宋体" w:cs="宋体"/>
          <w:b/>
          <w:sz w:val="36"/>
        </w:rPr>
      </w:pPr>
    </w:p>
    <w:p w14:paraId="04E3022A">
      <w:pPr>
        <w:pStyle w:val="15"/>
        <w:ind w:firstLine="0" w:firstLineChars="0"/>
      </w:pPr>
    </w:p>
    <w:p w14:paraId="0A167B3A">
      <w:pPr>
        <w:rPr>
          <w:rFonts w:ascii="宋体" w:hAnsi="宋体" w:cs="宋体"/>
          <w:b/>
          <w:sz w:val="36"/>
        </w:rPr>
      </w:pPr>
    </w:p>
    <w:p w14:paraId="02BBC66E">
      <w:pPr>
        <w:autoSpaceDE w:val="0"/>
        <w:autoSpaceDN w:val="0"/>
        <w:spacing w:line="360" w:lineRule="auto"/>
        <w:rPr>
          <w:rFonts w:ascii="宋体" w:hAnsi="宋体" w:cs="宋体"/>
          <w:b/>
          <w:bCs/>
          <w:color w:val="000000"/>
          <w:sz w:val="32"/>
          <w:szCs w:val="32"/>
        </w:rPr>
      </w:pPr>
      <w:r>
        <w:rPr>
          <w:rFonts w:hint="eastAsia" w:ascii="宋体" w:hAnsi="宋体" w:cs="宋体"/>
          <w:b/>
          <w:sz w:val="32"/>
        </w:rPr>
        <w:t xml:space="preserve">    </w:t>
      </w:r>
      <w:r>
        <w:rPr>
          <w:rFonts w:hint="eastAsia" w:ascii="宋体" w:hAnsi="宋体" w:cs="宋体"/>
          <w:b/>
          <w:bCs/>
          <w:color w:val="000000"/>
          <w:sz w:val="32"/>
          <w:szCs w:val="32"/>
        </w:rPr>
        <w:t>供应商名称</w:t>
      </w:r>
      <w:r>
        <w:rPr>
          <w:rFonts w:hint="eastAsia" w:ascii="宋体" w:hAnsi="宋体" w:cs="宋体"/>
          <w:b/>
          <w:bCs/>
          <w:color w:val="000000"/>
          <w:sz w:val="32"/>
          <w:szCs w:val="32"/>
          <w:lang w:val="zh-CN"/>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w:t>
      </w:r>
      <w:r>
        <w:rPr>
          <w:rFonts w:hint="eastAsia" w:ascii="宋体" w:hAnsi="宋体" w:cs="宋体"/>
          <w:b/>
          <w:bCs/>
          <w:color w:val="000000"/>
          <w:sz w:val="32"/>
          <w:szCs w:val="32"/>
          <w:lang w:val="zh-CN"/>
        </w:rPr>
        <w:t>公章）</w:t>
      </w:r>
    </w:p>
    <w:p w14:paraId="1B8A12D4">
      <w:pPr>
        <w:autoSpaceDE w:val="0"/>
        <w:autoSpaceDN w:val="0"/>
        <w:spacing w:line="360" w:lineRule="auto"/>
        <w:rPr>
          <w:rFonts w:ascii="宋体" w:hAnsi="宋体" w:cs="宋体"/>
          <w:b/>
          <w:bCs/>
          <w:color w:val="000000"/>
          <w:sz w:val="32"/>
          <w:szCs w:val="32"/>
        </w:rPr>
      </w:pP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法定代表人或委托代理人：</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lang w:val="zh-CN"/>
        </w:rPr>
        <w:t>（签字或盖章）</w:t>
      </w:r>
    </w:p>
    <w:p w14:paraId="0A4B10B9">
      <w:pPr>
        <w:autoSpaceDE w:val="0"/>
        <w:autoSpaceDN w:val="0"/>
        <w:spacing w:line="360" w:lineRule="auto"/>
        <w:rPr>
          <w:rFonts w:ascii="宋体" w:hAnsi="宋体" w:cs="宋体"/>
          <w:b/>
          <w:bCs/>
          <w:color w:val="000000"/>
          <w:sz w:val="32"/>
          <w:szCs w:val="32"/>
          <w:lang w:val="zh-CN"/>
        </w:rPr>
      </w:pP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年</w:t>
      </w: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月</w:t>
      </w: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日</w:t>
      </w:r>
    </w:p>
    <w:p w14:paraId="4B4DE0D9">
      <w:pPr>
        <w:spacing w:line="500" w:lineRule="exact"/>
        <w:ind w:firstLine="790" w:firstLineChars="246"/>
        <w:rPr>
          <w:rFonts w:ascii="宋体" w:hAnsi="宋体" w:cs="宋体"/>
          <w:b/>
          <w:sz w:val="32"/>
        </w:rPr>
        <w:sectPr>
          <w:headerReference r:id="rId8" w:type="default"/>
          <w:footerReference r:id="rId9" w:type="default"/>
          <w:footerReference r:id="rId10" w:type="even"/>
          <w:type w:val="continuous"/>
          <w:pgSz w:w="11907" w:h="16840"/>
          <w:pgMar w:top="1440" w:right="1707" w:bottom="1440" w:left="1560" w:header="851" w:footer="992" w:gutter="0"/>
          <w:pgNumType w:fmt="decimal"/>
          <w:cols w:space="720" w:num="1"/>
          <w:docGrid w:linePitch="326" w:charSpace="0"/>
        </w:sectPr>
      </w:pPr>
    </w:p>
    <w:p w14:paraId="3B14CD1A">
      <w:pPr>
        <w:tabs>
          <w:tab w:val="left" w:pos="900"/>
        </w:tabs>
        <w:spacing w:line="360" w:lineRule="auto"/>
        <w:jc w:val="center"/>
        <w:rPr>
          <w:rFonts w:ascii="宋体" w:hAnsi="宋体" w:cs="宋体"/>
          <w:b/>
          <w:sz w:val="32"/>
        </w:rPr>
      </w:pPr>
      <w:r>
        <w:rPr>
          <w:rFonts w:hint="eastAsia" w:ascii="宋体" w:hAnsi="宋体" w:cs="宋体"/>
          <w:b/>
          <w:sz w:val="32"/>
        </w:rPr>
        <w:t xml:space="preserve">       资格性响应文件（格式）</w:t>
      </w:r>
    </w:p>
    <w:p w14:paraId="588F89E9">
      <w:pPr>
        <w:spacing w:line="360" w:lineRule="auto"/>
        <w:jc w:val="center"/>
        <w:rPr>
          <w:rFonts w:ascii="宋体" w:hAnsi="宋体" w:cs="宋体"/>
        </w:rPr>
      </w:pPr>
      <w:r>
        <w:rPr>
          <w:rFonts w:hint="eastAsia" w:ascii="宋体" w:hAnsi="宋体" w:cs="宋体"/>
          <w:b/>
        </w:rPr>
        <w:t>一、供应商的资格证明文件</w:t>
      </w:r>
    </w:p>
    <w:p w14:paraId="5EB3F8D6">
      <w:pPr>
        <w:spacing w:line="360" w:lineRule="auto"/>
        <w:rPr>
          <w:rFonts w:ascii="宋体" w:hAnsi="宋体" w:cs="宋体"/>
          <w:b/>
          <w:sz w:val="28"/>
          <w:szCs w:val="28"/>
        </w:rPr>
      </w:pPr>
      <w:r>
        <w:rPr>
          <w:rFonts w:hint="eastAsia" w:ascii="宋体" w:hAnsi="宋体" w:cs="宋体"/>
          <w:b/>
        </w:rPr>
        <w:t>附件1－1法定代表人证明书</w:t>
      </w:r>
    </w:p>
    <w:p w14:paraId="7060EDEB">
      <w:pPr>
        <w:ind w:firstLine="723"/>
        <w:jc w:val="center"/>
        <w:rPr>
          <w:rFonts w:ascii="宋体" w:hAnsi="宋体" w:cs="宋体"/>
          <w:b/>
          <w:bCs/>
          <w:sz w:val="36"/>
          <w:szCs w:val="36"/>
        </w:rPr>
      </w:pPr>
    </w:p>
    <w:p w14:paraId="4C774116">
      <w:pPr>
        <w:ind w:firstLine="723"/>
        <w:jc w:val="center"/>
        <w:rPr>
          <w:rFonts w:ascii="宋体" w:hAnsi="宋体" w:cs="宋体"/>
          <w:b/>
          <w:bCs/>
          <w:sz w:val="36"/>
          <w:szCs w:val="36"/>
        </w:rPr>
      </w:pPr>
      <w:r>
        <w:rPr>
          <w:rFonts w:hint="eastAsia" w:ascii="宋体" w:hAnsi="宋体" w:cs="宋体"/>
          <w:b/>
          <w:bCs/>
          <w:sz w:val="36"/>
          <w:szCs w:val="36"/>
        </w:rPr>
        <w:t>法定代表人证明书</w:t>
      </w:r>
    </w:p>
    <w:p w14:paraId="7BD6D52B">
      <w:pPr>
        <w:rPr>
          <w:rFonts w:ascii="宋体" w:hAnsi="宋体" w:cs="宋体"/>
          <w:b/>
          <w:bCs/>
        </w:rPr>
      </w:pPr>
    </w:p>
    <w:p w14:paraId="321322A7">
      <w:pPr>
        <w:rPr>
          <w:rFonts w:ascii="宋体" w:hAnsi="宋体" w:cs="宋体"/>
          <w:b/>
          <w:bCs/>
          <w:u w:val="single"/>
        </w:rPr>
      </w:pPr>
      <w:r>
        <w:rPr>
          <w:rFonts w:hint="eastAsia" w:ascii="宋体" w:hAnsi="宋体" w:cs="宋体"/>
          <w:b/>
          <w:bCs/>
        </w:rPr>
        <w:t>致：</w:t>
      </w:r>
      <w:r>
        <w:rPr>
          <w:rFonts w:hint="eastAsia" w:ascii="宋体" w:hAnsi="宋体" w:cs="宋体"/>
          <w:b/>
          <w:bCs/>
          <w:u w:val="single"/>
        </w:rPr>
        <w:t xml:space="preserve">                         </w:t>
      </w:r>
    </w:p>
    <w:p w14:paraId="6A48BBA7">
      <w:pPr>
        <w:pStyle w:val="21"/>
        <w:rPr>
          <w:rFonts w:ascii="宋体" w:hAnsi="宋体" w:cs="宋体"/>
        </w:rPr>
      </w:pPr>
    </w:p>
    <w:p w14:paraId="4AAD53F5">
      <w:pPr>
        <w:autoSpaceDE w:val="0"/>
        <w:autoSpaceDN w:val="0"/>
        <w:adjustRightInd w:val="0"/>
        <w:spacing w:line="360" w:lineRule="auto"/>
        <w:ind w:firstLine="480"/>
        <w:rPr>
          <w:rFonts w:ascii="宋体" w:hAnsi="宋体" w:cs="宋体"/>
        </w:rPr>
      </w:pPr>
      <w:r>
        <w:rPr>
          <w:rFonts w:hint="eastAsia" w:ascii="宋体" w:hAnsi="宋体" w:cs="宋体"/>
          <w:u w:val="single"/>
        </w:rPr>
        <w:t xml:space="preserve">  （法定代表人姓名）  </w:t>
      </w:r>
      <w:r>
        <w:rPr>
          <w:rFonts w:hint="eastAsia" w:ascii="宋体" w:hAnsi="宋体" w:cs="宋体"/>
        </w:rPr>
        <w:t>现任我单位</w:t>
      </w:r>
      <w:r>
        <w:rPr>
          <w:rFonts w:hint="eastAsia" w:ascii="宋体" w:hAnsi="宋体" w:cs="宋体"/>
          <w:u w:val="single"/>
        </w:rPr>
        <w:t xml:space="preserve">              </w:t>
      </w:r>
      <w:r>
        <w:rPr>
          <w:rFonts w:hint="eastAsia" w:ascii="宋体" w:hAnsi="宋体" w:cs="宋体"/>
        </w:rPr>
        <w:t>职务，为法定代表人，特此证明。</w:t>
      </w:r>
    </w:p>
    <w:p w14:paraId="5D22AEB4">
      <w:pPr>
        <w:autoSpaceDE w:val="0"/>
        <w:autoSpaceDN w:val="0"/>
        <w:adjustRightInd w:val="0"/>
        <w:spacing w:line="360" w:lineRule="auto"/>
        <w:ind w:firstLine="480"/>
        <w:rPr>
          <w:rFonts w:ascii="宋体" w:hAnsi="宋体" w:cs="宋体"/>
        </w:rPr>
      </w:pPr>
    </w:p>
    <w:p w14:paraId="4A70D2DB">
      <w:pPr>
        <w:autoSpaceDE w:val="0"/>
        <w:autoSpaceDN w:val="0"/>
        <w:adjustRightInd w:val="0"/>
        <w:spacing w:line="360" w:lineRule="auto"/>
        <w:ind w:firstLine="480"/>
        <w:rPr>
          <w:rFonts w:ascii="宋体" w:hAnsi="宋体" w:cs="宋体"/>
        </w:rPr>
      </w:pPr>
      <w:r>
        <w:rPr>
          <w:rFonts w:hint="eastAsia" w:ascii="宋体" w:hAnsi="宋体" w:cs="宋体"/>
        </w:rPr>
        <w:t>法定代表人基本情况：</w:t>
      </w:r>
    </w:p>
    <w:p w14:paraId="0920DFB9">
      <w:pPr>
        <w:autoSpaceDE w:val="0"/>
        <w:autoSpaceDN w:val="0"/>
        <w:adjustRightInd w:val="0"/>
        <w:spacing w:line="360" w:lineRule="auto"/>
        <w:ind w:firstLine="480"/>
        <w:rPr>
          <w:rFonts w:ascii="宋体" w:hAnsi="宋体" w:cs="宋体"/>
        </w:rPr>
      </w:pPr>
      <w:r>
        <w:rPr>
          <w:rFonts w:hint="eastAsia" w:ascii="宋体" w:hAnsi="宋体" w:cs="宋体"/>
        </w:rPr>
        <w:t>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民族：</w:t>
      </w:r>
      <w:r>
        <w:rPr>
          <w:rFonts w:hint="eastAsia" w:ascii="宋体" w:hAnsi="宋体" w:cs="宋体"/>
          <w:u w:val="single"/>
        </w:rPr>
        <w:t xml:space="preserve">     </w:t>
      </w:r>
    </w:p>
    <w:p w14:paraId="40D5E837">
      <w:pPr>
        <w:autoSpaceDE w:val="0"/>
        <w:autoSpaceDN w:val="0"/>
        <w:adjustRightInd w:val="0"/>
        <w:spacing w:line="360" w:lineRule="auto"/>
        <w:ind w:firstLine="480"/>
        <w:rPr>
          <w:rFonts w:ascii="宋体" w:hAnsi="宋体" w:cs="宋体"/>
        </w:rPr>
      </w:pPr>
      <w:r>
        <w:rPr>
          <w:rFonts w:hint="eastAsia" w:ascii="宋体" w:hAnsi="宋体" w:cs="宋体"/>
        </w:rPr>
        <w:t>地址：</w:t>
      </w:r>
      <w:r>
        <w:rPr>
          <w:rFonts w:hint="eastAsia" w:ascii="宋体" w:hAnsi="宋体" w:cs="宋体"/>
          <w:u w:val="single"/>
        </w:rPr>
        <w:t xml:space="preserve">                 </w:t>
      </w:r>
    </w:p>
    <w:p w14:paraId="6A6A3130">
      <w:pPr>
        <w:autoSpaceDE w:val="0"/>
        <w:autoSpaceDN w:val="0"/>
        <w:adjustRightInd w:val="0"/>
        <w:spacing w:line="360" w:lineRule="auto"/>
        <w:ind w:firstLine="480"/>
        <w:rPr>
          <w:rFonts w:ascii="宋体" w:hAnsi="宋体" w:cs="宋体"/>
          <w:u w:val="single"/>
        </w:rPr>
      </w:pPr>
      <w:r>
        <w:rPr>
          <w:rFonts w:hint="eastAsia" w:ascii="宋体" w:hAnsi="宋体" w:cs="宋体"/>
        </w:rPr>
        <w:t>身份证号码：</w:t>
      </w:r>
      <w:r>
        <w:rPr>
          <w:rFonts w:hint="eastAsia" w:ascii="宋体" w:hAnsi="宋体" w:cs="宋体"/>
          <w:u w:val="single"/>
        </w:rPr>
        <w:t xml:space="preserve">                 </w:t>
      </w:r>
    </w:p>
    <w:p w14:paraId="47F599B0">
      <w:pPr>
        <w:autoSpaceDE w:val="0"/>
        <w:autoSpaceDN w:val="0"/>
        <w:adjustRightInd w:val="0"/>
        <w:spacing w:line="360" w:lineRule="auto"/>
        <w:ind w:firstLine="480"/>
        <w:rPr>
          <w:rFonts w:ascii="宋体" w:hAnsi="宋体" w:cs="宋体"/>
        </w:rPr>
      </w:pPr>
      <w:r>
        <w:rPr>
          <w:rFonts w:hint="eastAsia" w:ascii="宋体" w:hAnsi="宋体" w:cs="宋体"/>
        </w:rPr>
        <w:t>附法定代表人第二代身份证双面扫描（或复印）件</w:t>
      </w:r>
    </w:p>
    <w:p w14:paraId="6558D14F">
      <w:pPr>
        <w:autoSpaceDE w:val="0"/>
        <w:autoSpaceDN w:val="0"/>
        <w:adjustRightInd w:val="0"/>
        <w:ind w:firstLine="480"/>
        <w:rPr>
          <w:rFonts w:ascii="宋体" w:hAnsi="宋体" w:cs="宋体"/>
        </w:rPr>
      </w:pPr>
    </w:p>
    <w:p w14:paraId="15652D3C">
      <w:pPr>
        <w:autoSpaceDE w:val="0"/>
        <w:autoSpaceDN w:val="0"/>
        <w:adjustRightInd w:val="0"/>
        <w:ind w:firstLine="480"/>
        <w:rPr>
          <w:rFonts w:ascii="宋体" w:hAnsi="宋体" w:cs="宋体"/>
        </w:rPr>
      </w:pPr>
    </w:p>
    <w:p w14:paraId="25D2CABE">
      <w:pPr>
        <w:autoSpaceDE w:val="0"/>
        <w:autoSpaceDN w:val="0"/>
        <w:adjustRightInd w:val="0"/>
        <w:ind w:firstLine="480"/>
        <w:rPr>
          <w:rFonts w:ascii="宋体" w:hAnsi="宋体" w:cs="宋体"/>
        </w:rPr>
      </w:pPr>
    </w:p>
    <w:p w14:paraId="2889AFFD">
      <w:pPr>
        <w:autoSpaceDE w:val="0"/>
        <w:autoSpaceDN w:val="0"/>
        <w:adjustRightInd w:val="0"/>
        <w:ind w:firstLine="480"/>
        <w:rPr>
          <w:rFonts w:ascii="宋体" w:hAnsi="宋体" w:cs="宋体"/>
        </w:rPr>
      </w:pPr>
    </w:p>
    <w:p w14:paraId="750F6F74">
      <w:pPr>
        <w:autoSpaceDE w:val="0"/>
        <w:autoSpaceDN w:val="0"/>
        <w:adjustRightInd w:val="0"/>
        <w:ind w:firstLine="480"/>
        <w:rPr>
          <w:rFonts w:ascii="宋体" w:hAnsi="宋体" w:cs="宋体"/>
        </w:rPr>
      </w:pPr>
    </w:p>
    <w:p w14:paraId="375F5461">
      <w:pPr>
        <w:autoSpaceDE w:val="0"/>
        <w:autoSpaceDN w:val="0"/>
        <w:adjustRightInd w:val="0"/>
        <w:ind w:firstLine="480"/>
        <w:rPr>
          <w:rFonts w:ascii="宋体" w:hAnsi="宋体" w:cs="宋体"/>
        </w:rPr>
      </w:pPr>
    </w:p>
    <w:p w14:paraId="26A6206A">
      <w:pPr>
        <w:autoSpaceDE w:val="0"/>
        <w:autoSpaceDN w:val="0"/>
        <w:adjustRightInd w:val="0"/>
        <w:ind w:firstLine="480"/>
        <w:rPr>
          <w:rFonts w:ascii="宋体" w:hAnsi="宋体" w:cs="宋体"/>
        </w:rPr>
      </w:pPr>
    </w:p>
    <w:p w14:paraId="13294E50">
      <w:pPr>
        <w:autoSpaceDE w:val="0"/>
        <w:autoSpaceDN w:val="0"/>
        <w:adjustRightInd w:val="0"/>
        <w:ind w:firstLine="480"/>
        <w:rPr>
          <w:rFonts w:ascii="宋体" w:hAnsi="宋体" w:cs="宋体"/>
        </w:rPr>
      </w:pPr>
    </w:p>
    <w:p w14:paraId="10C5A3CE">
      <w:pPr>
        <w:autoSpaceDE w:val="0"/>
        <w:autoSpaceDN w:val="0"/>
        <w:adjustRightInd w:val="0"/>
        <w:ind w:firstLine="480"/>
        <w:rPr>
          <w:rFonts w:ascii="宋体" w:hAnsi="宋体" w:cs="宋体"/>
        </w:rPr>
      </w:pPr>
    </w:p>
    <w:p w14:paraId="4CD428D1">
      <w:pPr>
        <w:autoSpaceDE w:val="0"/>
        <w:autoSpaceDN w:val="0"/>
        <w:adjustRightInd w:val="0"/>
        <w:ind w:firstLine="480"/>
        <w:rPr>
          <w:rFonts w:ascii="宋体" w:hAnsi="宋体" w:cs="宋体"/>
        </w:rPr>
      </w:pPr>
    </w:p>
    <w:p w14:paraId="59BED78C">
      <w:pPr>
        <w:autoSpaceDE w:val="0"/>
        <w:autoSpaceDN w:val="0"/>
        <w:adjustRightInd w:val="0"/>
        <w:ind w:firstLine="480"/>
        <w:rPr>
          <w:rFonts w:ascii="宋体" w:hAnsi="宋体" w:cs="宋体"/>
        </w:rPr>
      </w:pPr>
    </w:p>
    <w:p w14:paraId="5BBA71AD">
      <w:pPr>
        <w:autoSpaceDE w:val="0"/>
        <w:autoSpaceDN w:val="0"/>
        <w:adjustRightInd w:val="0"/>
        <w:ind w:firstLine="480"/>
        <w:rPr>
          <w:rFonts w:ascii="宋体" w:hAnsi="宋体" w:cs="宋体"/>
        </w:rPr>
      </w:pPr>
    </w:p>
    <w:p w14:paraId="1FFF30AB">
      <w:pPr>
        <w:autoSpaceDE w:val="0"/>
        <w:autoSpaceDN w:val="0"/>
        <w:adjustRightInd w:val="0"/>
        <w:ind w:firstLine="480"/>
        <w:rPr>
          <w:rFonts w:ascii="宋体" w:hAnsi="宋体" w:cs="宋体"/>
        </w:rPr>
      </w:pPr>
    </w:p>
    <w:p w14:paraId="00E2E7EB">
      <w:pPr>
        <w:pStyle w:val="21"/>
        <w:rPr>
          <w:rFonts w:ascii="宋体" w:hAnsi="宋体" w:cs="宋体"/>
        </w:rPr>
      </w:pPr>
    </w:p>
    <w:p w14:paraId="0FF24FD4">
      <w:pPr>
        <w:autoSpaceDE w:val="0"/>
        <w:autoSpaceDN w:val="0"/>
        <w:adjustRightInd w:val="0"/>
        <w:ind w:firstLine="480"/>
        <w:rPr>
          <w:rFonts w:ascii="宋体" w:hAnsi="宋体" w:cs="宋体"/>
        </w:rPr>
      </w:pPr>
    </w:p>
    <w:p w14:paraId="71A03E11">
      <w:pPr>
        <w:autoSpaceDE w:val="0"/>
        <w:autoSpaceDN w:val="0"/>
        <w:adjustRightInd w:val="0"/>
        <w:rPr>
          <w:rFonts w:ascii="宋体" w:hAnsi="宋体" w:cs="宋体"/>
        </w:rPr>
      </w:pPr>
    </w:p>
    <w:p w14:paraId="44BCC8BA">
      <w:pPr>
        <w:ind w:firstLine="3614" w:firstLineChars="1500"/>
        <w:rPr>
          <w:rFonts w:ascii="宋体" w:hAnsi="宋体" w:cs="宋体"/>
          <w:b/>
        </w:rPr>
      </w:pPr>
      <w:r>
        <w:rPr>
          <w:rFonts w:hint="eastAsia" w:ascii="宋体" w:hAnsi="宋体" w:cs="宋体"/>
          <w:b/>
        </w:rPr>
        <w:t>供应商：</w:t>
      </w:r>
      <w:r>
        <w:rPr>
          <w:rFonts w:hint="eastAsia" w:ascii="宋体" w:hAnsi="宋体" w:cs="宋体"/>
          <w:u w:val="single"/>
        </w:rPr>
        <w:t xml:space="preserve">       </w:t>
      </w:r>
      <w:r>
        <w:rPr>
          <w:rFonts w:hint="eastAsia" w:ascii="宋体" w:hAnsi="宋体" w:cs="宋体"/>
          <w:b/>
        </w:rPr>
        <w:t>（公章）</w:t>
      </w:r>
    </w:p>
    <w:p w14:paraId="3F5F85A3">
      <w:pPr>
        <w:ind w:firstLine="482"/>
        <w:jc w:val="center"/>
        <w:rPr>
          <w:rFonts w:ascii="宋体" w:hAnsi="宋体" w:cs="宋体"/>
          <w:b/>
        </w:rPr>
      </w:pPr>
    </w:p>
    <w:p w14:paraId="1EF26F50">
      <w:pPr>
        <w:ind w:firstLine="482"/>
        <w:jc w:val="center"/>
        <w:rPr>
          <w:rFonts w:ascii="宋体" w:hAnsi="宋体" w:cs="宋体"/>
          <w:b/>
        </w:rPr>
      </w:pPr>
      <w:r>
        <w:rPr>
          <w:rFonts w:hint="eastAsia" w:ascii="宋体" w:hAnsi="宋体" w:cs="宋体"/>
          <w:b/>
        </w:rPr>
        <w:t xml:space="preserve">               年   月   日</w:t>
      </w:r>
    </w:p>
    <w:p w14:paraId="22AEE240">
      <w:pPr>
        <w:rPr>
          <w:rFonts w:ascii="宋体" w:hAnsi="宋体" w:cs="宋体"/>
          <w:b/>
          <w:bCs/>
        </w:rPr>
      </w:pPr>
    </w:p>
    <w:p w14:paraId="1DA2AD80">
      <w:pPr>
        <w:spacing w:line="360" w:lineRule="auto"/>
        <w:ind w:right="480"/>
        <w:jc w:val="center"/>
        <w:rPr>
          <w:rFonts w:ascii="宋体" w:hAnsi="宋体" w:cs="宋体"/>
          <w:b/>
        </w:rPr>
      </w:pPr>
      <w:r>
        <w:rPr>
          <w:rFonts w:hint="eastAsia" w:ascii="宋体" w:hAnsi="宋体" w:cs="宋体"/>
          <w:b/>
        </w:rPr>
        <w:t xml:space="preserve">    </w:t>
      </w:r>
    </w:p>
    <w:p w14:paraId="7A24943B">
      <w:pPr>
        <w:spacing w:line="360" w:lineRule="auto"/>
        <w:ind w:right="480"/>
        <w:jc w:val="both"/>
        <w:rPr>
          <w:rFonts w:ascii="宋体" w:hAnsi="宋体" w:cs="宋体"/>
          <w:b/>
        </w:rPr>
      </w:pPr>
      <w:r>
        <w:rPr>
          <w:rFonts w:hint="eastAsia" w:ascii="宋体" w:hAnsi="宋体" w:cs="宋体"/>
          <w:b/>
        </w:rPr>
        <w:br w:type="page"/>
      </w:r>
      <w:r>
        <w:rPr>
          <w:rFonts w:hint="eastAsia" w:ascii="宋体" w:hAnsi="宋体" w:cs="宋体"/>
          <w:b/>
        </w:rPr>
        <w:t xml:space="preserve"> 附件1－2法定代表人授权书</w:t>
      </w:r>
    </w:p>
    <w:p w14:paraId="547E6B74">
      <w:pPr>
        <w:spacing w:line="360" w:lineRule="auto"/>
        <w:ind w:right="480"/>
        <w:jc w:val="both"/>
        <w:rPr>
          <w:rFonts w:ascii="宋体" w:hAnsi="宋体" w:cs="宋体"/>
          <w:b/>
        </w:rPr>
      </w:pPr>
    </w:p>
    <w:p w14:paraId="351294EB">
      <w:pPr>
        <w:pStyle w:val="139"/>
        <w:tabs>
          <w:tab w:val="clear" w:pos="1740"/>
        </w:tabs>
        <w:adjustRightInd/>
        <w:spacing w:before="0" w:line="360" w:lineRule="auto"/>
        <w:ind w:left="0" w:firstLine="0"/>
        <w:jc w:val="center"/>
        <w:outlineLvl w:val="9"/>
        <w:rPr>
          <w:rFonts w:ascii="宋体" w:hAnsi="宋体" w:eastAsia="宋体" w:cs="宋体"/>
          <w:b/>
          <w:bCs/>
          <w:kern w:val="0"/>
          <w:sz w:val="36"/>
          <w:szCs w:val="36"/>
        </w:rPr>
      </w:pPr>
      <w:r>
        <w:rPr>
          <w:rFonts w:hint="eastAsia" w:ascii="宋体" w:hAnsi="宋体" w:eastAsia="宋体" w:cs="宋体"/>
          <w:b/>
          <w:bCs/>
          <w:kern w:val="0"/>
          <w:sz w:val="36"/>
          <w:szCs w:val="36"/>
        </w:rPr>
        <w:t>法定代表人授权书</w:t>
      </w:r>
    </w:p>
    <w:p w14:paraId="46A48F02">
      <w:pPr>
        <w:spacing w:line="360" w:lineRule="auto"/>
        <w:rPr>
          <w:rFonts w:ascii="宋体" w:hAnsi="宋体" w:cs="宋体"/>
        </w:rPr>
      </w:pPr>
      <w:r>
        <w:rPr>
          <w:rFonts w:hint="eastAsia" w:ascii="宋体" w:hAnsi="宋体" w:cs="宋体"/>
        </w:rPr>
        <w:t>致：</w:t>
      </w:r>
      <w:r>
        <w:rPr>
          <w:rFonts w:hint="eastAsia" w:ascii="宋体" w:hAnsi="宋体" w:cs="宋体"/>
          <w:u w:val="single"/>
        </w:rPr>
        <w:t xml:space="preserve">                 </w:t>
      </w:r>
    </w:p>
    <w:p w14:paraId="54ACA1A1">
      <w:pPr>
        <w:pStyle w:val="25"/>
        <w:snapToGrid w:val="0"/>
        <w:spacing w:line="360" w:lineRule="auto"/>
        <w:ind w:firstLine="480" w:firstLineChars="200"/>
        <w:jc w:val="left"/>
        <w:rPr>
          <w:rFonts w:hint="default" w:hAnsi="宋体" w:cs="宋体"/>
          <w:sz w:val="24"/>
        </w:rPr>
      </w:pPr>
      <w:r>
        <w:rPr>
          <w:rFonts w:hAnsi="宋体" w:cs="宋体"/>
          <w:sz w:val="24"/>
          <w:u w:val="single"/>
        </w:rPr>
        <w:t>（供应商全称）</w:t>
      </w:r>
      <w:r>
        <w:rPr>
          <w:rFonts w:hAnsi="宋体" w:cs="宋体"/>
          <w:sz w:val="24"/>
        </w:rPr>
        <w:t>法定代表人</w:t>
      </w:r>
      <w:r>
        <w:rPr>
          <w:rFonts w:hAnsi="宋体" w:cs="宋体"/>
          <w:sz w:val="24"/>
          <w:u w:val="single"/>
        </w:rPr>
        <w:t xml:space="preserve">        </w:t>
      </w:r>
      <w:r>
        <w:rPr>
          <w:rFonts w:hAnsi="宋体" w:cs="宋体"/>
          <w:sz w:val="24"/>
        </w:rPr>
        <w:t xml:space="preserve"> 授权</w:t>
      </w:r>
      <w:r>
        <w:rPr>
          <w:rFonts w:hAnsi="宋体" w:cs="宋体"/>
          <w:sz w:val="24"/>
          <w:u w:val="single"/>
        </w:rPr>
        <w:t xml:space="preserve">  （响应代表姓名）</w:t>
      </w:r>
      <w:r>
        <w:rPr>
          <w:rFonts w:hAnsi="宋体" w:cs="宋体"/>
          <w:sz w:val="24"/>
        </w:rPr>
        <w:t>为响应代表，代表本公司参加贵司组织的</w:t>
      </w:r>
      <w:r>
        <w:rPr>
          <w:rFonts w:hAnsi="宋体" w:cs="宋体"/>
          <w:sz w:val="24"/>
          <w:u w:val="single"/>
        </w:rPr>
        <w:t xml:space="preserve">            </w:t>
      </w:r>
      <w:r>
        <w:rPr>
          <w:rFonts w:hAnsi="宋体" w:cs="宋体"/>
          <w:sz w:val="24"/>
        </w:rPr>
        <w:t>项目（项目编号</w:t>
      </w:r>
      <w:r>
        <w:rPr>
          <w:rFonts w:hAnsi="宋体" w:cs="宋体"/>
          <w:sz w:val="24"/>
          <w:u w:val="single"/>
        </w:rPr>
        <w:t xml:space="preserve">       </w:t>
      </w:r>
      <w:r>
        <w:rPr>
          <w:rFonts w:hAnsi="宋体" w:cs="宋体"/>
          <w:sz w:val="24"/>
        </w:rPr>
        <w:t>）磋商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60DDB1B5">
      <w:pPr>
        <w:pStyle w:val="25"/>
        <w:snapToGrid w:val="0"/>
        <w:spacing w:line="360" w:lineRule="auto"/>
        <w:ind w:firstLine="480" w:firstLineChars="200"/>
        <w:jc w:val="left"/>
        <w:rPr>
          <w:rFonts w:hint="default" w:hAnsi="宋体" w:cs="宋体"/>
          <w:sz w:val="24"/>
        </w:rPr>
      </w:pPr>
      <w:r>
        <w:rPr>
          <w:rFonts w:hAnsi="宋体" w:cs="宋体"/>
          <w:sz w:val="24"/>
        </w:rPr>
        <w:t>特此授权！本授权书自出具之日起生效。</w:t>
      </w:r>
    </w:p>
    <w:p w14:paraId="2CB6DB51">
      <w:pPr>
        <w:spacing w:line="360" w:lineRule="auto"/>
        <w:rPr>
          <w:rFonts w:ascii="宋体" w:hAnsi="宋体" w:cs="宋体"/>
        </w:rPr>
      </w:pPr>
    </w:p>
    <w:p w14:paraId="79D01725">
      <w:pPr>
        <w:spacing w:line="360" w:lineRule="auto"/>
        <w:rPr>
          <w:rFonts w:ascii="宋体" w:hAnsi="宋体" w:cs="宋体"/>
          <w:u w:val="single"/>
        </w:rPr>
      </w:pPr>
      <w:r>
        <w:rPr>
          <w:rFonts w:hint="eastAsia" w:ascii="宋体" w:hAnsi="宋体" w:cs="宋体"/>
        </w:rPr>
        <w:t>法定代表人（签字或盖章）：</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证件号：</w:t>
      </w:r>
      <w:r>
        <w:rPr>
          <w:rFonts w:hint="eastAsia" w:ascii="宋体" w:hAnsi="宋体" w:cs="宋体"/>
          <w:u w:val="single"/>
        </w:rPr>
        <w:t xml:space="preserve">               </w:t>
      </w:r>
    </w:p>
    <w:p w14:paraId="7A7A7DDB">
      <w:pPr>
        <w:spacing w:line="360" w:lineRule="auto"/>
        <w:rPr>
          <w:rFonts w:ascii="宋体" w:hAnsi="宋体" w:cs="宋体"/>
        </w:rPr>
      </w:pPr>
      <w:r>
        <w:rPr>
          <w:rFonts w:hint="eastAsia" w:ascii="宋体" w:hAnsi="宋体" w:cs="宋体"/>
        </w:rPr>
        <w:t>响应代表（签字或盖章）：</w:t>
      </w:r>
      <w:r>
        <w:rPr>
          <w:rFonts w:hint="eastAsia" w:ascii="宋体" w:hAnsi="宋体" w:cs="宋体"/>
          <w:u w:val="single"/>
        </w:rPr>
        <w:t xml:space="preserve">            </w:t>
      </w:r>
      <w:r>
        <w:rPr>
          <w:rFonts w:hint="eastAsia" w:ascii="宋体" w:hAnsi="宋体" w:cs="宋体"/>
        </w:rPr>
        <w:t xml:space="preserve">  性别：</w:t>
      </w:r>
      <w:r>
        <w:rPr>
          <w:rFonts w:hint="eastAsia" w:ascii="宋体" w:hAnsi="宋体" w:cs="宋体"/>
          <w:u w:val="single"/>
        </w:rPr>
        <w:t xml:space="preserve">       </w:t>
      </w:r>
      <w:r>
        <w:rPr>
          <w:rFonts w:hint="eastAsia" w:ascii="宋体" w:hAnsi="宋体" w:cs="宋体"/>
        </w:rPr>
        <w:t>证件号：</w:t>
      </w:r>
      <w:r>
        <w:rPr>
          <w:rFonts w:hint="eastAsia" w:ascii="宋体" w:hAnsi="宋体" w:cs="宋体"/>
          <w:u w:val="single"/>
        </w:rPr>
        <w:t xml:space="preserve">                  </w:t>
      </w:r>
    </w:p>
    <w:p w14:paraId="0193A6F0">
      <w:pPr>
        <w:spacing w:line="360" w:lineRule="auto"/>
        <w:rPr>
          <w:rFonts w:ascii="宋体" w:hAnsi="宋体" w:cs="宋体"/>
        </w:rPr>
      </w:pPr>
      <w:r>
        <w:rPr>
          <w:rFonts w:hint="eastAsia" w:ascii="宋体" w:hAnsi="宋体" w:cs="宋体"/>
        </w:rPr>
        <w:t>单位：</w:t>
      </w:r>
      <w:r>
        <w:rPr>
          <w:rFonts w:hint="eastAsia" w:ascii="宋体" w:hAnsi="宋体" w:cs="宋体"/>
          <w:u w:val="single"/>
        </w:rPr>
        <w:t xml:space="preserve">                  </w:t>
      </w:r>
      <w:r>
        <w:rPr>
          <w:rFonts w:hint="eastAsia" w:ascii="宋体" w:hAnsi="宋体" w:cs="宋体"/>
        </w:rPr>
        <w:t xml:space="preserve">  部门：</w:t>
      </w:r>
      <w:r>
        <w:rPr>
          <w:rFonts w:hint="eastAsia" w:ascii="宋体" w:hAnsi="宋体" w:cs="宋体"/>
          <w:u w:val="single"/>
        </w:rPr>
        <w:t xml:space="preserve">       </w:t>
      </w:r>
      <w:r>
        <w:rPr>
          <w:rFonts w:hint="eastAsia" w:ascii="宋体" w:hAnsi="宋体" w:cs="宋体"/>
        </w:rPr>
        <w:t xml:space="preserve">    职务：</w:t>
      </w:r>
      <w:r>
        <w:rPr>
          <w:rFonts w:hint="eastAsia" w:ascii="宋体" w:hAnsi="宋体" w:cs="宋体"/>
          <w:u w:val="single"/>
        </w:rPr>
        <w:t xml:space="preserve">                  </w:t>
      </w:r>
    </w:p>
    <w:p w14:paraId="72CBC835">
      <w:pPr>
        <w:spacing w:line="360" w:lineRule="auto"/>
        <w:rPr>
          <w:rFonts w:ascii="宋体" w:hAnsi="宋体" w:cs="宋体"/>
        </w:rPr>
      </w:pPr>
      <w:r>
        <w:rPr>
          <w:rFonts w:hint="eastAsia" w:ascii="宋体" w:hAnsi="宋体" w:cs="宋体"/>
        </w:rPr>
        <w:t>详细通讯地址：</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b/>
        </w:rPr>
        <w:t xml:space="preserve"> </w:t>
      </w:r>
      <w:r>
        <w:rPr>
          <w:rFonts w:hint="eastAsia" w:ascii="宋体" w:hAnsi="宋体" w:cs="宋体"/>
        </w:rPr>
        <w:t>邮政编码</w:t>
      </w:r>
      <w:r>
        <w:rPr>
          <w:rFonts w:hint="eastAsia" w:ascii="宋体" w:hAnsi="宋体" w:cs="宋体"/>
          <w:lang w:eastAsia="zh-CN"/>
        </w:rPr>
        <w:t>：</w:t>
      </w:r>
      <w:r>
        <w:rPr>
          <w:rFonts w:hint="eastAsia" w:ascii="宋体" w:hAnsi="宋体" w:cs="宋体"/>
          <w:u w:val="single"/>
        </w:rPr>
        <w:t xml:space="preserve">           </w:t>
      </w:r>
      <w:r>
        <w:rPr>
          <w:rFonts w:hint="eastAsia" w:ascii="宋体" w:hAnsi="宋体" w:cs="宋体"/>
        </w:rPr>
        <w:t xml:space="preserve"> 电话：</w:t>
      </w:r>
      <w:r>
        <w:rPr>
          <w:rFonts w:hint="eastAsia" w:ascii="宋体" w:hAnsi="宋体" w:cs="宋体"/>
          <w:u w:val="single"/>
        </w:rPr>
        <w:t xml:space="preserve">              </w:t>
      </w:r>
    </w:p>
    <w:p w14:paraId="667E531C">
      <w:pPr>
        <w:spacing w:line="360" w:lineRule="auto"/>
        <w:rPr>
          <w:rFonts w:ascii="宋体" w:hAnsi="宋体" w:cs="宋体"/>
        </w:rPr>
      </w:pPr>
    </w:p>
    <w:p w14:paraId="3D28EA7C">
      <w:pPr>
        <w:widowControl w:val="0"/>
        <w:numPr>
          <w:ilvl w:val="0"/>
          <w:numId w:val="9"/>
        </w:numPr>
        <w:tabs>
          <w:tab w:val="left" w:pos="420"/>
          <w:tab w:val="left" w:pos="1134"/>
          <w:tab w:val="clear" w:pos="1320"/>
        </w:tabs>
        <w:ind w:left="420"/>
        <w:jc w:val="both"/>
        <w:rPr>
          <w:rFonts w:ascii="宋体" w:hAnsi="宋体" w:cs="宋体"/>
        </w:rPr>
      </w:pPr>
      <w:r>
        <w:rPr>
          <w:rFonts w:hint="eastAsia" w:ascii="宋体" w:hAnsi="宋体" w:cs="宋体"/>
        </w:rPr>
        <w:t>附：法定代表人和被授权人(响应代表)有效身份证明文件复印件。</w:t>
      </w:r>
    </w:p>
    <w:tbl>
      <w:tblPr>
        <w:tblStyle w:val="45"/>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14:paraId="0B88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4203" w:type="dxa"/>
            <w:vAlign w:val="center"/>
          </w:tcPr>
          <w:p w14:paraId="05273822">
            <w:pPr>
              <w:spacing w:line="360" w:lineRule="auto"/>
              <w:jc w:val="center"/>
              <w:rPr>
                <w:rFonts w:ascii="宋体" w:hAnsi="宋体" w:cs="宋体"/>
              </w:rPr>
            </w:pPr>
            <w:r>
              <w:rPr>
                <w:rFonts w:hint="eastAsia" w:ascii="宋体" w:hAnsi="宋体" w:cs="宋体"/>
              </w:rPr>
              <w:t>法定代表人身份证明文件粘贴处</w:t>
            </w:r>
          </w:p>
        </w:tc>
        <w:tc>
          <w:tcPr>
            <w:tcW w:w="4416" w:type="dxa"/>
            <w:vAlign w:val="center"/>
          </w:tcPr>
          <w:p w14:paraId="53ECD477">
            <w:pPr>
              <w:spacing w:line="360" w:lineRule="auto"/>
              <w:jc w:val="center"/>
              <w:rPr>
                <w:rFonts w:ascii="宋体" w:hAnsi="宋体" w:cs="宋体"/>
              </w:rPr>
            </w:pPr>
            <w:r>
              <w:rPr>
                <w:rFonts w:hint="eastAsia" w:ascii="宋体" w:hAnsi="宋体" w:cs="宋体"/>
              </w:rPr>
              <w:t xml:space="preserve">  被授权人(响应代表)身份证明文件粘贴处</w:t>
            </w:r>
          </w:p>
        </w:tc>
      </w:tr>
    </w:tbl>
    <w:p w14:paraId="095B3260">
      <w:pPr>
        <w:spacing w:line="360" w:lineRule="auto"/>
        <w:rPr>
          <w:rFonts w:ascii="宋体" w:hAnsi="宋体" w:cs="宋体"/>
        </w:rPr>
      </w:pPr>
    </w:p>
    <w:p w14:paraId="6A34AC4F">
      <w:pPr>
        <w:pStyle w:val="21"/>
        <w:rPr>
          <w:rFonts w:ascii="宋体" w:hAnsi="宋体" w:cs="宋体"/>
        </w:rPr>
      </w:pPr>
    </w:p>
    <w:p w14:paraId="63BEB314">
      <w:pPr>
        <w:pStyle w:val="15"/>
      </w:pPr>
    </w:p>
    <w:p w14:paraId="712D2CA2">
      <w:pPr>
        <w:spacing w:line="500" w:lineRule="exact"/>
        <w:ind w:firstLine="3840" w:firstLineChars="1600"/>
        <w:rPr>
          <w:rFonts w:ascii="宋体" w:hAnsi="宋体" w:cs="宋体"/>
        </w:rPr>
      </w:pPr>
      <w:r>
        <w:rPr>
          <w:rFonts w:hint="eastAsia" w:ascii="宋体" w:hAnsi="宋体" w:cs="宋体"/>
        </w:rPr>
        <w:t>供应商（加盖公章）：</w:t>
      </w:r>
      <w:r>
        <w:rPr>
          <w:rFonts w:hint="eastAsia" w:ascii="宋体" w:hAnsi="宋体" w:cs="宋体"/>
          <w:u w:val="single"/>
        </w:rPr>
        <w:t xml:space="preserve">                </w:t>
      </w:r>
    </w:p>
    <w:p w14:paraId="0D3E9551">
      <w:pPr>
        <w:spacing w:line="500" w:lineRule="exact"/>
        <w:ind w:firstLine="3840" w:firstLineChars="1600"/>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421AA3C5">
      <w:pPr>
        <w:spacing w:line="360" w:lineRule="auto"/>
        <w:ind w:right="480"/>
        <w:rPr>
          <w:rFonts w:ascii="宋体" w:hAnsi="宋体" w:cs="宋体"/>
          <w:b/>
        </w:rPr>
      </w:pPr>
      <w:r>
        <w:rPr>
          <w:rFonts w:hint="eastAsia" w:ascii="宋体" w:hAnsi="宋体" w:cs="宋体"/>
        </w:rPr>
        <w:br w:type="page"/>
      </w:r>
      <w:r>
        <w:rPr>
          <w:rFonts w:hint="eastAsia" w:ascii="宋体" w:hAnsi="宋体" w:cs="宋体"/>
          <w:b/>
        </w:rPr>
        <w:t>附件1－3</w:t>
      </w:r>
    </w:p>
    <w:p w14:paraId="29538E0C">
      <w:pPr>
        <w:spacing w:line="360" w:lineRule="auto"/>
        <w:ind w:right="480"/>
        <w:jc w:val="center"/>
        <w:rPr>
          <w:rFonts w:ascii="宋体" w:hAnsi="宋体" w:cs="宋体"/>
          <w:b/>
        </w:rPr>
      </w:pPr>
      <w:r>
        <w:rPr>
          <w:rFonts w:hint="eastAsia" w:ascii="宋体" w:hAnsi="宋体" w:cs="宋体"/>
          <w:b/>
        </w:rPr>
        <w:t>法人营业执照、税务登记证、组织机构代码证</w:t>
      </w:r>
    </w:p>
    <w:p w14:paraId="059F8842">
      <w:pPr>
        <w:spacing w:line="360" w:lineRule="auto"/>
        <w:rPr>
          <w:rFonts w:ascii="宋体" w:hAnsi="宋体" w:cs="宋体"/>
        </w:rPr>
      </w:pPr>
    </w:p>
    <w:p w14:paraId="41B363E9">
      <w:pPr>
        <w:spacing w:line="360" w:lineRule="auto"/>
        <w:rPr>
          <w:rFonts w:ascii="宋体" w:hAnsi="宋体" w:cs="宋体"/>
        </w:rPr>
      </w:pPr>
      <w:r>
        <w:rPr>
          <w:rFonts w:hint="eastAsia" w:ascii="宋体" w:hAnsi="宋体" w:cs="宋体"/>
        </w:rPr>
        <w:t>致：</w:t>
      </w:r>
      <w:r>
        <w:rPr>
          <w:rFonts w:hint="eastAsia" w:ascii="宋体" w:hAnsi="宋体" w:cs="宋体"/>
          <w:u w:val="single"/>
        </w:rPr>
        <w:t xml:space="preserve">                 </w:t>
      </w:r>
    </w:p>
    <w:p w14:paraId="7AD73DA9">
      <w:pPr>
        <w:spacing w:line="360" w:lineRule="auto"/>
        <w:ind w:firstLine="480" w:firstLineChars="200"/>
        <w:rPr>
          <w:rFonts w:ascii="宋体" w:hAnsi="宋体" w:cs="宋体"/>
        </w:rPr>
      </w:pPr>
      <w:r>
        <w:rPr>
          <w:rFonts w:hint="eastAsia" w:ascii="宋体" w:hAnsi="宋体" w:cs="宋体"/>
        </w:rPr>
        <w:t>现附上由</w:t>
      </w:r>
      <w:r>
        <w:rPr>
          <w:rFonts w:hint="eastAsia" w:ascii="宋体" w:hAnsi="宋体" w:cs="宋体"/>
          <w:u w:val="single"/>
        </w:rPr>
        <w:t xml:space="preserve">                         </w:t>
      </w:r>
      <w:r>
        <w:rPr>
          <w:rFonts w:hint="eastAsia" w:ascii="宋体" w:hAnsi="宋体" w:cs="宋体"/>
        </w:rPr>
        <w:t>（签发机关名称）签发的我方法人营业执照副本复印件，该执照真实有效。</w:t>
      </w:r>
    </w:p>
    <w:p w14:paraId="009857ED">
      <w:pPr>
        <w:spacing w:line="360" w:lineRule="auto"/>
        <w:ind w:firstLine="480" w:firstLineChars="200"/>
        <w:rPr>
          <w:rFonts w:ascii="宋体" w:hAnsi="宋体" w:cs="宋体"/>
        </w:rPr>
      </w:pPr>
    </w:p>
    <w:p w14:paraId="543C6F02">
      <w:pPr>
        <w:spacing w:line="360" w:lineRule="auto"/>
        <w:rPr>
          <w:rFonts w:ascii="宋体" w:hAnsi="宋体" w:cs="宋体"/>
        </w:rPr>
      </w:pPr>
    </w:p>
    <w:p w14:paraId="121BA59F">
      <w:pPr>
        <w:pStyle w:val="21"/>
        <w:spacing w:line="360" w:lineRule="auto"/>
        <w:ind w:firstLine="480" w:firstLineChars="200"/>
        <w:rPr>
          <w:rFonts w:ascii="宋体" w:hAnsi="宋体" w:cs="宋体"/>
        </w:rPr>
      </w:pPr>
      <w:r>
        <w:rPr>
          <w:rFonts w:hint="eastAsia" w:ascii="宋体" w:hAnsi="宋体" w:cs="宋体"/>
        </w:rPr>
        <w:t>（注：法人营业执照、税务登记证、组织代码证等相关证明文件提供复印件。）</w:t>
      </w:r>
    </w:p>
    <w:p w14:paraId="1CBE2C51">
      <w:pPr>
        <w:spacing w:line="360" w:lineRule="auto"/>
        <w:rPr>
          <w:rFonts w:ascii="宋体" w:hAnsi="宋体" w:cs="宋体"/>
        </w:rPr>
      </w:pPr>
    </w:p>
    <w:p w14:paraId="6A690528">
      <w:pPr>
        <w:spacing w:line="500" w:lineRule="exact"/>
        <w:rPr>
          <w:rFonts w:ascii="宋体" w:hAnsi="宋体" w:cs="宋体"/>
        </w:rPr>
      </w:pPr>
      <w:r>
        <w:rPr>
          <w:rFonts w:hint="eastAsia" w:ascii="宋体" w:hAnsi="宋体" w:cs="宋体"/>
        </w:rPr>
        <w:t>供应商（加盖公章）：</w:t>
      </w:r>
      <w:r>
        <w:rPr>
          <w:rFonts w:hint="eastAsia" w:ascii="宋体" w:hAnsi="宋体" w:cs="宋体"/>
          <w:u w:val="single"/>
        </w:rPr>
        <w:t xml:space="preserve">                 </w:t>
      </w:r>
    </w:p>
    <w:p w14:paraId="2BCBBF0A">
      <w:pPr>
        <w:spacing w:line="500" w:lineRule="exact"/>
        <w:rPr>
          <w:rFonts w:ascii="宋体" w:hAnsi="宋体" w:cs="宋体"/>
        </w:rPr>
      </w:pPr>
      <w:r>
        <w:rPr>
          <w:rFonts w:hint="eastAsia" w:ascii="宋体" w:hAnsi="宋体" w:cs="宋体"/>
        </w:rPr>
        <w:t>法定代表人或授权代表（签字或盖章）</w:t>
      </w:r>
      <w:r>
        <w:rPr>
          <w:rFonts w:hint="eastAsia" w:ascii="宋体" w:hAnsi="宋体" w:cs="宋体"/>
          <w:bCs/>
        </w:rPr>
        <w:t>：</w:t>
      </w:r>
      <w:r>
        <w:rPr>
          <w:rFonts w:hint="eastAsia" w:ascii="宋体" w:hAnsi="宋体" w:cs="宋体"/>
          <w:u w:val="single"/>
        </w:rPr>
        <w:t xml:space="preserve">             </w:t>
      </w:r>
    </w:p>
    <w:p w14:paraId="25409223">
      <w:pPr>
        <w:spacing w:line="500" w:lineRule="exact"/>
        <w:rPr>
          <w:rFonts w:ascii="宋体" w:hAnsi="宋体" w:cs="宋体"/>
          <w:u w:val="single"/>
        </w:rPr>
      </w:pPr>
      <w:r>
        <w:rPr>
          <w:rFonts w:hint="eastAsia" w:ascii="宋体" w:hAnsi="宋体" w:cs="宋体"/>
        </w:rPr>
        <w:t>日      期：</w:t>
      </w:r>
      <w:r>
        <w:rPr>
          <w:rFonts w:hint="eastAsia" w:ascii="宋体" w:hAnsi="宋体" w:cs="宋体"/>
          <w:u w:val="single"/>
        </w:rPr>
        <w:t xml:space="preserve">                                </w:t>
      </w:r>
    </w:p>
    <w:p w14:paraId="447E9A14">
      <w:pPr>
        <w:spacing w:line="360" w:lineRule="auto"/>
        <w:rPr>
          <w:rFonts w:ascii="宋体" w:hAnsi="宋体" w:cs="宋体"/>
          <w:u w:val="single"/>
        </w:rPr>
      </w:pPr>
    </w:p>
    <w:p w14:paraId="04225399">
      <w:pPr>
        <w:spacing w:line="360" w:lineRule="auto"/>
        <w:rPr>
          <w:rFonts w:ascii="宋体" w:hAnsi="宋体" w:cs="宋体"/>
          <w:u w:val="single"/>
        </w:rPr>
      </w:pPr>
    </w:p>
    <w:p w14:paraId="4494A0A2">
      <w:pPr>
        <w:spacing w:line="360" w:lineRule="auto"/>
        <w:rPr>
          <w:rFonts w:ascii="宋体" w:hAnsi="宋体" w:cs="宋体"/>
          <w:u w:val="single"/>
        </w:rPr>
      </w:pPr>
    </w:p>
    <w:p w14:paraId="3B0975E5">
      <w:pPr>
        <w:spacing w:line="360" w:lineRule="auto"/>
        <w:rPr>
          <w:rFonts w:ascii="宋体" w:hAnsi="宋体" w:cs="宋体"/>
          <w:u w:val="single"/>
        </w:rPr>
      </w:pPr>
    </w:p>
    <w:p w14:paraId="57D4FC77">
      <w:pPr>
        <w:spacing w:line="360" w:lineRule="auto"/>
        <w:rPr>
          <w:rFonts w:ascii="宋体" w:hAnsi="宋体" w:cs="宋体"/>
          <w:u w:val="single"/>
        </w:rPr>
      </w:pPr>
    </w:p>
    <w:p w14:paraId="764CA368">
      <w:pPr>
        <w:spacing w:line="360" w:lineRule="auto"/>
        <w:ind w:right="480"/>
        <w:rPr>
          <w:rFonts w:ascii="宋体" w:hAnsi="宋体" w:cs="宋体"/>
        </w:rPr>
      </w:pPr>
      <w:r>
        <w:rPr>
          <w:rFonts w:hint="eastAsia" w:ascii="宋体" w:hAnsi="宋体" w:cs="宋体"/>
          <w:b/>
        </w:rPr>
        <w:br w:type="page"/>
      </w:r>
      <w:r>
        <w:rPr>
          <w:rFonts w:hint="eastAsia" w:ascii="宋体" w:hAnsi="宋体" w:cs="宋体"/>
          <w:b/>
        </w:rPr>
        <w:t>附件1-4</w:t>
      </w:r>
    </w:p>
    <w:p w14:paraId="3788CD2A">
      <w:pPr>
        <w:spacing w:line="360" w:lineRule="auto"/>
        <w:ind w:right="480"/>
        <w:jc w:val="center"/>
        <w:rPr>
          <w:rFonts w:ascii="宋体" w:hAnsi="宋体" w:cs="宋体"/>
          <w:b/>
        </w:rPr>
      </w:pPr>
      <w:r>
        <w:rPr>
          <w:rFonts w:hint="eastAsia" w:ascii="宋体" w:hAnsi="宋体" w:cs="宋体"/>
          <w:b/>
        </w:rPr>
        <w:t>供应商符合《政府采购法》第二十二条规定条件的</w:t>
      </w:r>
    </w:p>
    <w:p w14:paraId="446C0316">
      <w:pPr>
        <w:spacing w:line="360" w:lineRule="auto"/>
        <w:ind w:right="480"/>
        <w:jc w:val="center"/>
        <w:rPr>
          <w:rFonts w:ascii="宋体" w:hAnsi="宋体" w:cs="宋体"/>
          <w:bCs/>
          <w:szCs w:val="28"/>
        </w:rPr>
      </w:pPr>
      <w:r>
        <w:rPr>
          <w:rFonts w:hint="eastAsia" w:ascii="宋体" w:hAnsi="宋体" w:cs="宋体"/>
          <w:b/>
        </w:rPr>
        <w:t>承诺函</w:t>
      </w:r>
    </w:p>
    <w:p w14:paraId="29BBFB92">
      <w:pPr>
        <w:rPr>
          <w:rFonts w:ascii="宋体" w:hAnsi="宋体" w:cs="宋体"/>
        </w:rPr>
      </w:pPr>
    </w:p>
    <w:p w14:paraId="63D1D2C1">
      <w:pPr>
        <w:rPr>
          <w:rFonts w:ascii="宋体" w:hAnsi="宋体" w:cs="宋体"/>
        </w:rPr>
      </w:pPr>
    </w:p>
    <w:p w14:paraId="5E87EF64">
      <w:pPr>
        <w:pStyle w:val="15"/>
        <w:spacing w:line="400" w:lineRule="exact"/>
        <w:ind w:firstLine="432"/>
        <w:rPr>
          <w:rFonts w:hAnsi="宋体" w:cs="宋体"/>
          <w:sz w:val="24"/>
        </w:rPr>
      </w:pPr>
      <w:r>
        <w:rPr>
          <w:rFonts w:hint="eastAsia" w:hAnsi="宋体" w:cs="宋体"/>
          <w:sz w:val="24"/>
        </w:rPr>
        <w:t>致</w:t>
      </w:r>
      <w:r>
        <w:rPr>
          <w:rFonts w:hint="eastAsia" w:hAnsi="宋体" w:cs="宋体"/>
          <w:u w:val="single"/>
        </w:rPr>
        <w:t xml:space="preserve">                 </w:t>
      </w:r>
      <w:r>
        <w:rPr>
          <w:rFonts w:hint="eastAsia" w:hAnsi="宋体" w:cs="宋体"/>
          <w:sz w:val="24"/>
        </w:rPr>
        <w:t xml:space="preserve">： </w:t>
      </w:r>
    </w:p>
    <w:p w14:paraId="366AB4F6">
      <w:pPr>
        <w:pStyle w:val="15"/>
        <w:spacing w:line="400" w:lineRule="exact"/>
        <w:ind w:firstLineChars="225"/>
        <w:rPr>
          <w:rFonts w:hAnsi="宋体" w:cs="宋体"/>
          <w:sz w:val="24"/>
        </w:rPr>
      </w:pPr>
      <w:r>
        <w:rPr>
          <w:rFonts w:hint="eastAsia" w:hAnsi="宋体" w:cs="宋体"/>
          <w:sz w:val="24"/>
        </w:rPr>
        <w:t>本公司</w:t>
      </w:r>
      <w:r>
        <w:rPr>
          <w:rFonts w:hint="eastAsia" w:hAnsi="宋体" w:cs="宋体"/>
          <w:sz w:val="24"/>
          <w:u w:val="single"/>
        </w:rPr>
        <w:t xml:space="preserve">                   （公司名称）</w:t>
      </w:r>
      <w:r>
        <w:rPr>
          <w:rFonts w:hint="eastAsia" w:hAnsi="宋体" w:cs="宋体"/>
          <w:sz w:val="24"/>
        </w:rPr>
        <w:t>参加</w:t>
      </w:r>
      <w:r>
        <w:rPr>
          <w:rFonts w:hint="eastAsia" w:hAnsi="宋体" w:cs="宋体"/>
          <w:sz w:val="24"/>
          <w:u w:val="single"/>
        </w:rPr>
        <w:t xml:space="preserve">                 （项目名称）</w:t>
      </w:r>
      <w:r>
        <w:rPr>
          <w:rFonts w:hint="eastAsia" w:hAnsi="宋体" w:cs="宋体"/>
          <w:sz w:val="24"/>
        </w:rPr>
        <w:t>的磋商活动，现承诺：</w:t>
      </w:r>
    </w:p>
    <w:p w14:paraId="1548F5B9">
      <w:pPr>
        <w:pStyle w:val="15"/>
        <w:spacing w:line="400" w:lineRule="exact"/>
        <w:ind w:firstLineChars="225"/>
        <w:rPr>
          <w:rFonts w:hAnsi="宋体" w:cs="宋体"/>
          <w:sz w:val="24"/>
        </w:rPr>
      </w:pPr>
      <w:r>
        <w:rPr>
          <w:rFonts w:hint="eastAsia" w:hAnsi="宋体" w:cs="宋体"/>
          <w:sz w:val="24"/>
        </w:rPr>
        <w:t>我公司满足政府采购法第二十二条关于供应商的资格要求：</w:t>
      </w:r>
    </w:p>
    <w:p w14:paraId="49D16499">
      <w:pPr>
        <w:pStyle w:val="15"/>
        <w:spacing w:line="400" w:lineRule="exact"/>
        <w:ind w:firstLine="432"/>
        <w:rPr>
          <w:rFonts w:hAnsi="宋体" w:cs="宋体"/>
          <w:sz w:val="24"/>
        </w:rPr>
      </w:pPr>
      <w:r>
        <w:rPr>
          <w:rFonts w:hint="eastAsia" w:hAnsi="宋体" w:cs="宋体"/>
          <w:sz w:val="24"/>
        </w:rPr>
        <w:t xml:space="preserve">（一）具有独立承担民事责任的能力； </w:t>
      </w:r>
    </w:p>
    <w:p w14:paraId="5F1AD2D3">
      <w:pPr>
        <w:pStyle w:val="15"/>
        <w:spacing w:line="400" w:lineRule="exact"/>
        <w:ind w:firstLine="432"/>
        <w:rPr>
          <w:rFonts w:hAnsi="宋体" w:cs="宋体"/>
          <w:sz w:val="24"/>
        </w:rPr>
      </w:pPr>
      <w:r>
        <w:rPr>
          <w:rFonts w:hint="eastAsia" w:hAnsi="宋体" w:cs="宋体"/>
          <w:sz w:val="24"/>
        </w:rPr>
        <w:t xml:space="preserve">（二）具有良好的商业信誉和健全的财务会计制度； </w:t>
      </w:r>
    </w:p>
    <w:p w14:paraId="27BF9C0E">
      <w:pPr>
        <w:pStyle w:val="15"/>
        <w:spacing w:line="400" w:lineRule="exact"/>
        <w:ind w:firstLine="432"/>
        <w:rPr>
          <w:rFonts w:hAnsi="宋体" w:cs="宋体"/>
          <w:sz w:val="24"/>
        </w:rPr>
      </w:pPr>
      <w:r>
        <w:rPr>
          <w:rFonts w:hint="eastAsia" w:hAnsi="宋体" w:cs="宋体"/>
          <w:sz w:val="24"/>
        </w:rPr>
        <w:t xml:space="preserve">（三）具有履行合同所必需的设备和专业技术能力； </w:t>
      </w:r>
    </w:p>
    <w:p w14:paraId="794C17C6">
      <w:pPr>
        <w:pStyle w:val="15"/>
        <w:spacing w:line="400" w:lineRule="exact"/>
        <w:ind w:firstLine="432"/>
        <w:rPr>
          <w:rFonts w:hAnsi="宋体" w:cs="宋体"/>
          <w:sz w:val="24"/>
        </w:rPr>
      </w:pPr>
      <w:r>
        <w:rPr>
          <w:rFonts w:hint="eastAsia" w:hAnsi="宋体" w:cs="宋体"/>
          <w:sz w:val="24"/>
        </w:rPr>
        <w:t xml:space="preserve">（四）有依法缴纳税收和社会保障资金的良好记录； </w:t>
      </w:r>
    </w:p>
    <w:p w14:paraId="3248459B">
      <w:pPr>
        <w:pStyle w:val="15"/>
        <w:spacing w:line="400" w:lineRule="exact"/>
        <w:ind w:firstLine="432"/>
        <w:rPr>
          <w:rFonts w:hAnsi="宋体" w:cs="宋体"/>
          <w:sz w:val="24"/>
        </w:rPr>
      </w:pPr>
      <w:r>
        <w:rPr>
          <w:rFonts w:hint="eastAsia" w:hAnsi="宋体" w:cs="宋体"/>
          <w:sz w:val="24"/>
        </w:rPr>
        <w:t xml:space="preserve">（五）参加政府采购活动前三年内，在经营活动中没有重大违法记录。 </w:t>
      </w:r>
    </w:p>
    <w:p w14:paraId="5D4FC892">
      <w:pPr>
        <w:pStyle w:val="15"/>
        <w:spacing w:line="400" w:lineRule="exact"/>
        <w:ind w:firstLineChars="225"/>
        <w:rPr>
          <w:rFonts w:hAnsi="宋体" w:cs="宋体"/>
          <w:sz w:val="24"/>
        </w:rPr>
      </w:pPr>
      <w:r>
        <w:rPr>
          <w:rFonts w:hint="eastAsia" w:hAnsi="宋体" w:cs="宋体"/>
          <w:sz w:val="24"/>
        </w:rPr>
        <w:t>同时也满足本项目法律法规规章规定关于供应商的其他资格性条件，未参与本采购项目前期咨询论证，不属于禁止参加磋商的供应商。</w:t>
      </w:r>
    </w:p>
    <w:p w14:paraId="28C6B1FC">
      <w:pPr>
        <w:pStyle w:val="15"/>
        <w:spacing w:line="400" w:lineRule="exact"/>
        <w:ind w:firstLineChars="225"/>
        <w:rPr>
          <w:rFonts w:hAnsi="宋体" w:cs="宋体"/>
          <w:sz w:val="24"/>
        </w:rPr>
      </w:pPr>
      <w:r>
        <w:rPr>
          <w:rFonts w:hint="eastAsia" w:hAnsi="宋体" w:cs="宋体"/>
          <w:sz w:val="24"/>
        </w:rPr>
        <w:t>如违反以上承诺，本公司愿承担一切法律责任。</w:t>
      </w:r>
    </w:p>
    <w:p w14:paraId="6D0B975B">
      <w:pPr>
        <w:pStyle w:val="15"/>
        <w:spacing w:line="400" w:lineRule="exact"/>
        <w:ind w:firstLine="432"/>
        <w:rPr>
          <w:rFonts w:hAnsi="宋体" w:cs="宋体"/>
          <w:sz w:val="24"/>
        </w:rPr>
      </w:pPr>
    </w:p>
    <w:p w14:paraId="3CD87C48">
      <w:pPr>
        <w:pStyle w:val="15"/>
        <w:spacing w:line="400" w:lineRule="exact"/>
        <w:ind w:firstLine="432"/>
        <w:rPr>
          <w:rFonts w:hAnsi="宋体" w:cs="宋体"/>
          <w:sz w:val="24"/>
        </w:rPr>
      </w:pPr>
    </w:p>
    <w:p w14:paraId="3CCF2196">
      <w:pPr>
        <w:spacing w:line="360" w:lineRule="auto"/>
        <w:rPr>
          <w:rFonts w:ascii="宋体" w:hAnsi="宋体" w:cs="宋体"/>
        </w:rPr>
      </w:pPr>
      <w:r>
        <w:rPr>
          <w:rFonts w:hint="eastAsia" w:ascii="宋体" w:hAnsi="宋体" w:cs="宋体"/>
        </w:rPr>
        <w:t>供应商（加盖公章）：</w:t>
      </w:r>
      <w:r>
        <w:rPr>
          <w:rFonts w:hint="eastAsia" w:ascii="宋体" w:hAnsi="宋体" w:cs="宋体"/>
          <w:u w:val="single"/>
        </w:rPr>
        <w:t xml:space="preserve">                 </w:t>
      </w:r>
    </w:p>
    <w:p w14:paraId="13D04E5C">
      <w:pPr>
        <w:spacing w:line="360" w:lineRule="auto"/>
        <w:rPr>
          <w:rFonts w:ascii="宋体" w:hAnsi="宋体" w:cs="宋体"/>
        </w:rPr>
      </w:pPr>
      <w:r>
        <w:rPr>
          <w:rFonts w:hint="eastAsia" w:ascii="宋体" w:hAnsi="宋体" w:cs="宋体"/>
        </w:rPr>
        <w:t xml:space="preserve">法定代表人或授权代表（签字或盖章）：        </w:t>
      </w:r>
    </w:p>
    <w:p w14:paraId="3E6E5FA7">
      <w:pPr>
        <w:spacing w:line="360" w:lineRule="auto"/>
        <w:rPr>
          <w:rFonts w:ascii="宋体" w:hAnsi="宋体" w:cs="宋体"/>
          <w:u w:val="single"/>
        </w:rPr>
      </w:pPr>
      <w:r>
        <w:rPr>
          <w:rFonts w:hint="eastAsia" w:ascii="宋体" w:hAnsi="宋体" w:cs="宋体"/>
        </w:rPr>
        <w:t xml:space="preserve">日      期：  </w:t>
      </w:r>
      <w:r>
        <w:rPr>
          <w:rFonts w:hint="eastAsia" w:ascii="宋体" w:hAnsi="宋体" w:cs="宋体"/>
          <w:u w:val="single"/>
        </w:rPr>
        <w:t xml:space="preserve">                              </w:t>
      </w:r>
    </w:p>
    <w:p w14:paraId="3E29FF1E">
      <w:pPr>
        <w:rPr>
          <w:rFonts w:ascii="宋体" w:hAnsi="宋体" w:cs="宋体"/>
        </w:rPr>
      </w:pPr>
    </w:p>
    <w:p w14:paraId="54CA4D7C">
      <w:pPr>
        <w:rPr>
          <w:rFonts w:ascii="宋体" w:hAnsi="宋体" w:cs="宋体"/>
        </w:rPr>
      </w:pPr>
    </w:p>
    <w:p w14:paraId="14FB8251">
      <w:pPr>
        <w:rPr>
          <w:rFonts w:ascii="宋体" w:hAnsi="宋体" w:cs="宋体"/>
        </w:rPr>
      </w:pPr>
      <w:r>
        <w:rPr>
          <w:rFonts w:hint="eastAsia" w:ascii="宋体" w:hAnsi="宋体" w:cs="宋体"/>
          <w:bCs/>
        </w:rPr>
        <w:t>注：本承诺函可自行提供具有有效签字或盖章的格式。</w:t>
      </w:r>
    </w:p>
    <w:p w14:paraId="7F10F6DD">
      <w:pPr>
        <w:spacing w:line="360" w:lineRule="auto"/>
        <w:ind w:right="480"/>
        <w:rPr>
          <w:rFonts w:ascii="宋体" w:hAnsi="宋体" w:cs="宋体"/>
        </w:rPr>
      </w:pPr>
    </w:p>
    <w:p w14:paraId="673F7F2A">
      <w:pPr>
        <w:pStyle w:val="14"/>
        <w:ind w:left="480"/>
        <w:rPr>
          <w:rFonts w:ascii="宋体" w:hAnsi="宋体" w:cs="宋体"/>
        </w:rPr>
      </w:pPr>
    </w:p>
    <w:p w14:paraId="0A86EEAB">
      <w:pPr>
        <w:pStyle w:val="14"/>
        <w:ind w:left="480"/>
        <w:rPr>
          <w:rFonts w:ascii="宋体" w:hAnsi="宋体" w:cs="宋体"/>
        </w:rPr>
      </w:pPr>
    </w:p>
    <w:p w14:paraId="2B4FEC0F">
      <w:pPr>
        <w:pStyle w:val="14"/>
        <w:ind w:left="480"/>
        <w:rPr>
          <w:rFonts w:ascii="宋体" w:hAnsi="宋体" w:cs="宋体"/>
        </w:rPr>
      </w:pPr>
    </w:p>
    <w:p w14:paraId="4CF1E907">
      <w:pPr>
        <w:pStyle w:val="14"/>
        <w:ind w:left="480"/>
        <w:rPr>
          <w:rFonts w:ascii="宋体" w:hAnsi="宋体" w:cs="宋体"/>
        </w:rPr>
      </w:pPr>
    </w:p>
    <w:p w14:paraId="29EA66A2">
      <w:pPr>
        <w:pStyle w:val="14"/>
        <w:ind w:left="480"/>
        <w:rPr>
          <w:rFonts w:ascii="宋体" w:hAnsi="宋体" w:cs="宋体"/>
        </w:rPr>
      </w:pPr>
    </w:p>
    <w:p w14:paraId="214D9CA9">
      <w:pPr>
        <w:pStyle w:val="14"/>
        <w:ind w:left="480"/>
        <w:rPr>
          <w:rFonts w:ascii="宋体" w:hAnsi="宋体" w:cs="宋体"/>
        </w:rPr>
      </w:pPr>
    </w:p>
    <w:p w14:paraId="2E423A43">
      <w:pPr>
        <w:pStyle w:val="14"/>
        <w:ind w:left="480"/>
        <w:rPr>
          <w:rFonts w:ascii="宋体" w:hAnsi="宋体" w:cs="宋体"/>
        </w:rPr>
      </w:pPr>
    </w:p>
    <w:p w14:paraId="2D215F9B">
      <w:pPr>
        <w:pStyle w:val="14"/>
        <w:ind w:left="0" w:leftChars="0" w:firstLine="0" w:firstLineChars="0"/>
        <w:rPr>
          <w:rFonts w:ascii="宋体" w:hAnsi="宋体" w:cs="宋体"/>
        </w:rPr>
      </w:pPr>
    </w:p>
    <w:p w14:paraId="646FBF11">
      <w:pPr>
        <w:spacing w:line="360" w:lineRule="auto"/>
        <w:rPr>
          <w:rFonts w:ascii="宋体" w:hAnsi="宋体" w:cs="宋体"/>
          <w:b/>
        </w:rPr>
      </w:pPr>
      <w:r>
        <w:rPr>
          <w:rFonts w:hint="eastAsia" w:ascii="宋体" w:hAnsi="宋体" w:cs="宋体"/>
          <w:b/>
        </w:rPr>
        <w:br w:type="page"/>
      </w:r>
      <w:bookmarkStart w:id="20" w:name="_Toc4090"/>
      <w:r>
        <w:rPr>
          <w:rFonts w:hint="eastAsia" w:ascii="宋体" w:hAnsi="宋体" w:cs="宋体"/>
          <w:b/>
        </w:rPr>
        <w:t>附件1－5</w:t>
      </w:r>
    </w:p>
    <w:p w14:paraId="7AF1B4C4">
      <w:pPr>
        <w:spacing w:line="360" w:lineRule="auto"/>
        <w:rPr>
          <w:rFonts w:ascii="宋体" w:hAnsi="宋体" w:cs="宋体"/>
          <w:b/>
        </w:rPr>
      </w:pPr>
    </w:p>
    <w:p w14:paraId="3855CD23">
      <w:pPr>
        <w:autoSpaceDE w:val="0"/>
        <w:autoSpaceDN w:val="0"/>
        <w:spacing w:line="360" w:lineRule="auto"/>
        <w:jc w:val="center"/>
        <w:rPr>
          <w:rFonts w:ascii="宋体" w:hAnsi="宋体" w:cs="宋体"/>
          <w:b/>
          <w:bCs/>
          <w:sz w:val="36"/>
          <w:szCs w:val="36"/>
          <w:lang w:val="zh-CN"/>
        </w:rPr>
      </w:pPr>
      <w:r>
        <w:rPr>
          <w:rFonts w:hint="eastAsia" w:ascii="宋体" w:hAnsi="宋体" w:cs="宋体"/>
          <w:b/>
          <w:bCs/>
          <w:sz w:val="28"/>
          <w:szCs w:val="28"/>
          <w:lang w:val="zh-CN"/>
        </w:rPr>
        <w:t>财务状况报告，依法缴纳税收和社会保障资金的相关材料</w:t>
      </w:r>
    </w:p>
    <w:p w14:paraId="6C32371B">
      <w:pPr>
        <w:autoSpaceDE w:val="0"/>
        <w:autoSpaceDN w:val="0"/>
        <w:spacing w:line="360" w:lineRule="auto"/>
        <w:rPr>
          <w:rFonts w:ascii="宋体" w:hAnsi="宋体" w:cs="宋体"/>
          <w:sz w:val="28"/>
          <w:szCs w:val="28"/>
          <w:lang w:val="zh-CN"/>
        </w:rPr>
      </w:pPr>
    </w:p>
    <w:p w14:paraId="2D618438">
      <w:pPr>
        <w:autoSpaceDE w:val="0"/>
        <w:autoSpaceDN w:val="0"/>
        <w:spacing w:line="360" w:lineRule="auto"/>
        <w:ind w:firstLine="480"/>
        <w:rPr>
          <w:rFonts w:ascii="宋体" w:hAnsi="宋体" w:cs="宋体"/>
          <w:lang w:val="zh-CN"/>
        </w:rPr>
      </w:pPr>
      <w:r>
        <w:rPr>
          <w:rFonts w:hint="eastAsia" w:ascii="宋体" w:hAnsi="宋体" w:cs="宋体"/>
          <w:lang w:val="zh-CN"/>
        </w:rPr>
        <w:t>1、投标人是法人的，提供基本开户银行近三个月内出具的资信证明</w:t>
      </w:r>
      <w:r>
        <w:rPr>
          <w:rFonts w:hint="eastAsia" w:ascii="宋体" w:hAnsi="宋体" w:cs="宋体"/>
        </w:rPr>
        <w:t>或202</w:t>
      </w:r>
      <w:r>
        <w:rPr>
          <w:rFonts w:hint="eastAsia" w:ascii="宋体" w:hAnsi="宋体" w:cs="宋体"/>
          <w:lang w:val="en-US" w:eastAsia="zh-CN"/>
        </w:rPr>
        <w:t>5</w:t>
      </w:r>
      <w:r>
        <w:rPr>
          <w:rFonts w:hint="eastAsia" w:ascii="宋体" w:hAnsi="宋体" w:cs="宋体"/>
        </w:rPr>
        <w:t>年度</w:t>
      </w:r>
      <w:r>
        <w:rPr>
          <w:rFonts w:hint="eastAsia" w:ascii="宋体" w:hAnsi="宋体" w:cs="宋体"/>
          <w:lang w:val="zh-CN"/>
        </w:rPr>
        <w:t>经第三方审计的财务状况报告，包括资产负债表、现金流量表、利润表和财务（会计）报表附注。</w:t>
      </w:r>
      <w:r>
        <w:rPr>
          <w:rFonts w:hint="eastAsia" w:ascii="宋体" w:hAnsi="宋体" w:cs="宋体"/>
        </w:rPr>
        <w:t>投标人是其他组织和自然人，没有经审计的财务报告，可以提供基本开户银行出具的资信证明。</w:t>
      </w:r>
    </w:p>
    <w:p w14:paraId="14DF43E0">
      <w:pPr>
        <w:autoSpaceDE w:val="0"/>
        <w:autoSpaceDN w:val="0"/>
        <w:spacing w:line="360" w:lineRule="auto"/>
        <w:ind w:firstLine="480"/>
        <w:rPr>
          <w:rFonts w:ascii="宋体" w:hAnsi="宋体" w:cs="宋体"/>
          <w:lang w:val="zh-CN"/>
        </w:rPr>
      </w:pPr>
      <w:r>
        <w:rPr>
          <w:rFonts w:hint="eastAsia" w:ascii="宋体" w:hAnsi="宋体" w:cs="宋体"/>
          <w:lang w:val="zh-CN"/>
        </w:rPr>
        <w:t>2、近半年内任意月份依法缴纳税收及社会保障资金的证明；依法免税或不需要缴纳社会保障资金的投标人须提供相应文件证明其依法免税或不需要缴纳社会保障资金。</w:t>
      </w:r>
    </w:p>
    <w:p w14:paraId="7F6F42F3">
      <w:pPr>
        <w:spacing w:line="360" w:lineRule="auto"/>
        <w:jc w:val="both"/>
        <w:rPr>
          <w:rFonts w:ascii="宋体" w:hAnsi="宋体" w:cs="宋体"/>
        </w:rPr>
      </w:pPr>
      <w:r>
        <w:rPr>
          <w:rFonts w:hint="eastAsia" w:ascii="宋体" w:hAnsi="宋体" w:cs="宋体"/>
        </w:rPr>
        <w:t xml:space="preserve"> </w:t>
      </w:r>
    </w:p>
    <w:p w14:paraId="3F8282E1">
      <w:pPr>
        <w:spacing w:line="360" w:lineRule="auto"/>
        <w:rPr>
          <w:rFonts w:ascii="宋体" w:hAnsi="宋体" w:cs="宋体"/>
          <w:b/>
        </w:rPr>
      </w:pPr>
      <w:r>
        <w:rPr>
          <w:rFonts w:hint="eastAsia" w:ascii="宋体" w:hAnsi="宋体" w:cs="宋体"/>
        </w:rPr>
        <w:br w:type="page"/>
      </w:r>
      <w:r>
        <w:rPr>
          <w:rFonts w:hint="eastAsia" w:ascii="宋体" w:hAnsi="宋体" w:cs="宋体"/>
          <w:b/>
        </w:rPr>
        <w:t>附件1－6</w:t>
      </w:r>
    </w:p>
    <w:p w14:paraId="702A7654">
      <w:pPr>
        <w:pStyle w:val="14"/>
        <w:ind w:left="480" w:firstLine="428"/>
        <w:rPr>
          <w:rFonts w:ascii="宋体" w:hAnsi="宋体" w:cs="宋体"/>
          <w:b/>
        </w:rPr>
      </w:pPr>
    </w:p>
    <w:p w14:paraId="29FB55D6">
      <w:pPr>
        <w:pStyle w:val="14"/>
        <w:ind w:left="480" w:firstLine="428"/>
        <w:rPr>
          <w:rFonts w:ascii="宋体" w:hAnsi="宋体" w:cs="宋体"/>
          <w:b/>
        </w:rPr>
      </w:pPr>
    </w:p>
    <w:p w14:paraId="3FEFC003">
      <w:pPr>
        <w:spacing w:line="360" w:lineRule="auto"/>
        <w:jc w:val="center"/>
        <w:rPr>
          <w:rFonts w:ascii="宋体" w:hAnsi="宋体" w:cs="宋体"/>
        </w:rPr>
      </w:pPr>
      <w:r>
        <w:rPr>
          <w:rFonts w:hint="eastAsia" w:ascii="宋体" w:hAnsi="宋体" w:cs="宋体"/>
          <w:b/>
          <w:sz w:val="28"/>
          <w:szCs w:val="28"/>
          <w:lang w:bidi="ar"/>
        </w:rPr>
        <w:t>无重大违法记录声明</w:t>
      </w:r>
    </w:p>
    <w:p w14:paraId="511E3380">
      <w:pPr>
        <w:spacing w:line="360" w:lineRule="auto"/>
        <w:rPr>
          <w:rFonts w:ascii="宋体" w:hAnsi="宋体" w:cs="宋体"/>
          <w:u w:val="single"/>
        </w:rPr>
      </w:pPr>
      <w:r>
        <w:rPr>
          <w:rFonts w:hint="eastAsia" w:ascii="宋体" w:hAnsi="宋体" w:cs="宋体"/>
          <w:b/>
          <w:lang w:bidi="ar"/>
        </w:rPr>
        <w:t>致：</w:t>
      </w:r>
      <w:r>
        <w:rPr>
          <w:rFonts w:hint="eastAsia" w:ascii="宋体" w:hAnsi="宋体" w:cs="宋体"/>
          <w:u w:val="single"/>
        </w:rPr>
        <w:t xml:space="preserve">                     </w:t>
      </w:r>
    </w:p>
    <w:p w14:paraId="75DF4B76">
      <w:pPr>
        <w:spacing w:line="360" w:lineRule="auto"/>
        <w:rPr>
          <w:rFonts w:ascii="宋体" w:hAnsi="宋体" w:cs="宋体"/>
          <w:u w:val="single"/>
        </w:rPr>
      </w:pPr>
    </w:p>
    <w:p w14:paraId="7D5D586D">
      <w:pPr>
        <w:spacing w:line="360" w:lineRule="auto"/>
        <w:ind w:firstLine="480" w:firstLineChars="200"/>
        <w:rPr>
          <w:rFonts w:ascii="宋体" w:hAnsi="宋体" w:cs="宋体"/>
        </w:rPr>
      </w:pPr>
      <w:r>
        <w:rPr>
          <w:rFonts w:hint="eastAsia" w:ascii="宋体" w:hAnsi="宋体" w:cs="宋体"/>
          <w:lang w:bidi="ar"/>
        </w:rPr>
        <w:t xml:space="preserve">我单位参加本次政府采购项目活动前三年内，在经营活动中无重大违法活动记录，符合《政府采购法》规定的供应商资格条件。我方对此声明负全部法律责任。 </w:t>
      </w:r>
    </w:p>
    <w:p w14:paraId="52DB181E">
      <w:pPr>
        <w:spacing w:line="360" w:lineRule="auto"/>
        <w:rPr>
          <w:rFonts w:ascii="宋体" w:hAnsi="宋体" w:cs="宋体"/>
        </w:rPr>
      </w:pPr>
      <w:r>
        <w:rPr>
          <w:rFonts w:hint="eastAsia" w:ascii="宋体" w:hAnsi="宋体" w:cs="宋体"/>
          <w:lang w:bidi="ar"/>
        </w:rPr>
        <w:t xml:space="preserve">特此声明。 </w:t>
      </w:r>
    </w:p>
    <w:p w14:paraId="38B88B41">
      <w:pPr>
        <w:tabs>
          <w:tab w:val="left" w:pos="720"/>
        </w:tabs>
        <w:rPr>
          <w:rFonts w:ascii="宋体" w:hAnsi="宋体" w:cs="宋体"/>
        </w:rPr>
      </w:pPr>
    </w:p>
    <w:p w14:paraId="73C8558A">
      <w:pPr>
        <w:pStyle w:val="66"/>
        <w:rPr>
          <w:rFonts w:ascii="宋体" w:hAnsi="宋体" w:eastAsia="宋体" w:cs="宋体"/>
        </w:rPr>
      </w:pPr>
    </w:p>
    <w:p w14:paraId="77B19207">
      <w:pPr>
        <w:spacing w:line="360" w:lineRule="auto"/>
        <w:jc w:val="center"/>
        <w:rPr>
          <w:rFonts w:ascii="宋体" w:hAnsi="宋体" w:cs="宋体"/>
        </w:rPr>
      </w:pPr>
      <w:r>
        <w:rPr>
          <w:rFonts w:hint="eastAsia" w:ascii="宋体" w:hAnsi="宋体" w:cs="宋体"/>
          <w:b/>
          <w:bCs/>
        </w:rPr>
        <w:t>供</w:t>
      </w:r>
      <w:r>
        <w:rPr>
          <w:rFonts w:hint="eastAsia" w:ascii="宋体" w:hAnsi="宋体" w:cs="宋体"/>
          <w:b/>
          <w:bCs/>
          <w:spacing w:val="2"/>
        </w:rPr>
        <w:t>应</w:t>
      </w:r>
      <w:r>
        <w:rPr>
          <w:rFonts w:hint="eastAsia" w:ascii="宋体" w:hAnsi="宋体" w:cs="宋体"/>
          <w:b/>
          <w:bCs/>
        </w:rPr>
        <w:t>商</w:t>
      </w:r>
      <w:r>
        <w:rPr>
          <w:rFonts w:hint="eastAsia" w:ascii="宋体" w:hAnsi="宋体" w:cs="宋体"/>
          <w:b/>
          <w:bCs/>
          <w:spacing w:val="2"/>
        </w:rPr>
        <w:t>名</w:t>
      </w:r>
      <w:r>
        <w:rPr>
          <w:rFonts w:hint="eastAsia" w:ascii="宋体" w:hAnsi="宋体" w:cs="宋体"/>
          <w:b/>
          <w:bCs/>
        </w:rPr>
        <w:t>称</w:t>
      </w:r>
      <w:r>
        <w:rPr>
          <w:rFonts w:hint="eastAsia" w:ascii="宋体" w:hAnsi="宋体" w:cs="宋体"/>
          <w:b/>
          <w:lang w:bidi="ar"/>
        </w:rPr>
        <w:t>：             （公章）</w:t>
      </w:r>
    </w:p>
    <w:p w14:paraId="2AE6F9F8">
      <w:pPr>
        <w:spacing w:line="360" w:lineRule="auto"/>
        <w:jc w:val="center"/>
        <w:rPr>
          <w:rFonts w:ascii="宋体" w:hAnsi="宋体" w:cs="宋体"/>
        </w:rPr>
      </w:pPr>
      <w:r>
        <w:rPr>
          <w:rFonts w:hint="eastAsia" w:ascii="宋体" w:hAnsi="宋体" w:cs="宋体"/>
          <w:b/>
          <w:lang w:bidi="ar"/>
        </w:rPr>
        <w:t>法定代表人或委托代理人：           （签字或盖章）</w:t>
      </w:r>
    </w:p>
    <w:p w14:paraId="11F89B58">
      <w:pPr>
        <w:spacing w:line="360" w:lineRule="auto"/>
        <w:jc w:val="center"/>
        <w:rPr>
          <w:rFonts w:ascii="宋体" w:hAnsi="宋体" w:cs="宋体"/>
        </w:rPr>
      </w:pPr>
      <w:r>
        <w:rPr>
          <w:rFonts w:hint="eastAsia" w:ascii="宋体" w:hAnsi="宋体" w:cs="宋体"/>
          <w:b/>
          <w:lang w:bidi="ar"/>
        </w:rPr>
        <w:t>年     月     日</w:t>
      </w:r>
    </w:p>
    <w:p w14:paraId="7AEB452D">
      <w:pPr>
        <w:spacing w:line="360" w:lineRule="auto"/>
        <w:jc w:val="center"/>
        <w:rPr>
          <w:rFonts w:ascii="宋体" w:hAnsi="宋体" w:cs="宋体"/>
        </w:rPr>
      </w:pPr>
    </w:p>
    <w:p w14:paraId="1FE2AE66">
      <w:pPr>
        <w:tabs>
          <w:tab w:val="left" w:pos="900"/>
        </w:tabs>
        <w:spacing w:line="360" w:lineRule="auto"/>
        <w:jc w:val="center"/>
        <w:rPr>
          <w:rFonts w:ascii="宋体" w:hAnsi="宋体" w:cs="宋体"/>
        </w:rPr>
      </w:pPr>
    </w:p>
    <w:p w14:paraId="0D1321E9">
      <w:pPr>
        <w:tabs>
          <w:tab w:val="left" w:pos="900"/>
        </w:tabs>
        <w:spacing w:line="360" w:lineRule="auto"/>
        <w:jc w:val="center"/>
        <w:rPr>
          <w:rFonts w:ascii="宋体" w:hAnsi="宋体" w:cs="宋体"/>
        </w:rPr>
      </w:pPr>
    </w:p>
    <w:p w14:paraId="3C0C7979">
      <w:pPr>
        <w:tabs>
          <w:tab w:val="left" w:pos="900"/>
        </w:tabs>
        <w:spacing w:line="360" w:lineRule="auto"/>
        <w:jc w:val="center"/>
        <w:rPr>
          <w:rFonts w:ascii="宋体" w:hAnsi="宋体" w:cs="宋体"/>
        </w:rPr>
      </w:pPr>
    </w:p>
    <w:p w14:paraId="4B30DE9E">
      <w:pPr>
        <w:tabs>
          <w:tab w:val="left" w:pos="900"/>
        </w:tabs>
        <w:spacing w:line="360" w:lineRule="auto"/>
        <w:jc w:val="center"/>
        <w:rPr>
          <w:rFonts w:ascii="宋体" w:hAnsi="宋体" w:cs="宋体"/>
        </w:rPr>
      </w:pPr>
    </w:p>
    <w:p w14:paraId="6C6492AB">
      <w:pPr>
        <w:tabs>
          <w:tab w:val="left" w:pos="900"/>
        </w:tabs>
        <w:spacing w:line="360" w:lineRule="auto"/>
        <w:jc w:val="center"/>
        <w:rPr>
          <w:rFonts w:ascii="宋体" w:hAnsi="宋体" w:cs="宋体"/>
        </w:rPr>
      </w:pPr>
    </w:p>
    <w:p w14:paraId="3FB32231">
      <w:pPr>
        <w:tabs>
          <w:tab w:val="left" w:pos="900"/>
        </w:tabs>
        <w:spacing w:line="360" w:lineRule="auto"/>
        <w:jc w:val="center"/>
        <w:rPr>
          <w:rFonts w:ascii="宋体" w:hAnsi="宋体" w:cs="宋体"/>
        </w:rPr>
      </w:pPr>
    </w:p>
    <w:p w14:paraId="3DDE42ED">
      <w:pPr>
        <w:tabs>
          <w:tab w:val="left" w:pos="900"/>
        </w:tabs>
        <w:spacing w:line="360" w:lineRule="auto"/>
        <w:jc w:val="center"/>
        <w:rPr>
          <w:rFonts w:ascii="宋体" w:hAnsi="宋体" w:cs="宋体"/>
        </w:rPr>
      </w:pPr>
    </w:p>
    <w:p w14:paraId="4971B15B">
      <w:pPr>
        <w:tabs>
          <w:tab w:val="left" w:pos="900"/>
        </w:tabs>
        <w:spacing w:line="360" w:lineRule="auto"/>
        <w:jc w:val="center"/>
        <w:rPr>
          <w:rFonts w:ascii="宋体" w:hAnsi="宋体" w:cs="宋体"/>
        </w:rPr>
      </w:pPr>
    </w:p>
    <w:p w14:paraId="12F58F22">
      <w:pPr>
        <w:tabs>
          <w:tab w:val="left" w:pos="900"/>
        </w:tabs>
        <w:spacing w:line="360" w:lineRule="auto"/>
        <w:jc w:val="center"/>
        <w:rPr>
          <w:rFonts w:ascii="宋体" w:hAnsi="宋体" w:cs="宋体"/>
        </w:rPr>
      </w:pPr>
    </w:p>
    <w:p w14:paraId="689DBAA2">
      <w:pPr>
        <w:tabs>
          <w:tab w:val="left" w:pos="900"/>
        </w:tabs>
        <w:spacing w:line="360" w:lineRule="auto"/>
        <w:jc w:val="center"/>
        <w:rPr>
          <w:rFonts w:ascii="宋体" w:hAnsi="宋体" w:cs="宋体"/>
        </w:rPr>
      </w:pPr>
    </w:p>
    <w:p w14:paraId="69834A98">
      <w:pPr>
        <w:tabs>
          <w:tab w:val="left" w:pos="900"/>
        </w:tabs>
        <w:spacing w:line="360" w:lineRule="auto"/>
        <w:jc w:val="center"/>
        <w:rPr>
          <w:rFonts w:ascii="宋体" w:hAnsi="宋体" w:cs="宋体"/>
        </w:rPr>
      </w:pPr>
    </w:p>
    <w:p w14:paraId="6F033866">
      <w:pPr>
        <w:tabs>
          <w:tab w:val="left" w:pos="900"/>
        </w:tabs>
        <w:spacing w:line="360" w:lineRule="auto"/>
        <w:jc w:val="center"/>
        <w:rPr>
          <w:rFonts w:ascii="宋体" w:hAnsi="宋体" w:cs="宋体"/>
        </w:rPr>
      </w:pPr>
    </w:p>
    <w:p w14:paraId="582A913E">
      <w:pPr>
        <w:tabs>
          <w:tab w:val="left" w:pos="900"/>
        </w:tabs>
        <w:spacing w:line="360" w:lineRule="auto"/>
        <w:jc w:val="center"/>
        <w:rPr>
          <w:rFonts w:ascii="宋体" w:hAnsi="宋体" w:cs="宋体"/>
        </w:rPr>
      </w:pPr>
    </w:p>
    <w:p w14:paraId="6FF2ECD0">
      <w:pPr>
        <w:snapToGrid w:val="0"/>
        <w:spacing w:line="360" w:lineRule="auto"/>
        <w:rPr>
          <w:rFonts w:ascii="宋体" w:hAnsi="宋体" w:cs="宋体"/>
          <w:b/>
          <w:sz w:val="36"/>
          <w:szCs w:val="36"/>
        </w:rPr>
      </w:pPr>
      <w:r>
        <w:rPr>
          <w:rFonts w:hint="eastAsia" w:ascii="宋体" w:hAnsi="宋体" w:cs="宋体"/>
          <w:b/>
        </w:rPr>
        <w:br w:type="page"/>
      </w:r>
      <w:bookmarkStart w:id="21" w:name="_Toc496004044"/>
      <w:bookmarkStart w:id="22" w:name="_Toc28078205"/>
      <w:bookmarkStart w:id="23" w:name="_Toc22156"/>
      <w:bookmarkStart w:id="24" w:name="_Toc28017"/>
      <w:r>
        <w:rPr>
          <w:rFonts w:hint="eastAsia" w:ascii="宋体" w:hAnsi="宋体" w:cs="宋体"/>
          <w:b/>
          <w:sz w:val="28"/>
          <w:szCs w:val="28"/>
        </w:rPr>
        <w:t>附件1-7：</w:t>
      </w:r>
      <w:bookmarkEnd w:id="21"/>
      <w:bookmarkEnd w:id="22"/>
      <w:r>
        <w:rPr>
          <w:rFonts w:hint="eastAsia" w:ascii="宋体" w:hAnsi="宋体" w:cs="宋体"/>
          <w:b/>
          <w:sz w:val="28"/>
          <w:szCs w:val="28"/>
        </w:rPr>
        <w:t>中小企业声明函</w:t>
      </w:r>
      <w:bookmarkEnd w:id="23"/>
      <w:bookmarkEnd w:id="24"/>
    </w:p>
    <w:p w14:paraId="2B4BE7BC">
      <w:pPr>
        <w:spacing w:line="460" w:lineRule="exact"/>
        <w:ind w:firstLine="482"/>
        <w:jc w:val="center"/>
        <w:rPr>
          <w:rFonts w:ascii="宋体" w:hAnsi="宋体" w:cs="宋体"/>
          <w:b/>
          <w:sz w:val="32"/>
          <w:szCs w:val="40"/>
          <w:lang w:bidi="ar"/>
        </w:rPr>
      </w:pPr>
    </w:p>
    <w:p w14:paraId="7B9C21A1">
      <w:pPr>
        <w:autoSpaceDE w:val="0"/>
        <w:autoSpaceDN w:val="0"/>
        <w:spacing w:line="360" w:lineRule="auto"/>
        <w:jc w:val="center"/>
        <w:rPr>
          <w:rFonts w:ascii="宋体" w:hAnsi="宋体" w:cs="宋体"/>
          <w:b/>
          <w:bCs/>
          <w:sz w:val="28"/>
          <w:szCs w:val="28"/>
        </w:rPr>
      </w:pPr>
      <w:r>
        <w:rPr>
          <w:rFonts w:hint="eastAsia" w:ascii="宋体" w:hAnsi="宋体" w:cs="宋体"/>
          <w:b/>
          <w:bCs/>
          <w:sz w:val="28"/>
          <w:szCs w:val="28"/>
        </w:rPr>
        <w:t>中小企业声明函（货物）</w:t>
      </w:r>
    </w:p>
    <w:p w14:paraId="6915DD5C">
      <w:pPr>
        <w:spacing w:line="460" w:lineRule="exact"/>
        <w:ind w:firstLine="480"/>
        <w:rPr>
          <w:rFonts w:ascii="宋体" w:hAnsi="宋体" w:cs="宋体"/>
          <w:lang w:bidi="ar"/>
        </w:rPr>
      </w:pPr>
      <w:r>
        <w:rPr>
          <w:rFonts w:hint="eastAsia" w:ascii="宋体" w:hAnsi="宋体" w:cs="宋体"/>
          <w:lang w:bidi="ar"/>
        </w:rPr>
        <w:t>本公司（联合体）郑重声明，根据《政府采购促进中小企业发展管理办法》（财库﹝2020﹞46 号）的规定，本公司 （联合体）参加</w:t>
      </w:r>
      <w:r>
        <w:rPr>
          <w:rFonts w:hint="eastAsia" w:ascii="宋体" w:hAnsi="宋体" w:cs="宋体"/>
          <w:u w:val="single"/>
          <w:lang w:bidi="ar"/>
        </w:rPr>
        <w:t>（单位名称）</w:t>
      </w:r>
      <w:r>
        <w:rPr>
          <w:rFonts w:hint="eastAsia" w:ascii="宋体" w:hAnsi="宋体" w:cs="宋体"/>
          <w:lang w:bidi="ar"/>
        </w:rPr>
        <w:t>的</w:t>
      </w:r>
      <w:r>
        <w:rPr>
          <w:rFonts w:hint="eastAsia" w:ascii="宋体" w:hAnsi="宋体" w:cs="宋体"/>
          <w:u w:val="single"/>
          <w:lang w:bidi="ar"/>
        </w:rPr>
        <w:t>（项目名称）</w:t>
      </w:r>
      <w:r>
        <w:rPr>
          <w:rFonts w:hint="eastAsia" w:ascii="宋体" w:hAnsi="宋体" w:cs="宋体"/>
          <w:lang w:bidi="ar"/>
        </w:rPr>
        <w:t>采购活动，提供的货物全部由符合政策要求的中小企业制造。相关企业 （含联合体中的中小企业、签订分包意向协议的中小企业） 的具体情况如下：</w:t>
      </w:r>
    </w:p>
    <w:p w14:paraId="4DE70011">
      <w:pPr>
        <w:pStyle w:val="13"/>
      </w:pPr>
    </w:p>
    <w:p w14:paraId="2CFBEE72">
      <w:pPr>
        <w:numPr>
          <w:ilvl w:val="0"/>
          <w:numId w:val="0"/>
        </w:numPr>
        <w:spacing w:line="460" w:lineRule="exact"/>
        <w:ind w:left="0" w:leftChars="0" w:firstLine="400" w:firstLineChars="0"/>
        <w:rPr>
          <w:rFonts w:ascii="宋体" w:hAnsi="宋体" w:cs="宋体"/>
        </w:rPr>
      </w:pPr>
      <w:r>
        <w:rPr>
          <w:rFonts w:hint="default" w:ascii="宋体" w:hAnsi="宋体" w:eastAsia="宋体" w:cs="宋体"/>
          <w:sz w:val="24"/>
          <w:szCs w:val="24"/>
          <w:lang w:val="en-US" w:eastAsia="zh-CN" w:bidi="ar-SA"/>
        </w:rPr>
        <w:t>1．</w:t>
      </w:r>
      <w:r>
        <w:rPr>
          <w:rFonts w:hint="eastAsia" w:ascii="宋体" w:hAnsi="宋体" w:cs="宋体"/>
          <w:u w:val="single"/>
          <w:lang w:bidi="ar"/>
        </w:rPr>
        <w:t>（</w:t>
      </w:r>
      <w:r>
        <w:rPr>
          <w:rFonts w:hint="eastAsia" w:ascii="宋体" w:hAnsi="宋体" w:cs="宋体"/>
          <w:u w:val="single"/>
          <w:lang w:val="en-US" w:eastAsia="zh-CN" w:bidi="ar"/>
        </w:rPr>
        <w:t>健康体检一体机</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256BAAD">
      <w:pPr>
        <w:numPr>
          <w:ilvl w:val="0"/>
          <w:numId w:val="0"/>
        </w:numPr>
        <w:spacing w:line="460" w:lineRule="exact"/>
        <w:ind w:left="0" w:leftChars="0" w:firstLine="400" w:firstLineChars="0"/>
        <w:rPr>
          <w:rFonts w:ascii="宋体" w:hAnsi="宋体" w:cs="宋体"/>
        </w:rPr>
      </w:pPr>
      <w:r>
        <w:rPr>
          <w:rFonts w:hint="default" w:ascii="宋体" w:hAnsi="宋体" w:eastAsia="宋体" w:cs="宋体"/>
          <w:sz w:val="24"/>
          <w:szCs w:val="24"/>
          <w:lang w:val="en-US" w:eastAsia="zh-CN" w:bidi="ar-SA"/>
        </w:rPr>
        <w:t>2．</w:t>
      </w:r>
      <w:r>
        <w:rPr>
          <w:rFonts w:hint="eastAsia" w:ascii="宋体" w:hAnsi="宋体" w:cs="宋体"/>
          <w:u w:val="single"/>
          <w:lang w:bidi="ar"/>
        </w:rPr>
        <w:t>（</w:t>
      </w:r>
      <w:r>
        <w:rPr>
          <w:rFonts w:hint="eastAsia" w:ascii="宋体" w:hAnsi="宋体" w:cs="宋体"/>
          <w:u w:val="single"/>
          <w:lang w:val="en-US" w:eastAsia="zh-CN" w:bidi="ar"/>
        </w:rPr>
        <w:t>老年综合评估系统</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5FD0D1B">
      <w:pPr>
        <w:numPr>
          <w:ilvl w:val="0"/>
          <w:numId w:val="0"/>
        </w:numPr>
        <w:spacing w:line="460" w:lineRule="exact"/>
        <w:ind w:left="0" w:leftChars="0" w:firstLine="400" w:firstLineChars="0"/>
        <w:rPr>
          <w:rFonts w:ascii="宋体" w:hAnsi="宋体" w:cs="宋体"/>
        </w:rPr>
      </w:pPr>
      <w:r>
        <w:rPr>
          <w:rFonts w:hint="default" w:ascii="宋体" w:hAnsi="宋体" w:eastAsia="宋体" w:cs="宋体"/>
          <w:sz w:val="24"/>
          <w:szCs w:val="24"/>
          <w:lang w:val="en-US" w:eastAsia="zh-CN" w:bidi="ar-SA"/>
        </w:rPr>
        <w:t>3．</w:t>
      </w:r>
      <w:r>
        <w:rPr>
          <w:rFonts w:hint="eastAsia" w:ascii="宋体" w:hAnsi="宋体" w:cs="宋体"/>
          <w:u w:val="single"/>
          <w:lang w:bidi="ar"/>
        </w:rPr>
        <w:t>（</w:t>
      </w:r>
      <w:r>
        <w:rPr>
          <w:rFonts w:hint="eastAsia" w:ascii="宋体" w:hAnsi="宋体" w:cs="宋体"/>
          <w:u w:val="single"/>
          <w:lang w:val="en-US" w:eastAsia="zh-CN" w:bidi="ar"/>
        </w:rPr>
        <w:t>电动升降餐桌</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B5B417F">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淋浴椅</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7F16DF7">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5</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坐便器</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E6C90D1">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6</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恒温保温餐车</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030354FD">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7</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适老化餐桌椅</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8B3B7AB">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8</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升降洗漱池</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0B946A37">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9</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升降马桶</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25E2B85">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10</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场地</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建筑业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273B8AC">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11</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医用制氧机</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3C3C877E">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12</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呼叫器</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50629A0">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13</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四脚拐杖</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49641D3">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14</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康复训练保护腰带</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5EB7586">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15</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助行器</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52F7753">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16</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温湿度计</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DDD728D">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17</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梯形垫</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5609E13D">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18</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吞咽康复训练器</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5804075">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19</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食物模型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FA06396">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20</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食物模型展示柜</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57353F8B">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21</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膳食调查餐具模型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57D5751">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22</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用户膳食宝塔模型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117B8B9">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23</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糖尿病饮食指导食谱模型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4846DBA0">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24</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隐形油含量模型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50EF5A71">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25</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隐形盐含量模型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FB65D58">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26</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隐形糖含量模型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4B021699">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27</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中国居民膳食平衡宝塔食品模型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76046E5">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28</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幼儿膳食营养模型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097766C">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29</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婴幼儿辅食添加指导模型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4908314">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30</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老年人膳食宝塔模型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23CF9FE">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31</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高血压膳食宝塔模型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D098B14">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32</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糖尿病膳食宝塔模型</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23628EB">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33</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营养电子秤</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00B6B601">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34</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食品温度计</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535FEECC">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35</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医疗处置台</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7096CDB">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36</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高级老年护理模拟人（带生命体征）</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38089FB5">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37</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除颤仪</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674D2A58">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38</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急救车（含模拟急救药品）</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5255A213">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39</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压疮护理模型（多阶段）</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06A9318D">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40</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输液泵</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37F6D4B6">
      <w:pPr>
        <w:numPr>
          <w:ilvl w:val="0"/>
          <w:numId w:val="0"/>
        </w:numPr>
        <w:spacing w:line="460" w:lineRule="exact"/>
        <w:ind w:left="0" w:leftChars="0" w:firstLine="400" w:firstLineChars="0"/>
        <w:rPr>
          <w:rFonts w:ascii="宋体" w:hAnsi="宋体" w:cs="宋体"/>
        </w:rPr>
      </w:pPr>
      <w:r>
        <w:rPr>
          <w:rFonts w:hint="eastAsia" w:ascii="宋体" w:hAnsi="宋体" w:eastAsia="宋体" w:cs="宋体"/>
          <w:sz w:val="24"/>
          <w:szCs w:val="24"/>
          <w:lang w:val="en-US" w:eastAsia="zh-CN" w:bidi="ar-SA"/>
        </w:rPr>
        <w:t>41</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吸痰器（电动）</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C684C2D">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42</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医用监护仪（多参数）</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A8AE1B4">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43</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血糖血脂检测仪</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792C6B4C">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44</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视力测试设备</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3AE3586A">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45</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高原特色食材模型（枸杞、虫草、青稞等）</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3273A03">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46</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老年膳食模型（软食 / 流质 / 匀浆膳）</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41F0EF8">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47</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电动轮椅</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137E850E">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48</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无菌换药包</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28B4516C">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49</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无菌器械包</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0FF9B718">
      <w:pPr>
        <w:numPr>
          <w:ilvl w:val="0"/>
          <w:numId w:val="0"/>
        </w:numPr>
        <w:spacing w:line="460" w:lineRule="exact"/>
        <w:ind w:left="0" w:leftChars="0" w:firstLine="400" w:firstLineChars="0"/>
        <w:rPr>
          <w:rFonts w:hint="eastAsia" w:ascii="宋体" w:hAnsi="宋体" w:cs="宋体"/>
          <w:lang w:bidi="ar"/>
        </w:rPr>
      </w:pPr>
      <w:r>
        <w:rPr>
          <w:rFonts w:hint="eastAsia" w:ascii="宋体" w:hAnsi="宋体" w:eastAsia="宋体" w:cs="宋体"/>
          <w:sz w:val="24"/>
          <w:szCs w:val="24"/>
          <w:lang w:val="en-US" w:eastAsia="zh-CN" w:bidi="ar-SA"/>
        </w:rPr>
        <w:t>50</w:t>
      </w:r>
      <w:r>
        <w:rPr>
          <w:rFonts w:hint="default" w:ascii="宋体" w:hAnsi="宋体" w:eastAsia="宋体" w:cs="宋体"/>
          <w:sz w:val="24"/>
          <w:szCs w:val="24"/>
          <w:lang w:val="en-US" w:eastAsia="zh-CN" w:bidi="ar-SA"/>
        </w:rPr>
        <w:t>．</w:t>
      </w:r>
      <w:r>
        <w:rPr>
          <w:rFonts w:hint="eastAsia" w:ascii="宋体" w:hAnsi="宋体" w:cs="宋体"/>
          <w:u w:val="single"/>
          <w:lang w:bidi="ar"/>
        </w:rPr>
        <w:t>（</w:t>
      </w:r>
      <w:r>
        <w:rPr>
          <w:rFonts w:hint="eastAsia" w:ascii="宋体" w:hAnsi="宋体" w:cs="宋体"/>
          <w:u w:val="single"/>
          <w:lang w:val="en-US" w:eastAsia="zh-CN" w:bidi="ar"/>
        </w:rPr>
        <w:t>无菌技术包</w:t>
      </w:r>
      <w:r>
        <w:rPr>
          <w:rFonts w:hint="eastAsia" w:ascii="宋体" w:hAnsi="宋体" w:cs="宋体"/>
          <w:u w:val="single"/>
          <w:lang w:bidi="ar"/>
        </w:rPr>
        <w:t>）</w:t>
      </w:r>
      <w:r>
        <w:rPr>
          <w:rFonts w:hint="eastAsia" w:ascii="宋体" w:hAnsi="宋体" w:cs="宋体"/>
          <w:lang w:bidi="ar"/>
        </w:rPr>
        <w:t xml:space="preserve"> ，属于（采购文件中明确的所属行业：</w:t>
      </w:r>
      <w:r>
        <w:rPr>
          <w:rFonts w:hint="eastAsia" w:ascii="宋体" w:hAnsi="宋体" w:cs="宋体"/>
          <w:b/>
          <w:bCs/>
          <w:u w:val="single"/>
          <w:lang w:val="en-US" w:eastAsia="zh-CN" w:bidi="ar"/>
        </w:rPr>
        <w:t>制造业</w:t>
      </w:r>
      <w:r>
        <w:rPr>
          <w:rFonts w:hint="eastAsia" w:ascii="宋体" w:hAnsi="宋体" w:cs="宋体"/>
          <w:u w:val="single"/>
          <w:lang w:bidi="ar"/>
        </w:rPr>
        <w:t>）</w:t>
      </w:r>
      <w:r>
        <w:rPr>
          <w:rFonts w:hint="eastAsia" w:ascii="宋体" w:hAnsi="宋体" w:cs="宋体"/>
          <w:lang w:bidi="ar"/>
        </w:rPr>
        <w:t xml:space="preserve"> 行业；制造商为</w:t>
      </w:r>
      <w:r>
        <w:rPr>
          <w:rFonts w:hint="eastAsia" w:ascii="宋体" w:hAnsi="宋体" w:cs="宋体"/>
          <w:u w:val="single"/>
          <w:lang w:bidi="ar"/>
        </w:rPr>
        <w:t>（企业名称）</w:t>
      </w:r>
      <w:r>
        <w:rPr>
          <w:rFonts w:hint="eastAsia" w:ascii="宋体" w:hAnsi="宋体" w:cs="宋体"/>
          <w:lang w:bidi="ar"/>
        </w:rPr>
        <w:t>，从业人员</w:t>
      </w:r>
      <w:r>
        <w:rPr>
          <w:rFonts w:hint="eastAsia" w:ascii="宋体" w:hAnsi="宋体" w:cs="宋体"/>
          <w:u w:val="single"/>
          <w:lang w:bidi="ar"/>
        </w:rPr>
        <w:t xml:space="preserve">   </w:t>
      </w:r>
      <w:r>
        <w:rPr>
          <w:rFonts w:hint="eastAsia" w:ascii="宋体" w:hAnsi="宋体" w:cs="宋体"/>
          <w:lang w:bidi="ar"/>
        </w:rPr>
        <w:t>人，营业收入为</w:t>
      </w:r>
      <w:r>
        <w:rPr>
          <w:rFonts w:hint="eastAsia" w:ascii="宋体" w:hAnsi="宋体" w:cs="宋体"/>
          <w:u w:val="single"/>
          <w:lang w:bidi="ar"/>
        </w:rPr>
        <w:t xml:space="preserve">   </w:t>
      </w:r>
      <w:r>
        <w:rPr>
          <w:rFonts w:hint="eastAsia" w:ascii="宋体" w:hAnsi="宋体" w:cs="宋体"/>
          <w:lang w:bidi="ar"/>
        </w:rPr>
        <w:t>万元，资产总额为</w:t>
      </w:r>
      <w:r>
        <w:rPr>
          <w:rFonts w:hint="eastAsia" w:ascii="宋体" w:hAnsi="宋体" w:cs="宋体"/>
          <w:u w:val="single"/>
          <w:lang w:bidi="ar"/>
        </w:rPr>
        <w:t xml:space="preserve"> / </w:t>
      </w:r>
      <w:r>
        <w:rPr>
          <w:rFonts w:hint="eastAsia" w:ascii="宋体" w:hAnsi="宋体" w:cs="宋体"/>
          <w:lang w:bidi="ar"/>
        </w:rPr>
        <w:t>万元，属于</w:t>
      </w:r>
      <w:r>
        <w:rPr>
          <w:rFonts w:hint="eastAsia" w:ascii="宋体" w:hAnsi="宋体" w:cs="宋体"/>
          <w:u w:val="single"/>
          <w:lang w:bidi="ar"/>
        </w:rPr>
        <w:t xml:space="preserve">      </w:t>
      </w:r>
      <w:r>
        <w:rPr>
          <w:rFonts w:hint="eastAsia" w:ascii="宋体" w:hAnsi="宋体" w:cs="宋体"/>
          <w:lang w:bidi="ar"/>
        </w:rPr>
        <w:t xml:space="preserve">（中型企业、小型企业、微型企业）； </w:t>
      </w:r>
    </w:p>
    <w:p w14:paraId="04B78153">
      <w:pPr>
        <w:pStyle w:val="2"/>
        <w:rPr>
          <w:rFonts w:hint="eastAsia"/>
        </w:rPr>
      </w:pPr>
    </w:p>
    <w:p w14:paraId="11968986">
      <w:pPr>
        <w:pStyle w:val="2"/>
      </w:pPr>
    </w:p>
    <w:p w14:paraId="339FE187">
      <w:pPr>
        <w:pStyle w:val="2"/>
        <w:ind w:left="0" w:leftChars="0" w:firstLine="0" w:firstLineChars="0"/>
      </w:pPr>
    </w:p>
    <w:p w14:paraId="7DFDF144">
      <w:pPr>
        <w:numPr>
          <w:ilvl w:val="0"/>
          <w:numId w:val="0"/>
        </w:numPr>
        <w:spacing w:line="460" w:lineRule="exact"/>
        <w:ind w:left="0" w:leftChars="0" w:firstLine="400" w:firstLineChars="0"/>
        <w:rPr>
          <w:rFonts w:ascii="宋体" w:hAnsi="宋体" w:cs="宋体"/>
        </w:rPr>
      </w:pPr>
      <w:r>
        <w:rPr>
          <w:rFonts w:hint="eastAsia" w:ascii="宋体" w:hAnsi="宋体" w:cs="宋体"/>
          <w:lang w:bidi="ar"/>
        </w:rPr>
        <w:t xml:space="preserve"> </w:t>
      </w:r>
    </w:p>
    <w:p w14:paraId="242270FB">
      <w:pPr>
        <w:pStyle w:val="21"/>
      </w:pPr>
    </w:p>
    <w:p w14:paraId="4BE30859">
      <w:pPr>
        <w:spacing w:line="360" w:lineRule="auto"/>
        <w:ind w:left="400"/>
        <w:rPr>
          <w:rFonts w:ascii="宋体" w:hAnsi="宋体" w:cs="宋体"/>
        </w:rPr>
      </w:pPr>
      <w:r>
        <w:rPr>
          <w:rFonts w:hint="eastAsia" w:ascii="宋体" w:hAnsi="宋体" w:cs="宋体"/>
        </w:rPr>
        <w:t>……</w:t>
      </w:r>
    </w:p>
    <w:p w14:paraId="6BC65206">
      <w:pPr>
        <w:spacing w:line="360" w:lineRule="auto"/>
        <w:ind w:left="400" w:firstLine="240" w:firstLineChars="1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76055695">
      <w:pPr>
        <w:adjustRightInd w:val="0"/>
        <w:snapToGrid w:val="0"/>
        <w:spacing w:line="360" w:lineRule="auto"/>
        <w:ind w:firstLine="480" w:firstLineChars="200"/>
        <w:rPr>
          <w:rFonts w:ascii="宋体" w:hAnsi="宋体" w:cs="宋体"/>
        </w:rPr>
      </w:pPr>
      <w:r>
        <w:rPr>
          <w:rFonts w:hint="eastAsia" w:ascii="宋体" w:hAnsi="宋体" w:cs="宋体"/>
        </w:rPr>
        <w:t>本企业对上述声明内容的真实性负责。如有虚假，将依法承担相应责任。</w:t>
      </w:r>
    </w:p>
    <w:p w14:paraId="2185846B">
      <w:pPr>
        <w:wordWrap w:val="0"/>
        <w:adjustRightInd w:val="0"/>
        <w:snapToGrid w:val="0"/>
        <w:spacing w:line="440" w:lineRule="exact"/>
        <w:ind w:left="7096" w:hanging="6987" w:hangingChars="2900"/>
        <w:jc w:val="right"/>
        <w:rPr>
          <w:rFonts w:ascii="宋体" w:hAnsi="宋体" w:cs="宋体"/>
          <w:b/>
        </w:rPr>
      </w:pPr>
      <w:r>
        <w:rPr>
          <w:rFonts w:hint="eastAsia" w:ascii="宋体" w:hAnsi="宋体" w:cs="宋体"/>
          <w:b/>
        </w:rPr>
        <w:t xml:space="preserve">       </w:t>
      </w:r>
    </w:p>
    <w:p w14:paraId="36B2F254">
      <w:pPr>
        <w:wordWrap w:val="0"/>
        <w:adjustRightInd w:val="0"/>
        <w:snapToGrid w:val="0"/>
        <w:spacing w:line="440" w:lineRule="exact"/>
        <w:ind w:left="7096" w:hanging="6987" w:hangingChars="2900"/>
        <w:jc w:val="right"/>
        <w:rPr>
          <w:rFonts w:ascii="宋体" w:hAnsi="宋体" w:cs="宋体"/>
          <w:b/>
        </w:rPr>
      </w:pPr>
    </w:p>
    <w:p w14:paraId="20F8543E">
      <w:pPr>
        <w:autoSpaceDE w:val="0"/>
        <w:autoSpaceDN w:val="0"/>
        <w:spacing w:line="360" w:lineRule="auto"/>
        <w:jc w:val="center"/>
        <w:rPr>
          <w:rFonts w:ascii="宋体" w:hAnsi="宋体" w:cs="宋体"/>
          <w:b/>
          <w:bCs/>
          <w:lang w:val="zh-CN"/>
        </w:rPr>
      </w:pPr>
      <w:r>
        <w:rPr>
          <w:rFonts w:hint="eastAsia" w:ascii="宋体" w:hAnsi="宋体" w:cs="宋体"/>
          <w:b/>
          <w:bCs/>
        </w:rPr>
        <w:t xml:space="preserve">                  企业名称</w:t>
      </w:r>
      <w:r>
        <w:rPr>
          <w:rFonts w:hint="eastAsia" w:ascii="宋体" w:hAnsi="宋体" w:cs="宋体"/>
          <w:b/>
          <w:bCs/>
          <w:lang w:val="zh-CN"/>
        </w:rPr>
        <w:t>：           （公章）</w:t>
      </w:r>
    </w:p>
    <w:p w14:paraId="61060137">
      <w:pPr>
        <w:wordWrap w:val="0"/>
        <w:adjustRightInd w:val="0"/>
        <w:snapToGrid w:val="0"/>
        <w:spacing w:line="440" w:lineRule="exact"/>
        <w:ind w:right="560" w:firstLine="5060" w:firstLineChars="2100"/>
        <w:rPr>
          <w:rFonts w:ascii="宋体" w:hAnsi="宋体" w:cs="宋体"/>
          <w:sz w:val="28"/>
          <w:szCs w:val="28"/>
          <w:lang w:val="zh-CN"/>
        </w:rPr>
      </w:pPr>
      <w:r>
        <w:rPr>
          <w:rFonts w:hint="eastAsia" w:ascii="宋体" w:hAnsi="宋体" w:cs="宋体"/>
          <w:b/>
          <w:bCs/>
          <w:lang w:val="zh-CN"/>
        </w:rPr>
        <w:t>年  月  日</w:t>
      </w:r>
    </w:p>
    <w:p w14:paraId="16B0EDAF">
      <w:pPr>
        <w:jc w:val="both"/>
        <w:rPr>
          <w:rFonts w:ascii="宋体" w:hAnsi="宋体" w:cs="宋体"/>
          <w:b/>
        </w:rPr>
      </w:pPr>
      <w:r>
        <w:rPr>
          <w:rFonts w:hint="eastAsia" w:ascii="宋体" w:hAnsi="宋体" w:cs="宋体"/>
          <w:b/>
          <w:bCs/>
          <w:sz w:val="28"/>
          <w:szCs w:val="28"/>
        </w:rPr>
        <w:br w:type="column"/>
      </w:r>
      <w:bookmarkStart w:id="25" w:name="OLE_LINK13"/>
      <w:bookmarkStart w:id="26" w:name="OLE_LINK14"/>
      <w:r>
        <w:rPr>
          <w:rFonts w:hint="eastAsia" w:ascii="宋体" w:hAnsi="宋体" w:cs="宋体"/>
          <w:b/>
        </w:rPr>
        <w:t>附件1－8</w:t>
      </w:r>
    </w:p>
    <w:p w14:paraId="6BD66556">
      <w:pPr>
        <w:pStyle w:val="14"/>
        <w:ind w:left="480" w:firstLine="428"/>
        <w:rPr>
          <w:rFonts w:ascii="宋体" w:hAnsi="宋体" w:cs="宋体"/>
          <w:b/>
        </w:rPr>
      </w:pPr>
    </w:p>
    <w:p w14:paraId="476F9066">
      <w:pPr>
        <w:pStyle w:val="14"/>
        <w:ind w:left="480" w:firstLine="428"/>
        <w:rPr>
          <w:rFonts w:ascii="宋体" w:hAnsi="宋体" w:cs="宋体"/>
          <w:b/>
        </w:rPr>
      </w:pPr>
    </w:p>
    <w:p w14:paraId="23A0C6F1">
      <w:pPr>
        <w:autoSpaceDE w:val="0"/>
        <w:autoSpaceDN w:val="0"/>
        <w:spacing w:line="360" w:lineRule="auto"/>
        <w:jc w:val="center"/>
        <w:rPr>
          <w:rFonts w:ascii="宋体" w:hAnsi="宋体" w:cs="宋体"/>
          <w:b/>
          <w:bCs/>
          <w:sz w:val="28"/>
          <w:szCs w:val="28"/>
        </w:rPr>
      </w:pPr>
      <w:r>
        <w:rPr>
          <w:rFonts w:hint="eastAsia" w:ascii="宋体" w:hAnsi="宋体" w:cs="宋体"/>
          <w:b/>
          <w:bCs/>
          <w:sz w:val="28"/>
          <w:szCs w:val="28"/>
        </w:rPr>
        <w:t>残疾人福利性单位声明函</w:t>
      </w:r>
    </w:p>
    <w:bookmarkEnd w:id="25"/>
    <w:bookmarkEnd w:id="26"/>
    <w:p w14:paraId="72404A09">
      <w:pPr>
        <w:spacing w:after="120" w:afterLines="50"/>
        <w:rPr>
          <w:rFonts w:ascii="宋体" w:hAnsi="宋体" w:cs="宋体"/>
          <w:bCs/>
        </w:rPr>
      </w:pPr>
    </w:p>
    <w:p w14:paraId="2DEDECA1">
      <w:pPr>
        <w:spacing w:after="120" w:afterLines="50"/>
        <w:rPr>
          <w:rFonts w:ascii="宋体" w:hAnsi="宋体" w:cs="宋体"/>
          <w:b/>
          <w:bCs/>
        </w:rPr>
      </w:pPr>
      <w:r>
        <w:rPr>
          <w:rFonts w:hint="eastAsia" w:ascii="宋体" w:hAnsi="宋体" w:cs="宋体"/>
          <w:b/>
          <w:bCs/>
        </w:rPr>
        <w:t>致：</w:t>
      </w:r>
      <w:r>
        <w:rPr>
          <w:rFonts w:hint="eastAsia" w:ascii="宋体" w:hAnsi="宋体" w:cs="宋体"/>
          <w:b/>
          <w:bCs/>
          <w:u w:val="single"/>
        </w:rPr>
        <w:t xml:space="preserve">                   </w:t>
      </w:r>
    </w:p>
    <w:p w14:paraId="614E5A89">
      <w:pPr>
        <w:spacing w:line="360" w:lineRule="auto"/>
        <w:ind w:firstLine="480"/>
        <w:rPr>
          <w:rFonts w:ascii="宋体" w:hAnsi="宋体" w:cs="宋体"/>
        </w:rPr>
      </w:pPr>
    </w:p>
    <w:p w14:paraId="52F30D0C">
      <w:pPr>
        <w:spacing w:line="360" w:lineRule="auto"/>
        <w:ind w:firstLine="480"/>
        <w:rPr>
          <w:rFonts w:ascii="宋体" w:hAnsi="宋体" w:cs="宋体"/>
        </w:rPr>
      </w:pPr>
      <w:r>
        <w:rPr>
          <w:rFonts w:hint="eastAsia" w:ascii="宋体" w:hAnsi="宋体" w:cs="宋体"/>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u w:val="single"/>
        </w:rPr>
        <w:t xml:space="preserve">       </w:t>
      </w:r>
      <w:r>
        <w:rPr>
          <w:rFonts w:hint="eastAsia" w:ascii="宋体" w:hAnsi="宋体" w:cs="宋体"/>
        </w:rPr>
        <w:t>人，安置的残疾人人数</w:t>
      </w:r>
      <w:r>
        <w:rPr>
          <w:rFonts w:hint="eastAsia" w:ascii="宋体" w:hAnsi="宋体" w:cs="宋体"/>
          <w:u w:val="single"/>
        </w:rPr>
        <w:t xml:space="preserve">      </w:t>
      </w:r>
      <w:r>
        <w:rPr>
          <w:rFonts w:hint="eastAsia" w:ascii="宋体" w:hAnsi="宋体" w:cs="宋体"/>
        </w:rPr>
        <w:t>人。且本单位参加______单位的______项目采购活动提供本单位制造的货物/服务（由本单位承担工程/提供服务），或者提供其他残疾人福利性单位制造的货物/服务（不包括使用非残疾人福利性单位注册商标的货物/服务）。</w:t>
      </w:r>
    </w:p>
    <w:p w14:paraId="6FEB7E1C">
      <w:pPr>
        <w:spacing w:line="360" w:lineRule="auto"/>
        <w:ind w:firstLine="480"/>
        <w:rPr>
          <w:rFonts w:ascii="宋体" w:hAnsi="宋体" w:cs="宋体"/>
        </w:rPr>
      </w:pPr>
      <w:r>
        <w:rPr>
          <w:rFonts w:hint="eastAsia" w:ascii="宋体" w:hAnsi="宋体" w:cs="宋体"/>
        </w:rPr>
        <w:t>本单位对上述声明的真实性负责。如有虚假，将依法承担相应责任。</w:t>
      </w:r>
    </w:p>
    <w:p w14:paraId="21D89D45">
      <w:pPr>
        <w:spacing w:line="360" w:lineRule="auto"/>
        <w:ind w:firstLine="480"/>
        <w:rPr>
          <w:rFonts w:ascii="宋体" w:hAnsi="宋体" w:cs="宋体"/>
        </w:rPr>
      </w:pPr>
    </w:p>
    <w:p w14:paraId="6D633BA5">
      <w:pPr>
        <w:spacing w:line="360" w:lineRule="auto"/>
        <w:rPr>
          <w:rFonts w:ascii="宋体" w:hAnsi="宋体" w:cs="宋体"/>
        </w:rPr>
      </w:pPr>
      <w:r>
        <w:rPr>
          <w:rFonts w:hint="eastAsia" w:ascii="宋体" w:hAnsi="宋体" w:cs="宋体"/>
        </w:rPr>
        <w:t>注：若无此项内容，可不提供此函。</w:t>
      </w:r>
    </w:p>
    <w:p w14:paraId="6DD4EC82">
      <w:pPr>
        <w:spacing w:line="360" w:lineRule="auto"/>
        <w:ind w:firstLine="480"/>
        <w:rPr>
          <w:rFonts w:ascii="宋体" w:hAnsi="宋体" w:cs="宋体"/>
        </w:rPr>
      </w:pPr>
    </w:p>
    <w:p w14:paraId="1B284CC1">
      <w:pPr>
        <w:autoSpaceDE w:val="0"/>
        <w:autoSpaceDN w:val="0"/>
        <w:spacing w:line="360" w:lineRule="auto"/>
        <w:jc w:val="center"/>
        <w:rPr>
          <w:rFonts w:ascii="宋体" w:hAnsi="宋体" w:cs="宋体"/>
          <w:b/>
          <w:bCs/>
          <w:lang w:val="zh-CN"/>
        </w:rPr>
      </w:pPr>
      <w:r>
        <w:rPr>
          <w:rFonts w:hint="eastAsia" w:ascii="宋体" w:hAnsi="宋体" w:cs="宋体"/>
          <w:b/>
        </w:rPr>
        <w:t xml:space="preserve">                               </w:t>
      </w:r>
      <w:r>
        <w:rPr>
          <w:rFonts w:hint="eastAsia" w:ascii="宋体" w:hAnsi="宋体" w:cs="宋体"/>
          <w:b/>
          <w:bCs/>
          <w:lang w:val="zh-CN"/>
        </w:rPr>
        <w:t>供应商：           （公章）</w:t>
      </w:r>
      <w:r>
        <w:rPr>
          <w:rFonts w:hint="eastAsia" w:ascii="宋体" w:hAnsi="宋体" w:cs="宋体"/>
          <w:b/>
          <w:bCs/>
        </w:rPr>
        <w:t xml:space="preserve">  </w:t>
      </w:r>
    </w:p>
    <w:p w14:paraId="3777B1F4">
      <w:pPr>
        <w:wordWrap w:val="0"/>
        <w:adjustRightInd w:val="0"/>
        <w:snapToGrid w:val="0"/>
        <w:spacing w:line="440" w:lineRule="exact"/>
        <w:ind w:right="560" w:firstLine="5542" w:firstLineChars="2300"/>
        <w:rPr>
          <w:rFonts w:ascii="宋体" w:hAnsi="宋体" w:cs="宋体"/>
          <w:sz w:val="28"/>
          <w:szCs w:val="28"/>
          <w:lang w:val="zh-CN"/>
        </w:rPr>
      </w:pPr>
      <w:r>
        <w:rPr>
          <w:rFonts w:hint="eastAsia" w:ascii="宋体" w:hAnsi="宋体" w:cs="宋体"/>
          <w:b/>
          <w:bCs/>
          <w:lang w:val="zh-CN"/>
        </w:rPr>
        <w:t>年  月  日</w:t>
      </w:r>
    </w:p>
    <w:p w14:paraId="5939BE5D">
      <w:pPr>
        <w:ind w:firstLine="482"/>
        <w:jc w:val="center"/>
        <w:rPr>
          <w:rFonts w:ascii="宋体" w:hAnsi="宋体" w:cs="宋体"/>
          <w:b/>
        </w:rPr>
      </w:pPr>
    </w:p>
    <w:p w14:paraId="2143FE07">
      <w:pPr>
        <w:jc w:val="both"/>
        <w:rPr>
          <w:rFonts w:ascii="宋体" w:hAnsi="宋体" w:cs="宋体"/>
          <w:b/>
        </w:rPr>
      </w:pPr>
    </w:p>
    <w:p w14:paraId="3E1C34D7">
      <w:pPr>
        <w:jc w:val="both"/>
        <w:rPr>
          <w:rFonts w:ascii="宋体" w:hAnsi="宋体" w:cs="宋体"/>
          <w:b/>
        </w:rPr>
      </w:pPr>
    </w:p>
    <w:p w14:paraId="0BF36B3B">
      <w:pPr>
        <w:jc w:val="both"/>
        <w:rPr>
          <w:rFonts w:ascii="宋体" w:hAnsi="宋体" w:cs="宋体"/>
          <w:b/>
        </w:rPr>
      </w:pPr>
    </w:p>
    <w:p w14:paraId="69035284">
      <w:pPr>
        <w:jc w:val="both"/>
        <w:rPr>
          <w:rFonts w:ascii="宋体" w:hAnsi="宋体" w:cs="宋体"/>
          <w:b/>
        </w:rPr>
      </w:pPr>
    </w:p>
    <w:p w14:paraId="3EB5BC6C">
      <w:pPr>
        <w:jc w:val="both"/>
        <w:rPr>
          <w:rFonts w:ascii="宋体" w:hAnsi="宋体" w:cs="宋体"/>
          <w:b/>
        </w:rPr>
      </w:pPr>
    </w:p>
    <w:p w14:paraId="400E1DCE">
      <w:pPr>
        <w:jc w:val="both"/>
        <w:rPr>
          <w:rFonts w:ascii="宋体" w:hAnsi="宋体" w:cs="宋体"/>
          <w:b/>
        </w:rPr>
      </w:pPr>
    </w:p>
    <w:p w14:paraId="375B1A01">
      <w:pPr>
        <w:jc w:val="both"/>
        <w:rPr>
          <w:rFonts w:ascii="宋体" w:hAnsi="宋体" w:cs="宋体"/>
          <w:b/>
        </w:rPr>
      </w:pPr>
    </w:p>
    <w:p w14:paraId="04B1D8B7">
      <w:pPr>
        <w:jc w:val="both"/>
        <w:rPr>
          <w:rFonts w:ascii="宋体" w:hAnsi="宋体" w:cs="宋体"/>
          <w:b/>
        </w:rPr>
      </w:pPr>
    </w:p>
    <w:p w14:paraId="029CA1D6">
      <w:pPr>
        <w:jc w:val="both"/>
        <w:rPr>
          <w:rFonts w:ascii="宋体" w:hAnsi="宋体" w:cs="宋体"/>
          <w:b/>
        </w:rPr>
      </w:pPr>
    </w:p>
    <w:p w14:paraId="136110C3">
      <w:pPr>
        <w:jc w:val="both"/>
        <w:rPr>
          <w:rFonts w:ascii="宋体" w:hAnsi="宋体" w:cs="宋体"/>
          <w:b/>
        </w:rPr>
      </w:pPr>
    </w:p>
    <w:p w14:paraId="2D629CBF">
      <w:pPr>
        <w:jc w:val="both"/>
        <w:rPr>
          <w:rFonts w:ascii="宋体" w:hAnsi="宋体" w:cs="宋体"/>
          <w:b/>
        </w:rPr>
      </w:pPr>
    </w:p>
    <w:p w14:paraId="3EF31851">
      <w:pPr>
        <w:jc w:val="both"/>
        <w:rPr>
          <w:rFonts w:ascii="宋体" w:hAnsi="宋体" w:cs="宋体"/>
          <w:b/>
        </w:rPr>
      </w:pPr>
    </w:p>
    <w:p w14:paraId="4747AFB5">
      <w:pPr>
        <w:jc w:val="both"/>
        <w:rPr>
          <w:rFonts w:ascii="宋体" w:hAnsi="宋体" w:cs="宋体"/>
          <w:b/>
        </w:rPr>
      </w:pPr>
    </w:p>
    <w:p w14:paraId="359F20D3">
      <w:pPr>
        <w:jc w:val="both"/>
        <w:rPr>
          <w:rFonts w:ascii="宋体" w:hAnsi="宋体" w:cs="宋体"/>
          <w:b/>
        </w:rPr>
      </w:pPr>
    </w:p>
    <w:p w14:paraId="7931752E">
      <w:pPr>
        <w:jc w:val="both"/>
        <w:rPr>
          <w:rFonts w:ascii="宋体" w:hAnsi="宋体" w:cs="宋体"/>
          <w:b/>
        </w:rPr>
      </w:pPr>
    </w:p>
    <w:p w14:paraId="13E9C4EB">
      <w:pPr>
        <w:rPr>
          <w:rFonts w:ascii="宋体" w:hAnsi="宋体" w:cs="宋体"/>
          <w:b/>
        </w:rPr>
      </w:pPr>
      <w:r>
        <w:rPr>
          <w:rFonts w:hint="eastAsia" w:ascii="宋体" w:hAnsi="宋体" w:cs="宋体"/>
          <w:b/>
        </w:rPr>
        <w:br w:type="page"/>
      </w:r>
    </w:p>
    <w:p w14:paraId="1725B1D7">
      <w:pPr>
        <w:jc w:val="both"/>
        <w:rPr>
          <w:rFonts w:ascii="宋体" w:hAnsi="宋体" w:cs="宋体"/>
          <w:b/>
        </w:rPr>
      </w:pPr>
      <w:r>
        <w:rPr>
          <w:rFonts w:hint="eastAsia" w:ascii="宋体" w:hAnsi="宋体" w:cs="宋体"/>
          <w:b/>
        </w:rPr>
        <w:t>附件1－9</w:t>
      </w:r>
    </w:p>
    <w:p w14:paraId="38D19D61">
      <w:pPr>
        <w:pStyle w:val="21"/>
        <w:spacing w:line="360" w:lineRule="auto"/>
        <w:jc w:val="center"/>
        <w:rPr>
          <w:rFonts w:ascii="宋体" w:hAnsi="宋体" w:cs="宋体"/>
          <w:b/>
          <w:sz w:val="28"/>
          <w:szCs w:val="28"/>
        </w:rPr>
      </w:pPr>
    </w:p>
    <w:p w14:paraId="2FCE409E">
      <w:pPr>
        <w:pStyle w:val="21"/>
        <w:spacing w:line="360" w:lineRule="auto"/>
        <w:jc w:val="center"/>
        <w:rPr>
          <w:rFonts w:ascii="宋体" w:hAnsi="宋体" w:cs="宋体"/>
        </w:rPr>
      </w:pPr>
      <w:r>
        <w:rPr>
          <w:rFonts w:hint="eastAsia" w:ascii="宋体" w:hAnsi="宋体" w:cs="宋体"/>
          <w:b/>
          <w:sz w:val="28"/>
          <w:szCs w:val="28"/>
        </w:rPr>
        <w:t>监狱企业证明资料</w:t>
      </w:r>
    </w:p>
    <w:p w14:paraId="3485AB1E">
      <w:pPr>
        <w:spacing w:line="480" w:lineRule="auto"/>
        <w:ind w:firstLine="480"/>
        <w:rPr>
          <w:rFonts w:ascii="宋体" w:hAnsi="宋体" w:cs="宋体"/>
          <w:sz w:val="22"/>
          <w:szCs w:val="28"/>
        </w:rPr>
      </w:pPr>
      <w:r>
        <w:rPr>
          <w:rFonts w:hint="eastAsia" w:ascii="宋体" w:hAnsi="宋体" w:cs="宋体"/>
          <w:szCs w:val="28"/>
        </w:rPr>
        <w:t xml:space="preserve"> </w:t>
      </w:r>
      <w:r>
        <w:rPr>
          <w:rFonts w:hint="eastAsia" w:ascii="宋体" w:hAnsi="宋体" w:cs="宋体"/>
          <w:sz w:val="22"/>
          <w:szCs w:val="28"/>
        </w:rPr>
        <w:t>备注：按《财政部 司法部关于政府采购支持监狱企业发展有关问题的通知》(财库〔2014〕68号)文件规定提供证明文件（复印件）。</w:t>
      </w:r>
    </w:p>
    <w:p w14:paraId="5E47F6F7">
      <w:pPr>
        <w:spacing w:line="480" w:lineRule="auto"/>
        <w:ind w:firstLine="480"/>
        <w:rPr>
          <w:rFonts w:ascii="宋体" w:hAnsi="宋体" w:cs="宋体"/>
          <w:sz w:val="22"/>
          <w:szCs w:val="28"/>
        </w:rPr>
      </w:pPr>
      <w:bookmarkStart w:id="27" w:name="_Toc22071_WPSOffice_Level3"/>
      <w:r>
        <w:rPr>
          <w:rFonts w:hint="eastAsia" w:ascii="宋体" w:hAnsi="宋体" w:cs="宋体"/>
          <w:sz w:val="22"/>
          <w:szCs w:val="28"/>
        </w:rPr>
        <w:t>说明：①监狱企业参加政府采购活动时，应当提供由省级以上监狱管理局、戒毒管理局(含新疆生产建设兵团)出具的属于监狱企业的证明文件。</w:t>
      </w:r>
    </w:p>
    <w:p w14:paraId="0CF67934">
      <w:pPr>
        <w:spacing w:line="480" w:lineRule="auto"/>
        <w:ind w:firstLine="480"/>
        <w:rPr>
          <w:rFonts w:ascii="宋体" w:hAnsi="宋体" w:cs="宋体"/>
          <w:sz w:val="22"/>
          <w:szCs w:val="28"/>
        </w:rPr>
      </w:pPr>
      <w:r>
        <w:rPr>
          <w:rFonts w:hint="eastAsia" w:ascii="宋体" w:hAnsi="宋体" w:cs="宋体"/>
          <w:sz w:val="22"/>
          <w:szCs w:val="28"/>
        </w:rPr>
        <w:t>②如未提供监狱企业相关证明材料的，则其评审中的监狱企业不能享受竞争性磋商文件规定的价格扣除，但不影响供应响应文件的有效性。</w:t>
      </w:r>
    </w:p>
    <w:p w14:paraId="277BBA7B">
      <w:pPr>
        <w:spacing w:line="480" w:lineRule="auto"/>
        <w:ind w:firstLine="480"/>
        <w:rPr>
          <w:rFonts w:ascii="宋体" w:hAnsi="宋体" w:cs="宋体"/>
          <w:sz w:val="22"/>
          <w:szCs w:val="28"/>
        </w:rPr>
      </w:pPr>
      <w:r>
        <w:rPr>
          <w:rFonts w:hint="eastAsia" w:ascii="宋体" w:hAnsi="宋体" w:cs="宋体"/>
          <w:sz w:val="22"/>
          <w:szCs w:val="28"/>
        </w:rPr>
        <w:t>③非监狱企业无需提供证明材料。</w:t>
      </w:r>
    </w:p>
    <w:p w14:paraId="47713F57">
      <w:pPr>
        <w:pStyle w:val="13"/>
        <w:ind w:firstLine="440"/>
        <w:rPr>
          <w:rFonts w:ascii="宋体" w:hAnsi="宋体" w:cs="宋体"/>
          <w:sz w:val="22"/>
          <w:szCs w:val="28"/>
        </w:rPr>
      </w:pPr>
    </w:p>
    <w:p w14:paraId="1FC6A7D1">
      <w:pPr>
        <w:pStyle w:val="13"/>
        <w:ind w:firstLine="440"/>
        <w:rPr>
          <w:rFonts w:ascii="宋体" w:hAnsi="宋体" w:cs="宋体"/>
          <w:sz w:val="22"/>
          <w:szCs w:val="28"/>
        </w:rPr>
      </w:pPr>
    </w:p>
    <w:p w14:paraId="444D703A">
      <w:pPr>
        <w:pStyle w:val="13"/>
        <w:ind w:firstLine="440"/>
        <w:rPr>
          <w:rFonts w:ascii="宋体" w:hAnsi="宋体" w:cs="宋体"/>
          <w:sz w:val="22"/>
          <w:szCs w:val="28"/>
        </w:rPr>
      </w:pPr>
    </w:p>
    <w:bookmarkEnd w:id="27"/>
    <w:p w14:paraId="73F87596">
      <w:pPr>
        <w:autoSpaceDE w:val="0"/>
        <w:autoSpaceDN w:val="0"/>
        <w:spacing w:line="360" w:lineRule="auto"/>
        <w:jc w:val="center"/>
        <w:rPr>
          <w:rFonts w:ascii="宋体" w:hAnsi="宋体" w:cs="宋体"/>
          <w:b/>
          <w:bCs/>
          <w:lang w:val="zh-CN"/>
        </w:rPr>
      </w:pPr>
      <w:r>
        <w:rPr>
          <w:rFonts w:hint="eastAsia" w:ascii="宋体" w:hAnsi="宋体" w:cs="宋体"/>
          <w:b/>
        </w:rPr>
        <w:t xml:space="preserve">                              </w:t>
      </w:r>
      <w:r>
        <w:rPr>
          <w:rFonts w:hint="eastAsia" w:ascii="宋体" w:hAnsi="宋体" w:cs="宋体"/>
          <w:b/>
          <w:bCs/>
          <w:lang w:val="zh-CN"/>
        </w:rPr>
        <w:t>供应商：           （公章）</w:t>
      </w:r>
    </w:p>
    <w:p w14:paraId="49CC20A8">
      <w:pPr>
        <w:wordWrap w:val="0"/>
        <w:adjustRightInd w:val="0"/>
        <w:snapToGrid w:val="0"/>
        <w:spacing w:line="440" w:lineRule="exact"/>
        <w:ind w:right="560" w:firstLine="5783" w:firstLineChars="2400"/>
        <w:rPr>
          <w:rFonts w:ascii="宋体" w:hAnsi="宋体" w:cs="宋体"/>
          <w:sz w:val="28"/>
          <w:szCs w:val="28"/>
          <w:lang w:val="zh-CN"/>
        </w:rPr>
      </w:pPr>
      <w:r>
        <w:rPr>
          <w:rFonts w:hint="eastAsia" w:ascii="宋体" w:hAnsi="宋体" w:cs="宋体"/>
          <w:b/>
          <w:bCs/>
          <w:lang w:val="zh-CN"/>
        </w:rPr>
        <w:t>年  月  日</w:t>
      </w:r>
    </w:p>
    <w:p w14:paraId="787BF6AD">
      <w:pPr>
        <w:ind w:firstLine="482"/>
        <w:jc w:val="center"/>
        <w:rPr>
          <w:rFonts w:ascii="宋体" w:hAnsi="宋体" w:cs="宋体"/>
          <w:b/>
        </w:rPr>
      </w:pPr>
    </w:p>
    <w:p w14:paraId="6508A5CC">
      <w:pPr>
        <w:pStyle w:val="21"/>
        <w:rPr>
          <w:rFonts w:ascii="宋体" w:hAnsi="宋体" w:cs="宋体"/>
          <w:sz w:val="28"/>
          <w:szCs w:val="28"/>
        </w:rPr>
      </w:pPr>
    </w:p>
    <w:p w14:paraId="35168DDE">
      <w:pPr>
        <w:rPr>
          <w:rFonts w:ascii="宋体" w:hAnsi="宋体" w:cs="宋体"/>
          <w:b/>
          <w:sz w:val="28"/>
          <w:szCs w:val="28"/>
        </w:rPr>
      </w:pPr>
      <w:r>
        <w:rPr>
          <w:rFonts w:hint="eastAsia" w:ascii="宋体" w:hAnsi="宋体" w:cs="宋体"/>
          <w:b/>
          <w:bCs/>
          <w:sz w:val="22"/>
          <w:szCs w:val="28"/>
        </w:rPr>
        <w:t>注：投标人参加本次采购活动时，提供虚假监狱企业声明函的，以提供虚假材料谋取成交处理。</w:t>
      </w:r>
    </w:p>
    <w:p w14:paraId="2B85A1AC">
      <w:pPr>
        <w:tabs>
          <w:tab w:val="left" w:pos="168"/>
        </w:tabs>
        <w:adjustRightInd w:val="0"/>
        <w:spacing w:line="360" w:lineRule="auto"/>
        <w:ind w:firstLine="480"/>
        <w:jc w:val="right"/>
        <w:textAlignment w:val="baseline"/>
        <w:rPr>
          <w:rFonts w:ascii="宋体" w:hAnsi="宋体" w:cs="宋体"/>
          <w:bCs/>
        </w:rPr>
      </w:pPr>
    </w:p>
    <w:p w14:paraId="2FD7DCFE">
      <w:pPr>
        <w:jc w:val="both"/>
        <w:rPr>
          <w:rFonts w:hint="eastAsia" w:ascii="宋体" w:hAnsi="宋体" w:eastAsia="宋体" w:cs="宋体"/>
          <w:b/>
          <w:bCs/>
          <w:color w:val="000000"/>
          <w:kern w:val="2"/>
          <w:sz w:val="30"/>
          <w:szCs w:val="30"/>
          <w:lang w:val="en-US" w:eastAsia="zh-CN" w:bidi="ar-SA"/>
        </w:rPr>
      </w:pPr>
      <w:r>
        <w:rPr>
          <w:rFonts w:hint="eastAsia" w:ascii="宋体" w:hAnsi="宋体" w:cs="宋体"/>
          <w:b/>
        </w:rPr>
        <w:br w:type="page"/>
      </w:r>
      <w:r>
        <w:rPr>
          <w:rFonts w:hint="eastAsia" w:ascii="宋体" w:hAnsi="宋体" w:cs="宋体"/>
          <w:b/>
        </w:rPr>
        <w:t>附件1－10</w:t>
      </w:r>
    </w:p>
    <w:p w14:paraId="13EC85C7">
      <w:pPr>
        <w:spacing w:line="480" w:lineRule="auto"/>
        <w:ind w:firstLine="480"/>
        <w:jc w:val="center"/>
        <w:rPr>
          <w:rFonts w:hint="eastAsia" w:ascii="宋体" w:hAnsi="宋体" w:eastAsia="宋体" w:cs="宋体"/>
          <w:bCs/>
          <w:iCs/>
          <w:color w:val="auto"/>
          <w:sz w:val="24"/>
          <w:szCs w:val="24"/>
        </w:rPr>
      </w:pPr>
      <w:r>
        <w:rPr>
          <w:rFonts w:hint="eastAsia" w:ascii="宋体" w:hAnsi="宋体" w:eastAsia="宋体" w:cs="宋体"/>
          <w:b/>
          <w:bCs/>
          <w:color w:val="000000"/>
          <w:kern w:val="2"/>
          <w:sz w:val="30"/>
          <w:szCs w:val="30"/>
          <w:lang w:val="en-US" w:eastAsia="zh-CN" w:bidi="ar-SA"/>
        </w:rPr>
        <w:t>关于符合本国产品标准的声明函</w:t>
      </w:r>
    </w:p>
    <w:p w14:paraId="3E46D4F9">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本公司（单位）郑重声明，根据《国务院办公厅关于在政府采购中实施本国产品标准及相关政策的通知》（国办发〔</w:t>
      </w:r>
      <w:r>
        <w:rPr>
          <w:rFonts w:hint="eastAsia" w:ascii="宋体" w:hAnsi="宋体" w:eastAsia="宋体" w:cs="宋体"/>
          <w:sz w:val="22"/>
          <w:szCs w:val="28"/>
          <w:lang w:eastAsia="zh-CN"/>
        </w:rPr>
        <w:t>202</w:t>
      </w:r>
      <w:r>
        <w:rPr>
          <w:rFonts w:hint="eastAsia" w:ascii="宋体" w:hAnsi="宋体" w:eastAsia="宋体" w:cs="宋体"/>
          <w:sz w:val="22"/>
          <w:szCs w:val="28"/>
          <w:lang w:val="en-US" w:eastAsia="zh-CN"/>
        </w:rPr>
        <w:t>5</w:t>
      </w:r>
      <w:r>
        <w:rPr>
          <w:rFonts w:hint="eastAsia" w:ascii="宋体" w:hAnsi="宋体" w:eastAsia="宋体" w:cs="宋体"/>
          <w:sz w:val="22"/>
          <w:szCs w:val="28"/>
        </w:rPr>
        <w:t>〕34号）的规定，本公司（单位）提供的以下产品属于本国产品。具体情况如下：</w:t>
      </w:r>
    </w:p>
    <w:p w14:paraId="14737335">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1.（产品名称1）</w:t>
      </w:r>
      <w:r>
        <w:rPr>
          <w:rFonts w:hint="eastAsia" w:ascii="宋体" w:hAnsi="宋体" w:eastAsia="宋体" w:cs="宋体"/>
          <w:sz w:val="22"/>
          <w:szCs w:val="28"/>
          <w:lang w:val="en-US" w:eastAsia="zh-CN"/>
        </w:rPr>
        <w:t>1</w:t>
      </w:r>
      <w:r>
        <w:rPr>
          <w:rFonts w:hint="eastAsia" w:ascii="宋体" w:hAnsi="宋体" w:eastAsia="宋体" w:cs="宋体"/>
          <w:sz w:val="22"/>
          <w:szCs w:val="28"/>
        </w:rPr>
        <w:t>，生产厂为（厂名）</w:t>
      </w:r>
      <w:r>
        <w:rPr>
          <w:rFonts w:hint="eastAsia" w:ascii="宋体" w:hAnsi="宋体" w:eastAsia="宋体" w:cs="宋体"/>
          <w:sz w:val="22"/>
          <w:szCs w:val="28"/>
          <w:lang w:val="en-US" w:eastAsia="zh-CN"/>
        </w:rPr>
        <w:t>2</w:t>
      </w:r>
      <w:r>
        <w:rPr>
          <w:rFonts w:hint="eastAsia" w:ascii="宋体" w:hAnsi="宋体" w:eastAsia="宋体" w:cs="宋体"/>
          <w:sz w:val="22"/>
          <w:szCs w:val="28"/>
        </w:rPr>
        <w:t>，厂址为（生产厂址）。（产品名称1）的中国境内生产的组件成本占比≥（规定比例）</w:t>
      </w:r>
      <w:r>
        <w:rPr>
          <w:rFonts w:hint="eastAsia" w:ascii="宋体" w:hAnsi="宋体" w:eastAsia="宋体" w:cs="宋体"/>
          <w:sz w:val="22"/>
          <w:szCs w:val="28"/>
          <w:lang w:val="en-US" w:eastAsia="zh-CN"/>
        </w:rPr>
        <w:t>3</w:t>
      </w:r>
      <w:r>
        <w:rPr>
          <w:rFonts w:hint="eastAsia" w:ascii="宋体" w:hAnsi="宋体" w:eastAsia="宋体" w:cs="宋体"/>
          <w:sz w:val="22"/>
          <w:szCs w:val="28"/>
        </w:rPr>
        <w:t>。（产品名称1）的（关键组件）</w:t>
      </w:r>
      <w:r>
        <w:rPr>
          <w:rFonts w:hint="eastAsia" w:ascii="宋体" w:hAnsi="宋体" w:eastAsia="宋体" w:cs="宋体"/>
          <w:sz w:val="22"/>
          <w:szCs w:val="28"/>
          <w:lang w:val="en-US" w:eastAsia="zh-CN"/>
        </w:rPr>
        <w:t>4</w:t>
      </w:r>
      <w:r>
        <w:rPr>
          <w:rFonts w:hint="eastAsia" w:ascii="宋体" w:hAnsi="宋体" w:eastAsia="宋体" w:cs="宋体"/>
          <w:sz w:val="22"/>
          <w:szCs w:val="28"/>
        </w:rPr>
        <w:t>在中国境内生产。（产品名称1）的（关键工序）</w:t>
      </w:r>
      <w:r>
        <w:rPr>
          <w:rFonts w:hint="eastAsia" w:ascii="宋体" w:hAnsi="宋体" w:eastAsia="宋体" w:cs="宋体"/>
          <w:sz w:val="22"/>
          <w:szCs w:val="28"/>
          <w:lang w:val="en-US" w:eastAsia="zh-CN"/>
        </w:rPr>
        <w:t>5</w:t>
      </w:r>
      <w:r>
        <w:rPr>
          <w:rFonts w:hint="eastAsia" w:ascii="宋体" w:hAnsi="宋体" w:eastAsia="宋体" w:cs="宋体"/>
          <w:sz w:val="22"/>
          <w:szCs w:val="28"/>
        </w:rPr>
        <w:t>在中国境内完成。</w:t>
      </w:r>
    </w:p>
    <w:p w14:paraId="648EB0E1">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2.（产品名称2），生产厂为（厂名），厂址为（生产厂址）。（产品名称2）的中国境内生产的组件成本占比≥（规定比例）。（产品名称2）的（关键组件）在中国境内生产。（产品名称2）的（关键工序）在中国境内完成。</w:t>
      </w:r>
    </w:p>
    <w:p w14:paraId="27EA4E19">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w:t>
      </w:r>
    </w:p>
    <w:p w14:paraId="2E490E02">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本公司（单位）对上述声明内容的真实性负责。如有虚假，愿承担相应法律责任。</w:t>
      </w:r>
    </w:p>
    <w:p w14:paraId="02EF7C11">
      <w:pPr>
        <w:spacing w:line="480" w:lineRule="auto"/>
        <w:ind w:firstLine="480"/>
        <w:rPr>
          <w:rFonts w:hint="eastAsia" w:ascii="宋体" w:hAnsi="宋体" w:eastAsia="宋体" w:cs="宋体"/>
          <w:sz w:val="22"/>
          <w:szCs w:val="28"/>
        </w:rPr>
      </w:pPr>
    </w:p>
    <w:p w14:paraId="7A3D9ACA">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公司（单位）名称（盖章）：      </w:t>
      </w:r>
    </w:p>
    <w:p w14:paraId="07D8E2D0">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日期：　　年　　月　</w:t>
      </w:r>
      <w:r>
        <w:rPr>
          <w:rFonts w:hint="eastAsia" w:ascii="宋体" w:hAnsi="宋体" w:eastAsia="宋体" w:cs="宋体"/>
          <w:sz w:val="22"/>
          <w:szCs w:val="28"/>
          <w:lang w:val="en-US" w:eastAsia="zh-CN"/>
        </w:rPr>
        <w:t xml:space="preserve"> </w:t>
      </w:r>
      <w:r>
        <w:rPr>
          <w:rFonts w:hint="eastAsia" w:ascii="宋体" w:hAnsi="宋体" w:eastAsia="宋体" w:cs="宋体"/>
          <w:sz w:val="22"/>
          <w:szCs w:val="28"/>
        </w:rPr>
        <w:t>日 </w:t>
      </w:r>
    </w:p>
    <w:p w14:paraId="414846EB">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1.产品如有型号，请在“产品名称”栏一并填写。</w:t>
      </w:r>
    </w:p>
    <w:p w14:paraId="67F1820D">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2.生产厂名与厂址应与生产厂营业执照载明的相关信息保持一致。</w:t>
      </w:r>
    </w:p>
    <w:p w14:paraId="1B70C17C">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3.该产品的中国境内生产的组件成本占比相关要求实施前，“规定比例”栏可不填，下同。</w:t>
      </w:r>
    </w:p>
    <w:p w14:paraId="533E0F87">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4.该产品的关键组件要求实施前，“关键组件”栏可不填，下同。</w:t>
      </w:r>
    </w:p>
    <w:p w14:paraId="4EB3FDB0">
      <w:pPr>
        <w:spacing w:line="480" w:lineRule="auto"/>
        <w:ind w:firstLine="480"/>
        <w:rPr>
          <w:rFonts w:hint="eastAsia" w:ascii="宋体" w:hAnsi="宋体" w:eastAsia="宋体" w:cs="宋体"/>
          <w:sz w:val="22"/>
          <w:szCs w:val="28"/>
        </w:rPr>
      </w:pPr>
      <w:r>
        <w:rPr>
          <w:rFonts w:hint="eastAsia" w:ascii="宋体" w:hAnsi="宋体" w:eastAsia="宋体" w:cs="宋体"/>
          <w:sz w:val="22"/>
          <w:szCs w:val="28"/>
        </w:rPr>
        <w:t>5.该产品的关键工序要求实施前，“关键工序”栏可不填，下同。</w:t>
      </w:r>
    </w:p>
    <w:p w14:paraId="48D6B658">
      <w:pPr>
        <w:tabs>
          <w:tab w:val="left" w:pos="900"/>
        </w:tabs>
        <w:spacing w:line="360" w:lineRule="auto"/>
        <w:jc w:val="center"/>
        <w:rPr>
          <w:rFonts w:ascii="宋体" w:hAnsi="宋体" w:cs="宋体"/>
        </w:rPr>
      </w:pPr>
    </w:p>
    <w:p w14:paraId="137E2582">
      <w:pPr>
        <w:pStyle w:val="21"/>
        <w:rPr>
          <w:rFonts w:ascii="宋体" w:hAnsi="宋体" w:cs="宋体"/>
        </w:rPr>
      </w:pPr>
    </w:p>
    <w:p w14:paraId="07B781F7">
      <w:pPr>
        <w:pStyle w:val="15"/>
      </w:pPr>
    </w:p>
    <w:p w14:paraId="643F7D06">
      <w:pPr>
        <w:tabs>
          <w:tab w:val="left" w:pos="900"/>
        </w:tabs>
        <w:spacing w:line="360" w:lineRule="auto"/>
        <w:jc w:val="center"/>
        <w:rPr>
          <w:rFonts w:ascii="宋体" w:hAnsi="宋体" w:cs="宋体"/>
          <w:b/>
          <w:bCs/>
        </w:rPr>
      </w:pPr>
    </w:p>
    <w:p w14:paraId="44FF50A2">
      <w:pPr>
        <w:tabs>
          <w:tab w:val="left" w:pos="900"/>
        </w:tabs>
        <w:spacing w:line="360" w:lineRule="auto"/>
        <w:jc w:val="both"/>
        <w:rPr>
          <w:rFonts w:hint="eastAsia" w:ascii="宋体" w:hAnsi="宋体" w:cs="宋体"/>
          <w:b/>
          <w:lang w:val="en-US" w:eastAsia="zh-CN"/>
        </w:rPr>
      </w:pPr>
      <w:r>
        <w:rPr>
          <w:rFonts w:hint="eastAsia" w:ascii="宋体" w:hAnsi="宋体" w:cs="宋体"/>
          <w:b/>
        </w:rPr>
        <w:t>附件1－1</w:t>
      </w:r>
      <w:r>
        <w:rPr>
          <w:rFonts w:hint="eastAsia" w:ascii="宋体" w:hAnsi="宋体" w:cs="宋体"/>
          <w:b/>
          <w:lang w:val="en-US" w:eastAsia="zh-CN"/>
        </w:rPr>
        <w:t xml:space="preserve">1             </w:t>
      </w:r>
    </w:p>
    <w:p w14:paraId="3B0D81C1">
      <w:pPr>
        <w:tabs>
          <w:tab w:val="left" w:pos="900"/>
        </w:tabs>
        <w:spacing w:line="360" w:lineRule="auto"/>
        <w:jc w:val="center"/>
        <w:rPr>
          <w:rFonts w:ascii="宋体" w:hAnsi="宋体" w:cs="宋体"/>
          <w:b/>
          <w:bCs/>
        </w:rPr>
      </w:pPr>
      <w:r>
        <w:rPr>
          <w:rFonts w:hint="eastAsia" w:ascii="宋体" w:hAnsi="宋体" w:cs="宋体"/>
          <w:b/>
          <w:bCs/>
        </w:rPr>
        <w:t>磋商文件要求提供的其他证明文件。</w:t>
      </w:r>
    </w:p>
    <w:p w14:paraId="172D1085">
      <w:pPr>
        <w:tabs>
          <w:tab w:val="left" w:pos="900"/>
        </w:tabs>
        <w:spacing w:line="360" w:lineRule="auto"/>
        <w:jc w:val="center"/>
        <w:rPr>
          <w:rFonts w:ascii="宋体" w:hAnsi="宋体" w:cs="宋体"/>
          <w:b/>
          <w:bCs/>
        </w:rPr>
      </w:pPr>
      <w:r>
        <w:rPr>
          <w:rFonts w:hint="eastAsia" w:ascii="宋体" w:hAnsi="宋体" w:cs="宋体"/>
          <w:b/>
          <w:bCs/>
        </w:rPr>
        <w:br w:type="column"/>
      </w:r>
    </w:p>
    <w:p w14:paraId="35E5F840">
      <w:pPr>
        <w:tabs>
          <w:tab w:val="left" w:pos="900"/>
        </w:tabs>
        <w:spacing w:line="360" w:lineRule="auto"/>
        <w:jc w:val="center"/>
        <w:rPr>
          <w:rFonts w:ascii="宋体" w:hAnsi="宋体" w:cs="宋体"/>
          <w:b/>
          <w:sz w:val="32"/>
        </w:rPr>
      </w:pPr>
      <w:r>
        <w:rPr>
          <w:rFonts w:hint="eastAsia" w:ascii="宋体" w:hAnsi="宋体" w:cs="宋体"/>
          <w:b/>
          <w:sz w:val="32"/>
        </w:rPr>
        <w:t>第二部分     技术性响应文件（格式）</w:t>
      </w:r>
      <w:bookmarkEnd w:id="20"/>
    </w:p>
    <w:p w14:paraId="1D2AC23E">
      <w:pPr>
        <w:spacing w:line="420" w:lineRule="exact"/>
        <w:rPr>
          <w:rFonts w:ascii="宋体" w:hAnsi="宋体" w:cs="宋体"/>
          <w:b/>
          <w:sz w:val="28"/>
        </w:rPr>
      </w:pPr>
      <w:r>
        <w:rPr>
          <w:rFonts w:hint="eastAsia" w:ascii="宋体" w:hAnsi="宋体" w:cs="宋体"/>
          <w:b/>
        </w:rPr>
        <w:t xml:space="preserve">                            </w:t>
      </w:r>
      <w:bookmarkStart w:id="28" w:name="_Toc32265"/>
      <w:r>
        <w:rPr>
          <w:rFonts w:hint="eastAsia" w:ascii="宋体" w:hAnsi="宋体" w:cs="宋体"/>
          <w:b/>
        </w:rPr>
        <w:t>一、</w:t>
      </w:r>
      <w:r>
        <w:rPr>
          <w:rFonts w:hint="eastAsia" w:ascii="宋体" w:hAnsi="宋体" w:cs="宋体"/>
          <w:b/>
          <w:sz w:val="28"/>
        </w:rPr>
        <w:t>响 应 函</w:t>
      </w:r>
      <w:bookmarkEnd w:id="28"/>
    </w:p>
    <w:p w14:paraId="091E6A40">
      <w:pPr>
        <w:pStyle w:val="25"/>
        <w:spacing w:line="360" w:lineRule="exact"/>
        <w:rPr>
          <w:rFonts w:hint="default" w:hAnsi="宋体" w:cs="宋体"/>
          <w:sz w:val="24"/>
          <w:szCs w:val="24"/>
        </w:rPr>
      </w:pPr>
      <w:r>
        <w:rPr>
          <w:rFonts w:hAnsi="宋体" w:cs="宋体"/>
          <w:sz w:val="24"/>
          <w:szCs w:val="24"/>
        </w:rPr>
        <w:t>致：</w:t>
      </w:r>
      <w:r>
        <w:rPr>
          <w:rFonts w:hAnsi="宋体" w:cs="宋体"/>
          <w:u w:val="single"/>
        </w:rPr>
        <w:t xml:space="preserve">                 </w:t>
      </w:r>
    </w:p>
    <w:p w14:paraId="5D198EC3">
      <w:pPr>
        <w:autoSpaceDE w:val="0"/>
        <w:autoSpaceDN w:val="0"/>
        <w:snapToGrid w:val="0"/>
        <w:spacing w:line="480" w:lineRule="exact"/>
        <w:ind w:firstLine="360" w:firstLineChars="150"/>
        <w:rPr>
          <w:rFonts w:ascii="宋体" w:hAnsi="宋体" w:cs="宋体"/>
          <w:u w:val="single"/>
        </w:rPr>
      </w:pPr>
      <w:r>
        <w:rPr>
          <w:rFonts w:hint="eastAsia" w:ascii="宋体" w:hAnsi="宋体" w:cs="宋体"/>
        </w:rPr>
        <w:t>根据贵方</w:t>
      </w:r>
      <w:r>
        <w:rPr>
          <w:rFonts w:hint="eastAsia" w:ascii="宋体" w:hAnsi="宋体" w:cs="宋体"/>
          <w:u w:val="single"/>
        </w:rPr>
        <w:t xml:space="preserve">                        </w:t>
      </w:r>
      <w:r>
        <w:rPr>
          <w:rFonts w:hint="eastAsia" w:ascii="宋体" w:hAnsi="宋体" w:cs="宋体"/>
        </w:rPr>
        <w:t>项目，编号为</w:t>
      </w:r>
      <w:r>
        <w:rPr>
          <w:rFonts w:hint="eastAsia" w:ascii="宋体" w:hAnsi="宋体" w:cs="宋体"/>
          <w:u w:val="single"/>
        </w:rPr>
        <w:t xml:space="preserve">                </w:t>
      </w:r>
      <w:r>
        <w:rPr>
          <w:rFonts w:hint="eastAsia" w:ascii="宋体" w:hAnsi="宋体" w:cs="宋体"/>
        </w:rPr>
        <w:t>的磋商邀请，正式授权的下述签字人</w:t>
      </w:r>
      <w:r>
        <w:rPr>
          <w:rFonts w:hint="eastAsia" w:ascii="宋体" w:hAnsi="宋体" w:cs="宋体"/>
          <w:u w:val="single"/>
        </w:rPr>
        <w:t xml:space="preserve">                 </w:t>
      </w:r>
      <w:r>
        <w:rPr>
          <w:rFonts w:hint="eastAsia" w:ascii="宋体" w:hAnsi="宋体" w:cs="宋体"/>
        </w:rPr>
        <w:t xml:space="preserve"> (姓名和职务)代表供应商</w:t>
      </w:r>
      <w:r>
        <w:rPr>
          <w:rFonts w:hint="eastAsia" w:ascii="宋体" w:hAnsi="宋体" w:cs="宋体"/>
          <w:u w:val="single"/>
        </w:rPr>
        <w:t xml:space="preserve">      </w:t>
      </w:r>
      <w:r>
        <w:rPr>
          <w:rFonts w:hint="eastAsia" w:ascii="宋体" w:hAnsi="宋体" w:cs="宋体"/>
        </w:rPr>
        <w:t>(供应商的名称)，在线上传投标文件。</w:t>
      </w:r>
    </w:p>
    <w:p w14:paraId="28F62515">
      <w:pPr>
        <w:autoSpaceDE w:val="0"/>
        <w:autoSpaceDN w:val="0"/>
        <w:snapToGrid w:val="0"/>
        <w:spacing w:line="480" w:lineRule="exact"/>
        <w:ind w:firstLine="571" w:firstLineChars="238"/>
        <w:rPr>
          <w:rFonts w:ascii="宋体" w:hAnsi="宋体" w:cs="宋体"/>
        </w:rPr>
      </w:pPr>
      <w:r>
        <w:rPr>
          <w:rFonts w:hint="eastAsia" w:ascii="宋体" w:hAnsi="宋体" w:cs="宋体"/>
        </w:rPr>
        <w:t>据此函，签字人兹宣布同意如下：</w:t>
      </w:r>
    </w:p>
    <w:p w14:paraId="02474137">
      <w:pPr>
        <w:autoSpaceDE w:val="0"/>
        <w:autoSpaceDN w:val="0"/>
        <w:snapToGrid w:val="0"/>
        <w:spacing w:line="480" w:lineRule="exact"/>
        <w:ind w:left="398" w:hanging="398" w:hangingChars="166"/>
        <w:rPr>
          <w:rFonts w:ascii="宋体" w:hAnsi="宋体" w:cs="宋体"/>
        </w:rPr>
      </w:pPr>
      <w:r>
        <w:rPr>
          <w:rFonts w:hint="eastAsia" w:ascii="宋体" w:hAnsi="宋体" w:cs="宋体"/>
        </w:rPr>
        <w:t>(1) 我们根据磋商文件的规定，承担完成合同的责任和义务。</w:t>
      </w:r>
    </w:p>
    <w:p w14:paraId="48A66FAF">
      <w:pPr>
        <w:autoSpaceDE w:val="0"/>
        <w:autoSpaceDN w:val="0"/>
        <w:snapToGrid w:val="0"/>
        <w:spacing w:line="480" w:lineRule="exact"/>
        <w:ind w:left="398" w:hanging="398" w:hangingChars="166"/>
        <w:rPr>
          <w:rFonts w:ascii="宋体" w:hAnsi="宋体" w:cs="宋体"/>
        </w:rPr>
      </w:pPr>
      <w:r>
        <w:rPr>
          <w:rFonts w:hint="eastAsia" w:ascii="宋体" w:hAnsi="宋体" w:cs="宋体"/>
        </w:rPr>
        <w:t>(2) 我们已详细审核全部磋商文件，包括磋商文件修改书(如果有的话)，参考资料及有关附件，我们完全理解并放弃提出含糊不清或误解的问题的权利。</w:t>
      </w:r>
    </w:p>
    <w:p w14:paraId="4C21423E">
      <w:pPr>
        <w:autoSpaceDE w:val="0"/>
        <w:autoSpaceDN w:val="0"/>
        <w:snapToGrid w:val="0"/>
        <w:spacing w:line="480" w:lineRule="exact"/>
        <w:ind w:left="398" w:hanging="398" w:hangingChars="166"/>
        <w:rPr>
          <w:rFonts w:ascii="宋体" w:hAnsi="宋体" w:cs="宋体"/>
        </w:rPr>
      </w:pPr>
      <w:r>
        <w:rPr>
          <w:rFonts w:hint="eastAsia" w:ascii="宋体" w:hAnsi="宋体" w:cs="宋体"/>
        </w:rPr>
        <w:t>(3) 本报价有效期为自磋商之日起</w:t>
      </w:r>
      <w:r>
        <w:rPr>
          <w:rFonts w:hint="eastAsia" w:ascii="宋体" w:hAnsi="宋体" w:cs="宋体"/>
          <w:u w:val="single"/>
        </w:rPr>
        <w:t xml:space="preserve">   </w:t>
      </w:r>
      <w:r>
        <w:rPr>
          <w:rFonts w:hint="eastAsia" w:ascii="宋体" w:hAnsi="宋体" w:cs="宋体"/>
        </w:rPr>
        <w:t>个日历日。报价有效期满之前均具有约束力。</w:t>
      </w:r>
    </w:p>
    <w:p w14:paraId="2FEA227A">
      <w:pPr>
        <w:autoSpaceDE w:val="0"/>
        <w:autoSpaceDN w:val="0"/>
        <w:snapToGrid w:val="0"/>
        <w:spacing w:line="480" w:lineRule="exact"/>
        <w:ind w:left="398" w:hanging="398" w:hangingChars="166"/>
        <w:rPr>
          <w:rFonts w:ascii="宋体" w:hAnsi="宋体" w:cs="宋体"/>
        </w:rPr>
      </w:pPr>
      <w:r>
        <w:rPr>
          <w:rFonts w:hint="eastAsia" w:ascii="宋体" w:hAnsi="宋体" w:cs="宋体"/>
        </w:rPr>
        <w:t>(4) 同意按磋商须知中关于不予退还磋商保证金的规定。</w:t>
      </w:r>
    </w:p>
    <w:p w14:paraId="19ED7350">
      <w:pPr>
        <w:autoSpaceDE w:val="0"/>
        <w:autoSpaceDN w:val="0"/>
        <w:snapToGrid w:val="0"/>
        <w:spacing w:line="480" w:lineRule="exact"/>
        <w:ind w:left="398" w:hanging="398" w:hangingChars="166"/>
        <w:rPr>
          <w:rFonts w:ascii="宋体" w:hAnsi="宋体" w:cs="宋体"/>
        </w:rPr>
      </w:pPr>
      <w:r>
        <w:rPr>
          <w:rFonts w:hint="eastAsia" w:ascii="宋体" w:hAnsi="宋体" w:cs="宋体"/>
        </w:rPr>
        <w:t>(5) 同意向贵方提供贵方可能要求的与本报价有关任何证据或资料。</w:t>
      </w:r>
    </w:p>
    <w:p w14:paraId="4D105CC3">
      <w:pPr>
        <w:autoSpaceDE w:val="0"/>
        <w:autoSpaceDN w:val="0"/>
        <w:snapToGrid w:val="0"/>
        <w:spacing w:line="480" w:lineRule="exact"/>
        <w:ind w:left="398" w:hanging="398" w:hangingChars="166"/>
        <w:rPr>
          <w:rFonts w:ascii="宋体" w:hAnsi="宋体" w:cs="宋体"/>
        </w:rPr>
      </w:pPr>
      <w:r>
        <w:rPr>
          <w:rFonts w:hint="eastAsia" w:ascii="宋体" w:hAnsi="宋体" w:cs="宋体"/>
        </w:rPr>
        <w:t>(6) 我们完全理解贵方不一定要接受最低报价的报价或收到的任何报价。</w:t>
      </w:r>
    </w:p>
    <w:p w14:paraId="57A0916B">
      <w:pPr>
        <w:autoSpaceDE w:val="0"/>
        <w:autoSpaceDN w:val="0"/>
        <w:snapToGrid w:val="0"/>
        <w:spacing w:line="460" w:lineRule="exact"/>
        <w:ind w:left="398" w:hanging="398" w:hangingChars="166"/>
        <w:rPr>
          <w:rFonts w:ascii="宋体" w:hAnsi="宋体" w:cs="宋体"/>
        </w:rPr>
      </w:pPr>
      <w:r>
        <w:rPr>
          <w:rFonts w:hint="eastAsia" w:ascii="宋体" w:hAnsi="宋体" w:cs="宋体"/>
        </w:rPr>
        <w:t>与本报价有关的正式通讯地址为：</w:t>
      </w:r>
    </w:p>
    <w:p w14:paraId="493D371D">
      <w:pPr>
        <w:autoSpaceDE w:val="0"/>
        <w:autoSpaceDN w:val="0"/>
        <w:snapToGrid w:val="0"/>
        <w:spacing w:line="460" w:lineRule="exact"/>
        <w:ind w:firstLine="960" w:firstLineChars="400"/>
        <w:rPr>
          <w:rFonts w:ascii="宋体" w:hAnsi="宋体" w:cs="宋体"/>
        </w:rPr>
      </w:pPr>
      <w:r>
        <w:rPr>
          <w:rFonts w:hint="eastAsia" w:ascii="宋体" w:hAnsi="宋体" w:cs="宋体"/>
        </w:rPr>
        <w:t>供应商名称 （盖章）：</w:t>
      </w:r>
      <w:r>
        <w:rPr>
          <w:rFonts w:hint="eastAsia" w:ascii="宋体" w:hAnsi="宋体" w:cs="宋体"/>
          <w:u w:val="single"/>
        </w:rPr>
        <w:t xml:space="preserve">              </w:t>
      </w:r>
      <w:r>
        <w:rPr>
          <w:rFonts w:hint="eastAsia" w:ascii="宋体" w:hAnsi="宋体" w:cs="宋体"/>
        </w:rPr>
        <w:t xml:space="preserve"> </w:t>
      </w:r>
    </w:p>
    <w:p w14:paraId="33354A81">
      <w:pPr>
        <w:spacing w:line="460" w:lineRule="exact"/>
        <w:ind w:firstLine="955" w:firstLineChars="398"/>
        <w:rPr>
          <w:rFonts w:ascii="宋体" w:hAnsi="宋体" w:cs="宋体"/>
          <w:u w:val="single"/>
        </w:rPr>
      </w:pPr>
      <w:r>
        <w:rPr>
          <w:rFonts w:hint="eastAsia" w:ascii="宋体" w:hAnsi="宋体" w:cs="宋体"/>
        </w:rPr>
        <w:t>地址：</w:t>
      </w:r>
      <w:r>
        <w:rPr>
          <w:rFonts w:hint="eastAsia" w:ascii="宋体" w:hAnsi="宋体" w:cs="宋体"/>
          <w:u w:val="single"/>
        </w:rPr>
        <w:t xml:space="preserve">                                </w:t>
      </w:r>
    </w:p>
    <w:p w14:paraId="6B685906">
      <w:pPr>
        <w:autoSpaceDE w:val="0"/>
        <w:autoSpaceDN w:val="0"/>
        <w:snapToGrid w:val="0"/>
        <w:spacing w:line="460" w:lineRule="exact"/>
        <w:ind w:firstLine="955" w:firstLineChars="398"/>
        <w:rPr>
          <w:rFonts w:ascii="宋体" w:hAnsi="宋体" w:cs="宋体"/>
        </w:rPr>
      </w:pPr>
      <w:r>
        <w:rPr>
          <w:rFonts w:hint="eastAsia" w:ascii="宋体" w:hAnsi="宋体" w:cs="宋体"/>
        </w:rPr>
        <w:t>电话：</w:t>
      </w:r>
      <w:r>
        <w:rPr>
          <w:rFonts w:hint="eastAsia" w:ascii="宋体" w:hAnsi="宋体" w:cs="宋体"/>
          <w:u w:val="single"/>
        </w:rPr>
        <w:t xml:space="preserve">              </w:t>
      </w:r>
      <w:r>
        <w:rPr>
          <w:rFonts w:hint="eastAsia" w:ascii="宋体" w:hAnsi="宋体" w:cs="宋体"/>
        </w:rPr>
        <w:t xml:space="preserve">      </w:t>
      </w:r>
    </w:p>
    <w:p w14:paraId="08891E0D">
      <w:pPr>
        <w:autoSpaceDE w:val="0"/>
        <w:autoSpaceDN w:val="0"/>
        <w:snapToGrid w:val="0"/>
        <w:spacing w:line="460" w:lineRule="exact"/>
        <w:ind w:firstLine="955" w:firstLineChars="398"/>
        <w:rPr>
          <w:rFonts w:ascii="宋体" w:hAnsi="宋体" w:cs="宋体"/>
          <w:u w:val="single"/>
        </w:rPr>
      </w:pPr>
      <w:r>
        <w:rPr>
          <w:rFonts w:hint="eastAsia" w:ascii="宋体" w:hAnsi="宋体" w:cs="宋体"/>
        </w:rPr>
        <w:t>传真：</w:t>
      </w:r>
      <w:r>
        <w:rPr>
          <w:rFonts w:hint="eastAsia" w:ascii="宋体" w:hAnsi="宋体" w:cs="宋体"/>
          <w:u w:val="single"/>
        </w:rPr>
        <w:t xml:space="preserve">                       </w:t>
      </w:r>
    </w:p>
    <w:p w14:paraId="0715FB08">
      <w:pPr>
        <w:autoSpaceDE w:val="0"/>
        <w:autoSpaceDN w:val="0"/>
        <w:snapToGrid w:val="0"/>
        <w:spacing w:line="460" w:lineRule="exact"/>
        <w:ind w:firstLine="955" w:firstLineChars="398"/>
        <w:rPr>
          <w:rFonts w:ascii="宋体" w:hAnsi="宋体" w:cs="宋体"/>
          <w:u w:val="single"/>
        </w:rPr>
      </w:pPr>
      <w:r>
        <w:rPr>
          <w:rFonts w:hint="eastAsia" w:ascii="宋体" w:hAnsi="宋体" w:cs="宋体"/>
        </w:rPr>
        <w:t>邮政编码：</w:t>
      </w:r>
      <w:r>
        <w:rPr>
          <w:rFonts w:hint="eastAsia" w:ascii="宋体" w:hAnsi="宋体" w:cs="宋体"/>
          <w:u w:val="single"/>
        </w:rPr>
        <w:t xml:space="preserve">                               </w:t>
      </w:r>
    </w:p>
    <w:p w14:paraId="175EDD10">
      <w:pPr>
        <w:spacing w:line="400" w:lineRule="exact"/>
        <w:ind w:firstLine="420" w:firstLineChars="175"/>
        <w:rPr>
          <w:rFonts w:ascii="宋体" w:hAnsi="宋体" w:cs="宋体"/>
          <w:u w:val="single"/>
        </w:rPr>
      </w:pPr>
      <w:r>
        <w:rPr>
          <w:rFonts w:hint="eastAsia" w:ascii="宋体" w:hAnsi="宋体" w:cs="宋体"/>
        </w:rPr>
        <w:t xml:space="preserve">    法定代表人或授权代表（签字或盖章）</w:t>
      </w:r>
      <w:r>
        <w:rPr>
          <w:rFonts w:hint="eastAsia" w:ascii="宋体" w:hAnsi="宋体" w:cs="宋体"/>
          <w:bCs/>
        </w:rPr>
        <w:t>：</w:t>
      </w:r>
      <w:r>
        <w:rPr>
          <w:rFonts w:hint="eastAsia" w:ascii="宋体" w:hAnsi="宋体" w:cs="宋体"/>
          <w:u w:val="single"/>
        </w:rPr>
        <w:t xml:space="preserve">               </w:t>
      </w:r>
    </w:p>
    <w:p w14:paraId="6DFB2E1C">
      <w:pPr>
        <w:autoSpaceDE w:val="0"/>
        <w:autoSpaceDN w:val="0"/>
        <w:snapToGrid w:val="0"/>
        <w:spacing w:line="460" w:lineRule="exact"/>
        <w:ind w:firstLine="955" w:firstLineChars="398"/>
        <w:rPr>
          <w:rFonts w:ascii="宋体" w:hAnsi="宋体" w:cs="宋体"/>
          <w:u w:val="single"/>
        </w:rPr>
      </w:pPr>
      <w:r>
        <w:rPr>
          <w:rFonts w:hint="eastAsia" w:ascii="宋体" w:hAnsi="宋体" w:cs="宋体"/>
        </w:rPr>
        <w:t>日期：</w:t>
      </w:r>
      <w:r>
        <w:rPr>
          <w:rFonts w:hint="eastAsia" w:ascii="宋体" w:hAnsi="宋体" w:cs="宋体"/>
          <w:u w:val="single"/>
        </w:rPr>
        <w:t xml:space="preserve">        年      月      日         </w:t>
      </w:r>
    </w:p>
    <w:p w14:paraId="014F880C">
      <w:pPr>
        <w:spacing w:line="420" w:lineRule="exact"/>
        <w:jc w:val="center"/>
        <w:rPr>
          <w:rFonts w:ascii="宋体" w:hAnsi="宋体" w:cs="宋体"/>
          <w:b/>
          <w:sz w:val="28"/>
        </w:rPr>
      </w:pPr>
      <w:r>
        <w:rPr>
          <w:rFonts w:hint="eastAsia" w:ascii="宋体" w:hAnsi="宋体" w:cs="宋体"/>
        </w:rPr>
        <w:br w:type="page"/>
      </w:r>
      <w:bookmarkStart w:id="29" w:name="_Toc23325"/>
      <w:r>
        <w:rPr>
          <w:rFonts w:hint="eastAsia" w:ascii="宋体" w:hAnsi="宋体" w:cs="宋体"/>
          <w:b/>
          <w:sz w:val="28"/>
        </w:rPr>
        <w:t>二、报价一览表</w:t>
      </w:r>
      <w:bookmarkEnd w:id="29"/>
    </w:p>
    <w:p w14:paraId="366C1240">
      <w:pPr>
        <w:spacing w:line="420" w:lineRule="exact"/>
        <w:jc w:val="center"/>
        <w:rPr>
          <w:rFonts w:ascii="宋体" w:hAnsi="宋体" w:cs="宋体"/>
          <w:b/>
          <w:bCs/>
          <w:sz w:val="36"/>
          <w:szCs w:val="36"/>
          <w:lang w:val="zh-CN"/>
        </w:rPr>
      </w:pPr>
    </w:p>
    <w:p w14:paraId="40976D0D">
      <w:pPr>
        <w:autoSpaceDE w:val="0"/>
        <w:autoSpaceDN w:val="0"/>
        <w:spacing w:line="360" w:lineRule="auto"/>
        <w:jc w:val="center"/>
        <w:rPr>
          <w:rFonts w:ascii="宋体" w:hAnsi="宋体" w:cs="宋体"/>
          <w:b/>
          <w:bCs/>
          <w:sz w:val="36"/>
          <w:szCs w:val="36"/>
          <w:lang w:val="zh-CN"/>
        </w:rPr>
      </w:pPr>
      <w:bookmarkStart w:id="30" w:name="_Toc30730"/>
      <w:r>
        <w:rPr>
          <w:rFonts w:hint="eastAsia" w:ascii="宋体" w:hAnsi="宋体" w:cs="宋体"/>
          <w:b/>
          <w:bCs/>
          <w:sz w:val="28"/>
          <w:szCs w:val="28"/>
          <w:lang w:val="zh-CN"/>
        </w:rPr>
        <w:t>开标一览表（报价表）</w:t>
      </w:r>
      <w:bookmarkEnd w:id="30"/>
    </w:p>
    <w:p w14:paraId="6D780E36">
      <w:pPr>
        <w:tabs>
          <w:tab w:val="left" w:pos="1733"/>
        </w:tabs>
        <w:autoSpaceDE w:val="0"/>
        <w:autoSpaceDN w:val="0"/>
        <w:spacing w:line="360" w:lineRule="auto"/>
        <w:rPr>
          <w:rFonts w:ascii="宋体" w:hAnsi="宋体" w:cs="宋体"/>
          <w:b/>
          <w:bCs/>
          <w:sz w:val="28"/>
          <w:szCs w:val="28"/>
          <w:lang w:val="zh-CN"/>
        </w:rPr>
      </w:pPr>
      <w:r>
        <w:rPr>
          <w:rFonts w:hint="eastAsia" w:ascii="宋体" w:hAnsi="宋体" w:cs="宋体"/>
          <w:b/>
          <w:bCs/>
          <w:sz w:val="28"/>
          <w:szCs w:val="28"/>
          <w:lang w:val="zh-CN"/>
        </w:rPr>
        <w:tab/>
      </w:r>
    </w:p>
    <w:tbl>
      <w:tblPr>
        <w:tblStyle w:val="4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7"/>
      </w:tblGrid>
      <w:tr w14:paraId="20C5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2632" w:type="dxa"/>
            <w:vAlign w:val="center"/>
          </w:tcPr>
          <w:p w14:paraId="684C012E">
            <w:pPr>
              <w:autoSpaceDE w:val="0"/>
              <w:autoSpaceDN w:val="0"/>
              <w:spacing w:line="360" w:lineRule="auto"/>
              <w:jc w:val="center"/>
              <w:rPr>
                <w:rFonts w:ascii="宋体" w:hAnsi="宋体" w:cs="宋体"/>
                <w:lang w:val="zh-CN"/>
              </w:rPr>
            </w:pPr>
            <w:r>
              <w:rPr>
                <w:rFonts w:hint="eastAsia" w:ascii="宋体" w:hAnsi="宋体" w:cs="宋体"/>
                <w:lang w:val="zh-CN"/>
              </w:rPr>
              <w:t>供应商名称</w:t>
            </w:r>
          </w:p>
        </w:tc>
        <w:tc>
          <w:tcPr>
            <w:tcW w:w="5987" w:type="dxa"/>
            <w:vAlign w:val="center"/>
          </w:tcPr>
          <w:p w14:paraId="78ED73E0">
            <w:pPr>
              <w:autoSpaceDE w:val="0"/>
              <w:autoSpaceDN w:val="0"/>
              <w:spacing w:line="360" w:lineRule="auto"/>
              <w:ind w:firstLine="480"/>
              <w:jc w:val="center"/>
              <w:rPr>
                <w:rFonts w:ascii="宋体" w:hAnsi="宋体" w:cs="宋体"/>
                <w:lang w:val="zh-CN"/>
              </w:rPr>
            </w:pPr>
          </w:p>
        </w:tc>
      </w:tr>
      <w:tr w14:paraId="3475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2632" w:type="dxa"/>
            <w:vAlign w:val="center"/>
          </w:tcPr>
          <w:p w14:paraId="31EA821D">
            <w:pPr>
              <w:autoSpaceDE w:val="0"/>
              <w:autoSpaceDN w:val="0"/>
              <w:spacing w:line="360" w:lineRule="auto"/>
              <w:jc w:val="center"/>
              <w:rPr>
                <w:rFonts w:ascii="宋体" w:hAnsi="宋体" w:cs="宋体"/>
                <w:lang w:val="zh-CN"/>
              </w:rPr>
            </w:pPr>
            <w:r>
              <w:rPr>
                <w:rFonts w:hint="eastAsia" w:ascii="宋体" w:hAnsi="宋体" w:cs="宋体"/>
                <w:lang w:val="zh-CN"/>
              </w:rPr>
              <w:t>投标包号</w:t>
            </w:r>
          </w:p>
        </w:tc>
        <w:tc>
          <w:tcPr>
            <w:tcW w:w="5987" w:type="dxa"/>
            <w:vAlign w:val="center"/>
          </w:tcPr>
          <w:p w14:paraId="7478F088">
            <w:pPr>
              <w:autoSpaceDE w:val="0"/>
              <w:autoSpaceDN w:val="0"/>
              <w:spacing w:line="360" w:lineRule="auto"/>
              <w:ind w:firstLine="480"/>
              <w:jc w:val="center"/>
              <w:rPr>
                <w:rFonts w:ascii="宋体" w:hAnsi="宋体" w:cs="宋体"/>
                <w:lang w:val="zh-CN"/>
              </w:rPr>
            </w:pPr>
          </w:p>
        </w:tc>
      </w:tr>
      <w:tr w14:paraId="53FF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3" w:hRule="atLeast"/>
          <w:jc w:val="center"/>
        </w:trPr>
        <w:tc>
          <w:tcPr>
            <w:tcW w:w="2632" w:type="dxa"/>
            <w:vAlign w:val="center"/>
          </w:tcPr>
          <w:p w14:paraId="6D6453AD">
            <w:pPr>
              <w:autoSpaceDE w:val="0"/>
              <w:autoSpaceDN w:val="0"/>
              <w:spacing w:line="360" w:lineRule="auto"/>
              <w:jc w:val="center"/>
              <w:rPr>
                <w:rFonts w:ascii="宋体" w:hAnsi="宋体" w:cs="宋体"/>
                <w:lang w:val="zh-CN"/>
              </w:rPr>
            </w:pPr>
            <w:r>
              <w:rPr>
                <w:rFonts w:hint="eastAsia" w:ascii="宋体" w:hAnsi="宋体" w:cs="宋体"/>
                <w:lang w:val="zh-CN"/>
              </w:rPr>
              <w:t>投标报价</w:t>
            </w:r>
          </w:p>
        </w:tc>
        <w:tc>
          <w:tcPr>
            <w:tcW w:w="5987" w:type="dxa"/>
            <w:vAlign w:val="center"/>
          </w:tcPr>
          <w:p w14:paraId="1A5D9302">
            <w:pPr>
              <w:autoSpaceDE w:val="0"/>
              <w:autoSpaceDN w:val="0"/>
              <w:spacing w:line="360" w:lineRule="auto"/>
              <w:jc w:val="both"/>
              <w:rPr>
                <w:rFonts w:ascii="宋体" w:hAnsi="宋体" w:cs="宋体"/>
                <w:lang w:val="zh-CN"/>
              </w:rPr>
            </w:pPr>
            <w:r>
              <w:rPr>
                <w:rFonts w:hint="eastAsia" w:ascii="宋体" w:hAnsi="宋体" w:cs="宋体"/>
                <w:lang w:val="zh-CN"/>
              </w:rPr>
              <w:t>大写：</w:t>
            </w:r>
          </w:p>
          <w:p w14:paraId="04C86E76">
            <w:pPr>
              <w:autoSpaceDE w:val="0"/>
              <w:autoSpaceDN w:val="0"/>
              <w:spacing w:line="360" w:lineRule="auto"/>
              <w:jc w:val="both"/>
              <w:rPr>
                <w:rFonts w:ascii="宋体" w:hAnsi="宋体" w:cs="宋体"/>
                <w:lang w:val="zh-CN"/>
              </w:rPr>
            </w:pPr>
            <w:r>
              <w:rPr>
                <w:rFonts w:hint="eastAsia" w:ascii="宋体" w:hAnsi="宋体" w:cs="宋体"/>
                <w:lang w:val="zh-CN"/>
              </w:rPr>
              <w:t>小写：</w:t>
            </w:r>
          </w:p>
        </w:tc>
      </w:tr>
      <w:tr w14:paraId="3BF8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5" w:hRule="atLeast"/>
          <w:jc w:val="center"/>
        </w:trPr>
        <w:tc>
          <w:tcPr>
            <w:tcW w:w="2632" w:type="dxa"/>
            <w:vAlign w:val="center"/>
          </w:tcPr>
          <w:p w14:paraId="07D0FFE3">
            <w:pPr>
              <w:autoSpaceDE w:val="0"/>
              <w:autoSpaceDN w:val="0"/>
              <w:spacing w:line="360" w:lineRule="auto"/>
              <w:jc w:val="center"/>
              <w:rPr>
                <w:rFonts w:ascii="宋体" w:hAnsi="宋体" w:cs="宋体"/>
                <w:lang w:val="zh-CN"/>
              </w:rPr>
            </w:pPr>
            <w:r>
              <w:rPr>
                <w:rFonts w:hint="eastAsia" w:ascii="宋体" w:hAnsi="宋体" w:cs="宋体"/>
                <w:lang w:val="zh-CN"/>
              </w:rPr>
              <w:t>交货时间</w:t>
            </w:r>
          </w:p>
        </w:tc>
        <w:tc>
          <w:tcPr>
            <w:tcW w:w="5987" w:type="dxa"/>
            <w:vAlign w:val="center"/>
          </w:tcPr>
          <w:p w14:paraId="0E58B525">
            <w:pPr>
              <w:autoSpaceDE w:val="0"/>
              <w:autoSpaceDN w:val="0"/>
              <w:spacing w:line="360" w:lineRule="auto"/>
              <w:ind w:firstLine="480"/>
              <w:jc w:val="center"/>
              <w:rPr>
                <w:rFonts w:ascii="宋体" w:hAnsi="宋体" w:cs="宋体"/>
                <w:lang w:val="zh-CN"/>
              </w:rPr>
            </w:pPr>
          </w:p>
        </w:tc>
      </w:tr>
      <w:tr w14:paraId="7F8F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4" w:hRule="atLeast"/>
          <w:jc w:val="center"/>
        </w:trPr>
        <w:tc>
          <w:tcPr>
            <w:tcW w:w="2632" w:type="dxa"/>
            <w:vAlign w:val="center"/>
          </w:tcPr>
          <w:p w14:paraId="3B9E7C95">
            <w:pPr>
              <w:autoSpaceDE w:val="0"/>
              <w:autoSpaceDN w:val="0"/>
              <w:spacing w:line="360" w:lineRule="auto"/>
              <w:jc w:val="center"/>
              <w:rPr>
                <w:rFonts w:ascii="宋体" w:hAnsi="宋体" w:cs="宋体"/>
                <w:lang w:val="zh-CN"/>
              </w:rPr>
            </w:pPr>
            <w:r>
              <w:rPr>
                <w:rFonts w:hint="eastAsia" w:ascii="宋体" w:hAnsi="宋体" w:cs="宋体"/>
                <w:lang w:val="zh-CN"/>
              </w:rPr>
              <w:t>优惠及其他承诺</w:t>
            </w:r>
          </w:p>
        </w:tc>
        <w:tc>
          <w:tcPr>
            <w:tcW w:w="5987" w:type="dxa"/>
            <w:vAlign w:val="center"/>
          </w:tcPr>
          <w:p w14:paraId="17EA8791">
            <w:pPr>
              <w:autoSpaceDE w:val="0"/>
              <w:autoSpaceDN w:val="0"/>
              <w:spacing w:line="360" w:lineRule="auto"/>
              <w:ind w:firstLine="480"/>
              <w:jc w:val="center"/>
              <w:rPr>
                <w:rFonts w:ascii="宋体" w:hAnsi="宋体" w:cs="宋体"/>
                <w:lang w:val="zh-CN"/>
              </w:rPr>
            </w:pPr>
          </w:p>
        </w:tc>
      </w:tr>
    </w:tbl>
    <w:p w14:paraId="6B43C5CC">
      <w:pPr>
        <w:autoSpaceDE w:val="0"/>
        <w:autoSpaceDN w:val="0"/>
        <w:spacing w:line="500" w:lineRule="exact"/>
        <w:rPr>
          <w:rFonts w:ascii="宋体" w:hAnsi="宋体" w:cs="宋体"/>
          <w:lang w:val="zh-CN"/>
        </w:rPr>
      </w:pPr>
      <w:r>
        <w:rPr>
          <w:rFonts w:hint="eastAsia" w:ascii="宋体" w:hAnsi="宋体" w:cs="宋体"/>
          <w:b/>
          <w:bCs/>
          <w:lang w:val="zh-CN"/>
        </w:rPr>
        <w:t>注：</w:t>
      </w:r>
      <w:r>
        <w:rPr>
          <w:rFonts w:hint="eastAsia" w:ascii="宋体" w:hAnsi="宋体" w:cs="宋体"/>
          <w:lang w:val="zh-CN"/>
        </w:rPr>
        <w:t>1.填写此表时不得改变表格形式。</w:t>
      </w:r>
    </w:p>
    <w:p w14:paraId="189D4363">
      <w:pPr>
        <w:autoSpaceDE w:val="0"/>
        <w:autoSpaceDN w:val="0"/>
        <w:adjustRightInd w:val="0"/>
        <w:spacing w:line="500" w:lineRule="exact"/>
        <w:ind w:firstLine="360"/>
        <w:rPr>
          <w:rFonts w:ascii="宋体" w:hAnsi="宋体" w:cs="宋体"/>
          <w:lang w:val="zh-CN"/>
        </w:rPr>
      </w:pPr>
      <w:r>
        <w:rPr>
          <w:rFonts w:hint="eastAsia" w:ascii="宋体" w:hAnsi="宋体" w:cs="宋体"/>
          <w:lang w:val="zh-CN"/>
        </w:rPr>
        <w:t>2.“投标报价”为投标总价。投标报价必须包括：产品费、手续费、包装费、运输费、验收费、售前、售中、售后服务费、招标代理费、税金及不可预见费等全部费用</w:t>
      </w:r>
    </w:p>
    <w:p w14:paraId="44E44B77">
      <w:pPr>
        <w:autoSpaceDE w:val="0"/>
        <w:autoSpaceDN w:val="0"/>
        <w:spacing w:line="500" w:lineRule="exact"/>
        <w:ind w:firstLine="480"/>
        <w:rPr>
          <w:rFonts w:ascii="宋体" w:hAnsi="宋体" w:cs="宋体"/>
        </w:rPr>
      </w:pPr>
      <w:r>
        <w:rPr>
          <w:rFonts w:hint="eastAsia" w:ascii="宋体" w:hAnsi="宋体" w:cs="宋体"/>
          <w:lang w:val="zh-CN"/>
        </w:rPr>
        <w:t>3.“交货时间”是指产品能够交付使用的具体时间。</w:t>
      </w:r>
    </w:p>
    <w:p w14:paraId="1F5B3D72">
      <w:pPr>
        <w:autoSpaceDE w:val="0"/>
        <w:autoSpaceDN w:val="0"/>
        <w:spacing w:line="500" w:lineRule="exact"/>
        <w:ind w:firstLine="480"/>
        <w:rPr>
          <w:rFonts w:ascii="宋体" w:hAnsi="宋体" w:cs="宋体"/>
          <w:lang w:val="zh-CN"/>
        </w:rPr>
      </w:pPr>
      <w:r>
        <w:rPr>
          <w:rFonts w:hint="eastAsia" w:ascii="宋体" w:hAnsi="宋体" w:cs="宋体"/>
          <w:lang w:val="zh-CN"/>
        </w:rPr>
        <w:t>4.投标报价不能有两个或两个以上的报价方案，</w:t>
      </w:r>
      <w:r>
        <w:rPr>
          <w:rFonts w:hint="eastAsia" w:ascii="宋体" w:hAnsi="宋体" w:cs="宋体"/>
        </w:rPr>
        <w:t>否则投标无效</w:t>
      </w:r>
      <w:r>
        <w:rPr>
          <w:rFonts w:hint="eastAsia" w:ascii="宋体" w:hAnsi="宋体" w:cs="宋体"/>
          <w:lang w:val="zh-CN"/>
        </w:rPr>
        <w:t>。</w:t>
      </w:r>
    </w:p>
    <w:p w14:paraId="24598706">
      <w:pPr>
        <w:autoSpaceDE w:val="0"/>
        <w:autoSpaceDN w:val="0"/>
        <w:spacing w:line="360" w:lineRule="auto"/>
        <w:rPr>
          <w:rFonts w:ascii="宋体" w:hAnsi="宋体" w:cs="宋体"/>
          <w:lang w:val="zh-CN"/>
        </w:rPr>
      </w:pPr>
    </w:p>
    <w:p w14:paraId="3001C497">
      <w:pPr>
        <w:autoSpaceDE w:val="0"/>
        <w:autoSpaceDN w:val="0"/>
        <w:spacing w:line="360" w:lineRule="auto"/>
        <w:rPr>
          <w:rFonts w:ascii="宋体" w:hAnsi="宋体" w:cs="宋体"/>
          <w:lang w:val="zh-CN"/>
        </w:rPr>
      </w:pPr>
    </w:p>
    <w:p w14:paraId="02C154A6">
      <w:pPr>
        <w:autoSpaceDE w:val="0"/>
        <w:autoSpaceDN w:val="0"/>
        <w:spacing w:line="360" w:lineRule="auto"/>
        <w:jc w:val="center"/>
        <w:rPr>
          <w:rFonts w:ascii="宋体" w:hAnsi="宋体" w:cs="宋体"/>
          <w:b/>
          <w:bCs/>
          <w:lang w:val="zh-CN"/>
        </w:rPr>
      </w:pPr>
      <w:r>
        <w:rPr>
          <w:rFonts w:hint="eastAsia" w:ascii="宋体" w:hAnsi="宋体" w:cs="宋体"/>
          <w:b/>
          <w:bCs/>
        </w:rPr>
        <w:t>供</w:t>
      </w:r>
      <w:r>
        <w:rPr>
          <w:rFonts w:hint="eastAsia" w:ascii="宋体" w:hAnsi="宋体" w:cs="宋体"/>
          <w:b/>
          <w:bCs/>
          <w:spacing w:val="2"/>
        </w:rPr>
        <w:t>应</w:t>
      </w:r>
      <w:r>
        <w:rPr>
          <w:rFonts w:hint="eastAsia" w:ascii="宋体" w:hAnsi="宋体" w:cs="宋体"/>
          <w:b/>
          <w:bCs/>
        </w:rPr>
        <w:t>商</w:t>
      </w:r>
      <w:r>
        <w:rPr>
          <w:rFonts w:hint="eastAsia" w:ascii="宋体" w:hAnsi="宋体" w:cs="宋体"/>
          <w:b/>
          <w:bCs/>
          <w:spacing w:val="2"/>
        </w:rPr>
        <w:t>名</w:t>
      </w:r>
      <w:r>
        <w:rPr>
          <w:rFonts w:hint="eastAsia" w:ascii="宋体" w:hAnsi="宋体" w:cs="宋体"/>
          <w:b/>
          <w:bCs/>
        </w:rPr>
        <w:t>称</w:t>
      </w:r>
      <w:r>
        <w:rPr>
          <w:rFonts w:hint="eastAsia" w:ascii="宋体" w:hAnsi="宋体" w:cs="宋体"/>
          <w:b/>
          <w:bCs/>
          <w:lang w:val="zh-CN"/>
        </w:rPr>
        <w:t xml:space="preserve">：           </w:t>
      </w:r>
      <w:r>
        <w:rPr>
          <w:rFonts w:hint="eastAsia" w:ascii="宋体" w:hAnsi="宋体" w:cs="宋体"/>
          <w:b/>
          <w:bCs/>
        </w:rPr>
        <w:t xml:space="preserve">           </w:t>
      </w:r>
      <w:r>
        <w:rPr>
          <w:rFonts w:hint="eastAsia" w:ascii="宋体" w:hAnsi="宋体" w:cs="宋体"/>
          <w:b/>
          <w:bCs/>
          <w:lang w:val="zh-CN"/>
        </w:rPr>
        <w:t xml:space="preserve">  （公章）</w:t>
      </w:r>
    </w:p>
    <w:p w14:paraId="58575A01">
      <w:pPr>
        <w:autoSpaceDE w:val="0"/>
        <w:autoSpaceDN w:val="0"/>
        <w:spacing w:line="360" w:lineRule="auto"/>
        <w:jc w:val="center"/>
        <w:rPr>
          <w:rFonts w:ascii="宋体" w:hAnsi="宋体" w:cs="宋体"/>
          <w:b/>
          <w:bCs/>
          <w:lang w:val="zh-CN"/>
        </w:rPr>
      </w:pPr>
      <w:r>
        <w:rPr>
          <w:rFonts w:hint="eastAsia" w:ascii="宋体" w:hAnsi="宋体" w:cs="宋体"/>
          <w:b/>
          <w:bCs/>
          <w:lang w:val="zh-CN"/>
        </w:rPr>
        <w:t>法定代表人或委托代理人：        （签字</w:t>
      </w:r>
      <w:r>
        <w:rPr>
          <w:rFonts w:hint="eastAsia" w:ascii="宋体" w:hAnsi="宋体" w:cs="宋体"/>
          <w:b/>
          <w:bCs/>
        </w:rPr>
        <w:t>或盖章</w:t>
      </w:r>
      <w:r>
        <w:rPr>
          <w:rFonts w:hint="eastAsia" w:ascii="宋体" w:hAnsi="宋体" w:cs="宋体"/>
          <w:b/>
          <w:bCs/>
          <w:lang w:val="zh-CN"/>
        </w:rPr>
        <w:t>）</w:t>
      </w:r>
    </w:p>
    <w:p w14:paraId="5EE15F0C">
      <w:pPr>
        <w:autoSpaceDE w:val="0"/>
        <w:autoSpaceDN w:val="0"/>
        <w:spacing w:line="360" w:lineRule="auto"/>
        <w:jc w:val="center"/>
        <w:rPr>
          <w:rFonts w:ascii="宋体" w:hAnsi="宋体" w:cs="宋体"/>
          <w:lang w:val="zh-CN"/>
        </w:rPr>
      </w:pPr>
      <w:r>
        <w:rPr>
          <w:rFonts w:hint="eastAsia" w:ascii="宋体" w:hAnsi="宋体" w:cs="宋体"/>
          <w:b/>
          <w:bCs/>
          <w:lang w:val="zh-CN"/>
        </w:rPr>
        <w:t xml:space="preserve">年 </w:t>
      </w:r>
      <w:r>
        <w:rPr>
          <w:rFonts w:hint="eastAsia" w:ascii="宋体" w:hAnsi="宋体" w:cs="宋体"/>
          <w:b/>
          <w:bCs/>
        </w:rPr>
        <w:t xml:space="preserve"> </w:t>
      </w:r>
      <w:r>
        <w:rPr>
          <w:rFonts w:hint="eastAsia" w:ascii="宋体" w:hAnsi="宋体" w:cs="宋体"/>
          <w:b/>
          <w:bCs/>
          <w:lang w:val="zh-CN"/>
        </w:rPr>
        <w:t xml:space="preserve">  月  </w:t>
      </w:r>
      <w:r>
        <w:rPr>
          <w:rFonts w:hint="eastAsia" w:ascii="宋体" w:hAnsi="宋体" w:cs="宋体"/>
          <w:b/>
          <w:bCs/>
        </w:rPr>
        <w:t xml:space="preserve"> </w:t>
      </w:r>
      <w:r>
        <w:rPr>
          <w:rFonts w:hint="eastAsia" w:ascii="宋体" w:hAnsi="宋体" w:cs="宋体"/>
          <w:b/>
          <w:bCs/>
          <w:lang w:val="zh-CN"/>
        </w:rPr>
        <w:t xml:space="preserve"> 日</w:t>
      </w:r>
    </w:p>
    <w:p w14:paraId="013CDE05">
      <w:pPr>
        <w:tabs>
          <w:tab w:val="left" w:pos="6300"/>
        </w:tabs>
        <w:snapToGrid w:val="0"/>
        <w:spacing w:line="500" w:lineRule="exact"/>
        <w:ind w:firstLine="570"/>
        <w:jc w:val="center"/>
        <w:rPr>
          <w:rFonts w:ascii="宋体" w:hAnsi="宋体" w:cs="宋体"/>
          <w:b/>
        </w:rPr>
      </w:pPr>
    </w:p>
    <w:p w14:paraId="3722F43C">
      <w:pPr>
        <w:spacing w:line="360" w:lineRule="auto"/>
        <w:jc w:val="center"/>
        <w:rPr>
          <w:rFonts w:ascii="宋体" w:hAnsi="宋体" w:cs="宋体"/>
          <w:b/>
        </w:rPr>
      </w:pPr>
    </w:p>
    <w:p w14:paraId="45951ACF">
      <w:pPr>
        <w:spacing w:line="360" w:lineRule="auto"/>
        <w:jc w:val="center"/>
        <w:rPr>
          <w:rFonts w:ascii="宋体" w:hAnsi="宋体" w:cs="宋体"/>
          <w:b/>
        </w:rPr>
      </w:pPr>
    </w:p>
    <w:p w14:paraId="341E3D4E">
      <w:pPr>
        <w:spacing w:line="360" w:lineRule="auto"/>
        <w:jc w:val="center"/>
        <w:rPr>
          <w:rFonts w:ascii="宋体" w:hAnsi="宋体" w:cs="宋体"/>
          <w:b/>
        </w:rPr>
      </w:pPr>
    </w:p>
    <w:p w14:paraId="4792441F">
      <w:pPr>
        <w:spacing w:line="420" w:lineRule="exact"/>
        <w:jc w:val="center"/>
        <w:rPr>
          <w:rFonts w:ascii="宋体" w:hAnsi="宋体" w:cs="宋体"/>
          <w:b/>
          <w:sz w:val="28"/>
        </w:rPr>
      </w:pPr>
      <w:bookmarkStart w:id="31" w:name="_Toc18163"/>
      <w:r>
        <w:rPr>
          <w:rFonts w:hint="eastAsia" w:ascii="宋体" w:hAnsi="宋体" w:cs="宋体"/>
          <w:b/>
          <w:sz w:val="28"/>
        </w:rPr>
        <w:t>三、分项报价表</w:t>
      </w:r>
      <w:bookmarkEnd w:id="31"/>
    </w:p>
    <w:p w14:paraId="441B996E">
      <w:pPr>
        <w:spacing w:line="200" w:lineRule="exact"/>
        <w:rPr>
          <w:rFonts w:ascii="宋体" w:hAnsi="宋体" w:cs="宋体"/>
          <w:sz w:val="20"/>
          <w:szCs w:val="20"/>
        </w:rPr>
      </w:pPr>
    </w:p>
    <w:p w14:paraId="48DF0428">
      <w:pPr>
        <w:spacing w:line="200" w:lineRule="exact"/>
        <w:rPr>
          <w:rFonts w:ascii="宋体" w:hAnsi="宋体" w:cs="宋体"/>
          <w:sz w:val="20"/>
          <w:szCs w:val="20"/>
        </w:rPr>
      </w:pPr>
    </w:p>
    <w:p w14:paraId="606DBA1E">
      <w:pPr>
        <w:spacing w:line="280" w:lineRule="exact"/>
        <w:rPr>
          <w:rFonts w:ascii="宋体" w:hAnsi="宋体" w:cs="宋体"/>
          <w:sz w:val="28"/>
          <w:szCs w:val="28"/>
        </w:rPr>
        <w:sectPr>
          <w:headerReference r:id="rId11" w:type="default"/>
          <w:footerReference r:id="rId12" w:type="default"/>
          <w:type w:val="continuous"/>
          <w:pgSz w:w="11906" w:h="16840"/>
          <w:pgMar w:top="1040" w:right="1660" w:bottom="1160" w:left="1660" w:header="1134" w:footer="977" w:gutter="0"/>
          <w:pgNumType w:fmt="decimal"/>
          <w:cols w:space="720" w:num="1"/>
        </w:sectPr>
      </w:pPr>
    </w:p>
    <w:p w14:paraId="71FC961E">
      <w:pPr>
        <w:pStyle w:val="21"/>
        <w:tabs>
          <w:tab w:val="left" w:pos="3630"/>
        </w:tabs>
        <w:spacing w:line="340" w:lineRule="exact"/>
        <w:ind w:left="240" w:leftChars="100"/>
        <w:rPr>
          <w:rFonts w:ascii="宋体" w:hAnsi="宋体" w:cs="宋体"/>
        </w:rPr>
      </w:pPr>
      <w:r>
        <w:rPr>
          <w:rFonts w:hint="eastAsia" w:ascii="宋体" w:hAnsi="宋体" w:cs="宋体"/>
        </w:rPr>
        <w:t>供</w:t>
      </w:r>
      <w:r>
        <w:rPr>
          <w:rFonts w:hint="eastAsia" w:ascii="宋体" w:hAnsi="宋体" w:cs="宋体"/>
          <w:spacing w:val="2"/>
        </w:rPr>
        <w:t>应</w:t>
      </w:r>
      <w:r>
        <w:rPr>
          <w:rFonts w:hint="eastAsia" w:ascii="宋体" w:hAnsi="宋体" w:cs="宋体"/>
        </w:rPr>
        <w:t>商</w:t>
      </w:r>
      <w:r>
        <w:rPr>
          <w:rFonts w:hint="eastAsia" w:ascii="宋体" w:hAnsi="宋体" w:cs="宋体"/>
          <w:spacing w:val="2"/>
        </w:rPr>
        <w:t>名</w:t>
      </w:r>
      <w:r>
        <w:rPr>
          <w:rFonts w:hint="eastAsia" w:ascii="宋体" w:hAnsi="宋体" w:cs="宋体"/>
        </w:rPr>
        <w:t>称</w:t>
      </w:r>
      <w:r>
        <w:rPr>
          <w:rFonts w:hint="eastAsia" w:ascii="宋体" w:hAnsi="宋体" w:cs="宋体"/>
          <w:lang w:eastAsia="zh-CN"/>
        </w:rPr>
        <w:t>：</w:t>
      </w:r>
      <w:r>
        <w:rPr>
          <w:rFonts w:hint="eastAsia" w:ascii="宋体" w:hAnsi="宋体" w:cs="宋体"/>
        </w:rPr>
        <w:tab/>
      </w:r>
      <w:r>
        <w:rPr>
          <w:rFonts w:hint="eastAsia" w:ascii="宋体" w:hAnsi="宋体" w:cs="宋体"/>
        </w:rPr>
        <w:t xml:space="preserve">        项</w:t>
      </w:r>
      <w:r>
        <w:rPr>
          <w:rFonts w:hint="eastAsia" w:ascii="宋体" w:hAnsi="宋体" w:cs="宋体"/>
          <w:spacing w:val="2"/>
        </w:rPr>
        <w:t>目</w:t>
      </w:r>
      <w:r>
        <w:rPr>
          <w:rFonts w:hint="eastAsia" w:ascii="宋体" w:hAnsi="宋体" w:cs="宋体"/>
        </w:rPr>
        <w:t>编</w:t>
      </w:r>
      <w:r>
        <w:rPr>
          <w:rFonts w:hint="eastAsia" w:ascii="宋体" w:hAnsi="宋体" w:cs="宋体"/>
          <w:spacing w:val="2"/>
        </w:rPr>
        <w:t>号</w:t>
      </w:r>
      <w:r>
        <w:rPr>
          <w:rFonts w:hint="eastAsia" w:ascii="宋体" w:hAnsi="宋体" w:cs="宋体"/>
        </w:rPr>
        <w:t>：</w:t>
      </w:r>
    </w:p>
    <w:p w14:paraId="263AC4A4">
      <w:pPr>
        <w:spacing w:before="7" w:line="180" w:lineRule="exact"/>
        <w:rPr>
          <w:rFonts w:ascii="宋体" w:hAnsi="宋体" w:cs="宋体"/>
          <w:sz w:val="18"/>
          <w:szCs w:val="18"/>
        </w:rPr>
      </w:pPr>
      <w:r>
        <w:rPr>
          <w:rFonts w:hint="eastAsia" w:ascii="宋体" w:hAnsi="宋体" w:cs="宋体"/>
        </w:rPr>
        <w:br w:type="column"/>
      </w:r>
    </w:p>
    <w:p w14:paraId="017FE63F">
      <w:pPr>
        <w:spacing w:line="200" w:lineRule="exact"/>
        <w:rPr>
          <w:rFonts w:ascii="宋体" w:hAnsi="宋体" w:cs="宋体"/>
          <w:sz w:val="20"/>
          <w:szCs w:val="20"/>
        </w:rPr>
      </w:pPr>
    </w:p>
    <w:p w14:paraId="0C4F0105">
      <w:pPr>
        <w:pStyle w:val="21"/>
        <w:ind w:left="140"/>
        <w:rPr>
          <w:rFonts w:ascii="宋体" w:hAnsi="宋体" w:cs="宋体"/>
        </w:rPr>
      </w:pPr>
      <w:r>
        <w:rPr>
          <w:rFonts w:hint="eastAsia" w:ascii="宋体" w:hAnsi="宋体" w:cs="宋体"/>
        </w:rPr>
        <w:t>单</w:t>
      </w:r>
      <w:r>
        <w:rPr>
          <w:rFonts w:hint="eastAsia" w:ascii="宋体" w:hAnsi="宋体" w:cs="宋体"/>
          <w:spacing w:val="2"/>
        </w:rPr>
        <w:t>位</w:t>
      </w:r>
      <w:r>
        <w:rPr>
          <w:rFonts w:hint="eastAsia" w:ascii="宋体" w:hAnsi="宋体" w:cs="宋体"/>
        </w:rPr>
        <w:t>：</w:t>
      </w:r>
      <w:r>
        <w:rPr>
          <w:rFonts w:hint="eastAsia" w:ascii="宋体" w:hAnsi="宋体" w:cs="宋体"/>
          <w:spacing w:val="2"/>
        </w:rPr>
        <w:t>人</w:t>
      </w:r>
      <w:r>
        <w:rPr>
          <w:rFonts w:hint="eastAsia" w:ascii="宋体" w:hAnsi="宋体" w:cs="宋体"/>
        </w:rPr>
        <w:t>民币</w:t>
      </w:r>
      <w:r>
        <w:rPr>
          <w:rFonts w:hint="eastAsia" w:ascii="宋体" w:hAnsi="宋体" w:cs="宋体"/>
          <w:spacing w:val="2"/>
        </w:rPr>
        <w:t>（</w:t>
      </w:r>
      <w:r>
        <w:rPr>
          <w:rFonts w:hint="eastAsia" w:ascii="宋体" w:hAnsi="宋体" w:cs="宋体"/>
        </w:rPr>
        <w:t>元）</w:t>
      </w:r>
    </w:p>
    <w:p w14:paraId="0A237FD8">
      <w:pPr>
        <w:rPr>
          <w:rFonts w:ascii="宋体" w:hAnsi="宋体" w:cs="宋体"/>
        </w:rPr>
        <w:sectPr>
          <w:type w:val="continuous"/>
          <w:pgSz w:w="11906" w:h="16840"/>
          <w:pgMar w:top="1560" w:right="1660" w:bottom="280" w:left="1660" w:header="720" w:footer="720" w:gutter="0"/>
          <w:pgNumType w:fmt="decimal"/>
          <w:cols w:equalWidth="0" w:num="2">
            <w:col w:w="4717" w:space="582"/>
            <w:col w:w="3287"/>
          </w:cols>
        </w:sectPr>
      </w:pPr>
    </w:p>
    <w:p w14:paraId="43AF08C9">
      <w:pPr>
        <w:spacing w:before="5" w:line="40" w:lineRule="exact"/>
        <w:rPr>
          <w:rFonts w:ascii="宋体" w:hAnsi="宋体" w:cs="宋体"/>
          <w:sz w:val="4"/>
          <w:szCs w:val="4"/>
        </w:rPr>
      </w:pPr>
    </w:p>
    <w:tbl>
      <w:tblPr>
        <w:tblStyle w:val="45"/>
        <w:tblpPr w:leftFromText="180" w:rightFromText="180" w:vertAnchor="page" w:horzAnchor="page" w:tblpX="1792" w:tblpY="3025"/>
        <w:tblOverlap w:val="never"/>
        <w:tblW w:w="8362" w:type="dxa"/>
        <w:tblInd w:w="0" w:type="dxa"/>
        <w:tblLayout w:type="fixed"/>
        <w:tblCellMar>
          <w:top w:w="0" w:type="dxa"/>
          <w:left w:w="0" w:type="dxa"/>
          <w:bottom w:w="0" w:type="dxa"/>
          <w:right w:w="0" w:type="dxa"/>
        </w:tblCellMar>
      </w:tblPr>
      <w:tblGrid>
        <w:gridCol w:w="609"/>
        <w:gridCol w:w="1517"/>
        <w:gridCol w:w="1034"/>
        <w:gridCol w:w="736"/>
        <w:gridCol w:w="1267"/>
        <w:gridCol w:w="903"/>
        <w:gridCol w:w="685"/>
        <w:gridCol w:w="807"/>
        <w:gridCol w:w="804"/>
      </w:tblGrid>
      <w:tr w14:paraId="479148E3">
        <w:tblPrEx>
          <w:tblCellMar>
            <w:top w:w="0" w:type="dxa"/>
            <w:left w:w="0" w:type="dxa"/>
            <w:bottom w:w="0" w:type="dxa"/>
            <w:right w:w="0" w:type="dxa"/>
          </w:tblCellMar>
        </w:tblPrEx>
        <w:trPr>
          <w:trHeight w:val="1018" w:hRule="exact"/>
        </w:trPr>
        <w:tc>
          <w:tcPr>
            <w:tcW w:w="609" w:type="dxa"/>
            <w:tcBorders>
              <w:top w:val="single" w:color="000000" w:sz="8" w:space="0"/>
              <w:left w:val="single" w:color="000000" w:sz="8" w:space="0"/>
              <w:bottom w:val="single" w:color="000000" w:sz="6" w:space="0"/>
              <w:right w:val="single" w:color="000000" w:sz="6" w:space="0"/>
            </w:tcBorders>
          </w:tcPr>
          <w:p w14:paraId="2FAA6E48">
            <w:pPr>
              <w:pStyle w:val="248"/>
              <w:spacing w:before="2" w:line="100" w:lineRule="exact"/>
              <w:rPr>
                <w:rFonts w:ascii="宋体" w:hAnsi="宋体" w:cs="宋体"/>
                <w:sz w:val="10"/>
                <w:szCs w:val="10"/>
              </w:rPr>
            </w:pPr>
          </w:p>
          <w:p w14:paraId="59FB58FC">
            <w:pPr>
              <w:pStyle w:val="248"/>
              <w:spacing w:line="200" w:lineRule="exact"/>
              <w:rPr>
                <w:rFonts w:ascii="宋体" w:hAnsi="宋体" w:cs="宋体"/>
                <w:sz w:val="20"/>
                <w:szCs w:val="20"/>
              </w:rPr>
            </w:pPr>
          </w:p>
          <w:p w14:paraId="336C4830">
            <w:pPr>
              <w:pStyle w:val="248"/>
              <w:ind w:left="54"/>
              <w:rPr>
                <w:rFonts w:ascii="宋体" w:hAnsi="宋体" w:cs="宋体"/>
                <w:sz w:val="24"/>
              </w:rPr>
            </w:pPr>
            <w:r>
              <w:rPr>
                <w:rFonts w:hint="eastAsia" w:ascii="宋体" w:hAnsi="宋体" w:cs="宋体"/>
                <w:sz w:val="24"/>
              </w:rPr>
              <w:t>序号</w:t>
            </w:r>
          </w:p>
        </w:tc>
        <w:tc>
          <w:tcPr>
            <w:tcW w:w="1517" w:type="dxa"/>
            <w:tcBorders>
              <w:top w:val="single" w:color="000000" w:sz="8" w:space="0"/>
              <w:left w:val="single" w:color="000000" w:sz="6" w:space="0"/>
              <w:bottom w:val="single" w:color="000000" w:sz="6" w:space="0"/>
              <w:right w:val="single" w:color="000000" w:sz="6" w:space="0"/>
            </w:tcBorders>
          </w:tcPr>
          <w:p w14:paraId="61036E9E">
            <w:pPr>
              <w:pStyle w:val="248"/>
              <w:spacing w:before="2" w:line="100" w:lineRule="exact"/>
              <w:rPr>
                <w:rFonts w:ascii="宋体" w:hAnsi="宋体" w:cs="宋体"/>
                <w:sz w:val="10"/>
                <w:szCs w:val="10"/>
              </w:rPr>
            </w:pPr>
          </w:p>
          <w:p w14:paraId="05AAA2EC">
            <w:pPr>
              <w:pStyle w:val="248"/>
              <w:spacing w:line="200" w:lineRule="exact"/>
              <w:rPr>
                <w:rFonts w:ascii="宋体" w:hAnsi="宋体" w:cs="宋体"/>
                <w:sz w:val="20"/>
                <w:szCs w:val="20"/>
              </w:rPr>
            </w:pPr>
          </w:p>
          <w:p w14:paraId="20000F9A">
            <w:pPr>
              <w:pStyle w:val="248"/>
              <w:ind w:left="271"/>
              <w:rPr>
                <w:rFonts w:ascii="宋体" w:hAnsi="宋体" w:cs="宋体"/>
                <w:sz w:val="24"/>
              </w:rPr>
            </w:pPr>
            <w:r>
              <w:rPr>
                <w:rFonts w:hint="eastAsia" w:ascii="宋体" w:hAnsi="宋体" w:cs="宋体"/>
                <w:sz w:val="24"/>
              </w:rPr>
              <w:t>产品名称</w:t>
            </w:r>
          </w:p>
        </w:tc>
        <w:tc>
          <w:tcPr>
            <w:tcW w:w="1034" w:type="dxa"/>
            <w:tcBorders>
              <w:top w:val="single" w:color="000000" w:sz="8" w:space="0"/>
              <w:left w:val="single" w:color="000000" w:sz="6" w:space="0"/>
              <w:bottom w:val="single" w:color="000000" w:sz="6" w:space="0"/>
              <w:right w:val="single" w:color="000000" w:sz="6" w:space="0"/>
            </w:tcBorders>
          </w:tcPr>
          <w:p w14:paraId="06A92EF9">
            <w:pPr>
              <w:pStyle w:val="248"/>
              <w:spacing w:before="2" w:line="100" w:lineRule="exact"/>
              <w:rPr>
                <w:rFonts w:ascii="宋体" w:hAnsi="宋体" w:cs="宋体"/>
                <w:sz w:val="10"/>
                <w:szCs w:val="10"/>
              </w:rPr>
            </w:pPr>
          </w:p>
          <w:p w14:paraId="2B283AC5">
            <w:pPr>
              <w:pStyle w:val="248"/>
              <w:spacing w:line="200" w:lineRule="exact"/>
              <w:rPr>
                <w:rFonts w:ascii="宋体" w:hAnsi="宋体" w:cs="宋体"/>
                <w:sz w:val="20"/>
                <w:szCs w:val="20"/>
              </w:rPr>
            </w:pPr>
          </w:p>
          <w:p w14:paraId="00E764E6">
            <w:pPr>
              <w:pStyle w:val="248"/>
              <w:ind w:left="270"/>
              <w:rPr>
                <w:rFonts w:ascii="宋体" w:hAnsi="宋体" w:cs="宋体"/>
                <w:sz w:val="24"/>
              </w:rPr>
            </w:pPr>
            <w:r>
              <w:rPr>
                <w:rFonts w:hint="eastAsia" w:ascii="宋体" w:hAnsi="宋体" w:cs="宋体"/>
                <w:sz w:val="24"/>
              </w:rPr>
              <w:t>品牌</w:t>
            </w:r>
          </w:p>
        </w:tc>
        <w:tc>
          <w:tcPr>
            <w:tcW w:w="736" w:type="dxa"/>
            <w:tcBorders>
              <w:top w:val="single" w:color="000000" w:sz="8" w:space="0"/>
              <w:left w:val="single" w:color="000000" w:sz="6" w:space="0"/>
              <w:bottom w:val="single" w:color="000000" w:sz="6" w:space="0"/>
              <w:right w:val="single" w:color="000000" w:sz="6" w:space="0"/>
            </w:tcBorders>
          </w:tcPr>
          <w:p w14:paraId="119E64D7">
            <w:pPr>
              <w:pStyle w:val="248"/>
              <w:spacing w:before="2" w:line="100" w:lineRule="exact"/>
              <w:rPr>
                <w:rFonts w:ascii="宋体" w:hAnsi="宋体" w:cs="宋体"/>
                <w:sz w:val="10"/>
                <w:szCs w:val="10"/>
              </w:rPr>
            </w:pPr>
          </w:p>
          <w:p w14:paraId="5204CB72">
            <w:pPr>
              <w:pStyle w:val="248"/>
              <w:spacing w:line="270" w:lineRule="auto"/>
              <w:ind w:left="120" w:right="121"/>
              <w:rPr>
                <w:rFonts w:ascii="宋体" w:hAnsi="宋体" w:cs="宋体"/>
                <w:sz w:val="24"/>
              </w:rPr>
            </w:pPr>
            <w:r>
              <w:rPr>
                <w:rFonts w:hint="eastAsia" w:ascii="宋体" w:hAnsi="宋体" w:cs="宋体"/>
                <w:sz w:val="24"/>
              </w:rPr>
              <w:t>规格 型号</w:t>
            </w:r>
          </w:p>
        </w:tc>
        <w:tc>
          <w:tcPr>
            <w:tcW w:w="1267" w:type="dxa"/>
            <w:tcBorders>
              <w:top w:val="single" w:color="000000" w:sz="8" w:space="0"/>
              <w:left w:val="single" w:color="000000" w:sz="6" w:space="0"/>
              <w:bottom w:val="single" w:color="000000" w:sz="6" w:space="0"/>
              <w:right w:val="single" w:color="000000" w:sz="6" w:space="0"/>
            </w:tcBorders>
          </w:tcPr>
          <w:p w14:paraId="3411C295">
            <w:pPr>
              <w:pStyle w:val="248"/>
              <w:spacing w:before="2" w:line="100" w:lineRule="exact"/>
              <w:rPr>
                <w:rFonts w:ascii="宋体" w:hAnsi="宋体" w:cs="宋体"/>
                <w:sz w:val="10"/>
                <w:szCs w:val="10"/>
              </w:rPr>
            </w:pPr>
          </w:p>
          <w:p w14:paraId="16022B59">
            <w:pPr>
              <w:pStyle w:val="248"/>
              <w:spacing w:line="200" w:lineRule="exact"/>
              <w:rPr>
                <w:rFonts w:ascii="宋体" w:hAnsi="宋体" w:cs="宋体"/>
                <w:sz w:val="20"/>
                <w:szCs w:val="20"/>
              </w:rPr>
            </w:pPr>
          </w:p>
          <w:p w14:paraId="20054384">
            <w:pPr>
              <w:pStyle w:val="248"/>
              <w:ind w:left="144"/>
              <w:rPr>
                <w:rFonts w:ascii="宋体" w:hAnsi="宋体" w:cs="宋体"/>
                <w:sz w:val="24"/>
              </w:rPr>
            </w:pPr>
            <w:r>
              <w:rPr>
                <w:rFonts w:hint="eastAsia" w:ascii="宋体" w:hAnsi="宋体" w:cs="宋体"/>
                <w:sz w:val="24"/>
              </w:rPr>
              <w:t>生产厂家</w:t>
            </w:r>
          </w:p>
        </w:tc>
        <w:tc>
          <w:tcPr>
            <w:tcW w:w="903" w:type="dxa"/>
            <w:tcBorders>
              <w:top w:val="single" w:color="000000" w:sz="8" w:space="0"/>
              <w:left w:val="single" w:color="000000" w:sz="6" w:space="0"/>
              <w:bottom w:val="single" w:color="000000" w:sz="6" w:space="0"/>
              <w:right w:val="single" w:color="000000" w:sz="6" w:space="0"/>
            </w:tcBorders>
          </w:tcPr>
          <w:p w14:paraId="5EE3DC3B">
            <w:pPr>
              <w:pStyle w:val="248"/>
              <w:spacing w:before="2" w:line="100" w:lineRule="exact"/>
              <w:rPr>
                <w:rFonts w:ascii="宋体" w:hAnsi="宋体" w:cs="宋体"/>
                <w:sz w:val="10"/>
                <w:szCs w:val="10"/>
              </w:rPr>
            </w:pPr>
          </w:p>
          <w:p w14:paraId="0C20E03A">
            <w:pPr>
              <w:pStyle w:val="248"/>
              <w:spacing w:line="270" w:lineRule="auto"/>
              <w:ind w:left="202" w:right="86" w:hanging="120"/>
              <w:rPr>
                <w:rFonts w:ascii="宋体" w:hAnsi="宋体" w:cs="宋体"/>
                <w:sz w:val="24"/>
              </w:rPr>
            </w:pPr>
            <w:r>
              <w:rPr>
                <w:rFonts w:hint="eastAsia" w:ascii="宋体" w:hAnsi="宋体" w:cs="宋体"/>
                <w:sz w:val="24"/>
              </w:rPr>
              <w:t>数量及 单位</w:t>
            </w:r>
          </w:p>
        </w:tc>
        <w:tc>
          <w:tcPr>
            <w:tcW w:w="685" w:type="dxa"/>
            <w:tcBorders>
              <w:top w:val="single" w:color="000000" w:sz="8" w:space="0"/>
              <w:left w:val="single" w:color="000000" w:sz="6" w:space="0"/>
              <w:bottom w:val="single" w:color="000000" w:sz="6" w:space="0"/>
              <w:right w:val="single" w:color="000000" w:sz="6" w:space="0"/>
            </w:tcBorders>
          </w:tcPr>
          <w:p w14:paraId="25C5693A">
            <w:pPr>
              <w:pStyle w:val="248"/>
              <w:spacing w:before="2" w:line="100" w:lineRule="exact"/>
              <w:rPr>
                <w:rFonts w:ascii="宋体" w:hAnsi="宋体" w:cs="宋体"/>
                <w:sz w:val="10"/>
                <w:szCs w:val="10"/>
              </w:rPr>
            </w:pPr>
          </w:p>
          <w:p w14:paraId="127CC4F2">
            <w:pPr>
              <w:pStyle w:val="248"/>
              <w:spacing w:line="200" w:lineRule="exact"/>
              <w:rPr>
                <w:rFonts w:ascii="宋体" w:hAnsi="宋体" w:cs="宋体"/>
                <w:sz w:val="20"/>
                <w:szCs w:val="20"/>
              </w:rPr>
            </w:pPr>
          </w:p>
          <w:p w14:paraId="593106B2">
            <w:pPr>
              <w:pStyle w:val="248"/>
              <w:ind w:left="94"/>
              <w:rPr>
                <w:rFonts w:ascii="宋体" w:hAnsi="宋体" w:cs="宋体"/>
                <w:sz w:val="24"/>
              </w:rPr>
            </w:pPr>
            <w:r>
              <w:rPr>
                <w:rFonts w:hint="eastAsia" w:ascii="宋体" w:hAnsi="宋体" w:cs="宋体"/>
                <w:sz w:val="24"/>
              </w:rPr>
              <w:t>单价</w:t>
            </w:r>
          </w:p>
        </w:tc>
        <w:tc>
          <w:tcPr>
            <w:tcW w:w="807" w:type="dxa"/>
            <w:tcBorders>
              <w:top w:val="single" w:color="000000" w:sz="8" w:space="0"/>
              <w:left w:val="single" w:color="000000" w:sz="6" w:space="0"/>
              <w:bottom w:val="single" w:color="000000" w:sz="6" w:space="0"/>
              <w:right w:val="single" w:color="000000" w:sz="6" w:space="0"/>
            </w:tcBorders>
          </w:tcPr>
          <w:p w14:paraId="4CB8F4B5">
            <w:pPr>
              <w:pStyle w:val="248"/>
              <w:spacing w:before="2" w:line="100" w:lineRule="exact"/>
              <w:rPr>
                <w:rFonts w:ascii="宋体" w:hAnsi="宋体" w:cs="宋体"/>
                <w:sz w:val="10"/>
                <w:szCs w:val="10"/>
              </w:rPr>
            </w:pPr>
          </w:p>
          <w:p w14:paraId="32B5CB32">
            <w:pPr>
              <w:pStyle w:val="248"/>
              <w:spacing w:line="200" w:lineRule="exact"/>
              <w:rPr>
                <w:rFonts w:ascii="宋体" w:hAnsi="宋体" w:cs="宋体"/>
                <w:sz w:val="20"/>
                <w:szCs w:val="20"/>
              </w:rPr>
            </w:pPr>
          </w:p>
          <w:p w14:paraId="31F36142">
            <w:pPr>
              <w:pStyle w:val="248"/>
              <w:ind w:left="155"/>
              <w:rPr>
                <w:rFonts w:ascii="宋体" w:hAnsi="宋体" w:cs="宋体"/>
                <w:sz w:val="24"/>
              </w:rPr>
            </w:pPr>
            <w:r>
              <w:rPr>
                <w:rFonts w:hint="eastAsia" w:ascii="宋体" w:hAnsi="宋体" w:cs="宋体"/>
                <w:sz w:val="24"/>
              </w:rPr>
              <w:t>合计</w:t>
            </w:r>
          </w:p>
        </w:tc>
        <w:tc>
          <w:tcPr>
            <w:tcW w:w="804" w:type="dxa"/>
            <w:tcBorders>
              <w:top w:val="single" w:color="000000" w:sz="8" w:space="0"/>
              <w:left w:val="single" w:color="000000" w:sz="6" w:space="0"/>
              <w:bottom w:val="single" w:color="000000" w:sz="6" w:space="0"/>
              <w:right w:val="single" w:color="000000" w:sz="8" w:space="0"/>
            </w:tcBorders>
          </w:tcPr>
          <w:p w14:paraId="0360B0A1">
            <w:pPr>
              <w:pStyle w:val="248"/>
              <w:spacing w:before="2" w:line="100" w:lineRule="exact"/>
              <w:rPr>
                <w:rFonts w:ascii="宋体" w:hAnsi="宋体" w:cs="宋体"/>
                <w:sz w:val="10"/>
                <w:szCs w:val="10"/>
              </w:rPr>
            </w:pPr>
          </w:p>
          <w:p w14:paraId="376C3ADA">
            <w:pPr>
              <w:pStyle w:val="248"/>
              <w:spacing w:line="200" w:lineRule="exact"/>
              <w:rPr>
                <w:rFonts w:ascii="宋体" w:hAnsi="宋体" w:cs="宋体"/>
                <w:sz w:val="20"/>
                <w:szCs w:val="20"/>
              </w:rPr>
            </w:pPr>
          </w:p>
          <w:p w14:paraId="2BE4E113">
            <w:pPr>
              <w:pStyle w:val="248"/>
              <w:ind w:left="154"/>
              <w:rPr>
                <w:rFonts w:ascii="宋体" w:hAnsi="宋体" w:cs="宋体"/>
                <w:sz w:val="24"/>
              </w:rPr>
            </w:pPr>
            <w:r>
              <w:rPr>
                <w:rFonts w:hint="eastAsia" w:ascii="宋体" w:hAnsi="宋体" w:cs="宋体"/>
                <w:sz w:val="24"/>
              </w:rPr>
              <w:t>备注</w:t>
            </w:r>
          </w:p>
        </w:tc>
      </w:tr>
      <w:tr w14:paraId="617FAF79">
        <w:tblPrEx>
          <w:tblCellMar>
            <w:top w:w="0" w:type="dxa"/>
            <w:left w:w="0" w:type="dxa"/>
            <w:bottom w:w="0" w:type="dxa"/>
            <w:right w:w="0" w:type="dxa"/>
          </w:tblCellMar>
        </w:tblPrEx>
        <w:trPr>
          <w:trHeight w:val="615" w:hRule="exact"/>
        </w:trPr>
        <w:tc>
          <w:tcPr>
            <w:tcW w:w="609" w:type="dxa"/>
            <w:tcBorders>
              <w:top w:val="single" w:color="000000" w:sz="6" w:space="0"/>
              <w:left w:val="single" w:color="000000" w:sz="8" w:space="0"/>
              <w:bottom w:val="single" w:color="000000" w:sz="6" w:space="0"/>
              <w:right w:val="single" w:color="000000" w:sz="6" w:space="0"/>
            </w:tcBorders>
          </w:tcPr>
          <w:p w14:paraId="199B44CC">
            <w:pPr>
              <w:pStyle w:val="248"/>
              <w:spacing w:before="2" w:line="100" w:lineRule="exact"/>
              <w:rPr>
                <w:rFonts w:ascii="宋体" w:hAnsi="宋体" w:cs="宋体"/>
                <w:sz w:val="10"/>
                <w:szCs w:val="10"/>
              </w:rPr>
            </w:pPr>
          </w:p>
          <w:p w14:paraId="7130A0CC">
            <w:pPr>
              <w:pStyle w:val="248"/>
              <w:ind w:left="335"/>
              <w:rPr>
                <w:rFonts w:ascii="宋体" w:hAnsi="宋体" w:cs="宋体"/>
                <w:sz w:val="24"/>
              </w:rPr>
            </w:pPr>
            <w:r>
              <w:rPr>
                <w:rFonts w:hint="eastAsia" w:ascii="宋体" w:hAnsi="宋体" w:cs="宋体"/>
                <w:sz w:val="24"/>
              </w:rPr>
              <w:t>1</w:t>
            </w:r>
          </w:p>
        </w:tc>
        <w:tc>
          <w:tcPr>
            <w:tcW w:w="1517" w:type="dxa"/>
            <w:tcBorders>
              <w:top w:val="single" w:color="000000" w:sz="6" w:space="0"/>
              <w:left w:val="single" w:color="000000" w:sz="6" w:space="0"/>
              <w:bottom w:val="single" w:color="000000" w:sz="6" w:space="0"/>
              <w:right w:val="single" w:color="000000" w:sz="6" w:space="0"/>
            </w:tcBorders>
          </w:tcPr>
          <w:p w14:paraId="66FA095D">
            <w:pPr>
              <w:rPr>
                <w:rFonts w:ascii="宋体" w:hAnsi="宋体" w:cs="宋体"/>
              </w:rPr>
            </w:pPr>
          </w:p>
        </w:tc>
        <w:tc>
          <w:tcPr>
            <w:tcW w:w="1034" w:type="dxa"/>
            <w:tcBorders>
              <w:top w:val="single" w:color="000000" w:sz="6" w:space="0"/>
              <w:left w:val="single" w:color="000000" w:sz="6" w:space="0"/>
              <w:bottom w:val="single" w:color="000000" w:sz="6" w:space="0"/>
              <w:right w:val="single" w:color="000000" w:sz="6" w:space="0"/>
            </w:tcBorders>
          </w:tcPr>
          <w:p w14:paraId="331B5A3D">
            <w:pPr>
              <w:rPr>
                <w:rFonts w:ascii="宋体" w:hAnsi="宋体" w:cs="宋体"/>
              </w:rPr>
            </w:pPr>
          </w:p>
        </w:tc>
        <w:tc>
          <w:tcPr>
            <w:tcW w:w="736" w:type="dxa"/>
            <w:tcBorders>
              <w:top w:val="single" w:color="000000" w:sz="6" w:space="0"/>
              <w:left w:val="single" w:color="000000" w:sz="6" w:space="0"/>
              <w:bottom w:val="single" w:color="000000" w:sz="6" w:space="0"/>
              <w:right w:val="single" w:color="000000" w:sz="6" w:space="0"/>
            </w:tcBorders>
          </w:tcPr>
          <w:p w14:paraId="418CCA42">
            <w:pPr>
              <w:rPr>
                <w:rFonts w:ascii="宋体" w:hAnsi="宋体" w:cs="宋体"/>
              </w:rPr>
            </w:pPr>
          </w:p>
        </w:tc>
        <w:tc>
          <w:tcPr>
            <w:tcW w:w="1267" w:type="dxa"/>
            <w:tcBorders>
              <w:top w:val="single" w:color="000000" w:sz="6" w:space="0"/>
              <w:left w:val="single" w:color="000000" w:sz="6" w:space="0"/>
              <w:bottom w:val="single" w:color="000000" w:sz="6" w:space="0"/>
              <w:right w:val="single" w:color="000000" w:sz="6" w:space="0"/>
            </w:tcBorders>
          </w:tcPr>
          <w:p w14:paraId="69B58EE9">
            <w:pPr>
              <w:rPr>
                <w:rFonts w:ascii="宋体" w:hAnsi="宋体" w:cs="宋体"/>
              </w:rPr>
            </w:pPr>
          </w:p>
        </w:tc>
        <w:tc>
          <w:tcPr>
            <w:tcW w:w="903" w:type="dxa"/>
            <w:tcBorders>
              <w:top w:val="single" w:color="000000" w:sz="6" w:space="0"/>
              <w:left w:val="single" w:color="000000" w:sz="6" w:space="0"/>
              <w:bottom w:val="single" w:color="000000" w:sz="6" w:space="0"/>
              <w:right w:val="single" w:color="000000" w:sz="6" w:space="0"/>
            </w:tcBorders>
          </w:tcPr>
          <w:p w14:paraId="5829A89D">
            <w:pPr>
              <w:rPr>
                <w:rFonts w:ascii="宋体" w:hAnsi="宋体" w:cs="宋体"/>
              </w:rPr>
            </w:pPr>
          </w:p>
        </w:tc>
        <w:tc>
          <w:tcPr>
            <w:tcW w:w="685" w:type="dxa"/>
            <w:tcBorders>
              <w:top w:val="single" w:color="000000" w:sz="6" w:space="0"/>
              <w:left w:val="single" w:color="000000" w:sz="6" w:space="0"/>
              <w:bottom w:val="single" w:color="000000" w:sz="6" w:space="0"/>
              <w:right w:val="single" w:color="000000" w:sz="6" w:space="0"/>
            </w:tcBorders>
          </w:tcPr>
          <w:p w14:paraId="37EACC8F">
            <w:pPr>
              <w:rPr>
                <w:rFonts w:ascii="宋体" w:hAnsi="宋体" w:cs="宋体"/>
              </w:rPr>
            </w:pPr>
          </w:p>
        </w:tc>
        <w:tc>
          <w:tcPr>
            <w:tcW w:w="807" w:type="dxa"/>
            <w:tcBorders>
              <w:top w:val="single" w:color="000000" w:sz="6" w:space="0"/>
              <w:left w:val="single" w:color="000000" w:sz="6" w:space="0"/>
              <w:bottom w:val="single" w:color="000000" w:sz="6" w:space="0"/>
              <w:right w:val="single" w:color="000000" w:sz="6" w:space="0"/>
            </w:tcBorders>
          </w:tcPr>
          <w:p w14:paraId="306C65C3">
            <w:pPr>
              <w:rPr>
                <w:rFonts w:ascii="宋体" w:hAnsi="宋体" w:cs="宋体"/>
              </w:rPr>
            </w:pPr>
          </w:p>
        </w:tc>
        <w:tc>
          <w:tcPr>
            <w:tcW w:w="804" w:type="dxa"/>
            <w:tcBorders>
              <w:top w:val="single" w:color="000000" w:sz="6" w:space="0"/>
              <w:left w:val="single" w:color="000000" w:sz="6" w:space="0"/>
              <w:bottom w:val="single" w:color="000000" w:sz="6" w:space="0"/>
              <w:right w:val="single" w:color="000000" w:sz="8" w:space="0"/>
            </w:tcBorders>
          </w:tcPr>
          <w:p w14:paraId="788CD648">
            <w:pPr>
              <w:rPr>
                <w:rFonts w:ascii="宋体" w:hAnsi="宋体" w:cs="宋体"/>
              </w:rPr>
            </w:pPr>
          </w:p>
        </w:tc>
      </w:tr>
      <w:tr w14:paraId="444C3A6E">
        <w:tblPrEx>
          <w:tblCellMar>
            <w:top w:w="0" w:type="dxa"/>
            <w:left w:w="0" w:type="dxa"/>
            <w:bottom w:w="0" w:type="dxa"/>
            <w:right w:w="0" w:type="dxa"/>
          </w:tblCellMar>
        </w:tblPrEx>
        <w:trPr>
          <w:trHeight w:val="615" w:hRule="exact"/>
        </w:trPr>
        <w:tc>
          <w:tcPr>
            <w:tcW w:w="609" w:type="dxa"/>
            <w:tcBorders>
              <w:top w:val="single" w:color="000000" w:sz="6" w:space="0"/>
              <w:left w:val="single" w:color="000000" w:sz="8" w:space="0"/>
              <w:bottom w:val="single" w:color="000000" w:sz="6" w:space="0"/>
              <w:right w:val="single" w:color="000000" w:sz="6" w:space="0"/>
            </w:tcBorders>
          </w:tcPr>
          <w:p w14:paraId="43E60227">
            <w:pPr>
              <w:pStyle w:val="248"/>
              <w:spacing w:before="2" w:line="100" w:lineRule="exact"/>
              <w:rPr>
                <w:rFonts w:ascii="宋体" w:hAnsi="宋体" w:cs="宋体"/>
                <w:sz w:val="10"/>
                <w:szCs w:val="10"/>
              </w:rPr>
            </w:pPr>
          </w:p>
          <w:p w14:paraId="2B46D5DD">
            <w:pPr>
              <w:pStyle w:val="248"/>
              <w:ind w:left="335"/>
              <w:rPr>
                <w:rFonts w:ascii="宋体" w:hAnsi="宋体" w:cs="宋体"/>
                <w:sz w:val="24"/>
              </w:rPr>
            </w:pPr>
            <w:r>
              <w:rPr>
                <w:rFonts w:hint="eastAsia" w:ascii="宋体" w:hAnsi="宋体" w:cs="宋体"/>
                <w:sz w:val="24"/>
              </w:rPr>
              <w:t>2</w:t>
            </w:r>
          </w:p>
        </w:tc>
        <w:tc>
          <w:tcPr>
            <w:tcW w:w="1517" w:type="dxa"/>
            <w:tcBorders>
              <w:top w:val="single" w:color="000000" w:sz="6" w:space="0"/>
              <w:left w:val="single" w:color="000000" w:sz="6" w:space="0"/>
              <w:bottom w:val="single" w:color="000000" w:sz="6" w:space="0"/>
              <w:right w:val="single" w:color="000000" w:sz="6" w:space="0"/>
            </w:tcBorders>
          </w:tcPr>
          <w:p w14:paraId="44723F76">
            <w:pPr>
              <w:rPr>
                <w:rFonts w:ascii="宋体" w:hAnsi="宋体" w:cs="宋体"/>
              </w:rPr>
            </w:pPr>
          </w:p>
        </w:tc>
        <w:tc>
          <w:tcPr>
            <w:tcW w:w="1034" w:type="dxa"/>
            <w:tcBorders>
              <w:top w:val="single" w:color="000000" w:sz="6" w:space="0"/>
              <w:left w:val="single" w:color="000000" w:sz="6" w:space="0"/>
              <w:bottom w:val="single" w:color="000000" w:sz="6" w:space="0"/>
              <w:right w:val="single" w:color="000000" w:sz="6" w:space="0"/>
            </w:tcBorders>
          </w:tcPr>
          <w:p w14:paraId="19E93A39">
            <w:pPr>
              <w:rPr>
                <w:rFonts w:ascii="宋体" w:hAnsi="宋体" w:cs="宋体"/>
              </w:rPr>
            </w:pPr>
          </w:p>
        </w:tc>
        <w:tc>
          <w:tcPr>
            <w:tcW w:w="736" w:type="dxa"/>
            <w:tcBorders>
              <w:top w:val="single" w:color="000000" w:sz="6" w:space="0"/>
              <w:left w:val="single" w:color="000000" w:sz="6" w:space="0"/>
              <w:bottom w:val="single" w:color="000000" w:sz="6" w:space="0"/>
              <w:right w:val="single" w:color="000000" w:sz="6" w:space="0"/>
            </w:tcBorders>
          </w:tcPr>
          <w:p w14:paraId="588A0340">
            <w:pPr>
              <w:rPr>
                <w:rFonts w:ascii="宋体" w:hAnsi="宋体" w:cs="宋体"/>
              </w:rPr>
            </w:pPr>
          </w:p>
        </w:tc>
        <w:tc>
          <w:tcPr>
            <w:tcW w:w="1267" w:type="dxa"/>
            <w:tcBorders>
              <w:top w:val="single" w:color="000000" w:sz="6" w:space="0"/>
              <w:left w:val="single" w:color="000000" w:sz="6" w:space="0"/>
              <w:bottom w:val="single" w:color="000000" w:sz="6" w:space="0"/>
              <w:right w:val="single" w:color="000000" w:sz="6" w:space="0"/>
            </w:tcBorders>
          </w:tcPr>
          <w:p w14:paraId="0D13C503">
            <w:pPr>
              <w:rPr>
                <w:rFonts w:ascii="宋体" w:hAnsi="宋体" w:cs="宋体"/>
              </w:rPr>
            </w:pPr>
          </w:p>
        </w:tc>
        <w:tc>
          <w:tcPr>
            <w:tcW w:w="903" w:type="dxa"/>
            <w:tcBorders>
              <w:top w:val="single" w:color="000000" w:sz="6" w:space="0"/>
              <w:left w:val="single" w:color="000000" w:sz="6" w:space="0"/>
              <w:bottom w:val="single" w:color="000000" w:sz="6" w:space="0"/>
              <w:right w:val="single" w:color="000000" w:sz="6" w:space="0"/>
            </w:tcBorders>
          </w:tcPr>
          <w:p w14:paraId="1F8B3C0C">
            <w:pPr>
              <w:rPr>
                <w:rFonts w:ascii="宋体" w:hAnsi="宋体" w:cs="宋体"/>
              </w:rPr>
            </w:pPr>
          </w:p>
        </w:tc>
        <w:tc>
          <w:tcPr>
            <w:tcW w:w="685" w:type="dxa"/>
            <w:tcBorders>
              <w:top w:val="single" w:color="000000" w:sz="6" w:space="0"/>
              <w:left w:val="single" w:color="000000" w:sz="6" w:space="0"/>
              <w:bottom w:val="single" w:color="000000" w:sz="6" w:space="0"/>
              <w:right w:val="single" w:color="000000" w:sz="6" w:space="0"/>
            </w:tcBorders>
          </w:tcPr>
          <w:p w14:paraId="559E0BBA">
            <w:pPr>
              <w:rPr>
                <w:rFonts w:ascii="宋体" w:hAnsi="宋体" w:cs="宋体"/>
              </w:rPr>
            </w:pPr>
          </w:p>
        </w:tc>
        <w:tc>
          <w:tcPr>
            <w:tcW w:w="807" w:type="dxa"/>
            <w:tcBorders>
              <w:top w:val="single" w:color="000000" w:sz="6" w:space="0"/>
              <w:left w:val="single" w:color="000000" w:sz="6" w:space="0"/>
              <w:bottom w:val="single" w:color="000000" w:sz="6" w:space="0"/>
              <w:right w:val="single" w:color="000000" w:sz="6" w:space="0"/>
            </w:tcBorders>
          </w:tcPr>
          <w:p w14:paraId="15A50C69">
            <w:pPr>
              <w:rPr>
                <w:rFonts w:ascii="宋体" w:hAnsi="宋体" w:cs="宋体"/>
              </w:rPr>
            </w:pPr>
          </w:p>
        </w:tc>
        <w:tc>
          <w:tcPr>
            <w:tcW w:w="804" w:type="dxa"/>
            <w:tcBorders>
              <w:top w:val="single" w:color="000000" w:sz="6" w:space="0"/>
              <w:left w:val="single" w:color="000000" w:sz="6" w:space="0"/>
              <w:bottom w:val="single" w:color="000000" w:sz="6" w:space="0"/>
              <w:right w:val="single" w:color="000000" w:sz="8" w:space="0"/>
            </w:tcBorders>
          </w:tcPr>
          <w:p w14:paraId="0E71FE71">
            <w:pPr>
              <w:rPr>
                <w:rFonts w:ascii="宋体" w:hAnsi="宋体" w:cs="宋体"/>
              </w:rPr>
            </w:pPr>
          </w:p>
        </w:tc>
      </w:tr>
      <w:tr w14:paraId="63329B1E">
        <w:tblPrEx>
          <w:tblCellMar>
            <w:top w:w="0" w:type="dxa"/>
            <w:left w:w="0" w:type="dxa"/>
            <w:bottom w:w="0" w:type="dxa"/>
            <w:right w:w="0" w:type="dxa"/>
          </w:tblCellMar>
        </w:tblPrEx>
        <w:trPr>
          <w:trHeight w:val="615" w:hRule="exact"/>
        </w:trPr>
        <w:tc>
          <w:tcPr>
            <w:tcW w:w="609" w:type="dxa"/>
            <w:tcBorders>
              <w:top w:val="single" w:color="000000" w:sz="6" w:space="0"/>
              <w:left w:val="single" w:color="000000" w:sz="8" w:space="0"/>
              <w:bottom w:val="single" w:color="000000" w:sz="6" w:space="0"/>
              <w:right w:val="single" w:color="000000" w:sz="6" w:space="0"/>
            </w:tcBorders>
          </w:tcPr>
          <w:p w14:paraId="53CB9EC4">
            <w:pPr>
              <w:pStyle w:val="248"/>
              <w:spacing w:before="1" w:line="100" w:lineRule="exact"/>
              <w:rPr>
                <w:rFonts w:ascii="宋体" w:hAnsi="宋体" w:cs="宋体"/>
                <w:sz w:val="10"/>
                <w:szCs w:val="10"/>
              </w:rPr>
            </w:pPr>
          </w:p>
          <w:p w14:paraId="76A0F588">
            <w:pPr>
              <w:pStyle w:val="248"/>
              <w:ind w:left="335"/>
              <w:rPr>
                <w:rFonts w:ascii="宋体" w:hAnsi="宋体" w:cs="宋体"/>
                <w:sz w:val="24"/>
              </w:rPr>
            </w:pPr>
            <w:r>
              <w:rPr>
                <w:rFonts w:hint="eastAsia" w:ascii="宋体" w:hAnsi="宋体" w:cs="宋体"/>
                <w:sz w:val="24"/>
              </w:rPr>
              <w:t>3</w:t>
            </w:r>
          </w:p>
        </w:tc>
        <w:tc>
          <w:tcPr>
            <w:tcW w:w="1517" w:type="dxa"/>
            <w:tcBorders>
              <w:top w:val="single" w:color="000000" w:sz="6" w:space="0"/>
              <w:left w:val="single" w:color="000000" w:sz="6" w:space="0"/>
              <w:bottom w:val="single" w:color="000000" w:sz="6" w:space="0"/>
              <w:right w:val="single" w:color="000000" w:sz="6" w:space="0"/>
            </w:tcBorders>
          </w:tcPr>
          <w:p w14:paraId="0BFD111B">
            <w:pPr>
              <w:rPr>
                <w:rFonts w:ascii="宋体" w:hAnsi="宋体" w:cs="宋体"/>
              </w:rPr>
            </w:pPr>
          </w:p>
        </w:tc>
        <w:tc>
          <w:tcPr>
            <w:tcW w:w="1034" w:type="dxa"/>
            <w:tcBorders>
              <w:top w:val="single" w:color="000000" w:sz="6" w:space="0"/>
              <w:left w:val="single" w:color="000000" w:sz="6" w:space="0"/>
              <w:bottom w:val="single" w:color="000000" w:sz="6" w:space="0"/>
              <w:right w:val="single" w:color="000000" w:sz="6" w:space="0"/>
            </w:tcBorders>
          </w:tcPr>
          <w:p w14:paraId="1DFA1C3A">
            <w:pPr>
              <w:rPr>
                <w:rFonts w:ascii="宋体" w:hAnsi="宋体" w:cs="宋体"/>
              </w:rPr>
            </w:pPr>
          </w:p>
        </w:tc>
        <w:tc>
          <w:tcPr>
            <w:tcW w:w="736" w:type="dxa"/>
            <w:tcBorders>
              <w:top w:val="single" w:color="000000" w:sz="6" w:space="0"/>
              <w:left w:val="single" w:color="000000" w:sz="6" w:space="0"/>
              <w:bottom w:val="single" w:color="000000" w:sz="6" w:space="0"/>
              <w:right w:val="single" w:color="000000" w:sz="6" w:space="0"/>
            </w:tcBorders>
          </w:tcPr>
          <w:p w14:paraId="6CEEB991">
            <w:pPr>
              <w:rPr>
                <w:rFonts w:ascii="宋体" w:hAnsi="宋体" w:cs="宋体"/>
              </w:rPr>
            </w:pPr>
          </w:p>
        </w:tc>
        <w:tc>
          <w:tcPr>
            <w:tcW w:w="1267" w:type="dxa"/>
            <w:tcBorders>
              <w:top w:val="single" w:color="000000" w:sz="6" w:space="0"/>
              <w:left w:val="single" w:color="000000" w:sz="6" w:space="0"/>
              <w:bottom w:val="single" w:color="000000" w:sz="6" w:space="0"/>
              <w:right w:val="single" w:color="000000" w:sz="6" w:space="0"/>
            </w:tcBorders>
          </w:tcPr>
          <w:p w14:paraId="62D8E498">
            <w:pPr>
              <w:rPr>
                <w:rFonts w:ascii="宋体" w:hAnsi="宋体" w:cs="宋体"/>
              </w:rPr>
            </w:pPr>
          </w:p>
        </w:tc>
        <w:tc>
          <w:tcPr>
            <w:tcW w:w="903" w:type="dxa"/>
            <w:tcBorders>
              <w:top w:val="single" w:color="000000" w:sz="6" w:space="0"/>
              <w:left w:val="single" w:color="000000" w:sz="6" w:space="0"/>
              <w:bottom w:val="single" w:color="000000" w:sz="6" w:space="0"/>
              <w:right w:val="single" w:color="000000" w:sz="6" w:space="0"/>
            </w:tcBorders>
          </w:tcPr>
          <w:p w14:paraId="51557A92">
            <w:pPr>
              <w:rPr>
                <w:rFonts w:ascii="宋体" w:hAnsi="宋体" w:cs="宋体"/>
              </w:rPr>
            </w:pPr>
          </w:p>
        </w:tc>
        <w:tc>
          <w:tcPr>
            <w:tcW w:w="685" w:type="dxa"/>
            <w:tcBorders>
              <w:top w:val="single" w:color="000000" w:sz="6" w:space="0"/>
              <w:left w:val="single" w:color="000000" w:sz="6" w:space="0"/>
              <w:bottom w:val="single" w:color="000000" w:sz="6" w:space="0"/>
              <w:right w:val="single" w:color="000000" w:sz="6" w:space="0"/>
            </w:tcBorders>
          </w:tcPr>
          <w:p w14:paraId="7C4D1494">
            <w:pPr>
              <w:rPr>
                <w:rFonts w:ascii="宋体" w:hAnsi="宋体" w:cs="宋体"/>
              </w:rPr>
            </w:pPr>
          </w:p>
        </w:tc>
        <w:tc>
          <w:tcPr>
            <w:tcW w:w="807" w:type="dxa"/>
            <w:tcBorders>
              <w:top w:val="single" w:color="000000" w:sz="6" w:space="0"/>
              <w:left w:val="single" w:color="000000" w:sz="6" w:space="0"/>
              <w:bottom w:val="single" w:color="000000" w:sz="6" w:space="0"/>
              <w:right w:val="single" w:color="000000" w:sz="6" w:space="0"/>
            </w:tcBorders>
          </w:tcPr>
          <w:p w14:paraId="196AFDDA">
            <w:pPr>
              <w:rPr>
                <w:rFonts w:ascii="宋体" w:hAnsi="宋体" w:cs="宋体"/>
              </w:rPr>
            </w:pPr>
          </w:p>
        </w:tc>
        <w:tc>
          <w:tcPr>
            <w:tcW w:w="804" w:type="dxa"/>
            <w:tcBorders>
              <w:top w:val="single" w:color="000000" w:sz="6" w:space="0"/>
              <w:left w:val="single" w:color="000000" w:sz="6" w:space="0"/>
              <w:bottom w:val="single" w:color="000000" w:sz="6" w:space="0"/>
              <w:right w:val="single" w:color="000000" w:sz="8" w:space="0"/>
            </w:tcBorders>
          </w:tcPr>
          <w:p w14:paraId="6688D025">
            <w:pPr>
              <w:rPr>
                <w:rFonts w:ascii="宋体" w:hAnsi="宋体" w:cs="宋体"/>
              </w:rPr>
            </w:pPr>
          </w:p>
        </w:tc>
      </w:tr>
      <w:tr w14:paraId="7EAF1AF8">
        <w:tblPrEx>
          <w:tblCellMar>
            <w:top w:w="0" w:type="dxa"/>
            <w:left w:w="0" w:type="dxa"/>
            <w:bottom w:w="0" w:type="dxa"/>
            <w:right w:w="0" w:type="dxa"/>
          </w:tblCellMar>
        </w:tblPrEx>
        <w:trPr>
          <w:trHeight w:val="615" w:hRule="exact"/>
        </w:trPr>
        <w:tc>
          <w:tcPr>
            <w:tcW w:w="609" w:type="dxa"/>
            <w:tcBorders>
              <w:top w:val="single" w:color="000000" w:sz="6" w:space="0"/>
              <w:left w:val="single" w:color="000000" w:sz="8" w:space="0"/>
              <w:bottom w:val="single" w:color="000000" w:sz="6" w:space="0"/>
              <w:right w:val="single" w:color="000000" w:sz="6" w:space="0"/>
            </w:tcBorders>
          </w:tcPr>
          <w:p w14:paraId="28D4497A">
            <w:pPr>
              <w:pStyle w:val="248"/>
              <w:spacing w:before="1" w:line="100" w:lineRule="exact"/>
              <w:rPr>
                <w:rFonts w:ascii="宋体" w:hAnsi="宋体" w:cs="宋体"/>
                <w:sz w:val="10"/>
                <w:szCs w:val="10"/>
              </w:rPr>
            </w:pPr>
          </w:p>
          <w:p w14:paraId="0F03B84D">
            <w:pPr>
              <w:pStyle w:val="248"/>
              <w:ind w:left="335"/>
              <w:rPr>
                <w:rFonts w:ascii="宋体" w:hAnsi="宋体" w:cs="宋体"/>
                <w:sz w:val="24"/>
              </w:rPr>
            </w:pPr>
            <w:r>
              <w:rPr>
                <w:rFonts w:hint="eastAsia" w:ascii="宋体" w:hAnsi="宋体" w:cs="宋体"/>
                <w:sz w:val="24"/>
              </w:rPr>
              <w:t>4</w:t>
            </w:r>
          </w:p>
        </w:tc>
        <w:tc>
          <w:tcPr>
            <w:tcW w:w="1517" w:type="dxa"/>
            <w:tcBorders>
              <w:top w:val="single" w:color="000000" w:sz="6" w:space="0"/>
              <w:left w:val="single" w:color="000000" w:sz="6" w:space="0"/>
              <w:bottom w:val="single" w:color="000000" w:sz="6" w:space="0"/>
              <w:right w:val="single" w:color="000000" w:sz="6" w:space="0"/>
            </w:tcBorders>
          </w:tcPr>
          <w:p w14:paraId="2774A573">
            <w:pPr>
              <w:rPr>
                <w:rFonts w:ascii="宋体" w:hAnsi="宋体" w:cs="宋体"/>
              </w:rPr>
            </w:pPr>
          </w:p>
        </w:tc>
        <w:tc>
          <w:tcPr>
            <w:tcW w:w="1034" w:type="dxa"/>
            <w:tcBorders>
              <w:top w:val="single" w:color="000000" w:sz="6" w:space="0"/>
              <w:left w:val="single" w:color="000000" w:sz="6" w:space="0"/>
              <w:bottom w:val="single" w:color="000000" w:sz="6" w:space="0"/>
              <w:right w:val="single" w:color="000000" w:sz="6" w:space="0"/>
            </w:tcBorders>
          </w:tcPr>
          <w:p w14:paraId="54DB3C5D">
            <w:pPr>
              <w:rPr>
                <w:rFonts w:ascii="宋体" w:hAnsi="宋体" w:cs="宋体"/>
              </w:rPr>
            </w:pPr>
          </w:p>
        </w:tc>
        <w:tc>
          <w:tcPr>
            <w:tcW w:w="736" w:type="dxa"/>
            <w:tcBorders>
              <w:top w:val="single" w:color="000000" w:sz="6" w:space="0"/>
              <w:left w:val="single" w:color="000000" w:sz="6" w:space="0"/>
              <w:bottom w:val="single" w:color="000000" w:sz="6" w:space="0"/>
              <w:right w:val="single" w:color="000000" w:sz="6" w:space="0"/>
            </w:tcBorders>
          </w:tcPr>
          <w:p w14:paraId="1BB74B81">
            <w:pPr>
              <w:rPr>
                <w:rFonts w:ascii="宋体" w:hAnsi="宋体" w:cs="宋体"/>
              </w:rPr>
            </w:pPr>
          </w:p>
        </w:tc>
        <w:tc>
          <w:tcPr>
            <w:tcW w:w="1267" w:type="dxa"/>
            <w:tcBorders>
              <w:top w:val="single" w:color="000000" w:sz="6" w:space="0"/>
              <w:left w:val="single" w:color="000000" w:sz="6" w:space="0"/>
              <w:bottom w:val="single" w:color="000000" w:sz="6" w:space="0"/>
              <w:right w:val="single" w:color="000000" w:sz="6" w:space="0"/>
            </w:tcBorders>
          </w:tcPr>
          <w:p w14:paraId="48047B4A">
            <w:pPr>
              <w:rPr>
                <w:rFonts w:ascii="宋体" w:hAnsi="宋体" w:cs="宋体"/>
              </w:rPr>
            </w:pPr>
          </w:p>
        </w:tc>
        <w:tc>
          <w:tcPr>
            <w:tcW w:w="903" w:type="dxa"/>
            <w:tcBorders>
              <w:top w:val="single" w:color="000000" w:sz="6" w:space="0"/>
              <w:left w:val="single" w:color="000000" w:sz="6" w:space="0"/>
              <w:bottom w:val="single" w:color="000000" w:sz="6" w:space="0"/>
              <w:right w:val="single" w:color="000000" w:sz="6" w:space="0"/>
            </w:tcBorders>
          </w:tcPr>
          <w:p w14:paraId="677E6EE5">
            <w:pPr>
              <w:rPr>
                <w:rFonts w:ascii="宋体" w:hAnsi="宋体" w:cs="宋体"/>
              </w:rPr>
            </w:pPr>
          </w:p>
        </w:tc>
        <w:tc>
          <w:tcPr>
            <w:tcW w:w="685" w:type="dxa"/>
            <w:tcBorders>
              <w:top w:val="single" w:color="000000" w:sz="6" w:space="0"/>
              <w:left w:val="single" w:color="000000" w:sz="6" w:space="0"/>
              <w:bottom w:val="single" w:color="000000" w:sz="6" w:space="0"/>
              <w:right w:val="single" w:color="000000" w:sz="6" w:space="0"/>
            </w:tcBorders>
          </w:tcPr>
          <w:p w14:paraId="30515F13">
            <w:pPr>
              <w:rPr>
                <w:rFonts w:ascii="宋体" w:hAnsi="宋体" w:cs="宋体"/>
              </w:rPr>
            </w:pPr>
          </w:p>
        </w:tc>
        <w:tc>
          <w:tcPr>
            <w:tcW w:w="807" w:type="dxa"/>
            <w:tcBorders>
              <w:top w:val="single" w:color="000000" w:sz="6" w:space="0"/>
              <w:left w:val="single" w:color="000000" w:sz="6" w:space="0"/>
              <w:bottom w:val="single" w:color="000000" w:sz="6" w:space="0"/>
              <w:right w:val="single" w:color="000000" w:sz="6" w:space="0"/>
            </w:tcBorders>
          </w:tcPr>
          <w:p w14:paraId="633CAA78">
            <w:pPr>
              <w:rPr>
                <w:rFonts w:ascii="宋体" w:hAnsi="宋体" w:cs="宋体"/>
              </w:rPr>
            </w:pPr>
          </w:p>
        </w:tc>
        <w:tc>
          <w:tcPr>
            <w:tcW w:w="804" w:type="dxa"/>
            <w:tcBorders>
              <w:top w:val="single" w:color="000000" w:sz="6" w:space="0"/>
              <w:left w:val="single" w:color="000000" w:sz="6" w:space="0"/>
              <w:bottom w:val="single" w:color="000000" w:sz="6" w:space="0"/>
              <w:right w:val="single" w:color="000000" w:sz="8" w:space="0"/>
            </w:tcBorders>
          </w:tcPr>
          <w:p w14:paraId="437F260D">
            <w:pPr>
              <w:rPr>
                <w:rFonts w:ascii="宋体" w:hAnsi="宋体" w:cs="宋体"/>
              </w:rPr>
            </w:pPr>
          </w:p>
        </w:tc>
      </w:tr>
      <w:tr w14:paraId="2CD787FE">
        <w:tblPrEx>
          <w:tblCellMar>
            <w:top w:w="0" w:type="dxa"/>
            <w:left w:w="0" w:type="dxa"/>
            <w:bottom w:w="0" w:type="dxa"/>
            <w:right w:w="0" w:type="dxa"/>
          </w:tblCellMar>
        </w:tblPrEx>
        <w:trPr>
          <w:trHeight w:val="615" w:hRule="exact"/>
        </w:trPr>
        <w:tc>
          <w:tcPr>
            <w:tcW w:w="609" w:type="dxa"/>
            <w:tcBorders>
              <w:top w:val="single" w:color="000000" w:sz="6" w:space="0"/>
              <w:left w:val="single" w:color="000000" w:sz="8" w:space="0"/>
              <w:bottom w:val="single" w:color="000000" w:sz="6" w:space="0"/>
              <w:right w:val="single" w:color="000000" w:sz="6" w:space="0"/>
            </w:tcBorders>
          </w:tcPr>
          <w:p w14:paraId="6D978DA0">
            <w:pPr>
              <w:pStyle w:val="248"/>
              <w:spacing w:before="6" w:line="190" w:lineRule="exact"/>
              <w:rPr>
                <w:rFonts w:ascii="宋体" w:hAnsi="宋体" w:cs="宋体"/>
                <w:sz w:val="19"/>
                <w:szCs w:val="19"/>
              </w:rPr>
            </w:pPr>
          </w:p>
          <w:p w14:paraId="143B9CE8">
            <w:pPr>
              <w:pStyle w:val="248"/>
              <w:ind w:left="275"/>
              <w:rPr>
                <w:rFonts w:ascii="宋体" w:hAnsi="宋体" w:cs="宋体"/>
                <w:sz w:val="24"/>
              </w:rPr>
            </w:pPr>
            <w:r>
              <w:rPr>
                <w:rFonts w:hint="eastAsia" w:ascii="宋体" w:hAnsi="宋体" w:cs="宋体"/>
                <w:sz w:val="24"/>
              </w:rPr>
              <w:t>…</w:t>
            </w:r>
          </w:p>
        </w:tc>
        <w:tc>
          <w:tcPr>
            <w:tcW w:w="1517" w:type="dxa"/>
            <w:tcBorders>
              <w:top w:val="single" w:color="000000" w:sz="6" w:space="0"/>
              <w:left w:val="single" w:color="000000" w:sz="6" w:space="0"/>
              <w:bottom w:val="single" w:color="000000" w:sz="6" w:space="0"/>
              <w:right w:val="single" w:color="000000" w:sz="6" w:space="0"/>
            </w:tcBorders>
          </w:tcPr>
          <w:p w14:paraId="3DF6AF80">
            <w:pPr>
              <w:rPr>
                <w:rFonts w:ascii="宋体" w:hAnsi="宋体" w:cs="宋体"/>
              </w:rPr>
            </w:pPr>
          </w:p>
        </w:tc>
        <w:tc>
          <w:tcPr>
            <w:tcW w:w="1034" w:type="dxa"/>
            <w:tcBorders>
              <w:top w:val="single" w:color="000000" w:sz="6" w:space="0"/>
              <w:left w:val="single" w:color="000000" w:sz="6" w:space="0"/>
              <w:bottom w:val="single" w:color="000000" w:sz="6" w:space="0"/>
              <w:right w:val="single" w:color="000000" w:sz="6" w:space="0"/>
            </w:tcBorders>
          </w:tcPr>
          <w:p w14:paraId="5F747EDF">
            <w:pPr>
              <w:rPr>
                <w:rFonts w:ascii="宋体" w:hAnsi="宋体" w:cs="宋体"/>
              </w:rPr>
            </w:pPr>
          </w:p>
        </w:tc>
        <w:tc>
          <w:tcPr>
            <w:tcW w:w="736" w:type="dxa"/>
            <w:tcBorders>
              <w:top w:val="single" w:color="000000" w:sz="6" w:space="0"/>
              <w:left w:val="single" w:color="000000" w:sz="6" w:space="0"/>
              <w:bottom w:val="single" w:color="000000" w:sz="6" w:space="0"/>
              <w:right w:val="single" w:color="000000" w:sz="6" w:space="0"/>
            </w:tcBorders>
          </w:tcPr>
          <w:p w14:paraId="4BD1E28A">
            <w:pPr>
              <w:rPr>
                <w:rFonts w:ascii="宋体" w:hAnsi="宋体" w:cs="宋体"/>
              </w:rPr>
            </w:pPr>
          </w:p>
        </w:tc>
        <w:tc>
          <w:tcPr>
            <w:tcW w:w="1267" w:type="dxa"/>
            <w:tcBorders>
              <w:top w:val="single" w:color="000000" w:sz="6" w:space="0"/>
              <w:left w:val="single" w:color="000000" w:sz="6" w:space="0"/>
              <w:bottom w:val="single" w:color="000000" w:sz="6" w:space="0"/>
              <w:right w:val="single" w:color="000000" w:sz="6" w:space="0"/>
            </w:tcBorders>
          </w:tcPr>
          <w:p w14:paraId="1CF775D6">
            <w:pPr>
              <w:rPr>
                <w:rFonts w:ascii="宋体" w:hAnsi="宋体" w:cs="宋体"/>
              </w:rPr>
            </w:pPr>
          </w:p>
        </w:tc>
        <w:tc>
          <w:tcPr>
            <w:tcW w:w="903" w:type="dxa"/>
            <w:tcBorders>
              <w:top w:val="single" w:color="000000" w:sz="6" w:space="0"/>
              <w:left w:val="single" w:color="000000" w:sz="6" w:space="0"/>
              <w:bottom w:val="single" w:color="000000" w:sz="6" w:space="0"/>
              <w:right w:val="single" w:color="000000" w:sz="6" w:space="0"/>
            </w:tcBorders>
          </w:tcPr>
          <w:p w14:paraId="10708D1B">
            <w:pPr>
              <w:rPr>
                <w:rFonts w:ascii="宋体" w:hAnsi="宋体" w:cs="宋体"/>
              </w:rPr>
            </w:pPr>
          </w:p>
        </w:tc>
        <w:tc>
          <w:tcPr>
            <w:tcW w:w="685" w:type="dxa"/>
            <w:tcBorders>
              <w:top w:val="single" w:color="000000" w:sz="6" w:space="0"/>
              <w:left w:val="single" w:color="000000" w:sz="6" w:space="0"/>
              <w:bottom w:val="single" w:color="000000" w:sz="6" w:space="0"/>
              <w:right w:val="single" w:color="000000" w:sz="6" w:space="0"/>
            </w:tcBorders>
          </w:tcPr>
          <w:p w14:paraId="2B6E77F0">
            <w:pPr>
              <w:rPr>
                <w:rFonts w:ascii="宋体" w:hAnsi="宋体" w:cs="宋体"/>
              </w:rPr>
            </w:pPr>
          </w:p>
        </w:tc>
        <w:tc>
          <w:tcPr>
            <w:tcW w:w="807" w:type="dxa"/>
            <w:tcBorders>
              <w:top w:val="single" w:color="000000" w:sz="6" w:space="0"/>
              <w:left w:val="single" w:color="000000" w:sz="6" w:space="0"/>
              <w:bottom w:val="single" w:color="000000" w:sz="6" w:space="0"/>
              <w:right w:val="single" w:color="000000" w:sz="6" w:space="0"/>
            </w:tcBorders>
          </w:tcPr>
          <w:p w14:paraId="0453651D">
            <w:pPr>
              <w:rPr>
                <w:rFonts w:ascii="宋体" w:hAnsi="宋体" w:cs="宋体"/>
              </w:rPr>
            </w:pPr>
          </w:p>
        </w:tc>
        <w:tc>
          <w:tcPr>
            <w:tcW w:w="804" w:type="dxa"/>
            <w:tcBorders>
              <w:top w:val="single" w:color="000000" w:sz="6" w:space="0"/>
              <w:left w:val="single" w:color="000000" w:sz="6" w:space="0"/>
              <w:bottom w:val="single" w:color="000000" w:sz="6" w:space="0"/>
              <w:right w:val="single" w:color="000000" w:sz="8" w:space="0"/>
            </w:tcBorders>
          </w:tcPr>
          <w:p w14:paraId="2236FE93">
            <w:pPr>
              <w:rPr>
                <w:rFonts w:ascii="宋体" w:hAnsi="宋体" w:cs="宋体"/>
              </w:rPr>
            </w:pPr>
          </w:p>
        </w:tc>
      </w:tr>
      <w:tr w14:paraId="328ACBCE">
        <w:tblPrEx>
          <w:tblCellMar>
            <w:top w:w="0" w:type="dxa"/>
            <w:left w:w="0" w:type="dxa"/>
            <w:bottom w:w="0" w:type="dxa"/>
            <w:right w:w="0" w:type="dxa"/>
          </w:tblCellMar>
        </w:tblPrEx>
        <w:trPr>
          <w:trHeight w:val="1115" w:hRule="exact"/>
        </w:trPr>
        <w:tc>
          <w:tcPr>
            <w:tcW w:w="8362" w:type="dxa"/>
            <w:gridSpan w:val="9"/>
            <w:tcBorders>
              <w:top w:val="single" w:color="000000" w:sz="6" w:space="0"/>
              <w:left w:val="single" w:color="000000" w:sz="8" w:space="0"/>
              <w:bottom w:val="single" w:color="000000" w:sz="6" w:space="0"/>
              <w:right w:val="single" w:color="000000" w:sz="8" w:space="0"/>
            </w:tcBorders>
          </w:tcPr>
          <w:p w14:paraId="62800F53">
            <w:pPr>
              <w:pStyle w:val="248"/>
              <w:spacing w:before="2" w:line="100" w:lineRule="exact"/>
              <w:rPr>
                <w:rFonts w:ascii="宋体" w:hAnsi="宋体" w:cs="宋体"/>
                <w:sz w:val="10"/>
                <w:szCs w:val="10"/>
              </w:rPr>
            </w:pPr>
          </w:p>
          <w:p w14:paraId="4152E4FE">
            <w:pPr>
              <w:pStyle w:val="248"/>
              <w:ind w:left="18"/>
              <w:rPr>
                <w:rFonts w:ascii="宋体" w:hAnsi="宋体" w:cs="宋体"/>
                <w:sz w:val="24"/>
              </w:rPr>
            </w:pPr>
            <w:r>
              <w:rPr>
                <w:rFonts w:hint="eastAsia" w:ascii="宋体" w:hAnsi="宋体" w:cs="宋体"/>
                <w:sz w:val="24"/>
              </w:rPr>
              <w:t>优惠承诺及其他：</w:t>
            </w:r>
          </w:p>
        </w:tc>
      </w:tr>
      <w:tr w14:paraId="0AF831A3">
        <w:tblPrEx>
          <w:tblCellMar>
            <w:top w:w="0" w:type="dxa"/>
            <w:left w:w="0" w:type="dxa"/>
            <w:bottom w:w="0" w:type="dxa"/>
            <w:right w:w="0" w:type="dxa"/>
          </w:tblCellMar>
        </w:tblPrEx>
        <w:trPr>
          <w:trHeight w:val="817" w:hRule="exact"/>
        </w:trPr>
        <w:tc>
          <w:tcPr>
            <w:tcW w:w="2126" w:type="dxa"/>
            <w:gridSpan w:val="2"/>
            <w:tcBorders>
              <w:top w:val="single" w:color="000000" w:sz="6" w:space="0"/>
              <w:left w:val="single" w:color="000000" w:sz="8" w:space="0"/>
              <w:bottom w:val="single" w:color="000000" w:sz="8" w:space="0"/>
              <w:right w:val="single" w:color="000000" w:sz="6" w:space="0"/>
            </w:tcBorders>
          </w:tcPr>
          <w:p w14:paraId="4865A272">
            <w:pPr>
              <w:pStyle w:val="248"/>
              <w:spacing w:before="1" w:line="200" w:lineRule="exact"/>
              <w:rPr>
                <w:rFonts w:ascii="宋体" w:hAnsi="宋体" w:cs="宋体"/>
                <w:sz w:val="20"/>
                <w:szCs w:val="20"/>
              </w:rPr>
            </w:pPr>
          </w:p>
          <w:p w14:paraId="2325963B">
            <w:pPr>
              <w:pStyle w:val="248"/>
              <w:ind w:left="498"/>
              <w:rPr>
                <w:rFonts w:ascii="宋体" w:hAnsi="宋体" w:cs="宋体"/>
                <w:sz w:val="24"/>
              </w:rPr>
            </w:pPr>
            <w:r>
              <w:rPr>
                <w:rFonts w:hint="eastAsia" w:ascii="宋体" w:hAnsi="宋体" w:cs="宋体"/>
                <w:sz w:val="24"/>
              </w:rPr>
              <w:t>响应总价</w:t>
            </w:r>
          </w:p>
        </w:tc>
        <w:tc>
          <w:tcPr>
            <w:tcW w:w="6236" w:type="dxa"/>
            <w:gridSpan w:val="7"/>
            <w:tcBorders>
              <w:top w:val="single" w:color="000000" w:sz="6" w:space="0"/>
              <w:left w:val="single" w:color="000000" w:sz="6" w:space="0"/>
              <w:bottom w:val="single" w:color="000000" w:sz="8" w:space="0"/>
              <w:right w:val="single" w:color="000000" w:sz="8" w:space="0"/>
            </w:tcBorders>
          </w:tcPr>
          <w:p w14:paraId="3AE4C6A3">
            <w:pPr>
              <w:pStyle w:val="248"/>
              <w:spacing w:before="2" w:line="270" w:lineRule="auto"/>
              <w:ind w:left="21" w:right="5478"/>
              <w:rPr>
                <w:rFonts w:ascii="宋体" w:hAnsi="宋体" w:cs="宋体"/>
                <w:sz w:val="24"/>
              </w:rPr>
            </w:pPr>
            <w:r>
              <w:rPr>
                <w:rFonts w:hint="eastAsia" w:ascii="宋体" w:hAnsi="宋体" w:cs="宋体"/>
                <w:sz w:val="24"/>
              </w:rPr>
              <w:t>大写： 小写：</w:t>
            </w:r>
          </w:p>
        </w:tc>
      </w:tr>
    </w:tbl>
    <w:p w14:paraId="6BA45BD1">
      <w:pPr>
        <w:spacing w:line="200" w:lineRule="exact"/>
        <w:rPr>
          <w:rFonts w:ascii="宋体" w:hAnsi="宋体" w:cs="宋体"/>
          <w:sz w:val="20"/>
          <w:szCs w:val="20"/>
        </w:rPr>
      </w:pPr>
    </w:p>
    <w:p w14:paraId="09FA47F7">
      <w:pPr>
        <w:spacing w:before="15" w:line="200" w:lineRule="exact"/>
        <w:rPr>
          <w:rFonts w:ascii="宋体" w:hAnsi="宋体" w:cs="宋体"/>
          <w:sz w:val="20"/>
          <w:szCs w:val="20"/>
        </w:rPr>
      </w:pPr>
    </w:p>
    <w:p w14:paraId="04639FC4">
      <w:pPr>
        <w:pStyle w:val="21"/>
        <w:spacing w:line="340" w:lineRule="exact"/>
        <w:ind w:left="140"/>
        <w:rPr>
          <w:rFonts w:ascii="宋体" w:hAnsi="宋体" w:cs="宋体"/>
        </w:rPr>
      </w:pPr>
      <w:r>
        <w:rPr>
          <w:rFonts w:hint="eastAsia" w:ascii="宋体" w:hAnsi="宋体" w:cs="宋体"/>
        </w:rPr>
        <w:t>注</w:t>
      </w:r>
      <w:r>
        <w:rPr>
          <w:rFonts w:hint="eastAsia" w:ascii="宋体" w:hAnsi="宋体" w:cs="宋体"/>
          <w:spacing w:val="2"/>
        </w:rPr>
        <w:t>：</w:t>
      </w:r>
      <w:r>
        <w:rPr>
          <w:rFonts w:hint="eastAsia" w:ascii="宋体" w:hAnsi="宋体" w:cs="宋体"/>
        </w:rPr>
        <w:t>本</w:t>
      </w:r>
      <w:r>
        <w:rPr>
          <w:rFonts w:hint="eastAsia" w:ascii="宋体" w:hAnsi="宋体" w:cs="宋体"/>
          <w:spacing w:val="2"/>
        </w:rPr>
        <w:t>表</w:t>
      </w:r>
      <w:r>
        <w:rPr>
          <w:rFonts w:hint="eastAsia" w:ascii="宋体" w:hAnsi="宋体" w:cs="宋体"/>
        </w:rPr>
        <w:t>应依</w:t>
      </w:r>
      <w:r>
        <w:rPr>
          <w:rFonts w:hint="eastAsia" w:ascii="宋体" w:hAnsi="宋体" w:cs="宋体"/>
          <w:spacing w:val="2"/>
        </w:rPr>
        <w:t>照</w:t>
      </w:r>
      <w:r>
        <w:rPr>
          <w:rFonts w:hint="eastAsia" w:ascii="宋体" w:hAnsi="宋体" w:cs="宋体"/>
        </w:rPr>
        <w:t>每</w:t>
      </w:r>
      <w:r>
        <w:rPr>
          <w:rFonts w:hint="eastAsia" w:ascii="宋体" w:hAnsi="宋体" w:cs="宋体"/>
          <w:spacing w:val="2"/>
        </w:rPr>
        <w:t>包</w:t>
      </w:r>
      <w:r>
        <w:rPr>
          <w:rFonts w:hint="eastAsia" w:ascii="宋体" w:hAnsi="宋体" w:cs="宋体"/>
        </w:rPr>
        <w:t>采购</w:t>
      </w:r>
      <w:r>
        <w:rPr>
          <w:rFonts w:hint="eastAsia" w:ascii="宋体" w:hAnsi="宋体" w:cs="宋体"/>
          <w:spacing w:val="2"/>
        </w:rPr>
        <w:t>一</w:t>
      </w:r>
      <w:r>
        <w:rPr>
          <w:rFonts w:hint="eastAsia" w:ascii="宋体" w:hAnsi="宋体" w:cs="宋体"/>
        </w:rPr>
        <w:t>览表</w:t>
      </w:r>
      <w:r>
        <w:rPr>
          <w:rFonts w:hint="eastAsia" w:ascii="宋体" w:hAnsi="宋体" w:cs="宋体"/>
          <w:spacing w:val="2"/>
        </w:rPr>
        <w:t>中</w:t>
      </w:r>
      <w:r>
        <w:rPr>
          <w:rFonts w:hint="eastAsia" w:ascii="宋体" w:hAnsi="宋体" w:cs="宋体"/>
        </w:rPr>
        <w:t>的</w:t>
      </w:r>
      <w:r>
        <w:rPr>
          <w:rFonts w:hint="eastAsia" w:ascii="宋体" w:hAnsi="宋体" w:cs="宋体"/>
          <w:spacing w:val="2"/>
        </w:rPr>
        <w:t>产</w:t>
      </w:r>
      <w:r>
        <w:rPr>
          <w:rFonts w:hint="eastAsia" w:ascii="宋体" w:hAnsi="宋体" w:cs="宋体"/>
        </w:rPr>
        <w:t>品序</w:t>
      </w:r>
      <w:r>
        <w:rPr>
          <w:rFonts w:hint="eastAsia" w:ascii="宋体" w:hAnsi="宋体" w:cs="宋体"/>
          <w:spacing w:val="2"/>
        </w:rPr>
        <w:t>号</w:t>
      </w:r>
      <w:r>
        <w:rPr>
          <w:rFonts w:hint="eastAsia" w:ascii="宋体" w:hAnsi="宋体" w:cs="宋体"/>
        </w:rPr>
        <w:t>按</w:t>
      </w:r>
      <w:r>
        <w:rPr>
          <w:rFonts w:hint="eastAsia" w:ascii="宋体" w:hAnsi="宋体" w:cs="宋体"/>
          <w:spacing w:val="2"/>
        </w:rPr>
        <w:t>顺</w:t>
      </w:r>
      <w:r>
        <w:rPr>
          <w:rFonts w:hint="eastAsia" w:ascii="宋体" w:hAnsi="宋体" w:cs="宋体"/>
        </w:rPr>
        <w:t>序逐</w:t>
      </w:r>
      <w:r>
        <w:rPr>
          <w:rFonts w:hint="eastAsia" w:ascii="宋体" w:hAnsi="宋体" w:cs="宋体"/>
          <w:spacing w:val="2"/>
        </w:rPr>
        <w:t>项</w:t>
      </w:r>
      <w:r>
        <w:rPr>
          <w:rFonts w:hint="eastAsia" w:ascii="宋体" w:hAnsi="宋体" w:cs="宋体"/>
        </w:rPr>
        <w:t>填</w:t>
      </w:r>
      <w:r>
        <w:rPr>
          <w:rFonts w:hint="eastAsia" w:ascii="宋体" w:hAnsi="宋体" w:cs="宋体"/>
          <w:spacing w:val="2"/>
        </w:rPr>
        <w:t>写</w:t>
      </w:r>
      <w:r>
        <w:rPr>
          <w:rFonts w:hint="eastAsia" w:ascii="宋体" w:hAnsi="宋体" w:cs="宋体"/>
        </w:rPr>
        <w:t>，不</w:t>
      </w:r>
      <w:r>
        <w:rPr>
          <w:rFonts w:hint="eastAsia" w:ascii="宋体" w:hAnsi="宋体" w:cs="宋体"/>
          <w:spacing w:val="2"/>
        </w:rPr>
        <w:t>得</w:t>
      </w:r>
      <w:r>
        <w:rPr>
          <w:rFonts w:hint="eastAsia" w:ascii="宋体" w:hAnsi="宋体" w:cs="宋体"/>
        </w:rPr>
        <w:t>遗漏。</w:t>
      </w:r>
    </w:p>
    <w:p w14:paraId="1DAD815D">
      <w:pPr>
        <w:spacing w:line="200" w:lineRule="exact"/>
        <w:rPr>
          <w:rFonts w:ascii="宋体" w:hAnsi="宋体" w:cs="宋体"/>
          <w:sz w:val="20"/>
          <w:szCs w:val="20"/>
        </w:rPr>
      </w:pPr>
    </w:p>
    <w:p w14:paraId="0993ECFE">
      <w:pPr>
        <w:spacing w:line="200" w:lineRule="exact"/>
        <w:rPr>
          <w:rFonts w:ascii="宋体" w:hAnsi="宋体" w:cs="宋体"/>
          <w:sz w:val="20"/>
          <w:szCs w:val="20"/>
        </w:rPr>
      </w:pPr>
    </w:p>
    <w:p w14:paraId="184CC790">
      <w:pPr>
        <w:spacing w:line="200" w:lineRule="exact"/>
        <w:rPr>
          <w:rFonts w:ascii="宋体" w:hAnsi="宋体" w:cs="宋体"/>
          <w:sz w:val="20"/>
          <w:szCs w:val="20"/>
        </w:rPr>
      </w:pPr>
    </w:p>
    <w:p w14:paraId="5912A743">
      <w:pPr>
        <w:spacing w:line="200" w:lineRule="exact"/>
        <w:rPr>
          <w:rFonts w:ascii="宋体" w:hAnsi="宋体" w:cs="宋体"/>
          <w:sz w:val="20"/>
          <w:szCs w:val="20"/>
        </w:rPr>
      </w:pPr>
    </w:p>
    <w:p w14:paraId="1FD3A0F2">
      <w:pPr>
        <w:spacing w:line="200" w:lineRule="exact"/>
        <w:rPr>
          <w:rFonts w:ascii="宋体" w:hAnsi="宋体" w:cs="宋体"/>
          <w:sz w:val="20"/>
          <w:szCs w:val="20"/>
        </w:rPr>
      </w:pPr>
    </w:p>
    <w:p w14:paraId="2725378A">
      <w:pPr>
        <w:spacing w:line="200" w:lineRule="exact"/>
        <w:rPr>
          <w:rFonts w:ascii="宋体" w:hAnsi="宋体" w:cs="宋体"/>
          <w:sz w:val="20"/>
          <w:szCs w:val="20"/>
        </w:rPr>
      </w:pPr>
    </w:p>
    <w:p w14:paraId="6F60CCDA">
      <w:pPr>
        <w:spacing w:line="200" w:lineRule="exact"/>
        <w:rPr>
          <w:rFonts w:ascii="宋体" w:hAnsi="宋体" w:cs="宋体"/>
          <w:sz w:val="20"/>
          <w:szCs w:val="20"/>
        </w:rPr>
      </w:pPr>
    </w:p>
    <w:p w14:paraId="0B722D67">
      <w:pPr>
        <w:spacing w:line="200" w:lineRule="exact"/>
        <w:rPr>
          <w:rFonts w:ascii="宋体" w:hAnsi="宋体" w:cs="宋体"/>
          <w:sz w:val="20"/>
          <w:szCs w:val="20"/>
        </w:rPr>
      </w:pPr>
    </w:p>
    <w:p w14:paraId="07AFCE21">
      <w:pPr>
        <w:spacing w:line="200" w:lineRule="exact"/>
        <w:rPr>
          <w:rFonts w:ascii="宋体" w:hAnsi="宋体" w:cs="宋体"/>
          <w:sz w:val="20"/>
          <w:szCs w:val="20"/>
        </w:rPr>
      </w:pPr>
    </w:p>
    <w:p w14:paraId="551FDDBC">
      <w:pPr>
        <w:spacing w:line="200" w:lineRule="exact"/>
        <w:rPr>
          <w:rFonts w:ascii="宋体" w:hAnsi="宋体" w:cs="宋体"/>
          <w:sz w:val="20"/>
          <w:szCs w:val="20"/>
        </w:rPr>
      </w:pPr>
    </w:p>
    <w:p w14:paraId="08FDF1C5">
      <w:pPr>
        <w:spacing w:line="200" w:lineRule="exact"/>
        <w:rPr>
          <w:rFonts w:ascii="宋体" w:hAnsi="宋体" w:cs="宋体"/>
          <w:sz w:val="20"/>
          <w:szCs w:val="20"/>
        </w:rPr>
      </w:pPr>
    </w:p>
    <w:p w14:paraId="29A4E313">
      <w:pPr>
        <w:spacing w:line="200" w:lineRule="exact"/>
        <w:rPr>
          <w:rFonts w:ascii="宋体" w:hAnsi="宋体" w:cs="宋体"/>
          <w:sz w:val="20"/>
          <w:szCs w:val="20"/>
        </w:rPr>
      </w:pPr>
    </w:p>
    <w:p w14:paraId="34DE4373">
      <w:pPr>
        <w:spacing w:before="5" w:line="240" w:lineRule="exact"/>
        <w:rPr>
          <w:rFonts w:ascii="宋体" w:hAnsi="宋体" w:cs="宋体"/>
          <w:b/>
          <w:bCs/>
        </w:rPr>
      </w:pPr>
    </w:p>
    <w:p w14:paraId="57DD12BB">
      <w:pPr>
        <w:pStyle w:val="21"/>
        <w:tabs>
          <w:tab w:val="left" w:pos="6991"/>
        </w:tabs>
        <w:ind w:left="3980"/>
        <w:rPr>
          <w:rFonts w:ascii="宋体" w:hAnsi="宋体" w:cs="宋体"/>
          <w:b/>
          <w:bCs/>
        </w:rPr>
      </w:pPr>
      <w:r>
        <w:rPr>
          <w:rFonts w:hint="eastAsia" w:ascii="宋体" w:hAnsi="宋体" w:cs="宋体"/>
          <w:b/>
          <w:bCs/>
        </w:rPr>
        <w:t>供</w:t>
      </w:r>
      <w:r>
        <w:rPr>
          <w:rFonts w:hint="eastAsia" w:ascii="宋体" w:hAnsi="宋体" w:cs="宋体"/>
          <w:b/>
          <w:bCs/>
          <w:spacing w:val="2"/>
        </w:rPr>
        <w:t>应</w:t>
      </w:r>
      <w:r>
        <w:rPr>
          <w:rFonts w:hint="eastAsia" w:ascii="宋体" w:hAnsi="宋体" w:cs="宋体"/>
          <w:b/>
          <w:bCs/>
        </w:rPr>
        <w:t>商</w:t>
      </w:r>
      <w:r>
        <w:rPr>
          <w:rFonts w:hint="eastAsia" w:ascii="宋体" w:hAnsi="宋体" w:cs="宋体"/>
          <w:b/>
          <w:bCs/>
          <w:spacing w:val="2"/>
        </w:rPr>
        <w:t>名</w:t>
      </w:r>
      <w:r>
        <w:rPr>
          <w:rFonts w:hint="eastAsia" w:ascii="宋体" w:hAnsi="宋体" w:cs="宋体"/>
          <w:b/>
          <w:bCs/>
        </w:rPr>
        <w:t>称：</w:t>
      </w:r>
      <w:r>
        <w:rPr>
          <w:rFonts w:hint="eastAsia" w:ascii="宋体" w:hAnsi="宋体" w:cs="宋体"/>
          <w:b/>
          <w:bCs/>
        </w:rPr>
        <w:tab/>
      </w:r>
      <w:r>
        <w:rPr>
          <w:rFonts w:hint="eastAsia" w:ascii="宋体" w:hAnsi="宋体" w:cs="宋体"/>
          <w:b/>
          <w:bCs/>
        </w:rPr>
        <w:t>（</w:t>
      </w:r>
      <w:r>
        <w:rPr>
          <w:rFonts w:hint="eastAsia" w:ascii="宋体" w:hAnsi="宋体" w:cs="宋体"/>
          <w:b/>
          <w:bCs/>
          <w:spacing w:val="2"/>
        </w:rPr>
        <w:t>公</w:t>
      </w:r>
      <w:r>
        <w:rPr>
          <w:rFonts w:hint="eastAsia" w:ascii="宋体" w:hAnsi="宋体" w:cs="宋体"/>
          <w:b/>
          <w:bCs/>
        </w:rPr>
        <w:t>章）</w:t>
      </w:r>
    </w:p>
    <w:p w14:paraId="6CBC5EB7">
      <w:pPr>
        <w:pStyle w:val="21"/>
        <w:tabs>
          <w:tab w:val="left" w:pos="7126"/>
        </w:tabs>
        <w:spacing w:before="47"/>
        <w:ind w:left="2909"/>
        <w:rPr>
          <w:rFonts w:ascii="宋体" w:hAnsi="宋体" w:cs="宋体"/>
          <w:b/>
          <w:bCs/>
        </w:rPr>
      </w:pPr>
      <w:r>
        <w:rPr>
          <w:rFonts w:hint="eastAsia" w:ascii="宋体" w:hAnsi="宋体" w:cs="宋体"/>
          <w:b/>
          <w:bCs/>
        </w:rPr>
        <w:t>法</w:t>
      </w:r>
      <w:r>
        <w:rPr>
          <w:rFonts w:hint="eastAsia" w:ascii="宋体" w:hAnsi="宋体" w:cs="宋体"/>
          <w:b/>
          <w:bCs/>
          <w:spacing w:val="2"/>
        </w:rPr>
        <w:t>定</w:t>
      </w:r>
      <w:r>
        <w:rPr>
          <w:rFonts w:hint="eastAsia" w:ascii="宋体" w:hAnsi="宋体" w:cs="宋体"/>
          <w:b/>
          <w:bCs/>
        </w:rPr>
        <w:t>代</w:t>
      </w:r>
      <w:r>
        <w:rPr>
          <w:rFonts w:hint="eastAsia" w:ascii="宋体" w:hAnsi="宋体" w:cs="宋体"/>
          <w:b/>
          <w:bCs/>
          <w:spacing w:val="2"/>
        </w:rPr>
        <w:t>表</w:t>
      </w:r>
      <w:r>
        <w:rPr>
          <w:rFonts w:hint="eastAsia" w:ascii="宋体" w:hAnsi="宋体" w:cs="宋体"/>
          <w:b/>
          <w:bCs/>
        </w:rPr>
        <w:t>人或</w:t>
      </w:r>
      <w:r>
        <w:rPr>
          <w:rFonts w:hint="eastAsia" w:ascii="宋体" w:hAnsi="宋体" w:cs="宋体"/>
          <w:b/>
          <w:bCs/>
          <w:spacing w:val="2"/>
        </w:rPr>
        <w:t>授</w:t>
      </w:r>
      <w:r>
        <w:rPr>
          <w:rFonts w:hint="eastAsia" w:ascii="宋体" w:hAnsi="宋体" w:cs="宋体"/>
          <w:b/>
          <w:bCs/>
        </w:rPr>
        <w:t>权</w:t>
      </w:r>
      <w:r>
        <w:rPr>
          <w:rFonts w:hint="eastAsia" w:ascii="宋体" w:hAnsi="宋体" w:cs="宋体"/>
          <w:b/>
          <w:bCs/>
          <w:spacing w:val="2"/>
        </w:rPr>
        <w:t>代</w:t>
      </w:r>
      <w:r>
        <w:rPr>
          <w:rFonts w:hint="eastAsia" w:ascii="宋体" w:hAnsi="宋体" w:cs="宋体"/>
          <w:b/>
          <w:bCs/>
        </w:rPr>
        <w:t>表：          （</w:t>
      </w:r>
      <w:r>
        <w:rPr>
          <w:rFonts w:hint="eastAsia" w:ascii="宋体" w:hAnsi="宋体" w:cs="宋体"/>
          <w:b/>
          <w:bCs/>
          <w:spacing w:val="2"/>
        </w:rPr>
        <w:t>签</w:t>
      </w:r>
      <w:r>
        <w:rPr>
          <w:rFonts w:hint="eastAsia" w:ascii="宋体" w:hAnsi="宋体" w:cs="宋体"/>
          <w:b/>
          <w:bCs/>
        </w:rPr>
        <w:t>字或盖章）</w:t>
      </w:r>
    </w:p>
    <w:p w14:paraId="581ED04F">
      <w:pPr>
        <w:pStyle w:val="21"/>
        <w:tabs>
          <w:tab w:val="left" w:pos="5681"/>
          <w:tab w:val="left" w:pos="6283"/>
        </w:tabs>
        <w:spacing w:before="47"/>
        <w:ind w:left="5079"/>
        <w:rPr>
          <w:rFonts w:ascii="宋体" w:hAnsi="宋体" w:cs="宋体"/>
          <w:b/>
          <w:bCs/>
        </w:rPr>
      </w:pPr>
      <w:r>
        <w:rPr>
          <w:rFonts w:hint="eastAsia" w:ascii="宋体" w:hAnsi="宋体" w:cs="宋体"/>
          <w:b/>
          <w:bCs/>
        </w:rPr>
        <w:t>年</w:t>
      </w:r>
      <w:r>
        <w:rPr>
          <w:rFonts w:hint="eastAsia" w:ascii="宋体" w:hAnsi="宋体" w:cs="宋体"/>
          <w:b/>
          <w:bCs/>
        </w:rPr>
        <w:tab/>
      </w:r>
      <w:r>
        <w:rPr>
          <w:rFonts w:hint="eastAsia" w:ascii="宋体" w:hAnsi="宋体" w:cs="宋体"/>
          <w:b/>
          <w:bCs/>
        </w:rPr>
        <w:t>月</w:t>
      </w:r>
      <w:r>
        <w:rPr>
          <w:rFonts w:hint="eastAsia" w:ascii="宋体" w:hAnsi="宋体" w:cs="宋体"/>
          <w:b/>
          <w:bCs/>
        </w:rPr>
        <w:tab/>
      </w:r>
      <w:r>
        <w:rPr>
          <w:rFonts w:hint="eastAsia" w:ascii="宋体" w:hAnsi="宋体" w:cs="宋体"/>
          <w:b/>
          <w:bCs/>
        </w:rPr>
        <w:t>日</w:t>
      </w:r>
    </w:p>
    <w:p w14:paraId="61769536">
      <w:pPr>
        <w:autoSpaceDE w:val="0"/>
        <w:autoSpaceDN w:val="0"/>
        <w:spacing w:line="360" w:lineRule="auto"/>
        <w:ind w:firstLine="3253"/>
        <w:rPr>
          <w:rFonts w:ascii="宋体" w:hAnsi="宋体" w:cs="宋体"/>
          <w:b/>
          <w:bCs/>
          <w:lang w:val="zh-CN"/>
        </w:rPr>
      </w:pPr>
      <w:r>
        <w:rPr>
          <w:rFonts w:hint="eastAsia" w:ascii="宋体" w:hAnsi="宋体" w:cs="宋体"/>
        </w:rPr>
        <w:br w:type="page"/>
      </w:r>
    </w:p>
    <w:p w14:paraId="5E49B19D">
      <w:pPr>
        <w:pStyle w:val="21"/>
        <w:tabs>
          <w:tab w:val="left" w:pos="5681"/>
          <w:tab w:val="left" w:pos="6283"/>
        </w:tabs>
        <w:spacing w:before="47"/>
        <w:ind w:left="5079"/>
        <w:rPr>
          <w:rFonts w:ascii="宋体" w:hAnsi="宋体" w:cs="宋体"/>
        </w:rPr>
        <w:sectPr>
          <w:type w:val="continuous"/>
          <w:pgSz w:w="11906" w:h="16840"/>
          <w:pgMar w:top="1560" w:right="1660" w:bottom="280" w:left="1660" w:header="720" w:footer="720" w:gutter="0"/>
          <w:pgNumType w:fmt="decimal"/>
          <w:cols w:space="720" w:num="1"/>
        </w:sectPr>
      </w:pPr>
    </w:p>
    <w:p w14:paraId="2409E271">
      <w:pPr>
        <w:autoSpaceDE w:val="0"/>
        <w:autoSpaceDN w:val="0"/>
        <w:spacing w:line="360" w:lineRule="auto"/>
        <w:jc w:val="center"/>
        <w:rPr>
          <w:rFonts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技术规格响应表</w:t>
      </w:r>
    </w:p>
    <w:p w14:paraId="24C61ABD">
      <w:pPr>
        <w:autoSpaceDE w:val="0"/>
        <w:autoSpaceDN w:val="0"/>
        <w:spacing w:line="360" w:lineRule="auto"/>
        <w:rPr>
          <w:rFonts w:ascii="宋体" w:hAnsi="宋体" w:cs="宋体"/>
          <w:b/>
          <w:bCs/>
          <w:lang w:val="zh-CN"/>
        </w:rPr>
      </w:pPr>
      <w:r>
        <w:rPr>
          <w:rFonts w:hint="eastAsia" w:ascii="宋体" w:hAnsi="宋体" w:cs="宋体"/>
          <w:b/>
          <w:bCs/>
          <w:lang w:val="zh-CN"/>
        </w:rPr>
        <w:t>供应商名称</w:t>
      </w:r>
      <w:r>
        <w:rPr>
          <w:rFonts w:hint="eastAsia" w:ascii="宋体" w:hAnsi="宋体" w:cs="宋体"/>
          <w:b/>
          <w:bCs/>
        </w:rPr>
        <w:t xml:space="preserve">：                                              </w:t>
      </w:r>
      <w:r>
        <w:rPr>
          <w:rFonts w:hint="eastAsia" w:ascii="宋体" w:hAnsi="宋体" w:cs="宋体"/>
          <w:b/>
          <w:bCs/>
          <w:lang w:val="zh-CN"/>
        </w:rPr>
        <w:t>包号：</w:t>
      </w:r>
    </w:p>
    <w:tbl>
      <w:tblPr>
        <w:tblStyle w:val="45"/>
        <w:tblW w:w="8617" w:type="dxa"/>
        <w:jc w:val="center"/>
        <w:tblLayout w:type="fixed"/>
        <w:tblCellMar>
          <w:top w:w="0" w:type="dxa"/>
          <w:left w:w="28" w:type="dxa"/>
          <w:bottom w:w="0" w:type="dxa"/>
          <w:right w:w="28" w:type="dxa"/>
        </w:tblCellMar>
      </w:tblPr>
      <w:tblGrid>
        <w:gridCol w:w="616"/>
        <w:gridCol w:w="798"/>
        <w:gridCol w:w="2025"/>
        <w:gridCol w:w="930"/>
        <w:gridCol w:w="900"/>
        <w:gridCol w:w="1950"/>
        <w:gridCol w:w="722"/>
        <w:gridCol w:w="676"/>
      </w:tblGrid>
      <w:tr w14:paraId="627493B5">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2CDD111">
            <w:pPr>
              <w:autoSpaceDE w:val="0"/>
              <w:autoSpaceDN w:val="0"/>
              <w:spacing w:line="360" w:lineRule="auto"/>
              <w:jc w:val="center"/>
              <w:rPr>
                <w:rFonts w:ascii="宋体" w:hAnsi="宋体" w:cs="宋体"/>
                <w:lang w:val="zh-CN"/>
              </w:rPr>
            </w:pPr>
          </w:p>
        </w:tc>
        <w:tc>
          <w:tcPr>
            <w:tcW w:w="3753" w:type="dxa"/>
            <w:gridSpan w:val="3"/>
            <w:tcBorders>
              <w:top w:val="single" w:color="000000" w:sz="6" w:space="0"/>
              <w:left w:val="single" w:color="000000" w:sz="6" w:space="0"/>
              <w:bottom w:val="single" w:color="000000" w:sz="6" w:space="0"/>
              <w:right w:val="single" w:color="000000" w:sz="6" w:space="0"/>
            </w:tcBorders>
            <w:vAlign w:val="center"/>
          </w:tcPr>
          <w:p w14:paraId="280A8F66">
            <w:pPr>
              <w:autoSpaceDE w:val="0"/>
              <w:autoSpaceDN w:val="0"/>
              <w:spacing w:line="360" w:lineRule="auto"/>
              <w:jc w:val="center"/>
              <w:rPr>
                <w:rFonts w:ascii="宋体" w:hAnsi="宋体" w:cs="宋体"/>
                <w:lang w:val="zh-CN"/>
              </w:rPr>
            </w:pPr>
            <w:r>
              <w:rPr>
                <w:rFonts w:hint="eastAsia" w:ascii="宋体" w:hAnsi="宋体" w:cs="宋体"/>
                <w:lang w:val="zh-CN"/>
              </w:rPr>
              <w:t>采购需求技术参数、指标</w:t>
            </w:r>
          </w:p>
        </w:tc>
        <w:tc>
          <w:tcPr>
            <w:tcW w:w="3572" w:type="dxa"/>
            <w:gridSpan w:val="3"/>
            <w:tcBorders>
              <w:top w:val="single" w:color="000000" w:sz="6" w:space="0"/>
              <w:left w:val="single" w:color="000000" w:sz="6" w:space="0"/>
              <w:bottom w:val="single" w:color="000000" w:sz="6" w:space="0"/>
              <w:right w:val="single" w:color="000000" w:sz="6" w:space="0"/>
            </w:tcBorders>
            <w:vAlign w:val="center"/>
          </w:tcPr>
          <w:p w14:paraId="7EAA9A2D">
            <w:pPr>
              <w:autoSpaceDE w:val="0"/>
              <w:autoSpaceDN w:val="0"/>
              <w:spacing w:line="360" w:lineRule="auto"/>
              <w:jc w:val="center"/>
              <w:rPr>
                <w:rFonts w:ascii="宋体" w:hAnsi="宋体" w:cs="宋体"/>
                <w:lang w:val="zh-CN"/>
              </w:rPr>
            </w:pPr>
            <w:r>
              <w:rPr>
                <w:rFonts w:hint="eastAsia" w:ascii="宋体" w:hAnsi="宋体" w:cs="宋体"/>
                <w:lang w:val="zh-CN"/>
              </w:rPr>
              <w:t>投标产品技术参数、指标</w:t>
            </w:r>
          </w:p>
        </w:tc>
        <w:tc>
          <w:tcPr>
            <w:tcW w:w="676" w:type="dxa"/>
            <w:tcBorders>
              <w:top w:val="single" w:color="000000" w:sz="6" w:space="0"/>
              <w:left w:val="single" w:color="000000" w:sz="6" w:space="0"/>
              <w:bottom w:val="single" w:color="000000" w:sz="6" w:space="0"/>
              <w:right w:val="single" w:color="000000" w:sz="6" w:space="0"/>
            </w:tcBorders>
            <w:vAlign w:val="center"/>
          </w:tcPr>
          <w:p w14:paraId="1DA55E1D">
            <w:pPr>
              <w:autoSpaceDE w:val="0"/>
              <w:autoSpaceDN w:val="0"/>
              <w:spacing w:line="360" w:lineRule="auto"/>
              <w:jc w:val="center"/>
              <w:rPr>
                <w:rFonts w:ascii="宋体" w:hAnsi="宋体" w:cs="宋体"/>
                <w:lang w:val="zh-CN"/>
              </w:rPr>
            </w:pPr>
            <w:r>
              <w:rPr>
                <w:rFonts w:hint="eastAsia" w:ascii="宋体" w:hAnsi="宋体" w:cs="宋体"/>
                <w:lang w:val="zh-CN"/>
              </w:rPr>
              <w:t>偏离</w:t>
            </w:r>
          </w:p>
        </w:tc>
      </w:tr>
      <w:tr w14:paraId="6C2BAE6C">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11D803C1">
            <w:pPr>
              <w:autoSpaceDE w:val="0"/>
              <w:autoSpaceDN w:val="0"/>
              <w:spacing w:line="360" w:lineRule="auto"/>
              <w:jc w:val="center"/>
              <w:rPr>
                <w:rFonts w:ascii="宋体" w:hAnsi="宋体" w:cs="宋体"/>
                <w:lang w:val="zh-CN"/>
              </w:rPr>
            </w:pPr>
            <w:r>
              <w:rPr>
                <w:rFonts w:hint="eastAsia" w:ascii="宋体" w:hAnsi="宋体" w:cs="宋体"/>
                <w:lang w:val="zh-CN"/>
              </w:rPr>
              <w:t>序号</w:t>
            </w:r>
          </w:p>
        </w:tc>
        <w:tc>
          <w:tcPr>
            <w:tcW w:w="798" w:type="dxa"/>
            <w:tcBorders>
              <w:top w:val="single" w:color="000000" w:sz="6" w:space="0"/>
              <w:left w:val="single" w:color="000000" w:sz="6" w:space="0"/>
              <w:bottom w:val="single" w:color="000000" w:sz="6" w:space="0"/>
              <w:right w:val="single" w:color="000000" w:sz="6" w:space="0"/>
            </w:tcBorders>
            <w:vAlign w:val="center"/>
          </w:tcPr>
          <w:p w14:paraId="7C032A86">
            <w:pPr>
              <w:autoSpaceDE w:val="0"/>
              <w:autoSpaceDN w:val="0"/>
              <w:spacing w:line="360" w:lineRule="auto"/>
              <w:jc w:val="center"/>
              <w:rPr>
                <w:rFonts w:ascii="宋体" w:hAnsi="宋体" w:cs="宋体"/>
                <w:lang w:val="zh-CN"/>
              </w:rPr>
            </w:pPr>
            <w:r>
              <w:rPr>
                <w:rFonts w:hint="eastAsia" w:ascii="宋体" w:hAnsi="宋体" w:cs="宋体"/>
                <w:lang w:val="zh-CN"/>
              </w:rPr>
              <w:t>名称</w:t>
            </w:r>
          </w:p>
        </w:tc>
        <w:tc>
          <w:tcPr>
            <w:tcW w:w="2025" w:type="dxa"/>
            <w:tcBorders>
              <w:top w:val="single" w:color="000000" w:sz="6" w:space="0"/>
              <w:left w:val="single" w:color="000000" w:sz="6" w:space="0"/>
              <w:bottom w:val="single" w:color="000000" w:sz="6" w:space="0"/>
              <w:right w:val="single" w:color="auto" w:sz="4" w:space="0"/>
            </w:tcBorders>
            <w:vAlign w:val="center"/>
          </w:tcPr>
          <w:p w14:paraId="240293BC">
            <w:pPr>
              <w:autoSpaceDE w:val="0"/>
              <w:autoSpaceDN w:val="0"/>
              <w:spacing w:line="360" w:lineRule="auto"/>
              <w:jc w:val="center"/>
              <w:rPr>
                <w:rFonts w:ascii="宋体" w:hAnsi="宋体" w:cs="宋体"/>
                <w:lang w:val="zh-CN"/>
              </w:rPr>
            </w:pPr>
            <w:r>
              <w:rPr>
                <w:rFonts w:hint="eastAsia" w:ascii="宋体" w:hAnsi="宋体" w:cs="宋体"/>
                <w:lang w:val="zh-CN"/>
              </w:rPr>
              <w:t>技术参数及配置</w:t>
            </w:r>
          </w:p>
        </w:tc>
        <w:tc>
          <w:tcPr>
            <w:tcW w:w="930" w:type="dxa"/>
            <w:tcBorders>
              <w:top w:val="single" w:color="000000" w:sz="6" w:space="0"/>
              <w:left w:val="single" w:color="auto" w:sz="4" w:space="0"/>
              <w:bottom w:val="single" w:color="000000" w:sz="6" w:space="0"/>
              <w:right w:val="single" w:color="000000" w:sz="6" w:space="0"/>
            </w:tcBorders>
            <w:vAlign w:val="center"/>
          </w:tcPr>
          <w:p w14:paraId="5C8AAEA3">
            <w:pPr>
              <w:autoSpaceDE w:val="0"/>
              <w:autoSpaceDN w:val="0"/>
              <w:spacing w:line="360" w:lineRule="auto"/>
              <w:jc w:val="center"/>
              <w:rPr>
                <w:rFonts w:ascii="宋体" w:hAnsi="宋体" w:cs="宋体"/>
                <w:lang w:val="zh-CN"/>
              </w:rPr>
            </w:pPr>
            <w:r>
              <w:rPr>
                <w:rFonts w:hint="eastAsia" w:ascii="宋体" w:hAnsi="宋体" w:cs="宋体"/>
                <w:lang w:val="zh-CN"/>
              </w:rPr>
              <w:t>数量</w:t>
            </w:r>
          </w:p>
        </w:tc>
        <w:tc>
          <w:tcPr>
            <w:tcW w:w="900" w:type="dxa"/>
            <w:tcBorders>
              <w:top w:val="single" w:color="000000" w:sz="6" w:space="0"/>
              <w:left w:val="single" w:color="000000" w:sz="6" w:space="0"/>
              <w:bottom w:val="single" w:color="000000" w:sz="6" w:space="0"/>
              <w:right w:val="single" w:color="000000" w:sz="6" w:space="0"/>
            </w:tcBorders>
            <w:vAlign w:val="center"/>
          </w:tcPr>
          <w:p w14:paraId="05CCB53F">
            <w:pPr>
              <w:autoSpaceDE w:val="0"/>
              <w:autoSpaceDN w:val="0"/>
              <w:spacing w:line="360" w:lineRule="auto"/>
              <w:jc w:val="center"/>
              <w:rPr>
                <w:rFonts w:ascii="宋体" w:hAnsi="宋体" w:cs="宋体"/>
                <w:lang w:val="zh-CN"/>
              </w:rPr>
            </w:pPr>
            <w:r>
              <w:rPr>
                <w:rFonts w:hint="eastAsia" w:ascii="宋体" w:hAnsi="宋体" w:cs="宋体"/>
                <w:lang w:val="zh-CN"/>
              </w:rPr>
              <w:t>名称</w:t>
            </w:r>
          </w:p>
        </w:tc>
        <w:tc>
          <w:tcPr>
            <w:tcW w:w="1950" w:type="dxa"/>
            <w:tcBorders>
              <w:top w:val="single" w:color="000000" w:sz="6" w:space="0"/>
              <w:left w:val="single" w:color="000000" w:sz="6" w:space="0"/>
              <w:bottom w:val="single" w:color="000000" w:sz="6" w:space="0"/>
              <w:right w:val="single" w:color="auto" w:sz="4" w:space="0"/>
            </w:tcBorders>
            <w:vAlign w:val="center"/>
          </w:tcPr>
          <w:p w14:paraId="755DD10C">
            <w:pPr>
              <w:autoSpaceDE w:val="0"/>
              <w:autoSpaceDN w:val="0"/>
              <w:spacing w:line="360" w:lineRule="auto"/>
              <w:jc w:val="center"/>
              <w:rPr>
                <w:rFonts w:ascii="宋体" w:hAnsi="宋体" w:cs="宋体"/>
                <w:lang w:val="zh-CN"/>
              </w:rPr>
            </w:pPr>
            <w:r>
              <w:rPr>
                <w:rFonts w:hint="eastAsia" w:ascii="宋体" w:hAnsi="宋体" w:cs="宋体"/>
                <w:lang w:val="zh-CN"/>
              </w:rPr>
              <w:t>技术参数及配置</w:t>
            </w:r>
          </w:p>
        </w:tc>
        <w:tc>
          <w:tcPr>
            <w:tcW w:w="722" w:type="dxa"/>
            <w:tcBorders>
              <w:top w:val="single" w:color="000000" w:sz="6" w:space="0"/>
              <w:left w:val="single" w:color="auto" w:sz="4" w:space="0"/>
              <w:bottom w:val="single" w:color="000000" w:sz="6" w:space="0"/>
              <w:right w:val="single" w:color="000000" w:sz="6" w:space="0"/>
            </w:tcBorders>
            <w:vAlign w:val="center"/>
          </w:tcPr>
          <w:p w14:paraId="52996143">
            <w:pPr>
              <w:autoSpaceDE w:val="0"/>
              <w:autoSpaceDN w:val="0"/>
              <w:spacing w:line="360" w:lineRule="auto"/>
              <w:jc w:val="center"/>
              <w:rPr>
                <w:rFonts w:ascii="宋体" w:hAnsi="宋体" w:cs="宋体"/>
                <w:lang w:val="zh-CN"/>
              </w:rPr>
            </w:pPr>
            <w:r>
              <w:rPr>
                <w:rFonts w:hint="eastAsia" w:ascii="宋体" w:hAnsi="宋体" w:cs="宋体"/>
                <w:lang w:val="zh-CN"/>
              </w:rPr>
              <w:t>数量</w:t>
            </w:r>
          </w:p>
        </w:tc>
        <w:tc>
          <w:tcPr>
            <w:tcW w:w="676" w:type="dxa"/>
            <w:tcBorders>
              <w:top w:val="single" w:color="000000" w:sz="6" w:space="0"/>
              <w:left w:val="single" w:color="000000" w:sz="6" w:space="0"/>
              <w:bottom w:val="single" w:color="000000" w:sz="6" w:space="0"/>
              <w:right w:val="single" w:color="000000" w:sz="6" w:space="0"/>
            </w:tcBorders>
            <w:vAlign w:val="center"/>
          </w:tcPr>
          <w:p w14:paraId="6B9FFD87">
            <w:pPr>
              <w:autoSpaceDE w:val="0"/>
              <w:autoSpaceDN w:val="0"/>
              <w:spacing w:line="360" w:lineRule="auto"/>
              <w:jc w:val="center"/>
              <w:rPr>
                <w:rFonts w:ascii="宋体" w:hAnsi="宋体" w:cs="宋体"/>
                <w:lang w:val="zh-CN"/>
              </w:rPr>
            </w:pPr>
          </w:p>
        </w:tc>
      </w:tr>
      <w:tr w14:paraId="4F1FA42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FB59B81">
            <w:pPr>
              <w:autoSpaceDE w:val="0"/>
              <w:autoSpaceDN w:val="0"/>
              <w:spacing w:line="360" w:lineRule="auto"/>
              <w:jc w:val="center"/>
              <w:rPr>
                <w:rFonts w:ascii="宋体" w:hAnsi="宋体" w:cs="宋体"/>
                <w:lang w:val="zh-CN"/>
              </w:rPr>
            </w:pPr>
            <w:r>
              <w:rPr>
                <w:rFonts w:hint="eastAsia" w:ascii="宋体" w:hAnsi="宋体" w:cs="宋体"/>
                <w:lang w:val="zh-CN"/>
              </w:rPr>
              <w:t>1</w:t>
            </w:r>
          </w:p>
        </w:tc>
        <w:tc>
          <w:tcPr>
            <w:tcW w:w="798" w:type="dxa"/>
            <w:tcBorders>
              <w:top w:val="single" w:color="000000" w:sz="6" w:space="0"/>
              <w:left w:val="single" w:color="000000" w:sz="6" w:space="0"/>
              <w:bottom w:val="single" w:color="000000" w:sz="6" w:space="0"/>
              <w:right w:val="single" w:color="000000" w:sz="6" w:space="0"/>
            </w:tcBorders>
            <w:vAlign w:val="center"/>
          </w:tcPr>
          <w:p w14:paraId="1C2F9792">
            <w:pPr>
              <w:autoSpaceDE w:val="0"/>
              <w:autoSpaceDN w:val="0"/>
              <w:spacing w:line="360" w:lineRule="auto"/>
              <w:jc w:val="center"/>
              <w:rPr>
                <w:rFonts w:ascii="宋体" w:hAnsi="宋体" w:cs="宋体"/>
                <w:lang w:val="zh-CN"/>
              </w:rPr>
            </w:pPr>
          </w:p>
        </w:tc>
        <w:tc>
          <w:tcPr>
            <w:tcW w:w="2025" w:type="dxa"/>
            <w:tcBorders>
              <w:top w:val="single" w:color="000000" w:sz="6" w:space="0"/>
              <w:left w:val="single" w:color="000000" w:sz="6" w:space="0"/>
              <w:bottom w:val="single" w:color="000000" w:sz="6" w:space="0"/>
              <w:right w:val="single" w:color="auto" w:sz="4" w:space="0"/>
            </w:tcBorders>
            <w:vAlign w:val="center"/>
          </w:tcPr>
          <w:p w14:paraId="5A0AE181">
            <w:pPr>
              <w:autoSpaceDE w:val="0"/>
              <w:autoSpaceDN w:val="0"/>
              <w:spacing w:line="360" w:lineRule="auto"/>
              <w:jc w:val="center"/>
              <w:rPr>
                <w:rFonts w:ascii="宋体" w:hAnsi="宋体" w:cs="宋体"/>
                <w:lang w:val="zh-CN"/>
              </w:rPr>
            </w:pPr>
          </w:p>
        </w:tc>
        <w:tc>
          <w:tcPr>
            <w:tcW w:w="930" w:type="dxa"/>
            <w:tcBorders>
              <w:top w:val="single" w:color="000000" w:sz="6" w:space="0"/>
              <w:left w:val="single" w:color="auto" w:sz="4" w:space="0"/>
              <w:bottom w:val="single" w:color="000000" w:sz="6" w:space="0"/>
              <w:right w:val="single" w:color="000000" w:sz="6" w:space="0"/>
            </w:tcBorders>
            <w:vAlign w:val="center"/>
          </w:tcPr>
          <w:p w14:paraId="5AAF2732">
            <w:pPr>
              <w:autoSpaceDE w:val="0"/>
              <w:autoSpaceDN w:val="0"/>
              <w:spacing w:line="360" w:lineRule="auto"/>
              <w:jc w:val="center"/>
              <w:rPr>
                <w:rFonts w:ascii="宋体" w:hAnsi="宋体" w:cs="宋体"/>
                <w:lang w:val="zh-CN"/>
              </w:rPr>
            </w:pPr>
          </w:p>
        </w:tc>
        <w:tc>
          <w:tcPr>
            <w:tcW w:w="900" w:type="dxa"/>
            <w:tcBorders>
              <w:top w:val="single" w:color="000000" w:sz="6" w:space="0"/>
              <w:left w:val="single" w:color="000000" w:sz="6" w:space="0"/>
              <w:bottom w:val="single" w:color="000000" w:sz="6" w:space="0"/>
              <w:right w:val="single" w:color="000000" w:sz="6" w:space="0"/>
            </w:tcBorders>
            <w:vAlign w:val="center"/>
          </w:tcPr>
          <w:p w14:paraId="40849E0C">
            <w:pPr>
              <w:autoSpaceDE w:val="0"/>
              <w:autoSpaceDN w:val="0"/>
              <w:spacing w:line="360" w:lineRule="auto"/>
              <w:jc w:val="center"/>
              <w:rPr>
                <w:rFonts w:ascii="宋体" w:hAnsi="宋体" w:cs="宋体"/>
                <w:lang w:val="zh-CN"/>
              </w:rPr>
            </w:pPr>
          </w:p>
        </w:tc>
        <w:tc>
          <w:tcPr>
            <w:tcW w:w="1950" w:type="dxa"/>
            <w:tcBorders>
              <w:top w:val="single" w:color="000000" w:sz="6" w:space="0"/>
              <w:left w:val="single" w:color="000000" w:sz="6" w:space="0"/>
              <w:bottom w:val="single" w:color="000000" w:sz="6" w:space="0"/>
              <w:right w:val="single" w:color="auto" w:sz="4" w:space="0"/>
            </w:tcBorders>
            <w:vAlign w:val="center"/>
          </w:tcPr>
          <w:p w14:paraId="42B5CF9F">
            <w:pPr>
              <w:autoSpaceDE w:val="0"/>
              <w:autoSpaceDN w:val="0"/>
              <w:spacing w:line="360" w:lineRule="auto"/>
              <w:jc w:val="center"/>
              <w:rPr>
                <w:rFonts w:ascii="宋体" w:hAnsi="宋体" w:cs="宋体"/>
                <w:lang w:val="zh-CN"/>
              </w:rPr>
            </w:pPr>
          </w:p>
        </w:tc>
        <w:tc>
          <w:tcPr>
            <w:tcW w:w="722" w:type="dxa"/>
            <w:tcBorders>
              <w:top w:val="single" w:color="000000" w:sz="6" w:space="0"/>
              <w:left w:val="single" w:color="auto" w:sz="4" w:space="0"/>
              <w:bottom w:val="single" w:color="000000" w:sz="6" w:space="0"/>
              <w:right w:val="single" w:color="000000" w:sz="6" w:space="0"/>
            </w:tcBorders>
            <w:vAlign w:val="center"/>
          </w:tcPr>
          <w:p w14:paraId="2BA1FA3C">
            <w:pPr>
              <w:autoSpaceDE w:val="0"/>
              <w:autoSpaceDN w:val="0"/>
              <w:spacing w:line="360" w:lineRule="auto"/>
              <w:jc w:val="center"/>
              <w:rPr>
                <w:rFonts w:ascii="宋体" w:hAnsi="宋体" w:cs="宋体"/>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1188A3A1">
            <w:pPr>
              <w:autoSpaceDE w:val="0"/>
              <w:autoSpaceDN w:val="0"/>
              <w:spacing w:line="360" w:lineRule="auto"/>
              <w:jc w:val="center"/>
              <w:rPr>
                <w:rFonts w:ascii="宋体" w:hAnsi="宋体" w:cs="宋体"/>
                <w:lang w:val="zh-CN"/>
              </w:rPr>
            </w:pPr>
          </w:p>
        </w:tc>
      </w:tr>
      <w:tr w14:paraId="3B4E0E59">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2F72C84F">
            <w:pPr>
              <w:autoSpaceDE w:val="0"/>
              <w:autoSpaceDN w:val="0"/>
              <w:spacing w:line="360" w:lineRule="auto"/>
              <w:jc w:val="center"/>
              <w:rPr>
                <w:rFonts w:ascii="宋体" w:hAnsi="宋体" w:cs="宋体"/>
                <w:lang w:val="zh-CN"/>
              </w:rPr>
            </w:pPr>
            <w:r>
              <w:rPr>
                <w:rFonts w:hint="eastAsia" w:ascii="宋体" w:hAnsi="宋体" w:cs="宋体"/>
                <w:lang w:val="zh-CN"/>
              </w:rPr>
              <w:t>2</w:t>
            </w:r>
          </w:p>
        </w:tc>
        <w:tc>
          <w:tcPr>
            <w:tcW w:w="798" w:type="dxa"/>
            <w:tcBorders>
              <w:top w:val="single" w:color="000000" w:sz="6" w:space="0"/>
              <w:left w:val="single" w:color="000000" w:sz="6" w:space="0"/>
              <w:bottom w:val="single" w:color="000000" w:sz="6" w:space="0"/>
              <w:right w:val="single" w:color="000000" w:sz="6" w:space="0"/>
            </w:tcBorders>
            <w:vAlign w:val="center"/>
          </w:tcPr>
          <w:p w14:paraId="09628310">
            <w:pPr>
              <w:autoSpaceDE w:val="0"/>
              <w:autoSpaceDN w:val="0"/>
              <w:spacing w:line="360" w:lineRule="auto"/>
              <w:jc w:val="center"/>
              <w:rPr>
                <w:rFonts w:ascii="宋体" w:hAnsi="宋体" w:cs="宋体"/>
                <w:lang w:val="zh-CN"/>
              </w:rPr>
            </w:pPr>
          </w:p>
        </w:tc>
        <w:tc>
          <w:tcPr>
            <w:tcW w:w="2025" w:type="dxa"/>
            <w:tcBorders>
              <w:top w:val="single" w:color="000000" w:sz="6" w:space="0"/>
              <w:left w:val="single" w:color="000000" w:sz="6" w:space="0"/>
              <w:bottom w:val="single" w:color="000000" w:sz="6" w:space="0"/>
              <w:right w:val="single" w:color="auto" w:sz="4" w:space="0"/>
            </w:tcBorders>
            <w:vAlign w:val="center"/>
          </w:tcPr>
          <w:p w14:paraId="3B1A6881">
            <w:pPr>
              <w:autoSpaceDE w:val="0"/>
              <w:autoSpaceDN w:val="0"/>
              <w:spacing w:line="360" w:lineRule="auto"/>
              <w:jc w:val="center"/>
              <w:rPr>
                <w:rFonts w:ascii="宋体" w:hAnsi="宋体" w:cs="宋体"/>
                <w:lang w:val="zh-CN"/>
              </w:rPr>
            </w:pPr>
          </w:p>
        </w:tc>
        <w:tc>
          <w:tcPr>
            <w:tcW w:w="930" w:type="dxa"/>
            <w:tcBorders>
              <w:top w:val="single" w:color="000000" w:sz="6" w:space="0"/>
              <w:left w:val="single" w:color="auto" w:sz="4" w:space="0"/>
              <w:bottom w:val="single" w:color="000000" w:sz="6" w:space="0"/>
              <w:right w:val="single" w:color="000000" w:sz="6" w:space="0"/>
            </w:tcBorders>
            <w:vAlign w:val="center"/>
          </w:tcPr>
          <w:p w14:paraId="7655AE72">
            <w:pPr>
              <w:autoSpaceDE w:val="0"/>
              <w:autoSpaceDN w:val="0"/>
              <w:spacing w:line="360" w:lineRule="auto"/>
              <w:jc w:val="center"/>
              <w:rPr>
                <w:rFonts w:ascii="宋体" w:hAnsi="宋体" w:cs="宋体"/>
                <w:lang w:val="zh-CN"/>
              </w:rPr>
            </w:pPr>
          </w:p>
        </w:tc>
        <w:tc>
          <w:tcPr>
            <w:tcW w:w="900" w:type="dxa"/>
            <w:tcBorders>
              <w:top w:val="single" w:color="000000" w:sz="6" w:space="0"/>
              <w:left w:val="single" w:color="000000" w:sz="6" w:space="0"/>
              <w:bottom w:val="single" w:color="000000" w:sz="6" w:space="0"/>
              <w:right w:val="single" w:color="000000" w:sz="6" w:space="0"/>
            </w:tcBorders>
            <w:vAlign w:val="center"/>
          </w:tcPr>
          <w:p w14:paraId="49DF90AC">
            <w:pPr>
              <w:autoSpaceDE w:val="0"/>
              <w:autoSpaceDN w:val="0"/>
              <w:spacing w:line="360" w:lineRule="auto"/>
              <w:jc w:val="center"/>
              <w:rPr>
                <w:rFonts w:ascii="宋体" w:hAnsi="宋体" w:cs="宋体"/>
                <w:lang w:val="zh-CN"/>
              </w:rPr>
            </w:pPr>
          </w:p>
        </w:tc>
        <w:tc>
          <w:tcPr>
            <w:tcW w:w="1950" w:type="dxa"/>
            <w:tcBorders>
              <w:top w:val="single" w:color="000000" w:sz="6" w:space="0"/>
              <w:left w:val="single" w:color="000000" w:sz="6" w:space="0"/>
              <w:bottom w:val="single" w:color="000000" w:sz="6" w:space="0"/>
              <w:right w:val="single" w:color="auto" w:sz="4" w:space="0"/>
            </w:tcBorders>
            <w:vAlign w:val="center"/>
          </w:tcPr>
          <w:p w14:paraId="3B3CA6A5">
            <w:pPr>
              <w:autoSpaceDE w:val="0"/>
              <w:autoSpaceDN w:val="0"/>
              <w:spacing w:line="360" w:lineRule="auto"/>
              <w:jc w:val="center"/>
              <w:rPr>
                <w:rFonts w:ascii="宋体" w:hAnsi="宋体" w:cs="宋体"/>
                <w:lang w:val="zh-CN"/>
              </w:rPr>
            </w:pPr>
          </w:p>
        </w:tc>
        <w:tc>
          <w:tcPr>
            <w:tcW w:w="722" w:type="dxa"/>
            <w:tcBorders>
              <w:top w:val="single" w:color="000000" w:sz="6" w:space="0"/>
              <w:left w:val="single" w:color="auto" w:sz="4" w:space="0"/>
              <w:bottom w:val="single" w:color="000000" w:sz="6" w:space="0"/>
              <w:right w:val="single" w:color="000000" w:sz="6" w:space="0"/>
            </w:tcBorders>
            <w:vAlign w:val="center"/>
          </w:tcPr>
          <w:p w14:paraId="0DECC1D5">
            <w:pPr>
              <w:autoSpaceDE w:val="0"/>
              <w:autoSpaceDN w:val="0"/>
              <w:spacing w:line="360" w:lineRule="auto"/>
              <w:jc w:val="center"/>
              <w:rPr>
                <w:rFonts w:ascii="宋体" w:hAnsi="宋体" w:cs="宋体"/>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7324F055">
            <w:pPr>
              <w:autoSpaceDE w:val="0"/>
              <w:autoSpaceDN w:val="0"/>
              <w:spacing w:line="360" w:lineRule="auto"/>
              <w:jc w:val="center"/>
              <w:rPr>
                <w:rFonts w:ascii="宋体" w:hAnsi="宋体" w:cs="宋体"/>
                <w:lang w:val="zh-CN"/>
              </w:rPr>
            </w:pPr>
          </w:p>
        </w:tc>
      </w:tr>
      <w:tr w14:paraId="249D93A4">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vAlign w:val="center"/>
          </w:tcPr>
          <w:p w14:paraId="54081285">
            <w:pPr>
              <w:autoSpaceDE w:val="0"/>
              <w:autoSpaceDN w:val="0"/>
              <w:spacing w:line="360" w:lineRule="auto"/>
              <w:jc w:val="center"/>
              <w:rPr>
                <w:rFonts w:ascii="宋体" w:hAnsi="宋体" w:cs="宋体"/>
                <w:lang w:val="zh-CN"/>
              </w:rPr>
            </w:pPr>
            <w:r>
              <w:rPr>
                <w:rFonts w:hint="eastAsia" w:ascii="宋体" w:hAnsi="宋体" w:cs="宋体"/>
                <w:lang w:val="zh-CN"/>
              </w:rPr>
              <w:t>…</w:t>
            </w:r>
          </w:p>
        </w:tc>
        <w:tc>
          <w:tcPr>
            <w:tcW w:w="798" w:type="dxa"/>
            <w:tcBorders>
              <w:top w:val="single" w:color="000000" w:sz="6" w:space="0"/>
              <w:left w:val="single" w:color="000000" w:sz="6" w:space="0"/>
              <w:bottom w:val="single" w:color="000000" w:sz="6" w:space="0"/>
              <w:right w:val="single" w:color="000000" w:sz="6" w:space="0"/>
            </w:tcBorders>
            <w:vAlign w:val="center"/>
          </w:tcPr>
          <w:p w14:paraId="59EE9622">
            <w:pPr>
              <w:autoSpaceDE w:val="0"/>
              <w:autoSpaceDN w:val="0"/>
              <w:spacing w:line="360" w:lineRule="auto"/>
              <w:jc w:val="center"/>
              <w:rPr>
                <w:rFonts w:ascii="宋体" w:hAnsi="宋体" w:cs="宋体"/>
                <w:lang w:val="zh-CN"/>
              </w:rPr>
            </w:pPr>
          </w:p>
        </w:tc>
        <w:tc>
          <w:tcPr>
            <w:tcW w:w="2025" w:type="dxa"/>
            <w:tcBorders>
              <w:top w:val="single" w:color="000000" w:sz="6" w:space="0"/>
              <w:left w:val="single" w:color="000000" w:sz="6" w:space="0"/>
              <w:bottom w:val="single" w:color="000000" w:sz="6" w:space="0"/>
              <w:right w:val="single" w:color="auto" w:sz="4" w:space="0"/>
            </w:tcBorders>
            <w:vAlign w:val="center"/>
          </w:tcPr>
          <w:p w14:paraId="75064860">
            <w:pPr>
              <w:autoSpaceDE w:val="0"/>
              <w:autoSpaceDN w:val="0"/>
              <w:spacing w:line="360" w:lineRule="auto"/>
              <w:jc w:val="center"/>
              <w:rPr>
                <w:rFonts w:ascii="宋体" w:hAnsi="宋体" w:cs="宋体"/>
                <w:lang w:val="zh-CN"/>
              </w:rPr>
            </w:pPr>
          </w:p>
        </w:tc>
        <w:tc>
          <w:tcPr>
            <w:tcW w:w="930" w:type="dxa"/>
            <w:tcBorders>
              <w:top w:val="single" w:color="000000" w:sz="6" w:space="0"/>
              <w:left w:val="single" w:color="auto" w:sz="4" w:space="0"/>
              <w:bottom w:val="single" w:color="000000" w:sz="6" w:space="0"/>
              <w:right w:val="single" w:color="000000" w:sz="6" w:space="0"/>
            </w:tcBorders>
            <w:vAlign w:val="center"/>
          </w:tcPr>
          <w:p w14:paraId="40D36B0E">
            <w:pPr>
              <w:autoSpaceDE w:val="0"/>
              <w:autoSpaceDN w:val="0"/>
              <w:spacing w:line="360" w:lineRule="auto"/>
              <w:jc w:val="center"/>
              <w:rPr>
                <w:rFonts w:ascii="宋体" w:hAnsi="宋体" w:cs="宋体"/>
                <w:lang w:val="zh-CN"/>
              </w:rPr>
            </w:pPr>
          </w:p>
        </w:tc>
        <w:tc>
          <w:tcPr>
            <w:tcW w:w="900" w:type="dxa"/>
            <w:tcBorders>
              <w:top w:val="single" w:color="000000" w:sz="6" w:space="0"/>
              <w:left w:val="single" w:color="000000" w:sz="6" w:space="0"/>
              <w:bottom w:val="single" w:color="000000" w:sz="6" w:space="0"/>
              <w:right w:val="single" w:color="000000" w:sz="6" w:space="0"/>
            </w:tcBorders>
            <w:vAlign w:val="center"/>
          </w:tcPr>
          <w:p w14:paraId="45FB312E">
            <w:pPr>
              <w:autoSpaceDE w:val="0"/>
              <w:autoSpaceDN w:val="0"/>
              <w:spacing w:line="360" w:lineRule="auto"/>
              <w:jc w:val="center"/>
              <w:rPr>
                <w:rFonts w:ascii="宋体" w:hAnsi="宋体" w:cs="宋体"/>
                <w:lang w:val="zh-CN"/>
              </w:rPr>
            </w:pPr>
          </w:p>
        </w:tc>
        <w:tc>
          <w:tcPr>
            <w:tcW w:w="1950" w:type="dxa"/>
            <w:tcBorders>
              <w:top w:val="single" w:color="000000" w:sz="6" w:space="0"/>
              <w:left w:val="single" w:color="000000" w:sz="6" w:space="0"/>
              <w:bottom w:val="single" w:color="000000" w:sz="6" w:space="0"/>
              <w:right w:val="single" w:color="auto" w:sz="4" w:space="0"/>
            </w:tcBorders>
            <w:vAlign w:val="center"/>
          </w:tcPr>
          <w:p w14:paraId="2A2CB609">
            <w:pPr>
              <w:autoSpaceDE w:val="0"/>
              <w:autoSpaceDN w:val="0"/>
              <w:spacing w:line="360" w:lineRule="auto"/>
              <w:jc w:val="center"/>
              <w:rPr>
                <w:rFonts w:ascii="宋体" w:hAnsi="宋体" w:cs="宋体"/>
                <w:lang w:val="zh-CN"/>
              </w:rPr>
            </w:pPr>
          </w:p>
        </w:tc>
        <w:tc>
          <w:tcPr>
            <w:tcW w:w="722" w:type="dxa"/>
            <w:tcBorders>
              <w:top w:val="single" w:color="000000" w:sz="6" w:space="0"/>
              <w:left w:val="single" w:color="auto" w:sz="4" w:space="0"/>
              <w:bottom w:val="single" w:color="000000" w:sz="6" w:space="0"/>
              <w:right w:val="single" w:color="000000" w:sz="6" w:space="0"/>
            </w:tcBorders>
            <w:vAlign w:val="center"/>
          </w:tcPr>
          <w:p w14:paraId="1A411B2F">
            <w:pPr>
              <w:autoSpaceDE w:val="0"/>
              <w:autoSpaceDN w:val="0"/>
              <w:spacing w:line="360" w:lineRule="auto"/>
              <w:jc w:val="center"/>
              <w:rPr>
                <w:rFonts w:ascii="宋体" w:hAnsi="宋体" w:cs="宋体"/>
                <w:lang w:val="zh-CN"/>
              </w:rPr>
            </w:pPr>
          </w:p>
        </w:tc>
        <w:tc>
          <w:tcPr>
            <w:tcW w:w="676" w:type="dxa"/>
            <w:tcBorders>
              <w:top w:val="single" w:color="000000" w:sz="6" w:space="0"/>
              <w:left w:val="single" w:color="000000" w:sz="6" w:space="0"/>
              <w:bottom w:val="single" w:color="000000" w:sz="6" w:space="0"/>
              <w:right w:val="single" w:color="000000" w:sz="6" w:space="0"/>
            </w:tcBorders>
            <w:vAlign w:val="center"/>
          </w:tcPr>
          <w:p w14:paraId="2FEA3A98">
            <w:pPr>
              <w:autoSpaceDE w:val="0"/>
              <w:autoSpaceDN w:val="0"/>
              <w:spacing w:line="360" w:lineRule="auto"/>
              <w:jc w:val="center"/>
              <w:rPr>
                <w:rFonts w:ascii="宋体" w:hAnsi="宋体" w:cs="宋体"/>
                <w:lang w:val="zh-CN"/>
              </w:rPr>
            </w:pPr>
          </w:p>
        </w:tc>
      </w:tr>
    </w:tbl>
    <w:p w14:paraId="300B7AEA">
      <w:pPr>
        <w:autoSpaceDE w:val="0"/>
        <w:autoSpaceDN w:val="0"/>
        <w:spacing w:line="360" w:lineRule="auto"/>
        <w:rPr>
          <w:rFonts w:ascii="宋体" w:hAnsi="宋体" w:cs="宋体"/>
          <w:color w:val="000000"/>
          <w:lang w:val="zh-CN"/>
        </w:rPr>
      </w:pPr>
      <w:r>
        <w:rPr>
          <w:rFonts w:hint="eastAsia" w:ascii="宋体" w:hAnsi="宋体" w:cs="宋体"/>
          <w:color w:val="000000"/>
          <w:lang w:val="zh-CN"/>
        </w:rPr>
        <w:t>注：1.本表应按照每包“项目概况及技术参数”中产品序号的指标逐项填写，不得遗漏，否则，按无效投标处理。</w:t>
      </w:r>
    </w:p>
    <w:p w14:paraId="6E561F41">
      <w:pPr>
        <w:numPr>
          <w:ilvl w:val="0"/>
          <w:numId w:val="10"/>
        </w:numPr>
        <w:autoSpaceDE w:val="0"/>
        <w:autoSpaceDN w:val="0"/>
        <w:spacing w:line="360" w:lineRule="auto"/>
        <w:ind w:firstLine="480"/>
        <w:rPr>
          <w:rFonts w:ascii="宋体" w:hAnsi="宋体" w:cs="宋体"/>
          <w:color w:val="000000"/>
          <w:lang w:val="zh-CN"/>
        </w:rPr>
      </w:pPr>
      <w:r>
        <w:rPr>
          <w:rFonts w:hint="eastAsia" w:ascii="宋体" w:hAnsi="宋体" w:cs="宋体"/>
          <w:color w:val="000000"/>
          <w:lang w:val="zh-CN"/>
        </w:rPr>
        <w:t>供应商应按提供产品实际情况填写，“产品技术参数、指标”需与响应文件中提供的产品检验报告/检测报告、彩页（或厂家公开发布的资料参数）等证明材料的实质性响应情况相一致。若在评审环节发现该项与</w:t>
      </w:r>
      <w:r>
        <w:rPr>
          <w:rFonts w:hint="eastAsia" w:ascii="宋体" w:hAnsi="宋体" w:cs="宋体"/>
          <w:color w:val="000000"/>
        </w:rPr>
        <w:t>投标</w:t>
      </w:r>
      <w:r>
        <w:rPr>
          <w:rFonts w:hint="eastAsia" w:ascii="宋体" w:hAnsi="宋体" w:cs="宋体"/>
          <w:color w:val="000000"/>
          <w:lang w:val="zh-CN"/>
        </w:rPr>
        <w:t>文件中提供的产品检验报告/检测报告、彩页（或厂家公开发布的资料参数）等证明材料的实质性响应情况不一致，仅作为扣分依据。若直接复制</w:t>
      </w:r>
      <w:r>
        <w:rPr>
          <w:rFonts w:hint="eastAsia" w:ascii="宋体" w:hAnsi="宋体" w:cs="宋体"/>
          <w:color w:val="000000"/>
        </w:rPr>
        <w:t>招标</w:t>
      </w:r>
      <w:r>
        <w:rPr>
          <w:rFonts w:hint="eastAsia" w:ascii="宋体" w:hAnsi="宋体" w:cs="宋体"/>
          <w:color w:val="000000"/>
          <w:lang w:val="zh-CN"/>
        </w:rPr>
        <w:t>文件“采购需求技术参数、指标”内容的，则视为投标无效。</w:t>
      </w:r>
    </w:p>
    <w:p w14:paraId="73098AF3">
      <w:pPr>
        <w:numPr>
          <w:ilvl w:val="0"/>
          <w:numId w:val="10"/>
        </w:numPr>
        <w:autoSpaceDE w:val="0"/>
        <w:autoSpaceDN w:val="0"/>
        <w:spacing w:line="360" w:lineRule="auto"/>
        <w:ind w:firstLine="480"/>
        <w:rPr>
          <w:rFonts w:ascii="宋体" w:hAnsi="宋体" w:cs="宋体"/>
          <w:color w:val="000000"/>
          <w:lang w:val="zh-CN"/>
        </w:rPr>
      </w:pPr>
      <w:r>
        <w:rPr>
          <w:rFonts w:hint="eastAsia" w:ascii="宋体" w:hAnsi="宋体" w:cs="宋体"/>
          <w:color w:val="000000"/>
          <w:lang w:val="zh-CN"/>
        </w:rPr>
        <w:t>填写此表时以招标项目参数要求为基本投标要求，满足招标项目参数要求的指标需列出“0”；超出、不满足招标项目参数要求的指标需列出“+”、“-”偏差，并做出详细说明；如果只注明“+”、“-”或未填写，将视为该项指标不响应。</w:t>
      </w:r>
    </w:p>
    <w:p w14:paraId="485D149F">
      <w:pPr>
        <w:numPr>
          <w:ilvl w:val="0"/>
          <w:numId w:val="10"/>
        </w:numPr>
        <w:autoSpaceDE w:val="0"/>
        <w:autoSpaceDN w:val="0"/>
        <w:spacing w:line="360" w:lineRule="auto"/>
        <w:ind w:firstLine="480"/>
        <w:rPr>
          <w:rFonts w:ascii="宋体" w:hAnsi="宋体" w:cs="宋体"/>
          <w:color w:val="000000"/>
          <w:lang w:val="zh-CN"/>
        </w:rPr>
      </w:pPr>
      <w:r>
        <w:rPr>
          <w:rFonts w:hint="eastAsia" w:ascii="宋体" w:hAnsi="宋体" w:cs="宋体"/>
          <w:color w:val="000000"/>
          <w:lang w:val="zh-CN"/>
        </w:rPr>
        <w:t>投标人响应采购需求应具体、明确，含糊不清、不确切或伪造、编造证明材料的，按照实质性不响应处理。对伪造、编造证明材料的，将报告本级财政部门。</w:t>
      </w:r>
    </w:p>
    <w:p w14:paraId="2FD5A603">
      <w:pPr>
        <w:autoSpaceDE w:val="0"/>
        <w:autoSpaceDN w:val="0"/>
        <w:spacing w:line="360" w:lineRule="auto"/>
        <w:rPr>
          <w:rFonts w:ascii="宋体" w:hAnsi="宋体" w:cs="宋体"/>
          <w:lang w:val="zh-CN"/>
        </w:rPr>
      </w:pPr>
    </w:p>
    <w:p w14:paraId="20EA4BCC">
      <w:pPr>
        <w:autoSpaceDE w:val="0"/>
        <w:autoSpaceDN w:val="0"/>
        <w:spacing w:line="360" w:lineRule="auto"/>
        <w:ind w:firstLine="480"/>
        <w:rPr>
          <w:rFonts w:ascii="宋体" w:hAnsi="宋体" w:cs="宋体"/>
          <w:lang w:val="zh-CN"/>
        </w:rPr>
      </w:pPr>
    </w:p>
    <w:p w14:paraId="08B4CFF5">
      <w:pPr>
        <w:autoSpaceDE w:val="0"/>
        <w:autoSpaceDN w:val="0"/>
        <w:spacing w:line="360" w:lineRule="auto"/>
        <w:jc w:val="center"/>
        <w:rPr>
          <w:rFonts w:ascii="宋体" w:hAnsi="宋体" w:cs="宋体"/>
          <w:b/>
          <w:bCs/>
          <w:lang w:val="zh-CN"/>
        </w:rPr>
      </w:pPr>
      <w:r>
        <w:rPr>
          <w:rFonts w:hint="eastAsia" w:ascii="宋体" w:hAnsi="宋体" w:cs="宋体"/>
          <w:b/>
          <w:bCs/>
        </w:rPr>
        <w:t xml:space="preserve">   </w:t>
      </w:r>
      <w:r>
        <w:rPr>
          <w:rFonts w:hint="eastAsia" w:ascii="宋体" w:hAnsi="宋体" w:cs="宋体"/>
          <w:b/>
          <w:bCs/>
          <w:lang w:val="zh-CN"/>
        </w:rPr>
        <w:t xml:space="preserve">供应商名称：           </w:t>
      </w:r>
      <w:r>
        <w:rPr>
          <w:rFonts w:hint="eastAsia" w:ascii="宋体" w:hAnsi="宋体" w:cs="宋体"/>
          <w:b/>
          <w:bCs/>
        </w:rPr>
        <w:t xml:space="preserve">      </w:t>
      </w:r>
      <w:r>
        <w:rPr>
          <w:rFonts w:hint="eastAsia" w:ascii="宋体" w:hAnsi="宋体" w:cs="宋体"/>
          <w:b/>
          <w:bCs/>
          <w:lang w:val="zh-CN"/>
        </w:rPr>
        <w:t>（公章）</w:t>
      </w:r>
    </w:p>
    <w:p w14:paraId="655D88F4">
      <w:pPr>
        <w:autoSpaceDE w:val="0"/>
        <w:autoSpaceDN w:val="0"/>
        <w:spacing w:line="360" w:lineRule="auto"/>
        <w:jc w:val="center"/>
        <w:rPr>
          <w:rFonts w:ascii="宋体" w:hAnsi="宋体" w:cs="宋体"/>
          <w:b/>
          <w:bCs/>
          <w:lang w:val="zh-CN"/>
        </w:rPr>
      </w:pPr>
      <w:r>
        <w:rPr>
          <w:rFonts w:hint="eastAsia" w:ascii="宋体" w:hAnsi="宋体" w:cs="宋体"/>
          <w:b/>
          <w:bCs/>
          <w:lang w:val="zh-CN"/>
        </w:rPr>
        <w:t>法定代表人或委托代理人：        （签字）</w:t>
      </w:r>
    </w:p>
    <w:p w14:paraId="3C74E7D1">
      <w:pPr>
        <w:autoSpaceDE w:val="0"/>
        <w:autoSpaceDN w:val="0"/>
        <w:spacing w:line="360" w:lineRule="auto"/>
        <w:ind w:firstLine="3253"/>
        <w:rPr>
          <w:rFonts w:ascii="宋体" w:hAnsi="宋体" w:cs="宋体"/>
          <w:b/>
          <w:bCs/>
          <w:lang w:val="zh-CN"/>
        </w:rPr>
      </w:pPr>
      <w:r>
        <w:rPr>
          <w:rFonts w:hint="eastAsia" w:ascii="宋体" w:hAnsi="宋体" w:cs="宋体"/>
          <w:b/>
          <w:bCs/>
          <w:lang w:val="zh-CN"/>
        </w:rPr>
        <w:t xml:space="preserve">年 </w:t>
      </w:r>
      <w:r>
        <w:rPr>
          <w:rFonts w:hint="eastAsia" w:ascii="宋体" w:hAnsi="宋体" w:cs="宋体"/>
          <w:b/>
          <w:bCs/>
        </w:rPr>
        <w:t xml:space="preserve"> </w:t>
      </w:r>
      <w:r>
        <w:rPr>
          <w:rFonts w:hint="eastAsia" w:ascii="宋体" w:hAnsi="宋体" w:cs="宋体"/>
          <w:b/>
          <w:bCs/>
          <w:lang w:val="zh-CN"/>
        </w:rPr>
        <w:t xml:space="preserve">  月  </w:t>
      </w:r>
      <w:r>
        <w:rPr>
          <w:rFonts w:hint="eastAsia" w:ascii="宋体" w:hAnsi="宋体" w:cs="宋体"/>
          <w:b/>
          <w:bCs/>
        </w:rPr>
        <w:t xml:space="preserve"> </w:t>
      </w:r>
      <w:r>
        <w:rPr>
          <w:rFonts w:hint="eastAsia" w:ascii="宋体" w:hAnsi="宋体" w:cs="宋体"/>
          <w:b/>
          <w:bCs/>
          <w:lang w:val="zh-CN"/>
        </w:rPr>
        <w:t xml:space="preserve"> 日</w:t>
      </w:r>
    </w:p>
    <w:p w14:paraId="3CE750F8">
      <w:pPr>
        <w:autoSpaceDE w:val="0"/>
        <w:autoSpaceDN w:val="0"/>
        <w:spacing w:line="360" w:lineRule="auto"/>
        <w:ind w:firstLine="3253"/>
        <w:rPr>
          <w:rFonts w:ascii="宋体" w:hAnsi="宋体" w:cs="宋体"/>
          <w:b/>
          <w:bCs/>
          <w:lang w:val="zh-CN"/>
        </w:rPr>
      </w:pPr>
    </w:p>
    <w:p w14:paraId="3CFF2D91">
      <w:pPr>
        <w:spacing w:line="360" w:lineRule="auto"/>
        <w:jc w:val="center"/>
        <w:rPr>
          <w:rFonts w:ascii="宋体" w:hAnsi="宋体" w:cs="宋体"/>
          <w:b/>
          <w:bCs/>
          <w:kern w:val="2"/>
          <w:sz w:val="32"/>
          <w:szCs w:val="32"/>
        </w:rPr>
      </w:pPr>
      <w:r>
        <w:rPr>
          <w:rFonts w:hint="eastAsia" w:ascii="宋体" w:hAnsi="宋体" w:cs="宋体"/>
          <w:b/>
          <w:bCs/>
          <w:kern w:val="2"/>
          <w:sz w:val="32"/>
          <w:szCs w:val="32"/>
        </w:rPr>
        <w:t>五、质量保证和售后服务承诺</w:t>
      </w:r>
    </w:p>
    <w:p w14:paraId="2FFF4EBA">
      <w:pPr>
        <w:pStyle w:val="27"/>
        <w:tabs>
          <w:tab w:val="left" w:pos="900"/>
        </w:tabs>
        <w:spacing w:line="360" w:lineRule="auto"/>
        <w:ind w:left="6000"/>
        <w:rPr>
          <w:rFonts w:ascii="宋体" w:hAnsi="宋体" w:cs="宋体"/>
        </w:rPr>
      </w:pPr>
    </w:p>
    <w:p w14:paraId="669E027C">
      <w:pPr>
        <w:pStyle w:val="27"/>
        <w:tabs>
          <w:tab w:val="left" w:pos="900"/>
        </w:tabs>
        <w:spacing w:line="360" w:lineRule="auto"/>
        <w:ind w:left="0" w:leftChars="0"/>
        <w:rPr>
          <w:rFonts w:ascii="宋体" w:hAnsi="宋体" w:cs="宋体"/>
        </w:rPr>
      </w:pPr>
      <w:r>
        <w:rPr>
          <w:rFonts w:hint="eastAsia" w:ascii="宋体" w:hAnsi="宋体" w:cs="宋体"/>
        </w:rPr>
        <w:t>致：</w:t>
      </w:r>
      <w:r>
        <w:rPr>
          <w:rFonts w:hint="eastAsia" w:ascii="宋体" w:hAnsi="宋体" w:cs="宋体"/>
          <w:u w:val="single"/>
        </w:rPr>
        <w:t xml:space="preserve">                 </w:t>
      </w:r>
    </w:p>
    <w:p w14:paraId="26E95833">
      <w:pPr>
        <w:spacing w:line="360" w:lineRule="auto"/>
        <w:ind w:firstLine="477" w:firstLineChars="199"/>
        <w:rPr>
          <w:rFonts w:ascii="宋体" w:hAnsi="宋体" w:cs="宋体"/>
          <w:b/>
        </w:rPr>
      </w:pPr>
      <w:r>
        <w:rPr>
          <w:rFonts w:hint="eastAsia" w:ascii="宋体" w:hAnsi="宋体" w:cs="宋体"/>
        </w:rPr>
        <w:t>我方参与项目编号为</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（项目名称）</w:t>
      </w:r>
      <w:r>
        <w:rPr>
          <w:rFonts w:hint="eastAsia" w:ascii="宋体" w:hAnsi="宋体" w:cs="宋体"/>
        </w:rPr>
        <w:t>的服务提供以下质量保证和售后服务承诺：</w:t>
      </w:r>
    </w:p>
    <w:p w14:paraId="3DA715D5">
      <w:pPr>
        <w:spacing w:line="360" w:lineRule="auto"/>
        <w:ind w:firstLine="477" w:firstLineChars="199"/>
        <w:rPr>
          <w:rFonts w:ascii="宋体" w:hAnsi="宋体" w:cs="宋体"/>
        </w:rPr>
      </w:pPr>
    </w:p>
    <w:p w14:paraId="5262F61F">
      <w:pPr>
        <w:spacing w:line="360" w:lineRule="auto"/>
        <w:rPr>
          <w:rFonts w:ascii="宋体" w:hAnsi="宋体" w:cs="宋体"/>
          <w:u w:val="single"/>
        </w:rPr>
      </w:pPr>
      <w:r>
        <w:rPr>
          <w:rFonts w:hint="eastAsia" w:ascii="宋体" w:hAnsi="宋体" w:cs="宋体"/>
        </w:rPr>
        <w:t>供应商名称：</w:t>
      </w:r>
      <w:r>
        <w:rPr>
          <w:rFonts w:hint="eastAsia" w:ascii="宋体" w:hAnsi="宋体" w:cs="宋体"/>
          <w:u w:val="single"/>
        </w:rPr>
        <w:t>（加盖公章）</w:t>
      </w:r>
    </w:p>
    <w:p w14:paraId="1748F84A">
      <w:pPr>
        <w:spacing w:line="400" w:lineRule="exact"/>
        <w:rPr>
          <w:rFonts w:ascii="宋体" w:hAnsi="宋体" w:cs="宋体"/>
        </w:rPr>
      </w:pPr>
      <w:r>
        <w:rPr>
          <w:rFonts w:hint="eastAsia" w:ascii="宋体" w:hAnsi="宋体" w:cs="宋体"/>
        </w:rPr>
        <w:t>法定代表人或授权代表（签字或盖章）</w:t>
      </w:r>
      <w:r>
        <w:rPr>
          <w:rFonts w:hint="eastAsia" w:ascii="宋体" w:hAnsi="宋体" w:cs="宋体"/>
          <w:bCs/>
        </w:rPr>
        <w:t>：</w:t>
      </w:r>
      <w:r>
        <w:rPr>
          <w:rFonts w:hint="eastAsia" w:ascii="宋体" w:hAnsi="宋体" w:cs="宋体"/>
        </w:rPr>
        <w:t>___________________</w:t>
      </w:r>
    </w:p>
    <w:p w14:paraId="3C59D26C">
      <w:pPr>
        <w:spacing w:line="360" w:lineRule="auto"/>
        <w:rPr>
          <w:rFonts w:ascii="宋体" w:hAnsi="宋体" w:cs="宋体"/>
          <w:u w:val="single"/>
        </w:rPr>
        <w:sectPr>
          <w:type w:val="continuous"/>
          <w:pgSz w:w="11906" w:h="16838"/>
          <w:pgMar w:top="1440" w:right="1800" w:bottom="1440" w:left="1800" w:header="851" w:footer="992" w:gutter="0"/>
          <w:pgNumType w:fmt="decimal"/>
          <w:cols w:space="720" w:num="1"/>
          <w:docGrid w:type="lines" w:linePitch="326" w:charSpace="0"/>
        </w:sectPr>
      </w:pPr>
      <w:r>
        <w:rPr>
          <w:rFonts w:hint="eastAsia" w:ascii="宋体" w:hAnsi="宋体" w:cs="宋体"/>
        </w:rPr>
        <w:t>日期：</w:t>
      </w:r>
      <w:r>
        <w:rPr>
          <w:rFonts w:hint="eastAsia" w:ascii="宋体" w:hAnsi="宋体" w:cs="宋体"/>
          <w:u w:val="single"/>
        </w:rPr>
        <w:t xml:space="preserve">                   </w:t>
      </w:r>
    </w:p>
    <w:p w14:paraId="2CD66273">
      <w:pPr>
        <w:pStyle w:val="25"/>
        <w:jc w:val="center"/>
        <w:rPr>
          <w:rFonts w:hint="default" w:hAnsi="宋体" w:cs="宋体"/>
          <w:b/>
          <w:bCs/>
          <w:kern w:val="2"/>
          <w:sz w:val="32"/>
          <w:szCs w:val="32"/>
        </w:rPr>
      </w:pPr>
      <w:bookmarkStart w:id="32" w:name="_Toc250042668"/>
      <w:bookmarkStart w:id="33" w:name="_Toc181520579"/>
      <w:bookmarkStart w:id="34" w:name="_Toc214858837"/>
      <w:r>
        <w:rPr>
          <w:rFonts w:hAnsi="宋体" w:cs="宋体"/>
          <w:b/>
          <w:bCs/>
          <w:kern w:val="2"/>
          <w:sz w:val="32"/>
          <w:szCs w:val="32"/>
        </w:rPr>
        <w:t>六、服务计划及承诺</w:t>
      </w:r>
      <w:bookmarkEnd w:id="32"/>
      <w:bookmarkEnd w:id="33"/>
      <w:bookmarkEnd w:id="34"/>
    </w:p>
    <w:p w14:paraId="04BA513E">
      <w:pPr>
        <w:pStyle w:val="25"/>
        <w:jc w:val="center"/>
        <w:rPr>
          <w:rFonts w:hint="default" w:hAnsi="宋体" w:cs="宋体"/>
          <w:b/>
          <w:sz w:val="24"/>
          <w:szCs w:val="24"/>
        </w:rPr>
      </w:pPr>
    </w:p>
    <w:p w14:paraId="773E259F">
      <w:pPr>
        <w:pStyle w:val="25"/>
        <w:jc w:val="center"/>
        <w:rPr>
          <w:rFonts w:hint="default" w:hAnsi="宋体" w:cs="宋体"/>
          <w:b/>
          <w:sz w:val="24"/>
          <w:szCs w:val="24"/>
        </w:rPr>
      </w:pPr>
    </w:p>
    <w:p w14:paraId="736699EE">
      <w:pPr>
        <w:pStyle w:val="25"/>
        <w:jc w:val="center"/>
        <w:rPr>
          <w:rFonts w:hint="default" w:hAnsi="宋体" w:cs="宋体"/>
          <w:b/>
          <w:sz w:val="24"/>
          <w:szCs w:val="24"/>
        </w:rPr>
      </w:pPr>
    </w:p>
    <w:p w14:paraId="487DDF92">
      <w:pPr>
        <w:spacing w:line="360" w:lineRule="auto"/>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14:paraId="5F01260C">
      <w:pPr>
        <w:spacing w:line="360" w:lineRule="auto"/>
        <w:rPr>
          <w:rFonts w:ascii="宋体" w:hAnsi="宋体" w:cs="宋体"/>
          <w:u w:val="single"/>
        </w:rPr>
      </w:pPr>
      <w:r>
        <w:rPr>
          <w:rFonts w:hint="eastAsia" w:ascii="宋体" w:hAnsi="宋体" w:cs="宋体"/>
        </w:rPr>
        <w:t>项目编号：</w:t>
      </w:r>
      <w:r>
        <w:rPr>
          <w:rFonts w:hint="eastAsia" w:ascii="宋体" w:hAnsi="宋体" w:cs="宋体"/>
          <w:u w:val="single"/>
        </w:rPr>
        <w:t xml:space="preserve">                          </w:t>
      </w:r>
    </w:p>
    <w:p w14:paraId="47F13259">
      <w:pPr>
        <w:spacing w:line="360" w:lineRule="auto"/>
        <w:rPr>
          <w:rFonts w:ascii="宋体" w:hAnsi="宋体" w:cs="宋体"/>
        </w:rPr>
      </w:pPr>
    </w:p>
    <w:p w14:paraId="2D002BA6">
      <w:pPr>
        <w:spacing w:line="360" w:lineRule="auto"/>
        <w:rPr>
          <w:rFonts w:ascii="宋体" w:hAnsi="宋体" w:cs="宋体"/>
        </w:rPr>
      </w:pPr>
    </w:p>
    <w:p w14:paraId="2E2868C1">
      <w:pPr>
        <w:spacing w:line="360" w:lineRule="auto"/>
        <w:rPr>
          <w:rFonts w:ascii="宋体" w:hAnsi="宋体" w:cs="宋体"/>
        </w:rPr>
      </w:pPr>
    </w:p>
    <w:p w14:paraId="0E29CF01">
      <w:pPr>
        <w:spacing w:line="360" w:lineRule="auto"/>
        <w:rPr>
          <w:rFonts w:ascii="宋体" w:hAnsi="宋体" w:cs="宋体"/>
        </w:rPr>
      </w:pPr>
    </w:p>
    <w:p w14:paraId="03AA3452">
      <w:pPr>
        <w:spacing w:line="360" w:lineRule="auto"/>
        <w:rPr>
          <w:rFonts w:ascii="宋体" w:hAnsi="宋体" w:cs="宋体"/>
        </w:rPr>
      </w:pPr>
    </w:p>
    <w:p w14:paraId="0526F0F7">
      <w:pPr>
        <w:spacing w:line="360" w:lineRule="auto"/>
        <w:rPr>
          <w:rFonts w:ascii="宋体" w:hAnsi="宋体" w:cs="宋体"/>
        </w:rPr>
      </w:pPr>
    </w:p>
    <w:p w14:paraId="25E832E3">
      <w:pPr>
        <w:spacing w:line="360" w:lineRule="auto"/>
        <w:rPr>
          <w:rFonts w:ascii="宋体" w:hAnsi="宋体" w:cs="宋体"/>
        </w:rPr>
      </w:pPr>
    </w:p>
    <w:p w14:paraId="6941E193">
      <w:pPr>
        <w:spacing w:line="360" w:lineRule="auto"/>
        <w:rPr>
          <w:rFonts w:ascii="宋体" w:hAnsi="宋体" w:cs="宋体"/>
        </w:rPr>
      </w:pPr>
    </w:p>
    <w:p w14:paraId="1662640E">
      <w:pPr>
        <w:spacing w:line="360" w:lineRule="auto"/>
        <w:rPr>
          <w:rFonts w:ascii="宋体" w:hAnsi="宋体" w:cs="宋体"/>
        </w:rPr>
      </w:pPr>
    </w:p>
    <w:p w14:paraId="0A10A263">
      <w:pPr>
        <w:spacing w:line="360" w:lineRule="auto"/>
        <w:rPr>
          <w:rFonts w:ascii="宋体" w:hAnsi="宋体" w:cs="宋体"/>
        </w:rPr>
      </w:pPr>
    </w:p>
    <w:p w14:paraId="5A017C87">
      <w:pPr>
        <w:spacing w:line="360" w:lineRule="auto"/>
        <w:rPr>
          <w:rFonts w:ascii="宋体" w:hAnsi="宋体" w:cs="宋体"/>
        </w:rPr>
      </w:pPr>
    </w:p>
    <w:p w14:paraId="12B39735">
      <w:pPr>
        <w:spacing w:line="360" w:lineRule="auto"/>
        <w:rPr>
          <w:rFonts w:ascii="宋体" w:hAnsi="宋体" w:cs="宋体"/>
        </w:rPr>
      </w:pPr>
    </w:p>
    <w:p w14:paraId="5BC2D817">
      <w:pPr>
        <w:spacing w:line="360" w:lineRule="auto"/>
        <w:rPr>
          <w:rFonts w:ascii="宋体" w:hAnsi="宋体" w:cs="宋体"/>
        </w:rPr>
      </w:pPr>
    </w:p>
    <w:p w14:paraId="299BF98F">
      <w:pPr>
        <w:spacing w:line="360" w:lineRule="auto"/>
        <w:rPr>
          <w:rFonts w:ascii="宋体" w:hAnsi="宋体" w:cs="宋体"/>
        </w:rPr>
      </w:pPr>
    </w:p>
    <w:p w14:paraId="5F5E6600">
      <w:pPr>
        <w:spacing w:line="360" w:lineRule="auto"/>
        <w:rPr>
          <w:rFonts w:ascii="宋体" w:hAnsi="宋体" w:cs="宋体"/>
        </w:rPr>
      </w:pPr>
    </w:p>
    <w:p w14:paraId="08C46187">
      <w:pPr>
        <w:spacing w:line="360" w:lineRule="auto"/>
        <w:rPr>
          <w:rFonts w:ascii="宋体" w:hAnsi="宋体" w:cs="宋体"/>
        </w:rPr>
      </w:pPr>
    </w:p>
    <w:p w14:paraId="6B00019F">
      <w:pPr>
        <w:spacing w:line="360" w:lineRule="auto"/>
        <w:rPr>
          <w:rFonts w:ascii="宋体" w:hAnsi="宋体" w:cs="宋体"/>
        </w:rPr>
      </w:pPr>
    </w:p>
    <w:p w14:paraId="27BAF675">
      <w:pPr>
        <w:spacing w:line="360" w:lineRule="auto"/>
        <w:rPr>
          <w:rFonts w:ascii="宋体" w:hAnsi="宋体" w:cs="宋体"/>
        </w:rPr>
      </w:pPr>
    </w:p>
    <w:p w14:paraId="45027F92">
      <w:pPr>
        <w:spacing w:line="360" w:lineRule="auto"/>
        <w:rPr>
          <w:rFonts w:ascii="宋体" w:hAnsi="宋体" w:cs="宋体"/>
        </w:rPr>
      </w:pPr>
    </w:p>
    <w:p w14:paraId="40F5BB5B">
      <w:pPr>
        <w:spacing w:line="360" w:lineRule="auto"/>
        <w:ind w:firstLine="460" w:firstLineChars="192"/>
        <w:rPr>
          <w:rFonts w:ascii="宋体" w:hAnsi="宋体" w:cs="宋体"/>
        </w:rPr>
      </w:pPr>
      <w:r>
        <w:rPr>
          <w:rFonts w:hint="eastAsia" w:ascii="宋体" w:hAnsi="宋体" w:cs="宋体"/>
        </w:rPr>
        <w:t>供应商名称：</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rPr>
        <w:t>(加盖公章)</w:t>
      </w:r>
      <w:bookmarkStart w:id="35" w:name="_Toc218498604"/>
      <w:bookmarkStart w:id="36" w:name="_Toc214858838"/>
    </w:p>
    <w:p w14:paraId="184FEA0C">
      <w:pPr>
        <w:spacing w:line="360" w:lineRule="auto"/>
        <w:ind w:firstLine="460" w:firstLineChars="192"/>
        <w:rPr>
          <w:rFonts w:ascii="宋体" w:hAnsi="宋体" w:cs="宋体"/>
        </w:rPr>
      </w:pPr>
      <w:r>
        <w:rPr>
          <w:rFonts w:hint="eastAsia" w:ascii="宋体" w:hAnsi="宋体" w:cs="宋体"/>
        </w:rPr>
        <w:t>法定代表人或授权代表：</w:t>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（签字或盖章）</w:t>
      </w:r>
      <w:bookmarkEnd w:id="35"/>
      <w:bookmarkEnd w:id="36"/>
      <w:bookmarkStart w:id="37" w:name="_Toc182649365"/>
      <w:bookmarkEnd w:id="37"/>
      <w:bookmarkStart w:id="38" w:name="_Toc182042693"/>
      <w:bookmarkEnd w:id="38"/>
      <w:bookmarkStart w:id="39" w:name="_Toc182649373"/>
      <w:bookmarkEnd w:id="39"/>
      <w:bookmarkStart w:id="40" w:name="_Toc182044593"/>
      <w:bookmarkEnd w:id="40"/>
      <w:bookmarkStart w:id="41" w:name="_Toc182042691"/>
      <w:bookmarkEnd w:id="41"/>
      <w:bookmarkStart w:id="42" w:name="_Toc182648586"/>
      <w:bookmarkEnd w:id="42"/>
      <w:bookmarkStart w:id="43" w:name="_Toc182712010"/>
      <w:bookmarkEnd w:id="43"/>
      <w:bookmarkStart w:id="44" w:name="_Toc182711694"/>
      <w:bookmarkEnd w:id="44"/>
      <w:bookmarkStart w:id="45" w:name="_Toc182649846"/>
      <w:bookmarkEnd w:id="45"/>
      <w:bookmarkStart w:id="46" w:name="_Toc182275993"/>
      <w:bookmarkEnd w:id="46"/>
      <w:bookmarkStart w:id="47" w:name="_Toc182649848"/>
      <w:bookmarkEnd w:id="47"/>
      <w:bookmarkStart w:id="48" w:name="_Toc182276001"/>
      <w:bookmarkEnd w:id="48"/>
      <w:bookmarkStart w:id="49" w:name="_Toc182042689"/>
      <w:bookmarkEnd w:id="49"/>
      <w:bookmarkStart w:id="50" w:name="_Toc182711692"/>
      <w:bookmarkEnd w:id="50"/>
      <w:bookmarkStart w:id="51" w:name="_Toc182042562"/>
      <w:bookmarkEnd w:id="51"/>
      <w:bookmarkStart w:id="52" w:name="_Toc182042572"/>
      <w:bookmarkEnd w:id="52"/>
      <w:bookmarkStart w:id="53" w:name="_Toc182649845"/>
      <w:bookmarkEnd w:id="53"/>
      <w:bookmarkStart w:id="54" w:name="_Toc182726221"/>
      <w:bookmarkEnd w:id="54"/>
      <w:bookmarkStart w:id="55" w:name="_Toc182712004"/>
      <w:bookmarkEnd w:id="55"/>
      <w:bookmarkStart w:id="56" w:name="_Toc182042570"/>
      <w:bookmarkEnd w:id="56"/>
      <w:bookmarkStart w:id="57" w:name="_Toc182042694"/>
      <w:bookmarkEnd w:id="57"/>
      <w:bookmarkStart w:id="58" w:name="_Toc182649179"/>
      <w:bookmarkEnd w:id="58"/>
      <w:bookmarkStart w:id="59" w:name="_Toc182711998"/>
      <w:bookmarkEnd w:id="59"/>
      <w:bookmarkStart w:id="60" w:name="_Toc182711689"/>
      <w:bookmarkEnd w:id="60"/>
      <w:bookmarkStart w:id="61" w:name="_Toc182648587"/>
      <w:bookmarkEnd w:id="61"/>
      <w:bookmarkStart w:id="62" w:name="_Toc182712003"/>
      <w:bookmarkEnd w:id="62"/>
      <w:bookmarkStart w:id="63" w:name="_Toc182649370"/>
      <w:bookmarkEnd w:id="63"/>
      <w:bookmarkStart w:id="64" w:name="_Toc182648589"/>
      <w:bookmarkEnd w:id="64"/>
      <w:bookmarkStart w:id="65" w:name="_Toc182649182"/>
      <w:bookmarkEnd w:id="65"/>
      <w:bookmarkStart w:id="66" w:name="_Toc182711690"/>
      <w:bookmarkEnd w:id="66"/>
      <w:bookmarkStart w:id="67" w:name="_Toc182648594"/>
      <w:bookmarkEnd w:id="67"/>
      <w:bookmarkStart w:id="68" w:name="_Toc182649844"/>
      <w:bookmarkEnd w:id="68"/>
      <w:bookmarkStart w:id="69" w:name="_Toc182726216"/>
      <w:bookmarkEnd w:id="69"/>
      <w:bookmarkStart w:id="70" w:name="_Toc182044581"/>
      <w:bookmarkEnd w:id="70"/>
      <w:bookmarkStart w:id="71" w:name="_Toc182042565"/>
      <w:bookmarkEnd w:id="71"/>
      <w:bookmarkStart w:id="72" w:name="_Toc182042692"/>
      <w:bookmarkEnd w:id="72"/>
      <w:bookmarkStart w:id="73" w:name="_Toc182275990"/>
      <w:bookmarkEnd w:id="73"/>
      <w:bookmarkStart w:id="74" w:name="_Toc182042696"/>
      <w:bookmarkEnd w:id="74"/>
      <w:bookmarkStart w:id="75" w:name="_Toc182042571"/>
      <w:bookmarkEnd w:id="75"/>
      <w:bookmarkStart w:id="76" w:name="_Toc182275995"/>
      <w:bookmarkEnd w:id="76"/>
      <w:bookmarkStart w:id="77" w:name="_Toc182044592"/>
      <w:bookmarkEnd w:id="77"/>
      <w:bookmarkStart w:id="78" w:name="_Toc182042561"/>
      <w:bookmarkEnd w:id="78"/>
      <w:bookmarkStart w:id="79" w:name="_Toc182042563"/>
      <w:bookmarkEnd w:id="79"/>
      <w:bookmarkStart w:id="80" w:name="_Toc182712000"/>
      <w:bookmarkEnd w:id="80"/>
      <w:bookmarkStart w:id="81" w:name="_Toc182711691"/>
      <w:bookmarkEnd w:id="81"/>
      <w:bookmarkStart w:id="82" w:name="_Toc182711693"/>
      <w:bookmarkEnd w:id="82"/>
      <w:bookmarkStart w:id="83" w:name="_Toc182648583"/>
      <w:bookmarkEnd w:id="83"/>
      <w:bookmarkStart w:id="84" w:name="_Toc182044588"/>
      <w:bookmarkEnd w:id="84"/>
      <w:bookmarkStart w:id="85" w:name="_Toc182275989"/>
      <w:bookmarkEnd w:id="85"/>
      <w:bookmarkStart w:id="86" w:name="_Toc182649178"/>
      <w:bookmarkEnd w:id="86"/>
      <w:bookmarkStart w:id="87" w:name="_Toc182044586"/>
      <w:bookmarkEnd w:id="87"/>
      <w:bookmarkStart w:id="88" w:name="_Toc182649368"/>
      <w:bookmarkEnd w:id="88"/>
      <w:bookmarkStart w:id="89" w:name="_Toc182042566"/>
      <w:bookmarkEnd w:id="89"/>
      <w:bookmarkStart w:id="90" w:name="_Toc182649172"/>
      <w:bookmarkEnd w:id="90"/>
      <w:bookmarkStart w:id="91" w:name="_Toc182044583"/>
      <w:bookmarkEnd w:id="91"/>
      <w:bookmarkStart w:id="92" w:name="_Toc182649184"/>
      <w:bookmarkEnd w:id="92"/>
      <w:bookmarkStart w:id="93" w:name="_Toc182726211"/>
      <w:bookmarkEnd w:id="93"/>
      <w:bookmarkStart w:id="94" w:name="_Toc182649175"/>
      <w:bookmarkEnd w:id="94"/>
      <w:bookmarkStart w:id="95" w:name="_Toc182712008"/>
      <w:bookmarkEnd w:id="95"/>
      <w:bookmarkStart w:id="96" w:name="_Toc182649854"/>
      <w:bookmarkEnd w:id="96"/>
      <w:bookmarkStart w:id="97" w:name="_Toc182649177"/>
      <w:bookmarkEnd w:id="97"/>
      <w:bookmarkStart w:id="98" w:name="_Toc182275991"/>
      <w:bookmarkEnd w:id="98"/>
      <w:bookmarkStart w:id="99" w:name="_Toc182711999"/>
      <w:bookmarkEnd w:id="99"/>
      <w:bookmarkStart w:id="100" w:name="_Toc182649176"/>
      <w:bookmarkEnd w:id="100"/>
      <w:bookmarkStart w:id="101" w:name="_Toc182044582"/>
      <w:bookmarkEnd w:id="101"/>
      <w:bookmarkStart w:id="102" w:name="_Toc182649856"/>
      <w:bookmarkEnd w:id="102"/>
      <w:bookmarkStart w:id="103" w:name="_Toc182649374"/>
      <w:bookmarkEnd w:id="103"/>
      <w:bookmarkStart w:id="104" w:name="_Toc182649850"/>
      <w:bookmarkEnd w:id="104"/>
      <w:bookmarkStart w:id="105" w:name="_Toc182726215"/>
      <w:bookmarkEnd w:id="105"/>
      <w:bookmarkStart w:id="106" w:name="_Toc182649855"/>
      <w:bookmarkEnd w:id="106"/>
      <w:bookmarkStart w:id="107" w:name="_Toc182711695"/>
      <w:bookmarkEnd w:id="107"/>
      <w:bookmarkStart w:id="108" w:name="_Toc182711700"/>
      <w:bookmarkEnd w:id="108"/>
      <w:bookmarkStart w:id="109" w:name="_Toc182712009"/>
      <w:bookmarkEnd w:id="109"/>
      <w:bookmarkStart w:id="110" w:name="_Toc182712005"/>
      <w:bookmarkEnd w:id="110"/>
      <w:bookmarkStart w:id="111" w:name="_Toc182726220"/>
      <w:bookmarkEnd w:id="111"/>
      <w:bookmarkStart w:id="112" w:name="_Toc182711699"/>
      <w:bookmarkEnd w:id="112"/>
      <w:bookmarkStart w:id="113" w:name="_Toc182042695"/>
      <w:bookmarkEnd w:id="113"/>
      <w:bookmarkStart w:id="114" w:name="_Toc182648585"/>
      <w:bookmarkEnd w:id="114"/>
      <w:bookmarkStart w:id="115" w:name="_Toc182276000"/>
      <w:bookmarkEnd w:id="115"/>
      <w:bookmarkStart w:id="116" w:name="_Toc182649375"/>
      <w:bookmarkEnd w:id="116"/>
      <w:bookmarkStart w:id="117" w:name="_Toc182275994"/>
      <w:bookmarkEnd w:id="117"/>
      <w:bookmarkStart w:id="118" w:name="_Toc182649173"/>
      <w:bookmarkEnd w:id="118"/>
      <w:bookmarkStart w:id="119" w:name="_Toc182711701"/>
      <w:bookmarkEnd w:id="119"/>
      <w:bookmarkStart w:id="120" w:name="_Toc182726214"/>
      <w:bookmarkEnd w:id="120"/>
      <w:bookmarkStart w:id="121" w:name="_Toc182649849"/>
      <w:bookmarkEnd w:id="121"/>
      <w:bookmarkStart w:id="122" w:name="_Toc182275996"/>
      <w:bookmarkEnd w:id="122"/>
      <w:bookmarkStart w:id="123" w:name="_Toc182726217"/>
      <w:bookmarkEnd w:id="123"/>
      <w:bookmarkStart w:id="124" w:name="_Toc182649369"/>
      <w:bookmarkEnd w:id="124"/>
      <w:bookmarkStart w:id="125" w:name="_Toc182042701"/>
      <w:bookmarkEnd w:id="125"/>
      <w:bookmarkStart w:id="126" w:name="_Toc182275992"/>
      <w:bookmarkEnd w:id="126"/>
      <w:bookmarkStart w:id="127" w:name="_Toc182649847"/>
      <w:bookmarkEnd w:id="127"/>
      <w:bookmarkStart w:id="128" w:name="_Toc182649851"/>
      <w:bookmarkEnd w:id="128"/>
      <w:bookmarkStart w:id="129" w:name="_Toc182649174"/>
      <w:bookmarkEnd w:id="129"/>
      <w:bookmarkStart w:id="130" w:name="_Toc182726213"/>
      <w:bookmarkEnd w:id="130"/>
      <w:bookmarkStart w:id="131" w:name="_Toc182648588"/>
      <w:bookmarkEnd w:id="131"/>
      <w:bookmarkStart w:id="132" w:name="_Toc182042567"/>
      <w:bookmarkEnd w:id="132"/>
      <w:bookmarkStart w:id="133" w:name="_Toc182648590"/>
      <w:bookmarkEnd w:id="133"/>
      <w:bookmarkStart w:id="134" w:name="_Toc182712002"/>
      <w:bookmarkEnd w:id="134"/>
      <w:bookmarkStart w:id="135" w:name="_Toc182044584"/>
      <w:bookmarkEnd w:id="135"/>
      <w:bookmarkStart w:id="136" w:name="_Toc182044591"/>
      <w:bookmarkEnd w:id="136"/>
      <w:bookmarkStart w:id="137" w:name="_Toc182042700"/>
      <w:bookmarkEnd w:id="137"/>
      <w:bookmarkStart w:id="138" w:name="_Toc182044587"/>
      <w:bookmarkEnd w:id="138"/>
      <w:bookmarkStart w:id="139" w:name="_Toc182275999"/>
      <w:bookmarkEnd w:id="139"/>
      <w:bookmarkStart w:id="140" w:name="_Toc182649183"/>
      <w:bookmarkEnd w:id="140"/>
      <w:bookmarkStart w:id="141" w:name="_Toc182649363"/>
      <w:bookmarkEnd w:id="141"/>
      <w:bookmarkStart w:id="142" w:name="_Toc182726212"/>
      <w:bookmarkEnd w:id="142"/>
      <w:bookmarkStart w:id="143" w:name="_Toc182042699"/>
      <w:bookmarkEnd w:id="143"/>
      <w:bookmarkStart w:id="144" w:name="_Toc182648593"/>
      <w:bookmarkEnd w:id="144"/>
      <w:bookmarkStart w:id="145" w:name="_Toc182711696"/>
      <w:bookmarkEnd w:id="145"/>
      <w:bookmarkStart w:id="146" w:name="_Toc182044585"/>
      <w:bookmarkEnd w:id="146"/>
      <w:bookmarkStart w:id="147" w:name="_Toc182042564"/>
      <w:bookmarkEnd w:id="147"/>
      <w:bookmarkStart w:id="148" w:name="_Toc182042690"/>
      <w:bookmarkEnd w:id="148"/>
      <w:bookmarkStart w:id="149" w:name="_Toc182726210"/>
      <w:bookmarkEnd w:id="149"/>
      <w:bookmarkStart w:id="150" w:name="_Toc182649366"/>
      <w:bookmarkEnd w:id="150"/>
      <w:bookmarkStart w:id="151" w:name="_Toc182648595"/>
      <w:bookmarkEnd w:id="151"/>
      <w:bookmarkStart w:id="152" w:name="_Toc182712001"/>
      <w:bookmarkEnd w:id="152"/>
      <w:bookmarkStart w:id="153" w:name="_Toc182649364"/>
      <w:bookmarkEnd w:id="153"/>
      <w:bookmarkStart w:id="154" w:name="_Toc182648584"/>
      <w:bookmarkEnd w:id="154"/>
      <w:bookmarkStart w:id="155" w:name="_Toc182042560"/>
      <w:bookmarkEnd w:id="155"/>
      <w:bookmarkStart w:id="156" w:name="_Toc182649367"/>
      <w:bookmarkEnd w:id="156"/>
      <w:bookmarkStart w:id="157" w:name="_Toc182726222"/>
      <w:bookmarkEnd w:id="157"/>
    </w:p>
    <w:p w14:paraId="2050A889">
      <w:pPr>
        <w:spacing w:line="360" w:lineRule="auto"/>
        <w:ind w:firstLine="460" w:firstLineChars="192"/>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6BD62909">
      <w:pPr>
        <w:spacing w:line="360" w:lineRule="auto"/>
        <w:ind w:firstLine="460" w:firstLineChars="192"/>
        <w:rPr>
          <w:rFonts w:ascii="宋体" w:hAnsi="宋体" w:cs="宋体"/>
        </w:rPr>
      </w:pPr>
      <w:r>
        <w:rPr>
          <w:rFonts w:hint="eastAsia" w:ascii="宋体" w:hAnsi="宋体" w:cs="宋体"/>
        </w:rPr>
        <w:br w:type="page"/>
      </w:r>
    </w:p>
    <w:p w14:paraId="1875EFB0">
      <w:pPr>
        <w:spacing w:line="360" w:lineRule="auto"/>
        <w:ind w:firstLine="617" w:firstLineChars="192"/>
        <w:jc w:val="center"/>
        <w:rPr>
          <w:rFonts w:ascii="宋体" w:hAnsi="宋体" w:cs="宋体"/>
          <w:b/>
          <w:bCs/>
          <w:kern w:val="2"/>
          <w:sz w:val="32"/>
          <w:szCs w:val="32"/>
        </w:rPr>
      </w:pPr>
      <w:r>
        <w:rPr>
          <w:rFonts w:hint="eastAsia" w:ascii="宋体" w:hAnsi="宋体" w:cs="宋体"/>
          <w:b/>
          <w:bCs/>
          <w:kern w:val="2"/>
          <w:sz w:val="32"/>
          <w:szCs w:val="32"/>
        </w:rPr>
        <w:t>七、供应商认为在其他方面有必要说明的事项</w:t>
      </w:r>
    </w:p>
    <w:p w14:paraId="659B604A">
      <w:pPr>
        <w:spacing w:line="360" w:lineRule="auto"/>
        <w:ind w:firstLine="460" w:firstLineChars="192"/>
        <w:rPr>
          <w:rFonts w:ascii="宋体" w:hAnsi="宋体" w:cs="宋体"/>
        </w:rPr>
      </w:pPr>
    </w:p>
    <w:p w14:paraId="32F9B027">
      <w:pPr>
        <w:spacing w:line="360" w:lineRule="auto"/>
        <w:ind w:firstLine="460" w:firstLineChars="192"/>
        <w:rPr>
          <w:rFonts w:ascii="宋体" w:hAnsi="宋体" w:cs="宋体"/>
        </w:rPr>
      </w:pPr>
      <w:r>
        <w:rPr>
          <w:rFonts w:hint="eastAsia" w:ascii="宋体" w:hAnsi="宋体" w:cs="宋体"/>
        </w:rPr>
        <w:t>供应商在参加本项目磋商中根据磋商文件的要求认为需要说明的事项，但不作为评审依据。如没有说明事项，此项可忽略。（格式可自定）</w:t>
      </w:r>
    </w:p>
    <w:p w14:paraId="4316B9E1">
      <w:pPr>
        <w:pStyle w:val="25"/>
        <w:rPr>
          <w:rFonts w:hint="default" w:hAnsi="宋体" w:cs="宋体"/>
          <w:b/>
        </w:rPr>
      </w:pPr>
      <w:r>
        <w:rPr>
          <w:rFonts w:hAnsi="宋体" w:cs="宋体"/>
          <w:b/>
        </w:rPr>
        <w:t xml:space="preserve"> </w:t>
      </w:r>
    </w:p>
    <w:p w14:paraId="077F7EA0">
      <w:pPr>
        <w:spacing w:line="360" w:lineRule="auto"/>
        <w:rPr>
          <w:rFonts w:ascii="宋体" w:hAnsi="宋体" w:cs="宋体"/>
          <w:b/>
        </w:rPr>
      </w:pPr>
      <w:r>
        <w:rPr>
          <w:rFonts w:hint="eastAsia" w:ascii="宋体" w:hAnsi="宋体" w:cs="宋体"/>
          <w:b/>
        </w:rPr>
        <w:t xml:space="preserve"> </w:t>
      </w:r>
    </w:p>
    <w:p w14:paraId="19A4FF38">
      <w:pPr>
        <w:numPr>
          <w:ilvl w:val="0"/>
          <w:numId w:val="0"/>
        </w:numPr>
        <w:tabs>
          <w:tab w:val="left" w:pos="720"/>
        </w:tabs>
        <w:jc w:val="center"/>
        <w:rPr>
          <w:rFonts w:ascii="宋体" w:hAnsi="宋体" w:cs="宋体"/>
          <w:b/>
          <w:bCs/>
          <w:kern w:val="2"/>
          <w:sz w:val="32"/>
          <w:szCs w:val="32"/>
        </w:rPr>
      </w:pPr>
      <w:r>
        <w:rPr>
          <w:rFonts w:hint="eastAsia" w:ascii="宋体" w:hAnsi="宋体" w:cs="宋体"/>
        </w:rPr>
        <w:br w:type="page"/>
      </w:r>
      <w:bookmarkStart w:id="158" w:name="_Toc24003"/>
      <w:bookmarkStart w:id="159" w:name="_Toc10427"/>
      <w:r>
        <w:rPr>
          <w:rFonts w:hint="eastAsia" w:ascii="宋体" w:hAnsi="宋体" w:eastAsia="宋体" w:cs="宋体"/>
          <w:b/>
          <w:bCs/>
          <w:kern w:val="2"/>
          <w:sz w:val="32"/>
          <w:szCs w:val="32"/>
          <w:lang w:val="en-US" w:eastAsia="zh-CN"/>
        </w:rPr>
        <w:t>八、</w:t>
      </w:r>
      <w:r>
        <w:rPr>
          <w:rFonts w:hint="eastAsia" w:ascii="宋体" w:hAnsi="宋体" w:eastAsia="宋体" w:cs="宋体"/>
          <w:b/>
          <w:bCs/>
          <w:kern w:val="2"/>
          <w:sz w:val="32"/>
          <w:szCs w:val="32"/>
        </w:rPr>
        <w:t>最终报价确定表</w:t>
      </w:r>
      <w:bookmarkEnd w:id="158"/>
      <w:bookmarkEnd w:id="159"/>
    </w:p>
    <w:p w14:paraId="0BF6D565">
      <w:pPr>
        <w:pStyle w:val="21"/>
      </w:pPr>
    </w:p>
    <w:p w14:paraId="00C4F854">
      <w:pPr>
        <w:pStyle w:val="15"/>
        <w:ind w:firstLine="0" w:firstLineChars="0"/>
      </w:pPr>
    </w:p>
    <w:p w14:paraId="1D9FE3DB">
      <w:pPr>
        <w:spacing w:line="360" w:lineRule="auto"/>
        <w:jc w:val="both"/>
        <w:rPr>
          <w:rFonts w:ascii="宋体" w:hAnsi="宋体"/>
          <w:b/>
        </w:rPr>
      </w:pPr>
      <w:r>
        <w:rPr>
          <w:rFonts w:hint="eastAsia" w:ascii="宋体" w:hAnsi="宋体"/>
          <w:b/>
        </w:rPr>
        <w:t>磋商最终报价由供应商在规定的时间内在政采云平台线上提交。</w:t>
      </w:r>
    </w:p>
    <w:p w14:paraId="25EF73EA">
      <w:pPr>
        <w:pStyle w:val="15"/>
      </w:pPr>
    </w:p>
    <w:p w14:paraId="5892B1EE">
      <w:pPr>
        <w:numPr>
          <w:ilvl w:val="0"/>
          <w:numId w:val="0"/>
        </w:numPr>
        <w:spacing w:line="360" w:lineRule="auto"/>
        <w:jc w:val="center"/>
        <w:rPr>
          <w:rFonts w:ascii="宋体" w:hAnsi="宋体" w:cs="宋体"/>
          <w:b/>
          <w:kern w:val="28"/>
          <w:sz w:val="36"/>
          <w:szCs w:val="20"/>
        </w:rPr>
      </w:pPr>
      <w:r>
        <w:rPr>
          <w:rFonts w:hint="eastAsia" w:ascii="宋体" w:hAnsi="宋体" w:cs="宋体"/>
          <w:b/>
        </w:rPr>
        <w:br w:type="column"/>
      </w:r>
      <w:r>
        <w:rPr>
          <w:rFonts w:hint="eastAsia" w:ascii="宋体" w:hAnsi="宋体" w:cs="宋体"/>
          <w:b/>
          <w:kern w:val="28"/>
          <w:sz w:val="36"/>
          <w:szCs w:val="20"/>
        </w:rPr>
        <w:t>技术要求</w:t>
      </w:r>
    </w:p>
    <w:p w14:paraId="7003EDBD">
      <w:pPr>
        <w:pStyle w:val="42"/>
        <w:spacing w:before="0" w:after="0" w:line="360" w:lineRule="auto"/>
        <w:outlineLvl w:val="1"/>
      </w:pPr>
      <w:bookmarkStart w:id="160" w:name="_Toc9451"/>
      <w:bookmarkStart w:id="161" w:name="_Toc20760"/>
      <w:r>
        <w:rPr>
          <w:rFonts w:hint="eastAsia" w:ascii="宋体" w:hAnsi="宋体" w:cs="宋体"/>
          <w:lang w:val="zh-CN"/>
        </w:rPr>
        <w:t>（一）投标要求</w:t>
      </w:r>
      <w:bookmarkEnd w:id="160"/>
      <w:bookmarkEnd w:id="161"/>
    </w:p>
    <w:p w14:paraId="6E8ADC49">
      <w:pPr>
        <w:pStyle w:val="42"/>
        <w:spacing w:before="0" w:after="0" w:line="440" w:lineRule="exact"/>
        <w:ind w:firstLine="562"/>
        <w:jc w:val="left"/>
        <w:outlineLvl w:val="1"/>
        <w:rPr>
          <w:rFonts w:ascii="宋体" w:hAnsi="宋体" w:cs="宋体"/>
          <w:lang w:val="zh-CN"/>
        </w:rPr>
      </w:pPr>
      <w:bookmarkStart w:id="162" w:name="_Toc15773"/>
      <w:bookmarkStart w:id="163" w:name="_Toc4601"/>
      <w:bookmarkStart w:id="164" w:name="_Toc29432"/>
      <w:bookmarkStart w:id="165" w:name="_Toc7736"/>
      <w:bookmarkStart w:id="166" w:name="_Toc642"/>
      <w:bookmarkStart w:id="167" w:name="_Toc18880"/>
      <w:bookmarkStart w:id="168" w:name="_Toc515908234"/>
      <w:bookmarkStart w:id="169" w:name="_Toc24176"/>
      <w:bookmarkStart w:id="170" w:name="_Toc16505"/>
      <w:r>
        <w:rPr>
          <w:rFonts w:hint="eastAsia" w:ascii="宋体" w:hAnsi="宋体" w:cs="宋体"/>
          <w:sz w:val="28"/>
          <w:szCs w:val="28"/>
          <w:lang w:val="zh-CN"/>
        </w:rPr>
        <w:t>1.投标说明</w:t>
      </w:r>
      <w:bookmarkEnd w:id="162"/>
      <w:bookmarkEnd w:id="163"/>
      <w:bookmarkEnd w:id="164"/>
      <w:bookmarkEnd w:id="165"/>
      <w:bookmarkEnd w:id="166"/>
    </w:p>
    <w:p w14:paraId="7DAE5399">
      <w:pPr>
        <w:autoSpaceDE w:val="0"/>
        <w:autoSpaceDN w:val="0"/>
        <w:spacing w:line="440" w:lineRule="exact"/>
        <w:ind w:firstLine="480"/>
        <w:rPr>
          <w:lang w:val="zh-CN"/>
        </w:rPr>
      </w:pPr>
      <w:r>
        <w:rPr>
          <w:rFonts w:hint="eastAsia"/>
          <w:lang w:val="zh-CN"/>
        </w:rPr>
        <w:t>1.1 投标人可以按照</w:t>
      </w:r>
      <w:r>
        <w:rPr>
          <w:rFonts w:hint="eastAsia"/>
        </w:rPr>
        <w:t>磋商</w:t>
      </w:r>
      <w:r>
        <w:rPr>
          <w:rFonts w:hint="eastAsia"/>
          <w:lang w:val="zh-CN"/>
        </w:rPr>
        <w:t>文件规定进行投标，但必须对所有内容作为一个整体进行投标，不能拆分或少报。否则，投标无效。</w:t>
      </w:r>
    </w:p>
    <w:p w14:paraId="6ED4DFC6">
      <w:pPr>
        <w:autoSpaceDE w:val="0"/>
        <w:autoSpaceDN w:val="0"/>
        <w:spacing w:line="440" w:lineRule="exact"/>
        <w:ind w:firstLine="480"/>
        <w:rPr>
          <w:lang w:val="zh-CN"/>
        </w:rPr>
      </w:pPr>
      <w:r>
        <w:rPr>
          <w:rFonts w:hint="eastAsia"/>
          <w:lang w:val="zh-CN"/>
        </w:rPr>
        <w:t>1.2 投标人必须如实填写“技术规格响应表”，在“投标产品技术参数、指标”栏中列出所投产品的具体技术参数、指标；以采购人需求为最低指标要求，投标人对超出或不满足最低指标要求的指标需列出“＋、-”偏差。若在评审环节发现该项与磋商响应文件中提供的产品检测报告、彩页（或厂家公开发布的资料参数）等证明材料的实质性响应情况不一致，仅作为扣分依据，不作为否决投标条款。若直接复制磋商文件“采购需求技术参数、指标”内容的，则视为投标无效。</w:t>
      </w:r>
    </w:p>
    <w:p w14:paraId="21FEEDFC">
      <w:pPr>
        <w:autoSpaceDE w:val="0"/>
        <w:autoSpaceDN w:val="0"/>
        <w:spacing w:line="440" w:lineRule="exact"/>
        <w:ind w:firstLine="480"/>
        <w:rPr>
          <w:lang w:val="zh-CN"/>
        </w:rPr>
      </w:pPr>
      <w:r>
        <w:rPr>
          <w:rFonts w:hint="eastAsia"/>
          <w:lang w:val="zh-CN"/>
        </w:rPr>
        <w:t>1.</w:t>
      </w:r>
      <w:r>
        <w:rPr>
          <w:rFonts w:hint="eastAsia"/>
        </w:rPr>
        <w:t>3</w:t>
      </w:r>
      <w:r>
        <w:rPr>
          <w:rFonts w:hint="eastAsia"/>
          <w:lang w:val="zh-CN"/>
        </w:rPr>
        <w:t>所投产品或其任何一部分不得侵犯专利权、著作权、商标权和工业设计权等知识产权。</w:t>
      </w:r>
    </w:p>
    <w:p w14:paraId="52F83E2F">
      <w:pPr>
        <w:autoSpaceDE w:val="0"/>
        <w:autoSpaceDN w:val="0"/>
        <w:spacing w:line="440" w:lineRule="exact"/>
        <w:ind w:firstLine="480"/>
        <w:rPr>
          <w:lang w:val="zh-CN"/>
        </w:rPr>
      </w:pPr>
      <w:r>
        <w:rPr>
          <w:rFonts w:hint="eastAsia"/>
          <w:lang w:val="zh-CN"/>
        </w:rPr>
        <w:t>1.</w:t>
      </w:r>
      <w:r>
        <w:rPr>
          <w:rFonts w:hint="eastAsia"/>
        </w:rPr>
        <w:t>4</w:t>
      </w:r>
      <w:r>
        <w:rPr>
          <w:rFonts w:hint="eastAsia"/>
          <w:lang w:val="zh-CN"/>
        </w:rPr>
        <w:t xml:space="preserve"> 项目中标后分包情况：不允许。（允许，投标人拟在中标后将中标项目的非主体、非关键性工作分包的，应当在投标文件中载明分包承担主体，分包承担主体应当具备相应资质条件且不得再次分包）</w:t>
      </w:r>
    </w:p>
    <w:p w14:paraId="10E1B3AF">
      <w:pPr>
        <w:pStyle w:val="42"/>
        <w:spacing w:before="0" w:after="0" w:line="440" w:lineRule="exact"/>
        <w:ind w:firstLine="562"/>
        <w:jc w:val="left"/>
        <w:outlineLvl w:val="1"/>
        <w:rPr>
          <w:rFonts w:ascii="宋体" w:hAnsi="宋体" w:cs="宋体"/>
          <w:lang w:val="zh-CN"/>
        </w:rPr>
      </w:pPr>
      <w:bookmarkStart w:id="171" w:name="_Toc26125"/>
      <w:bookmarkStart w:id="172" w:name="_Toc8774"/>
      <w:bookmarkStart w:id="173" w:name="_Toc359"/>
      <w:bookmarkStart w:id="174" w:name="_Toc14682"/>
      <w:bookmarkStart w:id="175" w:name="_Toc20426"/>
      <w:r>
        <w:rPr>
          <w:rFonts w:hint="eastAsia" w:ascii="宋体" w:hAnsi="宋体" w:cs="宋体"/>
          <w:sz w:val="28"/>
          <w:szCs w:val="28"/>
        </w:rPr>
        <w:t>2.</w:t>
      </w:r>
      <w:bookmarkEnd w:id="171"/>
      <w:bookmarkStart w:id="176" w:name="_Toc1475"/>
      <w:r>
        <w:rPr>
          <w:rFonts w:hint="eastAsia" w:ascii="宋体" w:hAnsi="宋体" w:cs="宋体"/>
          <w:sz w:val="28"/>
          <w:szCs w:val="28"/>
          <w:lang w:val="zh-CN"/>
        </w:rPr>
        <w:t>重要指标</w:t>
      </w:r>
      <w:bookmarkEnd w:id="172"/>
      <w:bookmarkEnd w:id="173"/>
      <w:bookmarkEnd w:id="174"/>
      <w:bookmarkEnd w:id="175"/>
      <w:bookmarkEnd w:id="176"/>
    </w:p>
    <w:p w14:paraId="1AFC62A7">
      <w:pPr>
        <w:autoSpaceDE w:val="0"/>
        <w:autoSpaceDN w:val="0"/>
        <w:spacing w:line="440" w:lineRule="exact"/>
        <w:ind w:firstLine="480"/>
        <w:rPr>
          <w:lang w:val="zh-CN"/>
        </w:rPr>
      </w:pPr>
      <w:r>
        <w:rPr>
          <w:rFonts w:hint="eastAsia"/>
        </w:rPr>
        <w:t>2</w:t>
      </w:r>
      <w:r>
        <w:rPr>
          <w:rFonts w:hint="eastAsia"/>
          <w:lang w:val="zh-CN"/>
        </w:rPr>
        <w:t>.</w:t>
      </w:r>
      <w:r>
        <w:rPr>
          <w:rFonts w:hint="eastAsia"/>
        </w:rPr>
        <w:t xml:space="preserve">1 </w:t>
      </w:r>
      <w:r>
        <w:rPr>
          <w:rFonts w:hint="eastAsia"/>
          <w:lang w:val="zh-CN"/>
        </w:rPr>
        <w:t>招标文件中凡需与原有设备、系统并机、兼容、匹配等要求的，请主动和采购人联系，取得原有设备、系统相关资料。若有招标文件未提及或变更内容的，请及时与采购人或者采购代理机构联系。</w:t>
      </w:r>
    </w:p>
    <w:p w14:paraId="0B14339D">
      <w:pPr>
        <w:autoSpaceDE w:val="0"/>
        <w:autoSpaceDN w:val="0"/>
        <w:spacing w:line="440" w:lineRule="exact"/>
        <w:ind w:firstLine="480"/>
      </w:pPr>
      <w:r>
        <w:rPr>
          <w:rFonts w:hint="eastAsia"/>
        </w:rPr>
        <w:t>2</w:t>
      </w:r>
      <w:r>
        <w:rPr>
          <w:rFonts w:hint="eastAsia"/>
          <w:lang w:val="zh-CN"/>
        </w:rPr>
        <w:t>.</w:t>
      </w:r>
      <w:r>
        <w:rPr>
          <w:rFonts w:hint="eastAsia"/>
        </w:rPr>
        <w:t xml:space="preserve">2 </w:t>
      </w:r>
      <w:r>
        <w:rPr>
          <w:rFonts w:hint="eastAsia"/>
          <w:lang w:val="zh-CN"/>
        </w:rPr>
        <w:t>技术参数中除注明签订合同时提供</w:t>
      </w:r>
      <w:r>
        <w:rPr>
          <w:rFonts w:hint="eastAsia"/>
        </w:rPr>
        <w:t>的相关授权、服务承诺等资料以外，其余相关资料在投标时必须附在投标文件中。</w:t>
      </w:r>
    </w:p>
    <w:p w14:paraId="7109A9EE">
      <w:pPr>
        <w:pStyle w:val="42"/>
        <w:spacing w:before="0" w:after="0" w:line="480" w:lineRule="auto"/>
        <w:ind w:firstLine="562"/>
        <w:jc w:val="left"/>
        <w:outlineLvl w:val="1"/>
        <w:rPr>
          <w:rFonts w:ascii="宋体" w:hAnsi="宋体" w:cs="宋体"/>
          <w:sz w:val="28"/>
          <w:szCs w:val="28"/>
          <w:lang w:val="zh-CN"/>
        </w:rPr>
      </w:pPr>
      <w:bookmarkStart w:id="177" w:name="_Toc9547"/>
      <w:bookmarkStart w:id="178" w:name="_Toc4167"/>
      <w:bookmarkStart w:id="179" w:name="_Toc6659"/>
      <w:r>
        <w:rPr>
          <w:rFonts w:hint="eastAsia" w:ascii="宋体" w:hAnsi="宋体" w:cs="宋体"/>
          <w:sz w:val="28"/>
          <w:szCs w:val="28"/>
          <w:lang w:val="zh-CN"/>
        </w:rPr>
        <w:t>3.商务要求</w:t>
      </w:r>
      <w:bookmarkEnd w:id="167"/>
      <w:bookmarkEnd w:id="168"/>
      <w:bookmarkEnd w:id="177"/>
      <w:bookmarkEnd w:id="178"/>
      <w:bookmarkEnd w:id="179"/>
    </w:p>
    <w:p w14:paraId="27061EF6">
      <w:pPr>
        <w:kinsoku w:val="0"/>
        <w:autoSpaceDE w:val="0"/>
        <w:autoSpaceDN w:val="0"/>
        <w:adjustRightInd w:val="0"/>
        <w:snapToGrid w:val="0"/>
        <w:spacing w:line="360" w:lineRule="auto"/>
        <w:ind w:firstLine="482" w:firstLineChars="200"/>
        <w:textAlignment w:val="baseline"/>
        <w:rPr>
          <w:rFonts w:hint="default" w:ascii="宋体" w:hAnsi="宋体" w:eastAsia="宋体" w:cs="宋体"/>
          <w:b/>
          <w:bCs/>
          <w:lang w:val="en-US" w:eastAsia="zh-CN"/>
        </w:rPr>
      </w:pPr>
      <w:r>
        <w:rPr>
          <w:rFonts w:hint="eastAsia" w:ascii="宋体" w:hAnsi="宋体" w:cs="宋体"/>
          <w:b/>
          <w:bCs/>
          <w:lang w:val="zh-CN"/>
        </w:rPr>
        <w:t>3.1.交货</w:t>
      </w:r>
      <w:r>
        <w:rPr>
          <w:rFonts w:hint="eastAsia" w:ascii="宋体" w:hAnsi="宋体" w:cs="宋体"/>
          <w:b/>
          <w:bCs/>
        </w:rPr>
        <w:t>期：合同签订后60天内交货并验收完成；</w:t>
      </w:r>
    </w:p>
    <w:p w14:paraId="6005950C">
      <w:pPr>
        <w:kinsoku w:val="0"/>
        <w:autoSpaceDE w:val="0"/>
        <w:autoSpaceDN w:val="0"/>
        <w:adjustRightInd w:val="0"/>
        <w:snapToGrid w:val="0"/>
        <w:spacing w:line="360" w:lineRule="auto"/>
        <w:ind w:firstLine="482" w:firstLineChars="200"/>
        <w:textAlignment w:val="baseline"/>
        <w:rPr>
          <w:rFonts w:hint="default" w:ascii="宋体" w:hAnsi="宋体" w:eastAsia="宋体" w:cs="宋体"/>
          <w:b/>
          <w:bCs/>
          <w:lang w:val="en-US" w:eastAsia="zh-CN"/>
        </w:rPr>
      </w:pPr>
      <w:r>
        <w:rPr>
          <w:rFonts w:hint="eastAsia" w:ascii="宋体" w:hAnsi="宋体" w:cs="宋体"/>
          <w:b/>
          <w:bCs/>
        </w:rPr>
        <w:t>3.2.交货地点</w:t>
      </w:r>
      <w:r>
        <w:rPr>
          <w:rFonts w:hint="eastAsia" w:ascii="宋体" w:hAnsi="宋体" w:cs="宋体"/>
          <w:b/>
          <w:bCs/>
          <w:lang w:val="zh-CN"/>
        </w:rPr>
        <w:t>：</w:t>
      </w:r>
      <w:r>
        <w:rPr>
          <w:rFonts w:hint="eastAsia" w:ascii="宋体" w:hAnsi="宋体" w:cs="宋体"/>
          <w:b/>
          <w:bCs/>
          <w:lang w:val="en-US" w:eastAsia="zh-CN"/>
        </w:rPr>
        <w:t>青海柴达木职业技术学院</w:t>
      </w:r>
    </w:p>
    <w:p w14:paraId="3A51DEAF">
      <w:pPr>
        <w:autoSpaceDE w:val="0"/>
        <w:autoSpaceDN w:val="0"/>
        <w:adjustRightInd w:val="0"/>
        <w:spacing w:line="360" w:lineRule="auto"/>
        <w:ind w:firstLine="482" w:firstLineChars="200"/>
        <w:rPr>
          <w:rFonts w:hint="eastAsia" w:ascii="宋体" w:hAnsi="宋体" w:cs="宋体"/>
          <w:b/>
          <w:bCs/>
        </w:rPr>
      </w:pPr>
      <w:r>
        <w:rPr>
          <w:rFonts w:hint="eastAsia" w:ascii="宋体" w:hAnsi="宋体" w:cs="宋体"/>
          <w:b/>
          <w:bCs/>
        </w:rPr>
        <w:t>3.3.付款方式：</w:t>
      </w:r>
      <w:bookmarkEnd w:id="169"/>
      <w:bookmarkEnd w:id="170"/>
      <w:bookmarkStart w:id="180" w:name="分部分项工程和单价措施项目清单与计价表"/>
      <w:bookmarkEnd w:id="180"/>
    </w:p>
    <w:p w14:paraId="5966460A">
      <w:pPr>
        <w:autoSpaceDE w:val="0"/>
        <w:autoSpaceDN w:val="0"/>
        <w:adjustRightInd w:val="0"/>
        <w:spacing w:line="360" w:lineRule="auto"/>
        <w:ind w:firstLine="723" w:firstLineChars="300"/>
        <w:rPr>
          <w:rFonts w:hint="eastAsia" w:ascii="宋体" w:hAnsi="宋体" w:cs="宋体"/>
          <w:b/>
          <w:bCs/>
        </w:rPr>
      </w:pPr>
      <w:r>
        <w:rPr>
          <w:rFonts w:hint="eastAsia" w:ascii="宋体" w:hAnsi="宋体" w:cs="宋体"/>
          <w:b/>
          <w:bCs/>
          <w:lang w:val="en-US" w:eastAsia="zh-CN"/>
        </w:rPr>
        <w:t>3.3.</w:t>
      </w:r>
      <w:r>
        <w:rPr>
          <w:rFonts w:hint="eastAsia" w:ascii="宋体" w:hAnsi="宋体" w:cs="宋体"/>
          <w:b/>
          <w:bCs/>
        </w:rPr>
        <w:t>1.</w:t>
      </w:r>
      <w:r>
        <w:rPr>
          <w:rFonts w:hint="eastAsia" w:ascii="宋体" w:hAnsi="宋体" w:cs="宋体"/>
          <w:b/>
          <w:bCs/>
          <w:lang w:val="en-US" w:eastAsia="zh-CN"/>
        </w:rPr>
        <w:t xml:space="preserve"> </w:t>
      </w:r>
      <w:r>
        <w:rPr>
          <w:rFonts w:hint="eastAsia" w:ascii="宋体" w:hAnsi="宋体" w:cs="宋体"/>
          <w:b/>
          <w:bCs/>
        </w:rPr>
        <w:t>签订合同前乙方向甲方支付合同价5%履约保证金至甲方指定账户（或5%的保函），即人民币</w:t>
      </w:r>
      <w:r>
        <w:rPr>
          <w:rFonts w:hint="eastAsia" w:ascii="宋体" w:hAnsi="宋体" w:cs="宋体"/>
          <w:b/>
          <w:bCs/>
          <w:u w:val="single"/>
        </w:rPr>
        <w:t xml:space="preserve">        </w:t>
      </w:r>
      <w:r>
        <w:rPr>
          <w:rFonts w:hint="eastAsia" w:ascii="宋体" w:hAnsi="宋体" w:cs="宋体"/>
          <w:b/>
          <w:bCs/>
        </w:rPr>
        <w:t>，大写：</w:t>
      </w:r>
      <w:r>
        <w:rPr>
          <w:rFonts w:hint="eastAsia" w:ascii="宋体" w:hAnsi="宋体" w:eastAsia="宋体" w:cs="宋体"/>
          <w:b/>
          <w:bCs/>
          <w:u w:val="single"/>
        </w:rPr>
        <w:t xml:space="preserve">     </w:t>
      </w:r>
      <w:r>
        <w:rPr>
          <w:rFonts w:hint="eastAsia" w:ascii="宋体" w:hAnsi="宋体" w:cs="宋体"/>
          <w:b/>
          <w:bCs/>
        </w:rPr>
        <w:t xml:space="preserve"> ,或金融机构、担保机构出具的履约保函，保证项目的正常实施。</w:t>
      </w:r>
    </w:p>
    <w:p w14:paraId="5CDE8B83">
      <w:pPr>
        <w:autoSpaceDE w:val="0"/>
        <w:autoSpaceDN w:val="0"/>
        <w:adjustRightInd w:val="0"/>
        <w:spacing w:line="360" w:lineRule="auto"/>
        <w:ind w:firstLine="723" w:firstLineChars="300"/>
        <w:rPr>
          <w:rFonts w:hint="eastAsia" w:ascii="宋体" w:hAnsi="宋体" w:cs="宋体"/>
          <w:b/>
          <w:bCs/>
          <w:lang w:val="en-US" w:eastAsia="zh-CN"/>
        </w:rPr>
      </w:pPr>
      <w:r>
        <w:rPr>
          <w:rFonts w:hint="eastAsia" w:ascii="宋体" w:hAnsi="宋体" w:cs="宋体"/>
          <w:b/>
          <w:bCs/>
          <w:lang w:val="en-US" w:eastAsia="zh-CN"/>
        </w:rPr>
        <w:t>3.3.</w:t>
      </w:r>
      <w:r>
        <w:rPr>
          <w:rFonts w:hint="eastAsia" w:ascii="宋体" w:hAnsi="宋体" w:cs="宋体"/>
          <w:b/>
          <w:bCs/>
        </w:rPr>
        <w:t>2. 自合同签订生效后，甲方向乙方支付预付款（中标价的30%），即人民币</w:t>
      </w:r>
      <w:r>
        <w:rPr>
          <w:rFonts w:hint="eastAsia" w:ascii="宋体" w:hAnsi="宋体" w:eastAsia="宋体" w:cs="宋体"/>
          <w:b/>
          <w:bCs/>
          <w:u w:val="single"/>
        </w:rPr>
        <w:t xml:space="preserve">       </w:t>
      </w:r>
      <w:r>
        <w:rPr>
          <w:rFonts w:hint="eastAsia" w:ascii="宋体" w:hAnsi="宋体" w:cs="宋体"/>
          <w:b/>
          <w:bCs/>
        </w:rPr>
        <w:t xml:space="preserve"> ，大写：</w:t>
      </w:r>
      <w:r>
        <w:rPr>
          <w:rFonts w:hint="eastAsia" w:ascii="宋体" w:hAnsi="宋体" w:eastAsia="宋体" w:cs="宋体"/>
          <w:b/>
          <w:bCs/>
          <w:u w:val="single"/>
        </w:rPr>
        <w:t xml:space="preserve">      </w:t>
      </w:r>
      <w:r>
        <w:rPr>
          <w:rFonts w:hint="eastAsia" w:ascii="宋体" w:hAnsi="宋体" w:cs="宋体"/>
          <w:b/>
          <w:bCs/>
        </w:rPr>
        <w:t>；到货清点后15个工作日内甲方向乙方支付合同总价款的40%，即人民币</w:t>
      </w:r>
      <w:r>
        <w:rPr>
          <w:rFonts w:hint="eastAsia" w:ascii="宋体" w:hAnsi="宋体" w:eastAsia="宋体" w:cs="宋体"/>
          <w:b/>
          <w:bCs/>
          <w:u w:val="single"/>
        </w:rPr>
        <w:t xml:space="preserve">        </w:t>
      </w:r>
      <w:r>
        <w:rPr>
          <w:rFonts w:hint="eastAsia" w:ascii="宋体" w:hAnsi="宋体" w:cs="宋体"/>
          <w:b/>
          <w:bCs/>
        </w:rPr>
        <w:t>，大写：</w:t>
      </w:r>
      <w:r>
        <w:rPr>
          <w:rFonts w:hint="eastAsia" w:ascii="宋体" w:hAnsi="宋体" w:eastAsia="宋体" w:cs="宋体"/>
          <w:b/>
          <w:bCs/>
          <w:u w:val="single"/>
        </w:rPr>
        <w:t xml:space="preserve">      </w:t>
      </w:r>
      <w:r>
        <w:rPr>
          <w:rFonts w:hint="eastAsia" w:ascii="宋体" w:hAnsi="宋体" w:cs="宋体"/>
          <w:b/>
          <w:bCs/>
        </w:rPr>
        <w:t>。验收合格后</w:t>
      </w:r>
      <w:r>
        <w:rPr>
          <w:rFonts w:hint="eastAsia" w:ascii="宋体" w:hAnsi="宋体" w:cs="宋体"/>
          <w:b/>
          <w:bCs/>
          <w:i w:val="0"/>
          <w:iCs w:val="0"/>
          <w:u w:val="single"/>
        </w:rPr>
        <w:t xml:space="preserve">   </w:t>
      </w:r>
      <w:r>
        <w:rPr>
          <w:rFonts w:hint="eastAsia" w:ascii="宋体" w:hAnsi="宋体" w:cs="宋体"/>
          <w:b/>
          <w:bCs/>
        </w:rPr>
        <w:t>个工作日内甲方向乙方支付合同总价款的30%，即人民币</w:t>
      </w:r>
      <w:r>
        <w:rPr>
          <w:rFonts w:hint="eastAsia" w:ascii="宋体" w:hAnsi="宋体" w:eastAsia="宋体" w:cs="宋体"/>
          <w:b/>
          <w:bCs/>
          <w:u w:val="single"/>
        </w:rPr>
        <w:t xml:space="preserve">       </w:t>
      </w:r>
      <w:r>
        <w:rPr>
          <w:rFonts w:hint="eastAsia" w:ascii="宋体" w:hAnsi="宋体" w:cs="宋体"/>
          <w:b/>
          <w:bCs/>
        </w:rPr>
        <w:t xml:space="preserve"> ，大写：</w:t>
      </w:r>
      <w:r>
        <w:rPr>
          <w:rFonts w:hint="eastAsia" w:ascii="宋体" w:hAnsi="宋体" w:eastAsia="宋体" w:cs="宋体"/>
          <w:b/>
          <w:bCs/>
          <w:u w:val="single"/>
        </w:rPr>
        <w:t xml:space="preserve">     </w:t>
      </w:r>
      <w:r>
        <w:rPr>
          <w:rFonts w:hint="eastAsia" w:ascii="宋体" w:hAnsi="宋体" w:cs="宋体"/>
          <w:b/>
          <w:bCs/>
        </w:rPr>
        <w:t>。</w:t>
      </w:r>
      <w:r>
        <w:rPr>
          <w:rFonts w:hint="eastAsia" w:ascii="宋体" w:hAnsi="宋体" w:cs="宋体"/>
          <w:b/>
          <w:bCs/>
          <w:lang w:val="en-US" w:eastAsia="zh-CN"/>
        </w:rPr>
        <w:t xml:space="preserve"> </w:t>
      </w:r>
    </w:p>
    <w:p w14:paraId="34AB7A87">
      <w:pPr>
        <w:autoSpaceDE w:val="0"/>
        <w:autoSpaceDN w:val="0"/>
        <w:adjustRightInd w:val="0"/>
        <w:spacing w:line="360" w:lineRule="auto"/>
        <w:ind w:firstLine="723" w:firstLineChars="300"/>
        <w:rPr>
          <w:rFonts w:ascii="宋体" w:hAnsi="宋体" w:cs="宋体"/>
          <w:b/>
          <w:bCs/>
          <w:color w:val="0000FF"/>
        </w:rPr>
      </w:pPr>
      <w:r>
        <w:rPr>
          <w:rFonts w:hint="eastAsia" w:ascii="宋体" w:hAnsi="宋体" w:cs="宋体"/>
          <w:b/>
          <w:bCs/>
          <w:lang w:val="en-US" w:eastAsia="zh-CN"/>
        </w:rPr>
        <w:t>3.3.</w:t>
      </w:r>
      <w:r>
        <w:rPr>
          <w:rFonts w:hint="eastAsia" w:ascii="宋体" w:hAnsi="宋体" w:cs="宋体"/>
          <w:b/>
          <w:bCs/>
        </w:rPr>
        <w:t>3.</w:t>
      </w:r>
      <w:r>
        <w:rPr>
          <w:rFonts w:hint="eastAsia" w:ascii="宋体" w:hAnsi="宋体" w:cs="宋体"/>
          <w:b/>
          <w:bCs/>
          <w:lang w:val="en-US" w:eastAsia="zh-CN"/>
        </w:rPr>
        <w:t xml:space="preserve"> </w:t>
      </w:r>
      <w:r>
        <w:rPr>
          <w:rFonts w:hint="eastAsia" w:ascii="宋体" w:hAnsi="宋体" w:cs="宋体"/>
          <w:b/>
          <w:bCs/>
        </w:rPr>
        <w:t>履约保证金待项目完工甲方验收产品无质量问题后15日内，由甲方以转账方式予以拨付，不计利息。</w:t>
      </w:r>
    </w:p>
    <w:p w14:paraId="4BB52D1D">
      <w:pPr>
        <w:pStyle w:val="62"/>
        <w:ind w:firstLine="489"/>
        <w:rPr>
          <w:rFonts w:ascii="宋体" w:hAnsi="宋体"/>
          <w:b/>
          <w:bCs/>
        </w:rPr>
        <w:sectPr>
          <w:headerReference r:id="rId13" w:type="default"/>
          <w:footerReference r:id="rId14" w:type="default"/>
          <w:pgSz w:w="11906" w:h="16838"/>
          <w:pgMar w:top="1440" w:right="1706" w:bottom="1440" w:left="1800" w:header="851" w:footer="992" w:gutter="0"/>
          <w:pgNumType w:fmt="decimal"/>
          <w:cols w:space="720" w:num="1"/>
          <w:docGrid w:type="lines" w:linePitch="326" w:charSpace="0"/>
        </w:sectPr>
      </w:pPr>
      <w:r>
        <w:rPr>
          <w:rFonts w:hint="eastAsia" w:ascii="宋体" w:hAnsi="宋体"/>
          <w:b/>
          <w:bCs/>
        </w:rPr>
        <w:t>3.4.</w:t>
      </w:r>
      <w:r>
        <w:rPr>
          <w:rFonts w:hint="eastAsia" w:ascii="宋体" w:hAnsi="宋体"/>
          <w:b/>
          <w:bCs/>
          <w:lang w:val="en-US" w:eastAsia="zh-CN"/>
        </w:rPr>
        <w:t xml:space="preserve"> </w:t>
      </w:r>
      <w:r>
        <w:rPr>
          <w:rFonts w:hint="eastAsia" w:ascii="宋体" w:hAnsi="宋体"/>
          <w:b/>
          <w:bCs/>
        </w:rPr>
        <w:t>质保期：</w:t>
      </w:r>
      <w:r>
        <w:rPr>
          <w:rFonts w:hint="eastAsia" w:ascii="宋体" w:hAnsi="宋体"/>
          <w:b/>
          <w:bCs/>
          <w:lang w:val="en-US" w:eastAsia="zh-CN"/>
        </w:rPr>
        <w:t>3</w:t>
      </w:r>
      <w:r>
        <w:rPr>
          <w:rFonts w:hint="eastAsia" w:ascii="宋体" w:hAnsi="宋体"/>
          <w:b/>
          <w:bCs/>
        </w:rPr>
        <w:t>年</w:t>
      </w:r>
    </w:p>
    <w:p w14:paraId="3B6E8707">
      <w:pPr>
        <w:pStyle w:val="42"/>
        <w:spacing w:before="0" w:after="0" w:line="360" w:lineRule="auto"/>
        <w:outlineLvl w:val="1"/>
        <w:rPr>
          <w:rFonts w:ascii="宋体" w:hAnsi="宋体" w:cs="宋体"/>
          <w:lang w:val="zh-CN"/>
        </w:rPr>
      </w:pPr>
      <w:r>
        <w:rPr>
          <w:rFonts w:hint="eastAsia" w:ascii="宋体" w:hAnsi="宋体" w:cs="宋体"/>
        </w:rPr>
        <w:t>（二）采购技术参数</w:t>
      </w:r>
    </w:p>
    <w:tbl>
      <w:tblPr>
        <w:tblStyle w:val="45"/>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70"/>
        <w:gridCol w:w="9652"/>
        <w:gridCol w:w="799"/>
        <w:gridCol w:w="663"/>
      </w:tblGrid>
      <w:tr w14:paraId="6997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00" w:type="pct"/>
            <w:gridSpan w:val="5"/>
            <w:vAlign w:val="center"/>
          </w:tcPr>
          <w:p w14:paraId="4259D6CE">
            <w:pPr>
              <w:widowControl w:val="0"/>
              <w:jc w:val="left"/>
              <w:textAlignment w:val="auto"/>
              <w:rPr>
                <w:rFonts w:hint="eastAsia" w:ascii="宋体" w:hAnsi="宋体" w:eastAsia="宋体" w:cs="宋体"/>
                <w:b w:val="0"/>
                <w:bCs w:val="0"/>
                <w:color w:val="auto"/>
                <w:kern w:val="0"/>
                <w:sz w:val="44"/>
                <w:szCs w:val="44"/>
                <w:lang w:val="en-US" w:eastAsia="zh-CN"/>
              </w:rPr>
            </w:pPr>
            <w:r>
              <w:rPr>
                <w:rFonts w:hint="eastAsia" w:ascii="宋体" w:hAnsi="宋体" w:eastAsia="宋体" w:cs="宋体"/>
                <w:b w:val="0"/>
                <w:bCs w:val="0"/>
                <w:color w:val="auto"/>
                <w:kern w:val="0"/>
                <w:sz w:val="44"/>
                <w:szCs w:val="44"/>
                <w:lang w:val="en-US" w:eastAsia="zh-CN"/>
              </w:rPr>
              <w:t>包1：</w:t>
            </w:r>
            <w:r>
              <w:rPr>
                <w:rFonts w:hint="eastAsia" w:ascii="宋体" w:hAnsi="宋体" w:cs="宋体"/>
                <w:b w:val="0"/>
                <w:bCs w:val="0"/>
                <w:color w:val="auto"/>
                <w:kern w:val="0"/>
                <w:sz w:val="44"/>
                <w:szCs w:val="44"/>
                <w:lang w:val="en-US" w:eastAsia="zh-CN"/>
              </w:rPr>
              <w:t>青海柴达木职业技术学院医学系专业群实训室建设和升级改造项目</w:t>
            </w:r>
          </w:p>
        </w:tc>
      </w:tr>
      <w:tr w14:paraId="6036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00" w:type="pct"/>
            <w:gridSpan w:val="5"/>
            <w:vAlign w:val="center"/>
          </w:tcPr>
          <w:p w14:paraId="3DF2F98D">
            <w:pPr>
              <w:widowControl w:val="0"/>
              <w:spacing w:line="240" w:lineRule="auto"/>
              <w:jc w:val="center"/>
              <w:textAlignment w:val="auto"/>
              <w:rPr>
                <w:rFonts w:hint="eastAsia" w:ascii="宋体" w:hAnsi="宋体" w:eastAsia="宋体" w:cs="宋体"/>
                <w:b w:val="0"/>
                <w:bCs/>
                <w:color w:val="auto"/>
                <w:kern w:val="2"/>
                <w:sz w:val="32"/>
                <w:szCs w:val="32"/>
                <w:highlight w:val="none"/>
                <w:lang w:val="en-US" w:eastAsia="zh-CN"/>
              </w:rPr>
            </w:pPr>
            <w:r>
              <w:rPr>
                <w:rFonts w:hint="eastAsia" w:ascii="宋体" w:hAnsi="宋体" w:eastAsia="宋体" w:cs="宋体"/>
                <w:b w:val="0"/>
                <w:bCs/>
                <w:color w:val="auto"/>
                <w:kern w:val="2"/>
                <w:sz w:val="32"/>
                <w:szCs w:val="32"/>
                <w:highlight w:val="none"/>
                <w:lang w:val="en-US" w:eastAsia="zh-CN"/>
              </w:rPr>
              <w:t>老年保健与管理实训室设备</w:t>
            </w:r>
          </w:p>
        </w:tc>
      </w:tr>
      <w:tr w14:paraId="42FE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1" w:type="pct"/>
            <w:vAlign w:val="center"/>
          </w:tcPr>
          <w:p w14:paraId="0312DDB6">
            <w:pPr>
              <w:widowControl/>
              <w:adjustRightInd w:val="0"/>
              <w:snapToGrid w:val="0"/>
              <w:spacing w:line="240" w:lineRule="auto"/>
              <w:jc w:val="center"/>
              <w:textAlignment w:val="center"/>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bCs/>
                <w:color w:val="auto"/>
                <w:kern w:val="0"/>
                <w:sz w:val="24"/>
                <w:szCs w:val="24"/>
                <w:lang w:bidi="ar"/>
              </w:rPr>
              <w:t>序号</w:t>
            </w:r>
          </w:p>
        </w:tc>
        <w:tc>
          <w:tcPr>
            <w:tcW w:w="608" w:type="pct"/>
            <w:vAlign w:val="center"/>
          </w:tcPr>
          <w:p w14:paraId="4DFF9A23">
            <w:pPr>
              <w:widowControl/>
              <w:adjustRightInd w:val="0"/>
              <w:snapToGrid w:val="0"/>
              <w:spacing w:line="240" w:lineRule="auto"/>
              <w:jc w:val="center"/>
              <w:textAlignment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eastAsia="zh-CN" w:bidi="ar"/>
              </w:rPr>
              <w:t>设备</w:t>
            </w:r>
            <w:r>
              <w:rPr>
                <w:rFonts w:hint="eastAsia" w:asciiTheme="minorEastAsia" w:hAnsiTheme="minorEastAsia" w:eastAsiaTheme="minorEastAsia" w:cstheme="minorEastAsia"/>
                <w:b/>
                <w:bCs/>
                <w:color w:val="auto"/>
                <w:kern w:val="0"/>
                <w:sz w:val="24"/>
                <w:szCs w:val="24"/>
                <w:lang w:bidi="ar"/>
              </w:rPr>
              <w:t>名称</w:t>
            </w:r>
          </w:p>
        </w:tc>
        <w:tc>
          <w:tcPr>
            <w:tcW w:w="3516" w:type="pct"/>
            <w:vAlign w:val="center"/>
          </w:tcPr>
          <w:p w14:paraId="5C6E842F">
            <w:pPr>
              <w:widowControl/>
              <w:adjustRightInd w:val="0"/>
              <w:snapToGrid w:val="0"/>
              <w:spacing w:line="240" w:lineRule="auto"/>
              <w:jc w:val="center"/>
              <w:textAlignment w:val="center"/>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bCs/>
                <w:color w:val="auto"/>
                <w:kern w:val="0"/>
                <w:sz w:val="24"/>
                <w:szCs w:val="24"/>
                <w:lang w:val="en-US" w:eastAsia="zh-CN" w:bidi="ar"/>
              </w:rPr>
              <w:t>技术</w:t>
            </w:r>
            <w:r>
              <w:rPr>
                <w:rFonts w:hint="eastAsia" w:asciiTheme="minorEastAsia" w:hAnsiTheme="minorEastAsia" w:eastAsiaTheme="minorEastAsia" w:cstheme="minorEastAsia"/>
                <w:b/>
                <w:bCs/>
                <w:color w:val="auto"/>
                <w:kern w:val="0"/>
                <w:sz w:val="24"/>
                <w:szCs w:val="24"/>
                <w:lang w:bidi="ar"/>
              </w:rPr>
              <w:t>参数</w:t>
            </w:r>
          </w:p>
        </w:tc>
        <w:tc>
          <w:tcPr>
            <w:tcW w:w="291" w:type="pct"/>
            <w:vAlign w:val="center"/>
          </w:tcPr>
          <w:p w14:paraId="786C49B4">
            <w:pPr>
              <w:widowControl/>
              <w:adjustRightInd w:val="0"/>
              <w:snapToGrid w:val="0"/>
              <w:spacing w:line="240" w:lineRule="auto"/>
              <w:jc w:val="center"/>
              <w:textAlignment w:val="center"/>
              <w:rPr>
                <w:rFonts w:hint="eastAsia" w:asciiTheme="minorEastAsia" w:hAnsiTheme="minorEastAsia" w:eastAsiaTheme="minorEastAsia" w:cstheme="minorEastAsia"/>
                <w:b/>
                <w:bCs/>
                <w:color w:val="auto"/>
                <w:kern w:val="0"/>
                <w:sz w:val="24"/>
                <w:szCs w:val="24"/>
                <w:lang w:bidi="ar"/>
              </w:rPr>
            </w:pPr>
            <w:r>
              <w:rPr>
                <w:rFonts w:hint="eastAsia" w:asciiTheme="minorEastAsia" w:hAnsiTheme="minorEastAsia" w:eastAsiaTheme="minorEastAsia" w:cstheme="minorEastAsia"/>
                <w:b/>
                <w:bCs/>
                <w:color w:val="auto"/>
                <w:kern w:val="0"/>
                <w:sz w:val="24"/>
                <w:szCs w:val="24"/>
                <w:lang w:bidi="ar"/>
              </w:rPr>
              <w:t>数量</w:t>
            </w:r>
          </w:p>
        </w:tc>
        <w:tc>
          <w:tcPr>
            <w:tcW w:w="322" w:type="pct"/>
            <w:vAlign w:val="center"/>
          </w:tcPr>
          <w:p w14:paraId="35FEB6A2">
            <w:pPr>
              <w:widowControl/>
              <w:adjustRightInd w:val="0"/>
              <w:snapToGrid w:val="0"/>
              <w:spacing w:line="240" w:lineRule="auto"/>
              <w:jc w:val="center"/>
              <w:textAlignment w:val="center"/>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bidi="ar"/>
              </w:rPr>
              <w:t>单位</w:t>
            </w:r>
          </w:p>
        </w:tc>
      </w:tr>
      <w:tr w14:paraId="6E77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61" w:type="pct"/>
            <w:vAlign w:val="center"/>
          </w:tcPr>
          <w:p w14:paraId="321F18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608" w:type="pct"/>
            <w:vAlign w:val="center"/>
          </w:tcPr>
          <w:p w14:paraId="17F95C66">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健康体检一体机（</w:t>
            </w:r>
            <w:r>
              <w:rPr>
                <w:rFonts w:hint="eastAsia" w:asciiTheme="minorEastAsia" w:hAnsiTheme="minorEastAsia" w:eastAsiaTheme="minorEastAsia" w:cstheme="minorEastAsia"/>
                <w:b/>
                <w:bCs w:val="0"/>
                <w:color w:val="auto"/>
                <w:kern w:val="2"/>
                <w:sz w:val="24"/>
                <w:szCs w:val="24"/>
                <w:highlight w:val="none"/>
                <w:lang w:val="en-US" w:eastAsia="zh-CN"/>
              </w:rPr>
              <w:t>核心产品</w:t>
            </w:r>
            <w:r>
              <w:rPr>
                <w:rFonts w:hint="eastAsia" w:asciiTheme="minorEastAsia" w:hAnsiTheme="minorEastAsia" w:eastAsiaTheme="minorEastAsia" w:cstheme="minorEastAsia"/>
                <w:b w:val="0"/>
                <w:bCs/>
                <w:color w:val="auto"/>
                <w:kern w:val="2"/>
                <w:sz w:val="24"/>
                <w:szCs w:val="24"/>
                <w:highlight w:val="none"/>
                <w:lang w:val="en-US" w:eastAsia="zh-CN"/>
              </w:rPr>
              <w:t>）</w:t>
            </w:r>
          </w:p>
        </w:tc>
        <w:tc>
          <w:tcPr>
            <w:tcW w:w="3516" w:type="pct"/>
            <w:vAlign w:val="center"/>
          </w:tcPr>
          <w:p w14:paraId="4DE17813">
            <w:pPr>
              <w:widowControl w:val="0"/>
              <w:numPr>
                <w:ilvl w:val="0"/>
                <w:numId w:val="0"/>
              </w:numPr>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1.基础外观与硬件配置要求：配备高清触摸操作屏，支持遥控操作，内含高清摄像头，配置打印机。</w:t>
            </w:r>
          </w:p>
          <w:p w14:paraId="0F2E0510">
            <w:pPr>
              <w:widowControl w:val="0"/>
              <w:numPr>
                <w:ilvl w:val="0"/>
                <w:numId w:val="0"/>
              </w:numPr>
              <w:spacing w:line="240" w:lineRule="auto"/>
              <w:ind w:lef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2.性能要求：</w:t>
            </w:r>
            <w:r>
              <w:rPr>
                <w:rFonts w:hint="eastAsia" w:asciiTheme="minorEastAsia" w:hAnsiTheme="minorEastAsia" w:eastAsiaTheme="minorEastAsia" w:cstheme="minorEastAsia"/>
                <w:b w:val="0"/>
                <w:bCs/>
                <w:color w:val="auto"/>
                <w:kern w:val="2"/>
                <w:sz w:val="24"/>
                <w:szCs w:val="24"/>
                <w:highlight w:val="none"/>
                <w:lang w:val="en-US" w:eastAsia="zh-CN"/>
              </w:rPr>
              <w:br w:type="textWrapping"/>
            </w:r>
            <w:r>
              <w:rPr>
                <w:rFonts w:hint="eastAsia" w:asciiTheme="minorEastAsia" w:hAnsiTheme="minorEastAsia" w:eastAsiaTheme="minorEastAsia" w:cstheme="minorEastAsia"/>
                <w:b w:val="0"/>
                <w:bCs/>
                <w:color w:val="auto"/>
                <w:kern w:val="2"/>
                <w:sz w:val="24"/>
                <w:szCs w:val="24"/>
                <w:highlight w:val="none"/>
                <w:lang w:val="en-US" w:eastAsia="zh-CN"/>
              </w:rPr>
              <w:t>基础体征检测：能测量身高、体重、体温（精度±0.3℃）、血压（精度±3mmHg）、心率（精度≤±3）。</w:t>
            </w:r>
          </w:p>
          <w:p w14:paraId="5725236E">
            <w:pPr>
              <w:widowControl w:val="0"/>
              <w:numPr>
                <w:ilvl w:val="0"/>
                <w:numId w:val="0"/>
              </w:numPr>
              <w:spacing w:line="240" w:lineRule="auto"/>
              <w:ind w:lef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专项健康检测：人体成分：可检测脂肪率、体内水分，肌肉量、血氧（误差±2%）等多项指标。</w:t>
            </w:r>
          </w:p>
          <w:p w14:paraId="2AF56F61">
            <w:pPr>
              <w:widowControl w:val="0"/>
              <w:numPr>
                <w:ilvl w:val="0"/>
                <w:numId w:val="0"/>
              </w:numPr>
              <w:spacing w:line="240" w:lineRule="auto"/>
              <w:ind w:lef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3.特色功能要求：中医辨识：可自动判断九大体质，支持测评系统；登录方式：支持身份证、人脸识别、指纹等多种方式登录；心理测评：适配老年群体心理健康评估。</w:t>
            </w:r>
          </w:p>
        </w:tc>
        <w:tc>
          <w:tcPr>
            <w:tcW w:w="291" w:type="pct"/>
            <w:vAlign w:val="center"/>
          </w:tcPr>
          <w:p w14:paraId="779D32F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0C9AC171">
            <w:pPr>
              <w:spacing w:line="240" w:lineRule="auto"/>
              <w:jc w:val="center"/>
              <w:rPr>
                <w:rFonts w:hint="eastAsia" w:asciiTheme="minorEastAsia" w:hAnsiTheme="minorEastAsia" w:eastAsiaTheme="minorEastAsia" w:cstheme="minorEastAsia"/>
                <w:b w:val="0"/>
                <w:bCs/>
                <w:color w:val="FF0000"/>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15DF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61" w:type="pct"/>
            <w:vAlign w:val="center"/>
          </w:tcPr>
          <w:p w14:paraId="0D53E4C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w:t>
            </w:r>
          </w:p>
        </w:tc>
        <w:tc>
          <w:tcPr>
            <w:tcW w:w="608" w:type="pct"/>
            <w:vAlign w:val="center"/>
          </w:tcPr>
          <w:p w14:paraId="11C6D4F5">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老年综合评估系统</w:t>
            </w:r>
          </w:p>
        </w:tc>
        <w:tc>
          <w:tcPr>
            <w:tcW w:w="3516" w:type="pct"/>
            <w:vAlign w:val="center"/>
          </w:tcPr>
          <w:p w14:paraId="3E8C0DC1">
            <w:pPr>
              <w:widowControl w:val="0"/>
              <w:numPr>
                <w:ilvl w:val="0"/>
                <w:numId w:val="0"/>
              </w:numPr>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1.硬件配置要求：机身为推车一体式，支持有线、无线两种上网方式，</w:t>
            </w:r>
            <w:r>
              <w:rPr>
                <w:rFonts w:hint="eastAsia" w:asciiTheme="minorEastAsia" w:hAnsiTheme="minorEastAsia" w:eastAsiaTheme="minorEastAsia" w:cstheme="minorEastAsia"/>
                <w:sz w:val="24"/>
                <w:szCs w:val="24"/>
                <w:lang w:val="en-US" w:eastAsia="zh-CN"/>
              </w:rPr>
              <w:t>可根据需要配置辅助显示屏</w:t>
            </w:r>
            <w:r>
              <w:rPr>
                <w:rFonts w:hint="eastAsia" w:asciiTheme="minorEastAsia" w:hAnsiTheme="minorEastAsia" w:eastAsiaTheme="minorEastAsia" w:cstheme="minorEastAsia"/>
                <w:b w:val="0"/>
                <w:bCs/>
                <w:color w:val="auto"/>
                <w:kern w:val="2"/>
                <w:sz w:val="24"/>
                <w:szCs w:val="24"/>
                <w:highlight w:val="none"/>
                <w:lang w:val="en-US" w:eastAsia="zh-CN"/>
              </w:rPr>
              <w:t>。</w:t>
            </w:r>
          </w:p>
          <w:p w14:paraId="3FEE6622">
            <w:pPr>
              <w:widowControl w:val="0"/>
              <w:numPr>
                <w:ilvl w:val="0"/>
                <w:numId w:val="0"/>
              </w:numPr>
              <w:spacing w:line="240" w:lineRule="auto"/>
              <w:ind w:lef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2.核心评估功能：包含认知、日常能力、精神心理等≥3种以上的维度量表；可自定义组合≥20个以上评估套餐，支持往返评估，有漏答提醒 、测评进度显示功能。</w:t>
            </w:r>
          </w:p>
          <w:p w14:paraId="288A13FC">
            <w:pPr>
              <w:widowControl w:val="0"/>
              <w:numPr>
                <w:ilvl w:val="0"/>
                <w:numId w:val="0"/>
              </w:numPr>
              <w:spacing w:line="240" w:lineRule="auto"/>
              <w:ind w:leftChars="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3.报告与数据：测评报告含仪表图、柱状图等，可导出打印，支持单项或多项报告选择。</w:t>
            </w:r>
          </w:p>
        </w:tc>
        <w:tc>
          <w:tcPr>
            <w:tcW w:w="291" w:type="pct"/>
            <w:vAlign w:val="center"/>
          </w:tcPr>
          <w:p w14:paraId="7E3E93D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13CE5C7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4252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261" w:type="pct"/>
            <w:vAlign w:val="center"/>
          </w:tcPr>
          <w:p w14:paraId="16CB5E3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w:t>
            </w:r>
          </w:p>
        </w:tc>
        <w:tc>
          <w:tcPr>
            <w:tcW w:w="608" w:type="pct"/>
            <w:vAlign w:val="center"/>
          </w:tcPr>
          <w:p w14:paraId="67FCF6EE">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电动升降餐桌</w:t>
            </w:r>
          </w:p>
        </w:tc>
        <w:tc>
          <w:tcPr>
            <w:tcW w:w="3516" w:type="pct"/>
            <w:vAlign w:val="center"/>
          </w:tcPr>
          <w:p w14:paraId="17F5F3A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1.台面参数：家用常见尺寸长度范围为1200-1600mm和宽度600-700mm。材质为环保材质并需符合环保标准。表面需做防刮防污处理确保表面清洁后可恢复原状。</w:t>
            </w:r>
          </w:p>
          <w:p w14:paraId="4C4F23BB">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hanging="360"/>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2.动力参数：分单电机和双电机，单电机：额定承70kg，速度为20-30mm/s。单电机应符合国家相关标准，确保安全性和可靠性。双电机：额定承重120-150kg，速度可达30-40mm/s。</w:t>
            </w:r>
          </w:p>
          <w:p w14:paraId="0F44EEE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双电机应具备更高功率和更好的稳定性，以应对更大负载需求。过热保护：在温度达800°C时自动断开电源。</w:t>
            </w:r>
          </w:p>
          <w:p w14:paraId="6D6C587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运行噪音：通常低于38dB。</w:t>
            </w:r>
          </w:p>
          <w:p w14:paraId="05A6F56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3.升降参数：升降范围一般在650-1300mm，适配坐姿、站姿等不同场景；部分带2-4档高度记忆功能，控制器配高清数码显屏，高度调节精度可达1mm，操作便捷。</w:t>
            </w:r>
          </w:p>
          <w:p w14:paraId="4A7CF696">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hanging="360"/>
              <w:jc w:val="left"/>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4.安全与结构参数：材料为冷轧钢或同力学性能材料，符合国家标准，确保稳固性。部分可加装 V 型或三角加固结构以增加稳定性。遇阻回弹功能：停止时间≥2s碰撞后0.1s内回弹停止：适用于较大冲击力；童锁功能：单轮承重可达30kg用于防止设备损坏。</w:t>
            </w:r>
          </w:p>
        </w:tc>
        <w:tc>
          <w:tcPr>
            <w:tcW w:w="291" w:type="pct"/>
            <w:vAlign w:val="center"/>
          </w:tcPr>
          <w:p w14:paraId="5D35B265">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45F7A93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58BD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1" w:type="pct"/>
            <w:vAlign w:val="center"/>
          </w:tcPr>
          <w:p w14:paraId="699E6BC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w:t>
            </w:r>
          </w:p>
        </w:tc>
        <w:tc>
          <w:tcPr>
            <w:tcW w:w="608" w:type="pct"/>
            <w:vAlign w:val="center"/>
          </w:tcPr>
          <w:p w14:paraId="23D8BA93">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淋浴椅</w:t>
            </w:r>
          </w:p>
        </w:tc>
        <w:tc>
          <w:tcPr>
            <w:tcW w:w="3516" w:type="pct"/>
            <w:vAlign w:val="center"/>
          </w:tcPr>
          <w:p w14:paraId="0D430B9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1.尺寸参数：坐宽40-44cm、坐深33-38cm，坐高可调范围37-48cm，适配不同身高老年人群使用。</w:t>
            </w:r>
          </w:p>
          <w:p w14:paraId="31EF371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2.材质参数：主框架采用厚度 1.2mm-2.0mm 铝合金或不锈钢材质，表面执行阳极氧化或粉体烤漆工艺，具备防锈性能。坐板采用 PE 吹塑板、聚丙烯塑料防水材质，配置 EVA 防滑垫；扶手加装泡沫棉材质，提升使用舒适度。</w:t>
            </w:r>
          </w:p>
          <w:p w14:paraId="5909180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3.承重与调节参数：额定承重：130kg - 150kg；高度调节档位：4档-7档；扶手、靠背具备可拆卸结构，适配多场景使用需求。</w:t>
            </w:r>
          </w:p>
          <w:p w14:paraId="45C48C25">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4.安全参数：脚部配置带钢片橡胶防滑脚垫，保障使用稳定性。坐板设置漏水孔及防滑纹，杜绝积水打滑隐患；配置辅助起身扶手，满足老年人群抓握需求，提升淋浴使用安全性。</w:t>
            </w:r>
          </w:p>
        </w:tc>
        <w:tc>
          <w:tcPr>
            <w:tcW w:w="291" w:type="pct"/>
            <w:vAlign w:val="center"/>
          </w:tcPr>
          <w:p w14:paraId="0514A4B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589882C5">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7892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22B1DD9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5</w:t>
            </w:r>
          </w:p>
        </w:tc>
        <w:tc>
          <w:tcPr>
            <w:tcW w:w="608" w:type="pct"/>
            <w:vAlign w:val="center"/>
          </w:tcPr>
          <w:p w14:paraId="2AC1E6B1">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坐便器</w:t>
            </w:r>
          </w:p>
        </w:tc>
        <w:tc>
          <w:tcPr>
            <w:tcW w:w="3516" w:type="pct"/>
            <w:vAlign w:val="center"/>
          </w:tcPr>
          <w:p w14:paraId="28BDCA5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1.整体结构：一体式可移动坐便椅，带靠背、带扶手、带便盆、带盖板。</w:t>
            </w:r>
          </w:p>
          <w:p w14:paraId="1F4FF58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使用形式：可床边使用、可室内移动、可独立放置，无需安装上下水。</w:t>
            </w:r>
          </w:p>
          <w:p w14:paraId="7350189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2.尺寸参数：座圈高度（可调）：45cm–55cm（多档位可调，适配不同身高老人及实训体位）坐宽：42cm–46cm；坐深：38cm–42cm；整体高度（含靠背）：85cm–95cm；整体宽度（含扶手）：58cm–65cm。便盆容量：≥8L。</w:t>
            </w:r>
          </w:p>
          <w:p w14:paraId="798A79D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3.材质要求：主框架：采用加厚钢管/高强度铝合金，壁厚≥1.2mm，表面静电喷塑，防锈、防刮、承重稳定；座圈与盖板：抗菌 PP 材质，防滑、易清洁、耐老化、无尖锐边角；靠背板：PE 塑料/加厚板材，弧形贴合背部，舒适稳固；扶手：外包软性防滑泡棉，耐磨、防滑、易擦拭，便于老人起身支撑。</w:t>
            </w:r>
          </w:p>
          <w:p w14:paraId="0EB3ED7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功能与实训要求：高度可调节：≥5档高度调节，满足不同教学场景与不同身高使用者；带可拆卸便盆：便盆带提手、带密封盖，防异味、易抽取、易倾倒、易清洗；底部带防滑脚垫：四角配置橡胶防滑垫，放置不滑动、不异响、不刮地面；承重性能：静态承重≥150kg，满足实训高频使用。</w:t>
            </w:r>
          </w:p>
        </w:tc>
        <w:tc>
          <w:tcPr>
            <w:tcW w:w="291" w:type="pct"/>
            <w:vAlign w:val="center"/>
          </w:tcPr>
          <w:p w14:paraId="779A0270">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22C2FFF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4E8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460C0D9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6</w:t>
            </w:r>
          </w:p>
        </w:tc>
        <w:tc>
          <w:tcPr>
            <w:tcW w:w="608" w:type="pct"/>
            <w:vAlign w:val="center"/>
          </w:tcPr>
          <w:p w14:paraId="59708589">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恒温保温餐车</w:t>
            </w:r>
          </w:p>
        </w:tc>
        <w:tc>
          <w:tcPr>
            <w:tcW w:w="3516" w:type="pct"/>
            <w:vAlign w:val="center"/>
          </w:tcPr>
          <w:p w14:paraId="60400DF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1.外形和尺寸：结构形式：立式、双门、全封闭、可移动，外形尺寸（长×宽×高：1000mm×700mm×1100mm-1200mm；内胆尺寸：≥880mm×600mm×750mm；容积：≥380L；层数：4-5层（可调层距）层架尺寸：≥850mm×500mm。</w:t>
            </w:r>
          </w:p>
          <w:p w14:paraId="2CBDF53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2.电气参数：额定电压：220V/50Hz；额定功率：1.5kW～2.6kW；温控范围：30℃-80℃（可调、数显）；控温精度：≤±2℃；加热方式：热风循环加热，温度均匀；安全保护：过热保护、漏电保护、干烧保护。</w:t>
            </w:r>
          </w:p>
          <w:p w14:paraId="7267764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3.材质要求：外箱体：304不锈钢，壁厚≥1.2mm，拉丝面，耐腐蚀、易清洁；内胆：304 不锈钢，壁厚≥1.0mm；保温层：高密度聚氨酯发泡，厚度≥30mm，低导热、长效保温；层架：304 不锈钢网架/冲孔板，承重≥20kg/层，高度可调；门体：双层不锈钢门，密封胶条密封，防漏热、易清洁；脚轮：4寸静音万向轮，2个带刹车，移动稳固、静音。</w:t>
            </w:r>
          </w:p>
          <w:p w14:paraId="0D7FB37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4.功能要求：</w:t>
            </w:r>
          </w:p>
          <w:p w14:paraId="210149F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恒温保温：热风循环，箱内温差≤±3℃，保温均匀；数显温控：微电脑智能温控，温度/时间显示，可设定、可锁定；层距可调：层架导轨间距可调，适配不同高度餐盒/餐盘；密封保温：门体高强度密封胶条，断电后保温≥2小时；移动便捷：两侧内置推拉把手，四轮移动，刹车定位；易清洁：内外圆角设计，无死角，耐消毒液擦拭，符合教学/养老环境卫生要求。</w:t>
            </w:r>
          </w:p>
          <w:p w14:paraId="1CBA786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5.安全与环保：整机无尖锐棱角，全圆弧过渡，防磕碰；材质无毒无味，符合GB 4706.1及食品接触安全标准；箱体表面温升≤25K，防烫、安全；底部带防撞护边，防碰撞、防倾翻。</w:t>
            </w:r>
          </w:p>
        </w:tc>
        <w:tc>
          <w:tcPr>
            <w:tcW w:w="291" w:type="pct"/>
            <w:vAlign w:val="center"/>
          </w:tcPr>
          <w:p w14:paraId="34B51E67">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10E9B41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辆</w:t>
            </w:r>
          </w:p>
        </w:tc>
      </w:tr>
      <w:tr w14:paraId="7D79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656929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7</w:t>
            </w:r>
          </w:p>
        </w:tc>
        <w:tc>
          <w:tcPr>
            <w:tcW w:w="608" w:type="pct"/>
            <w:vAlign w:val="center"/>
          </w:tcPr>
          <w:p w14:paraId="0CA04487">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适老化餐桌椅</w:t>
            </w:r>
          </w:p>
        </w:tc>
        <w:tc>
          <w:tcPr>
            <w:tcW w:w="3516" w:type="pct"/>
            <w:vAlign w:val="center"/>
          </w:tcPr>
          <w:p w14:paraId="5F7B949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餐桌参数：尺寸：规格1400-1600×800×750mm，桌面宽度60-80cm；桌面厚度2-3cm，桌腿直径4-6cm，四角做大幅圆角处理防磕碰，部分带一圈导水槽防泼水洒落。材质：多为橡胶木、橡木等实木，部分桌面贴白蜡木原木皮；环保等级达E1级甚至E0级，表面用环保油漆，部分做防刮耐磨处理。承重与结构：额定承重≥200kg；桌腿多采用榫卯连接，还加装≥2mm厚不锈钢加固件，确保稳固不松动。</w:t>
            </w:r>
          </w:p>
          <w:p w14:paraId="6BE11EC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餐椅参数：尺寸：座高42-45cm，扶手高度25-30cm，扶手内宽≥48cm，靠背高度90-105cm，适配老人起身借力和背部支撑需求，桌椅组合后两者间距控制在30-35cm。材质：框架为实木或铝合金，坐垫用密度≥40kg/m³的高密度海绵，扶手常包裹≥1.2mm厚的PU皮革；底部配三元乙丙橡胶防滑脚垫，耐磨且防滑。 承重与性能：常规承重≥120kg。</w:t>
            </w:r>
          </w:p>
          <w:p w14:paraId="2674DAD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3.其他细节参数：餐桌部分带隐藏式拐杖架，凹槽边缘包裹≥10mm宽的硅胶防撞条；餐椅部分坐垫可选防水防污的科技布或乙烯基材质，方便用消毒剂清洁。</w:t>
            </w:r>
          </w:p>
        </w:tc>
        <w:tc>
          <w:tcPr>
            <w:tcW w:w="291" w:type="pct"/>
            <w:vAlign w:val="center"/>
          </w:tcPr>
          <w:p w14:paraId="52B868FD">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579734FC">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731C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3F6D388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8</w:t>
            </w:r>
          </w:p>
        </w:tc>
        <w:tc>
          <w:tcPr>
            <w:tcW w:w="608" w:type="pct"/>
            <w:vAlign w:val="center"/>
          </w:tcPr>
          <w:p w14:paraId="0C4A2D27">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升降洗漱池</w:t>
            </w:r>
          </w:p>
        </w:tc>
        <w:tc>
          <w:tcPr>
            <w:tcW w:w="3516" w:type="pct"/>
            <w:vAlign w:val="center"/>
          </w:tcPr>
          <w:p w14:paraId="2A2AE5D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1.尺寸参数：整体外形尺寸（长×宽）：≥600mm×480mm；升降调节范围：700mm-900mm；台面深度：≥180mm；池体深度：≥150mm，整体外观无尖锐棱角，边缘圆弧倒角处理，底部预留大空间适配轮椅。</w:t>
            </w:r>
          </w:p>
          <w:p w14:paraId="5BA0FD2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2.材质参数：台盆一体成型高密度环保材质 / 304 不锈钢材质，壁厚≥1.0mm，耐酸碱、耐消毒液腐蚀、防渗防裂；升降支撑框架：加厚钢制烤漆 / 铝合金结构，防锈抗氧化，承载结构稳定不变形；背板及围护面板：防水防潮板材，防水防霉，便于日常清洁消毒；下水配件：国标防臭下水器、防堵排污管件，密封严实，无渗漏。</w:t>
            </w:r>
          </w:p>
          <w:p w14:paraId="4C13C29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3.升降性能参数：驱动方式：电动静音升降驱动；升降控制：按键一键升降，运行平稳、升降匀速无卡顿；升降承重：≥120kg；升降噪音：≤55dB。</w:t>
            </w:r>
          </w:p>
          <w:p w14:paraId="002F174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4.电气与安全参数：额定电压：220V/50Hz；电气安全符合 GB 4706.1 标准要求；配置防水漏电保护装置，防水等级符合室内湿式使用要求；线路内置隐藏式布设，防磕碰、防老化、防漏电；配置冷热进水接口、标准水龙头安装位，适配常规给水系统。配套安装：落地固定式安装，抗晃动、稳定性强。</w:t>
            </w:r>
          </w:p>
        </w:tc>
        <w:tc>
          <w:tcPr>
            <w:tcW w:w="291" w:type="pct"/>
            <w:vAlign w:val="center"/>
          </w:tcPr>
          <w:p w14:paraId="247D1727">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627F5DC8">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1937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61" w:type="pct"/>
            <w:vAlign w:val="center"/>
          </w:tcPr>
          <w:p w14:paraId="15E2F50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9</w:t>
            </w:r>
          </w:p>
        </w:tc>
        <w:tc>
          <w:tcPr>
            <w:tcW w:w="608" w:type="pct"/>
            <w:vAlign w:val="center"/>
          </w:tcPr>
          <w:p w14:paraId="282B12FE">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升降马桶</w:t>
            </w:r>
          </w:p>
        </w:tc>
        <w:tc>
          <w:tcPr>
            <w:tcW w:w="3516" w:type="pct"/>
            <w:vAlign w:val="center"/>
          </w:tcPr>
          <w:p w14:paraId="72F089E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1.尺寸参数：外形尺寸（长 × 宽 × 高）：≤700×650×850 mm（不含扶手外伸）坐圈高度调节范围：400-600 mm（地面至坐圈上表面，适配老人 / 轮椅转移）座面倾角调节：0～13°（前倾辅助起身）整机承重：≥150 kg；单扶手承重：≥100 kg，底座：钢板 / 铝合金防锈框架，防侧翻、防滑地脚，可地面膨胀螺栓固定.</w:t>
            </w:r>
          </w:p>
          <w:p w14:paraId="674CE89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2.材质与性能参数：</w:t>
            </w:r>
          </w:p>
          <w:p w14:paraId="54A3CF9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升降驱动系统：驱动方式：直流电动推杆，静音平稳；工作电压：DC 24V（安全低压），输入 AC 220V/50Hz；功率：≤100W；升降速度：8-12 mm/s，平稳无冲击；升降行程：≥200 mm。</w:t>
            </w:r>
          </w:p>
          <w:p w14:paraId="2A33D7C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控制方式：侧装防水按键面板（老人/护理员一键升/降/停）可选无线遥控器（教学演示用）</w:t>
            </w:r>
          </w:p>
          <w:p w14:paraId="491F3B6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安全保护：遇阻停止 / 防夹手；断电保持位置、过载保护、漏电保护</w:t>
            </w:r>
          </w:p>
          <w:p w14:paraId="0B0578C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；防水等级：IPX4（整机防溅水）</w:t>
            </w:r>
          </w:p>
          <w:p w14:paraId="32F0D1B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3.坐便器主体：连体式陶瓷坐便器，地排水，坑距 305 mm（兼容 400 mm）冲水方式：超漩式 / 虹吸式，节水，冲水量 3/6 L，水效等级 ≥2 级；盖板：UF 抗菌缓降盖板，静音缓降，易拆卸清洗；坐圈：加大加宽，抗菌、防滑、防凉，适配老年人体型。</w:t>
            </w:r>
          </w:p>
          <w:p w14:paraId="1FC5B45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功能：臀部温水清洗（水温 30-40℃ 可调）暖风烘干（风温 30～50℃ 可调）座圈加热（30～40℃ 可调）夜间柔光照明（LED，≤5W）</w:t>
            </w:r>
          </w:p>
          <w:p w14:paraId="5DCA07C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4.安全扶手参数：结构：左右可独立升降 / 翻转扶手，扶手与座面同步升降；材质：硬质防滑 PU + 铝合金内芯，抗菌易清洁；高度调节：2 档可调（每档50 mm）适配不同身高老人；宽度：≥150 mm，内侧间距 ≥500 mm（方便轮椅靠近）功能：可向上翻转 90°，便于护理员从侧方进行穿脱裤、清洁等实训操作；靠背：可拆卸式软靠背，提升久坐舒适度。</w:t>
            </w:r>
          </w:p>
          <w:p w14:paraId="6A11BE95">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4.噪音与安全质保要求：工作噪声：≤55 dB，静音运行；升降寿命：≥50,000次；整机使用寿命：≥8年；应急安全：配备紧急停止按钮、断电保护、防侧翻底座，符合实训室安全规范；质保：整机≥3年质保，电机/推杆≥5年质保，需上门安装调试及操作培训。</w:t>
            </w:r>
          </w:p>
        </w:tc>
        <w:tc>
          <w:tcPr>
            <w:tcW w:w="291" w:type="pct"/>
            <w:vAlign w:val="center"/>
          </w:tcPr>
          <w:p w14:paraId="47F94F3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06D57FCA">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292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61" w:type="pct"/>
            <w:vAlign w:val="center"/>
          </w:tcPr>
          <w:p w14:paraId="09E406F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10</w:t>
            </w:r>
          </w:p>
        </w:tc>
        <w:tc>
          <w:tcPr>
            <w:tcW w:w="608" w:type="pct"/>
            <w:shd w:val="clear" w:color="auto" w:fill="auto"/>
            <w:vAlign w:val="center"/>
          </w:tcPr>
          <w:p w14:paraId="088B0EC1">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场地</w:t>
            </w:r>
          </w:p>
        </w:tc>
        <w:tc>
          <w:tcPr>
            <w:tcW w:w="3516" w:type="pct"/>
            <w:vAlign w:val="center"/>
          </w:tcPr>
          <w:p w14:paraId="5A00A10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防滑地面≥90㎡、无障碍通道≥10m、功能分区隔断</w:t>
            </w:r>
            <w:r>
              <w:rPr>
                <w:rFonts w:hint="eastAsia" w:asciiTheme="minorEastAsia" w:hAnsiTheme="minorEastAsia" w:eastAsiaTheme="minorEastAsia" w:cstheme="minorEastAsia"/>
                <w:sz w:val="24"/>
                <w:szCs w:val="24"/>
                <w:lang w:val="en-US" w:eastAsia="zh-CN"/>
              </w:rPr>
              <w:t>≥10m</w:t>
            </w:r>
            <w:r>
              <w:rPr>
                <w:rFonts w:hint="eastAsia" w:asciiTheme="minorEastAsia" w:hAnsiTheme="minorEastAsia" w:eastAsiaTheme="minorEastAsia" w:cstheme="minorEastAsia"/>
                <w:b w:val="0"/>
                <w:bCs/>
                <w:color w:val="auto"/>
                <w:kern w:val="2"/>
                <w:sz w:val="24"/>
                <w:szCs w:val="24"/>
                <w:highlight w:val="none"/>
                <w:lang w:val="en-US" w:eastAsia="zh-CN"/>
              </w:rPr>
              <w:t>。</w:t>
            </w:r>
          </w:p>
        </w:tc>
        <w:tc>
          <w:tcPr>
            <w:tcW w:w="291" w:type="pct"/>
            <w:vAlign w:val="center"/>
          </w:tcPr>
          <w:p w14:paraId="6633402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149E66B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10FF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38A2DED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11</w:t>
            </w:r>
          </w:p>
        </w:tc>
        <w:tc>
          <w:tcPr>
            <w:tcW w:w="608" w:type="pct"/>
            <w:vAlign w:val="center"/>
          </w:tcPr>
          <w:p w14:paraId="282A1A2C">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医用制氧机</w:t>
            </w:r>
          </w:p>
        </w:tc>
        <w:tc>
          <w:tcPr>
            <w:tcW w:w="3516" w:type="pct"/>
            <w:vAlign w:val="center"/>
          </w:tcPr>
          <w:p w14:paraId="3A94B63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1.性能参数：氧气流量：1-5 L/min 连续可调，精度±10%；氧气浓度：全流量范围（1-5 L/min）稳定 93%±3%；开机≤30 分钟达到额定浓度；输出压力：30～70 kPa（可调），适配鼻氧管/面罩/湿化瓶；氧浓度监测：内置实时氧浓度传感器，液晶屏显示；＜82%时声光报警；流量显示：实时显示流量、累计计时、运行状态。</w:t>
            </w:r>
          </w:p>
          <w:p w14:paraId="2B82974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2.整机与结构：外形尺寸（长×宽×高）：≤480×380×620 mm；整机重量：≤22 kg；移动：静音万向轮 + 便携提手，方便实训室移位；噪音：≤50 dB(A)（1m 距离正常工作）；散热：低噪音散热系统，长时间工作不发烫。</w:t>
            </w:r>
          </w:p>
          <w:p w14:paraId="0037396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3.电气与安全保护：功率：≤350 W；安全保护（必须具备）：低氧浓度报警、高压/低压报警、流量异常报警、断电报警、超温报警、过载保护、漏电保护；报警方式：声光 + 屏幕提示；电气安全：符合GB 9706.1，绝缘强度、漏电流满足医用设备要求。</w:t>
            </w:r>
          </w:p>
          <w:p w14:paraId="5F31DB5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4.气体品质与过滤：氧气品质：符合GB 8982医用氧标准，无异味、无杂质；过滤系统：三级空气过滤（初效+中效+分子筛保护），防尘、防潮、防油，延长分子筛寿命；湿化系统：医用级湿化瓶，防倒流、易清洗、耐高温消毒。</w:t>
            </w:r>
          </w:p>
          <w:p w14:paraId="35EE964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5.核心部件寿命及配件：分子筛：≥10,000 小时（约8年，8小时/天）</w:t>
            </w:r>
          </w:p>
          <w:p w14:paraId="7235802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压缩机：≥15,000 小时，整机设计寿命：≥8年；配件兼容：标配成人鼻氧管、吸氧面罩、湿化瓶；可配儿童 / 婴儿面罩、雾化接口（可选）。</w:t>
            </w:r>
          </w:p>
          <w:p w14:paraId="64A065FE">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6.质保与售后：整机质保：≥3年；压缩机/分子筛质保：≥5年，需安装培训、上门维修。</w:t>
            </w:r>
          </w:p>
        </w:tc>
        <w:tc>
          <w:tcPr>
            <w:tcW w:w="291" w:type="pct"/>
            <w:vAlign w:val="center"/>
          </w:tcPr>
          <w:p w14:paraId="4B4A14A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4</w:t>
            </w:r>
          </w:p>
        </w:tc>
        <w:tc>
          <w:tcPr>
            <w:tcW w:w="322" w:type="pct"/>
            <w:vAlign w:val="center"/>
          </w:tcPr>
          <w:p w14:paraId="37796B0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台</w:t>
            </w:r>
          </w:p>
        </w:tc>
      </w:tr>
      <w:tr w14:paraId="3D6F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61" w:type="pct"/>
            <w:vAlign w:val="center"/>
          </w:tcPr>
          <w:p w14:paraId="37C370C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12</w:t>
            </w:r>
          </w:p>
        </w:tc>
        <w:tc>
          <w:tcPr>
            <w:tcW w:w="608" w:type="pct"/>
            <w:shd w:val="clear" w:color="auto" w:fill="auto"/>
            <w:vAlign w:val="center"/>
          </w:tcPr>
          <w:p w14:paraId="19A30E0A">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呼叫器</w:t>
            </w:r>
          </w:p>
        </w:tc>
        <w:tc>
          <w:tcPr>
            <w:tcW w:w="3516" w:type="pct"/>
            <w:shd w:val="clear" w:color="auto" w:fill="auto"/>
            <w:vAlign w:val="center"/>
          </w:tcPr>
          <w:p w14:paraId="7726395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1.使用形式：一机两用设计，支持床头固定放置，搭配专用安全挂绳，可随身悬挂佩戴，满足卧床、活动老人多场景使用需求。</w:t>
            </w:r>
          </w:p>
          <w:p w14:paraId="7786B0E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2.机身规格：人体工学合手尺寸，整机尺寸≤72mm净重≤18.5g。</w:t>
            </w:r>
          </w:p>
          <w:p w14:paraId="2F22B65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3.操作模式：简易一键快速触发呼救信号；报警音量：内置高清喇叭，报警音量可达110分贝。</w:t>
            </w:r>
          </w:p>
          <w:p w14:paraId="3F2DB28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4.充电方式：采用Type-C通用充电接口，接口耐用，适配常规充电设备，日常维护方便。</w:t>
            </w:r>
          </w:p>
        </w:tc>
        <w:tc>
          <w:tcPr>
            <w:tcW w:w="291" w:type="pct"/>
            <w:vAlign w:val="center"/>
          </w:tcPr>
          <w:p w14:paraId="5C7CF33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B7BEBA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76D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4C63EACB">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13</w:t>
            </w:r>
          </w:p>
        </w:tc>
        <w:tc>
          <w:tcPr>
            <w:tcW w:w="608" w:type="pct"/>
            <w:vAlign w:val="center"/>
          </w:tcPr>
          <w:p w14:paraId="2E52D2E5">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四脚拐杖</w:t>
            </w:r>
          </w:p>
        </w:tc>
        <w:tc>
          <w:tcPr>
            <w:tcW w:w="3516" w:type="pct"/>
            <w:vAlign w:val="center"/>
          </w:tcPr>
          <w:p w14:paraId="5686EAE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1.材质与尺寸要求：杖身采用加厚航空铝合金材质，管壁厚度≥1.0mm，重量轻便、防腐蚀、不易变形、承重性强；支架底座高强度工程塑料+金属加固结构，稳固抗断裂。</w:t>
            </w:r>
          </w:p>
          <w:p w14:paraId="52F8118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2.性能要求：采用多档位圆孔卡扣式调节设计，调节档位≥8 档；整体高度调节范围：70cm–95cm，适配不同身高老年模拟实训人群；调节卡扣锁紧牢固，使用过程无松动、滑落；手握手柄为一体式防滑软胶握把，贴合人体工学，透气防滑、吸汗减震；握持舒适，长时间实训操作不累手，防磕碰、防磨损；四脚稳定四边形底座设计，支撑面积大，平衡稳定性强，有效防侧翻、防倾倒；四个脚端配备加厚耐磨橡胶防滑脚垫，防滑减震，适配瓷砖、地板等实训室地面，静音耐磨，不易老化开裂。</w:t>
            </w:r>
          </w:p>
          <w:p w14:paraId="47E405D2">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3.承重与安全：最大静态承重≥130KG，满足实训高强度使用需求；整体焊接、衔接处加固处理，焊点光滑牢固，无毛刺、无尖锐边角。产品质保期≥1 年，正常教学使用下出现质量问题免费维修或更换。</w:t>
            </w:r>
          </w:p>
        </w:tc>
        <w:tc>
          <w:tcPr>
            <w:tcW w:w="291" w:type="pct"/>
            <w:vAlign w:val="center"/>
          </w:tcPr>
          <w:p w14:paraId="42E4C8A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6</w:t>
            </w:r>
          </w:p>
        </w:tc>
        <w:tc>
          <w:tcPr>
            <w:tcW w:w="322" w:type="pct"/>
            <w:vAlign w:val="center"/>
          </w:tcPr>
          <w:p w14:paraId="4AEAFE2D">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492D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2CB6462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14</w:t>
            </w:r>
          </w:p>
        </w:tc>
        <w:tc>
          <w:tcPr>
            <w:tcW w:w="608" w:type="pct"/>
            <w:vAlign w:val="center"/>
          </w:tcPr>
          <w:p w14:paraId="63FA7178">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康复训练保护腰带</w:t>
            </w:r>
          </w:p>
        </w:tc>
        <w:tc>
          <w:tcPr>
            <w:tcW w:w="3516" w:type="pct"/>
            <w:vAlign w:val="center"/>
          </w:tcPr>
          <w:p w14:paraId="4E44822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1.尺寸规格：外形尺寸：长1050-1100 mm×宽110–130mm×厚40–60 mm（标准约 1080×120×50 mm）；适用腰围：70–130 cm（可调节，适配老年体型）；腰带宽度：≥20 cm，加宽护腰，贴合腰椎，分散压力。</w:t>
            </w:r>
          </w:p>
          <w:p w14:paraId="77E761B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材质要求（安全、透气、易清洁）：外层：高强度尼龙织带/牛津布，耐磨、抗撕裂、易擦拭消毒，承载力强；内层：透气亲肤面料（摇粒绒/网眼布），柔软不闷汗，直接接触皮肤无刺激；衬填充：高弹海绵/EVA，缓冲减压，减轻腰部压迫感；边缘包边加固，防磨损、防脱线。</w:t>
            </w:r>
          </w:p>
          <w:p w14:paraId="068CF08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3.结构与功能：固定方式：双排强力魔术贴（钩面+毛面）+ 加固织带，穿戴快、松紧可调、不易松脱；把手设计：360°多把手（≥4个），前后左右均可握持，便于不同方向辅助、搀扶、移位、起身训练；承重能力：≥150 kg，满足成人及老年人体重需求，安全防断裂；护腰支撑：内置弹性支撑条（≥2条），贴合腰椎生理曲度，稳定腰部、减少扭伤风险；防滑移：内侧防滑纹路/硅胶点，训练中不易上滑、移位。</w:t>
            </w:r>
          </w:p>
        </w:tc>
        <w:tc>
          <w:tcPr>
            <w:tcW w:w="291" w:type="pct"/>
            <w:vAlign w:val="center"/>
          </w:tcPr>
          <w:p w14:paraId="2C653F7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6</w:t>
            </w:r>
          </w:p>
        </w:tc>
        <w:tc>
          <w:tcPr>
            <w:tcW w:w="322" w:type="pct"/>
            <w:vAlign w:val="center"/>
          </w:tcPr>
          <w:p w14:paraId="3A3376D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条</w:t>
            </w:r>
          </w:p>
        </w:tc>
      </w:tr>
      <w:tr w14:paraId="24F8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61" w:type="pct"/>
            <w:vAlign w:val="center"/>
          </w:tcPr>
          <w:p w14:paraId="7DE288F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15</w:t>
            </w:r>
          </w:p>
        </w:tc>
        <w:tc>
          <w:tcPr>
            <w:tcW w:w="608" w:type="pct"/>
            <w:vAlign w:val="center"/>
          </w:tcPr>
          <w:p w14:paraId="30FFDD48">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助行器</w:t>
            </w:r>
          </w:p>
        </w:tc>
        <w:tc>
          <w:tcPr>
            <w:tcW w:w="3516" w:type="pct"/>
            <w:vAlign w:val="center"/>
          </w:tcPr>
          <w:p w14:paraId="4500A9D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1.材质与尺寸要求：主框架采用加厚航空铝合金材质，管壁厚度≥1.0mm，质轻高强度、防锈防腐、不易弯折变形；连接部位加固加厚处理，受力点强化焊接，稳固耐用。</w:t>
            </w:r>
          </w:p>
          <w:p w14:paraId="39A3639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2.性能要求：多档位按键式高度调节，调节档位≥8 档；整体高度调节范围：75cm～95cm，可适配不同身高老年模拟实训人群；定位锁扣卡扣锁紧牢靠，行走、支撑过程不松动、不滑落；</w:t>
            </w:r>
          </w:p>
          <w:p w14:paraId="758312E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结构为固定式/交互式两用助行结构，可前后移步交替行走，满足不同康复步态实训教学；双侧一体式加固扶手，加宽受力设计，支撑性强；可折叠设计，收纳节省实训室空间，搬运存放便捷；扶手配置人体工学弧形防滑扶手，软性防滑握把，吸汗防滑、握持舒适，长时间实操不磨手；扶手与框架连接牢固，无松动晃动；底部四脚标配加厚耐磨防滑橡胶脚垫，防滑减震、静音防刮地；增大接触面积，防侧翻、防倾倒，脚垫耐老化、不易开裂脱落；承重性能：最大安全承重≥130kg，满足实训各类模拟场景使用；整体受力均匀，结构稳定，站姿支撑、行走辅助无摇晃。质保期≥1 年，正常教学使用下非人为损坏免费维修、更换配件。</w:t>
            </w:r>
          </w:p>
        </w:tc>
        <w:tc>
          <w:tcPr>
            <w:tcW w:w="291" w:type="pct"/>
            <w:vAlign w:val="center"/>
          </w:tcPr>
          <w:p w14:paraId="00450AA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6A38D8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4AEA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61" w:type="pct"/>
            <w:vAlign w:val="center"/>
          </w:tcPr>
          <w:p w14:paraId="5A06C7A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16</w:t>
            </w:r>
          </w:p>
        </w:tc>
        <w:tc>
          <w:tcPr>
            <w:tcW w:w="608" w:type="pct"/>
            <w:shd w:val="clear" w:color="auto" w:fill="auto"/>
            <w:vAlign w:val="center"/>
          </w:tcPr>
          <w:p w14:paraId="3E4C499D">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温湿度计</w:t>
            </w:r>
          </w:p>
        </w:tc>
        <w:tc>
          <w:tcPr>
            <w:tcW w:w="3516" w:type="pct"/>
            <w:shd w:val="clear" w:color="auto" w:fill="auto"/>
            <w:vAlign w:val="center"/>
          </w:tcPr>
          <w:p w14:paraId="684B9DE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1.类型材质：高精度电子数显温湿度计，壁挂/桌面两用；自带环境数值记忆功能，无蓝光护眼背光；ABS环保阻燃外壳，防刮耐磨，防潮防尘。</w:t>
            </w:r>
          </w:p>
          <w:p w14:paraId="45B0BC4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2.显示方式：高清大屏数字显示，温度、湿度同屏实时同步显示，读数清晰，视角广，便于教学观测。常规电池供电，更换简单。</w:t>
            </w:r>
          </w:p>
        </w:tc>
        <w:tc>
          <w:tcPr>
            <w:tcW w:w="291" w:type="pct"/>
            <w:vAlign w:val="center"/>
          </w:tcPr>
          <w:p w14:paraId="3191781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6</w:t>
            </w:r>
          </w:p>
        </w:tc>
        <w:tc>
          <w:tcPr>
            <w:tcW w:w="322" w:type="pct"/>
            <w:vAlign w:val="center"/>
          </w:tcPr>
          <w:p w14:paraId="027C638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52BB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61" w:type="pct"/>
            <w:vAlign w:val="center"/>
          </w:tcPr>
          <w:p w14:paraId="35AA44C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17</w:t>
            </w:r>
          </w:p>
        </w:tc>
        <w:tc>
          <w:tcPr>
            <w:tcW w:w="608" w:type="pct"/>
            <w:shd w:val="clear" w:color="auto" w:fill="auto"/>
            <w:vAlign w:val="center"/>
          </w:tcPr>
          <w:p w14:paraId="322A5F0A">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梯形垫</w:t>
            </w:r>
          </w:p>
        </w:tc>
        <w:tc>
          <w:tcPr>
            <w:tcW w:w="3516" w:type="pct"/>
            <w:shd w:val="clear" w:color="auto" w:fill="auto"/>
            <w:vAlign w:val="center"/>
          </w:tcPr>
          <w:p w14:paraId="6A35C99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1.规格尺寸要求：整体为直角梯形结构，符合人体工学体位支撑设计；常用规格：长60cm×宽 35cm×高30cm，坡度平缓，适合老年人体位依托；角度合理，支撑稳固，不易滑动塌陷，满足卧床老年患者体位实训要求。</w:t>
            </w:r>
          </w:p>
          <w:p w14:paraId="23DCAF6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内芯材质要求：采用高密度环保聚氨酯海绵，回弹好、韧性强、不易变形、不塌陷；软硬适中，贴合老年肌肤保护需求，抗压耐用，长期反复挤压不变形；透气微孔结构，防潮透气，减少闷热，适合长期摆放使用。</w:t>
            </w:r>
          </w:p>
          <w:p w14:paraId="22389C12">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外套面料要求：采用优质防水耐磨牛津布/医用级仿皮面料，防水防污、耐消毒液擦拭；表面致密顺滑，可使用酒精、含氯消毒剂常规消毒，符合实训室感控标准；拉链式可拆洗设计，方便拆卸清洗、更换维护，耐反复擦洗。</w:t>
            </w:r>
          </w:p>
          <w:p w14:paraId="5379162D">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质保≥1年，海绵塌陷、面料开裂等非人为质量问题免费更换。</w:t>
            </w:r>
          </w:p>
        </w:tc>
        <w:tc>
          <w:tcPr>
            <w:tcW w:w="291" w:type="pct"/>
            <w:vAlign w:val="center"/>
          </w:tcPr>
          <w:p w14:paraId="3EB5F86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DBE0DE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E23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615A43A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18</w:t>
            </w:r>
          </w:p>
        </w:tc>
        <w:tc>
          <w:tcPr>
            <w:tcW w:w="608" w:type="pct"/>
            <w:shd w:val="clear" w:color="auto" w:fill="auto"/>
            <w:vAlign w:val="center"/>
          </w:tcPr>
          <w:p w14:paraId="55A88321">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吞咽康复训练器</w:t>
            </w:r>
          </w:p>
        </w:tc>
        <w:tc>
          <w:tcPr>
            <w:tcW w:w="3516" w:type="pct"/>
            <w:shd w:val="clear" w:color="auto" w:fill="auto"/>
            <w:vAlign w:val="center"/>
          </w:tcPr>
          <w:p w14:paraId="287BC45E">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1.配置要求：包含5套训练器：1. 舌肌训练器（一套）：采用食品级医用柔软硅胶材质，柔韧适中、无异味、耐高温可消毒；符合人体口腔工学造型，贴合舌体接触面；可进行舌前伸、后缩、上抬、左右摆动等抗阻训练，增强舌肌肌力、肌张力及舌头灵活度；表面光滑无毛刺，防磕碰，适配实训操作与老人日常康复练习。2. 唇肌训练器（一套）：医用环保软质材质，韧性强、不易变形；专为唇部闭合、抿唇、鼓腮等功能训练设计；辅助改善唇肌无力、口唇闭合不全、流涎等问题；结构简约，操作简单，握持便捷，可反复清洗消毒，适合护理实操教学演示。3. 咀嚼训练器（一套）：软硬梯度合理，多级咬合阻力设计；食品级安全材质，抗压耐咬、不易破损断裂；用于锻炼咬肌、颞肌等咀嚼肌群力量，改善咀嚼无力、咬合功能减退；造型贴合口腔咬合结构，受力均匀，安全防误吞，满足实训康复训练需求。4. 呼吸发音训练器（一套）：一体化简约结构，通气顺畅，阻力可控；通过吸气、呼气规范训练，强化呼吸肌群力量，改善肺通气功能；辅助改善发音无力、气息不足、吞咽时呼吸不协调问题；易拆解清洗，耐腐蚀，便于实训室集中消毒管理。5. 口腔感知训练器（一套）：多触点柔和凸起设计，触感温和不刺激；医用亲肤材质，抗过敏、耐湿热消毒；用于口腔黏膜、软硬腭、牙龈触觉感知刺激，改善口腔感觉迟钝、吞咽反射减弱；尺寸适配成人口腔，操作安全，适合吞咽障碍早期感知康复实训。</w:t>
            </w:r>
          </w:p>
          <w:p w14:paraId="4D6EDC46">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2.材质要求：全部采用食品级/医用级环保硅胶、PP 安全材质，无毒无味、环保耐用。</w:t>
            </w:r>
          </w:p>
          <w:p w14:paraId="2E6ACFA8">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3.消毒方式及安全：支持高温擦拭、浸泡消毒，可反复循环使用，满足实训室院感要求。整体无锐角、无尖锐边角，防划伤、防误吞，使用安全。</w:t>
            </w:r>
          </w:p>
        </w:tc>
        <w:tc>
          <w:tcPr>
            <w:tcW w:w="291" w:type="pct"/>
            <w:vAlign w:val="center"/>
          </w:tcPr>
          <w:p w14:paraId="657126CA">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4D8F0B0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3BB1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1" w:type="pct"/>
            <w:vAlign w:val="center"/>
          </w:tcPr>
          <w:p w14:paraId="56773B6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19</w:t>
            </w:r>
          </w:p>
        </w:tc>
        <w:tc>
          <w:tcPr>
            <w:tcW w:w="608" w:type="pct"/>
            <w:shd w:val="clear" w:color="auto" w:fill="auto"/>
            <w:vAlign w:val="center"/>
          </w:tcPr>
          <w:p w14:paraId="37C4EBCB">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食物模型</w:t>
            </w:r>
          </w:p>
        </w:tc>
        <w:tc>
          <w:tcPr>
            <w:tcW w:w="3516" w:type="pct"/>
            <w:shd w:val="clear" w:color="auto" w:fill="auto"/>
            <w:vAlign w:val="center"/>
          </w:tcPr>
          <w:p w14:paraId="65FBA3D3">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1.严格按照《中国食物营养成分表》和《中国居民膳食指南》制作。每个食物都有详细的营养成分分析，包含热量，蛋白质，脂肪，碳水化合物，重量等，每个食物都配有相应的杯子，碗。</w:t>
            </w:r>
          </w:p>
          <w:p w14:paraId="66A2F275">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2.产品参数:碟子，勺子，盘子等，食物模型都是按照90千卡的热量标准制作。成套配置标准全套组合包含：主食类、荤菜类、素菜类、汤羹类、果蔬类、流质 / 半流质组合，搭配合理。</w:t>
            </w:r>
          </w:p>
          <w:p w14:paraId="17980D55">
            <w:pPr>
              <w:pStyle w:val="2"/>
              <w:spacing w:line="240" w:lineRule="auto"/>
              <w:ind w:left="0" w:leftChars="0" w:firstLine="0" w:firstLineChars="0"/>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sz w:val="24"/>
                <w:szCs w:val="24"/>
                <w:lang w:val="en-US" w:eastAsia="zh-CN"/>
              </w:rPr>
              <w:t>3.材质规格要求：材质:整体采用环保 PVC、高分子复合仿真材质，无毒无味、柔韧性好、防摔抗压、不易开裂变形；表面哑光仿真肌理，还原食材纹理、色泽、形态，不脱色、不发霉、易擦拭清洁；耐腐蚀，可常规酒精、消毒湿巾擦拭，符合实训室感控要求；规格:按食物1:1生产。包含食物模型≥60件。</w:t>
            </w:r>
          </w:p>
        </w:tc>
        <w:tc>
          <w:tcPr>
            <w:tcW w:w="291" w:type="pct"/>
            <w:vAlign w:val="center"/>
          </w:tcPr>
          <w:p w14:paraId="0AE3A410">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6FA5A93C">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08B7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61" w:type="pct"/>
            <w:vAlign w:val="center"/>
          </w:tcPr>
          <w:p w14:paraId="716BE23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20</w:t>
            </w:r>
          </w:p>
        </w:tc>
        <w:tc>
          <w:tcPr>
            <w:tcW w:w="608" w:type="pct"/>
            <w:shd w:val="clear" w:color="auto" w:fill="auto"/>
            <w:vAlign w:val="center"/>
          </w:tcPr>
          <w:p w14:paraId="1F55446F">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食物模型展示柜</w:t>
            </w:r>
          </w:p>
        </w:tc>
        <w:tc>
          <w:tcPr>
            <w:tcW w:w="3516" w:type="pct"/>
            <w:shd w:val="clear" w:color="auto" w:fill="auto"/>
            <w:vAlign w:val="center"/>
          </w:tcPr>
          <w:p w14:paraId="0FD7ED4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一、整体定制规格尺寸：整体外尺寸：长200cm×高110cm×深40cm</w:t>
            </w:r>
          </w:p>
          <w:p w14:paraId="18109DD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尺寸公差：±5mm，整体比例规整，专为食物模型陈列、实训室教学展示、标本收纳定制。</w:t>
            </w:r>
          </w:p>
          <w:p w14:paraId="1E42A78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二、主体材质工艺（实木烤漆）采用优质实木基材，含水率符合国家家具标准，结构稳定、不开裂、不变形、承重性好，无虫蛀、无霉变、无结巴缺陷。基材密度高，耐潮、耐用，适配实训室长期高频使用环境；漆面光滑细腻、色泽均匀、附着力强、耐磨防刮、不掉漆、不泛黄、易清洁，可长期耐受日常擦拭、灯光照射，满足教学实训室长期陈列使用标准；环保标准：所用油漆、胶水、板材均采用环保材料，无异味、甲醛释放量符合国家室内装饰家具安全标准，满足教学场所使用要求。</w:t>
            </w:r>
          </w:p>
          <w:p w14:paraId="3E8A9DA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三、结构功能设计（展示+储藏双功能）</w:t>
            </w:r>
          </w:p>
          <w:p w14:paraId="0D1DFD6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（一）展示功能（上部主体展示区）</w:t>
            </w:r>
          </w:p>
          <w:p w14:paraId="72253E3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 柜体前部通透展示设计，可视面积大、展示效果清晰，适合各类膳食模型、营养餐模型、食材标本陈列教学。</w:t>
            </w:r>
          </w:p>
          <w:p w14:paraId="6F3BFE1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 内部配置多层可调式实木层板，层板间距可自由调节，适配高低不同的食物模型、套餐模型、膳食搭配模型摆放。</w:t>
            </w:r>
          </w:p>
          <w:p w14:paraId="7BBC377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 层板承重均匀，单层静载承重≥30kg，整体柜内布局规整、分区清晰、陈列美观。</w:t>
            </w:r>
          </w:p>
          <w:p w14:paraId="699B5E3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（二）储藏功能（下部封闭储物区）</w:t>
            </w:r>
          </w:p>
          <w:p w14:paraId="2698CB7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柜体设置封闭式大容量储物空间，带封闭柜门设计，防尘防潮，可收纳备用食物模型、教学配件、收纳盒、实训耗材等，实现展示、收纳一体化。</w:t>
            </w:r>
          </w:p>
          <w:p w14:paraId="4ACDF79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四、陈列容量硬性指标：柜体内部分层布局科学，可容纳摆放食物模型数量≥120件，满足营养学、膳食护理、老年营养、母婴膳食等课程模型集中陈列展示需求。</w:t>
            </w:r>
          </w:p>
        </w:tc>
        <w:tc>
          <w:tcPr>
            <w:tcW w:w="291" w:type="pct"/>
            <w:vAlign w:val="center"/>
          </w:tcPr>
          <w:p w14:paraId="22FC8CA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6FA691E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组</w:t>
            </w:r>
          </w:p>
        </w:tc>
      </w:tr>
      <w:tr w14:paraId="7FF0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7D72D5F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21</w:t>
            </w:r>
          </w:p>
        </w:tc>
        <w:tc>
          <w:tcPr>
            <w:tcW w:w="608" w:type="pct"/>
            <w:shd w:val="clear" w:color="auto" w:fill="auto"/>
            <w:vAlign w:val="center"/>
          </w:tcPr>
          <w:p w14:paraId="6B8D308E">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膳食调查餐具模型</w:t>
            </w:r>
          </w:p>
        </w:tc>
        <w:tc>
          <w:tcPr>
            <w:tcW w:w="3516" w:type="pct"/>
            <w:shd w:val="clear" w:color="auto" w:fill="auto"/>
            <w:vAlign w:val="center"/>
          </w:tcPr>
          <w:p w14:paraId="449E79F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内含标准杯、标准盘、标准碗、标准勺、托盘模型，用于膳食调查。</w:t>
            </w:r>
          </w:p>
          <w:p w14:paraId="06535BF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1.材质要求：餐具主体采用食品级密胺（A5 级）/ 医用级 PP 材质，符合 GB 4806.4-2024 食品接触用标准，无毒无味、耐高温（-30℃-120℃）、耐磕碰、不易碎，适配实训室反复清洗消毒。托盘采用加厚防滑密胺材质，边缘加高防洒，底部防滑纹路，承重≥5kg，防摔耐磨。</w:t>
            </w:r>
          </w:p>
          <w:p w14:paraId="55C7773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2.产品尺寸适配《中国居民膳食指南》教学，可直观展示膳食宝塔配比、食物分量控制。</w:t>
            </w:r>
          </w:p>
        </w:tc>
        <w:tc>
          <w:tcPr>
            <w:tcW w:w="291" w:type="pct"/>
            <w:vAlign w:val="center"/>
          </w:tcPr>
          <w:p w14:paraId="54CD8CE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60B04F1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00D7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1" w:type="pct"/>
            <w:vAlign w:val="center"/>
          </w:tcPr>
          <w:p w14:paraId="4E8FBB14">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22</w:t>
            </w:r>
          </w:p>
        </w:tc>
        <w:tc>
          <w:tcPr>
            <w:tcW w:w="608" w:type="pct"/>
            <w:shd w:val="clear" w:color="auto" w:fill="auto"/>
            <w:vAlign w:val="center"/>
          </w:tcPr>
          <w:p w14:paraId="652E6A48">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用户膳食宝塔模型</w:t>
            </w:r>
          </w:p>
        </w:tc>
        <w:tc>
          <w:tcPr>
            <w:tcW w:w="3516" w:type="pct"/>
            <w:shd w:val="clear" w:color="auto" w:fill="auto"/>
            <w:vAlign w:val="center"/>
          </w:tcPr>
          <w:p w14:paraId="1F22A80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规格与材质要求：整体立式分层结构，五层标准膳食宝塔造型；整体尺寸：高度≥45cm，底座直径≥28cm，摆放稳固不易倾倒；分层清晰，层级分区对应各类食物，标识清晰直观。模型主体、食物仿真配件采用环保 PVC/ABS 高分子材质，无毒无异味、防摔抗压、不易开裂、不变形；底座加厚加重设计，防滑稳固；表面光滑致密，可使用酒精、消毒湿巾擦拭清洁，防潮防霉，符合实训室感控要求。</w:t>
            </w:r>
          </w:p>
          <w:p w14:paraId="13310A4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分层内容与标识：严格按照《中国居民膳食指南》标准五层分类，适配老年人膳食需求：第一层（塔底）：谷薯杂豆类第二层：蔬菜水果类第三层：畜禽肉、水产、蛋类第四层：奶及奶制品、大豆坚果类第五层（塔顶）：油脂、盐、添加糖，每层配备1:1 仿真食物模型，分量配比贴合老年人群减量、清淡饮食标准；每层配有高清文字标识牌，标注食物类别、建议每日摄入量、老年饮食提示。仿真模型配置配套仿真食材品类齐全，造型逼真、色彩自然、不易褪色；包含杂粮、米面、绿叶菜、瓜果、瘦肉、鱼虾、鸡蛋、牛奶、豆制品、坚果、食用油、食盐等全套模型；可拆卸分体摆放，可拆分开展膳食搭配实操训练。质保期≥1 年，正常教学使用中非人为损坏免费维修更换。</w:t>
            </w:r>
          </w:p>
        </w:tc>
        <w:tc>
          <w:tcPr>
            <w:tcW w:w="291" w:type="pct"/>
            <w:vAlign w:val="center"/>
          </w:tcPr>
          <w:p w14:paraId="3610A3E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394E8F50">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ABF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61" w:type="pct"/>
            <w:vAlign w:val="center"/>
          </w:tcPr>
          <w:p w14:paraId="09D8DC7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23</w:t>
            </w:r>
          </w:p>
        </w:tc>
        <w:tc>
          <w:tcPr>
            <w:tcW w:w="608" w:type="pct"/>
            <w:shd w:val="clear" w:color="auto" w:fill="auto"/>
            <w:vAlign w:val="center"/>
          </w:tcPr>
          <w:p w14:paraId="708F20B6">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糖尿病饮食指导食谱模型</w:t>
            </w:r>
          </w:p>
        </w:tc>
        <w:tc>
          <w:tcPr>
            <w:tcW w:w="3516" w:type="pct"/>
            <w:shd w:val="clear" w:color="auto" w:fill="auto"/>
            <w:vAlign w:val="center"/>
          </w:tcPr>
          <w:p w14:paraId="0F2F17C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设备用途:营养干预工具</w:t>
            </w:r>
          </w:p>
          <w:p w14:paraId="5E8D654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材质及性能要求:该套模型采用环保仿真材质制作而成，制作依据《中国居民膳食指南2022》，数据来源《中国食物成分表》。整套包含糖尿病一日三正餐三加餐饮食模型展示，总热量为2000千卡。每餐模型均配套对应容器和食物热量标签，每餐正餐均配套托盘，整套配标牌。</w:t>
            </w:r>
          </w:p>
        </w:tc>
        <w:tc>
          <w:tcPr>
            <w:tcW w:w="291" w:type="pct"/>
            <w:vAlign w:val="center"/>
          </w:tcPr>
          <w:p w14:paraId="5F4A4867">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35482998">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7EB0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1" w:type="pct"/>
            <w:vAlign w:val="center"/>
          </w:tcPr>
          <w:p w14:paraId="3529A86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24</w:t>
            </w:r>
          </w:p>
        </w:tc>
        <w:tc>
          <w:tcPr>
            <w:tcW w:w="608" w:type="pct"/>
            <w:shd w:val="clear" w:color="auto" w:fill="auto"/>
            <w:vAlign w:val="center"/>
          </w:tcPr>
          <w:p w14:paraId="6B5FBE8C">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隐形油含量模型</w:t>
            </w:r>
          </w:p>
        </w:tc>
        <w:tc>
          <w:tcPr>
            <w:tcW w:w="3516" w:type="pct"/>
            <w:shd w:val="clear" w:color="auto" w:fill="auto"/>
            <w:vAlign w:val="center"/>
          </w:tcPr>
          <w:p w14:paraId="580B2B3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设备用途:生活方式干预</w:t>
            </w:r>
          </w:p>
          <w:p w14:paraId="148BCFE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性能参数:该套模型采用环保仿真材质制作而成，整套包含10个高仿真食物模型，每个模型均配套对应容器、营养标签和小计量瓶，并配套标牌。</w:t>
            </w:r>
          </w:p>
          <w:p w14:paraId="466FA79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模型材质为:采用环保 PVC/ABS 高分子材质。模型配置按照《中国居民膳食指南2022》要求进行合理搭配。</w:t>
            </w:r>
          </w:p>
        </w:tc>
        <w:tc>
          <w:tcPr>
            <w:tcW w:w="291" w:type="pct"/>
            <w:vAlign w:val="center"/>
          </w:tcPr>
          <w:p w14:paraId="64410D2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0AFAF2F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366E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422F80D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25</w:t>
            </w:r>
          </w:p>
        </w:tc>
        <w:tc>
          <w:tcPr>
            <w:tcW w:w="608" w:type="pct"/>
            <w:shd w:val="clear" w:color="auto" w:fill="auto"/>
            <w:vAlign w:val="center"/>
          </w:tcPr>
          <w:p w14:paraId="5B95FD54">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隐形盐含量模型</w:t>
            </w:r>
          </w:p>
        </w:tc>
        <w:tc>
          <w:tcPr>
            <w:tcW w:w="3516" w:type="pct"/>
            <w:shd w:val="clear" w:color="auto" w:fill="auto"/>
            <w:vAlign w:val="center"/>
          </w:tcPr>
          <w:p w14:paraId="41058CC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设备用途:生活方式干预</w:t>
            </w:r>
          </w:p>
          <w:p w14:paraId="57EC220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性能参数:该套模型采用环保仿真材质制作而成，整套包含10个高仿真食物模型，每个模型均配套对应容器、营养标签和小计量瓶，并配套标牌。</w:t>
            </w:r>
          </w:p>
          <w:p w14:paraId="211AD93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模型材质为:采用环保 PVC/ABS 高分子材质，模型配置按照《中国居民膳食指南2022》要求进行合理搭配。</w:t>
            </w:r>
          </w:p>
        </w:tc>
        <w:tc>
          <w:tcPr>
            <w:tcW w:w="291" w:type="pct"/>
            <w:vAlign w:val="center"/>
          </w:tcPr>
          <w:p w14:paraId="1B2365E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1BA0D770">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4F8C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5BC33D5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26</w:t>
            </w:r>
          </w:p>
        </w:tc>
        <w:tc>
          <w:tcPr>
            <w:tcW w:w="608" w:type="pct"/>
            <w:shd w:val="clear" w:color="auto" w:fill="auto"/>
            <w:vAlign w:val="center"/>
          </w:tcPr>
          <w:p w14:paraId="33EE5FE5">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隐形糖含量模型</w:t>
            </w:r>
          </w:p>
        </w:tc>
        <w:tc>
          <w:tcPr>
            <w:tcW w:w="3516" w:type="pct"/>
            <w:shd w:val="clear" w:color="auto" w:fill="auto"/>
            <w:vAlign w:val="center"/>
          </w:tcPr>
          <w:p w14:paraId="7409ED1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设备用途:生活方式干预</w:t>
            </w:r>
          </w:p>
          <w:p w14:paraId="13B22C1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性能参数:该套模型采用环保仿真材质制作而成，整套包含10个高仿真食物模型，每个模型均配套对应容器、营养标签和小计量瓶，并配套标牌。</w:t>
            </w:r>
          </w:p>
          <w:p w14:paraId="13FD9E7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模型材质为:采用环保 PVC/ABS 高分子材质，模型配置按照《中国居民膳食指南2022》要求进行合理搭配。</w:t>
            </w:r>
          </w:p>
        </w:tc>
        <w:tc>
          <w:tcPr>
            <w:tcW w:w="291" w:type="pct"/>
            <w:vAlign w:val="center"/>
          </w:tcPr>
          <w:p w14:paraId="32730CD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0D91FAB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1E4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10AF974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27</w:t>
            </w:r>
          </w:p>
        </w:tc>
        <w:tc>
          <w:tcPr>
            <w:tcW w:w="608" w:type="pct"/>
            <w:shd w:val="clear" w:color="auto" w:fill="auto"/>
            <w:vAlign w:val="center"/>
          </w:tcPr>
          <w:p w14:paraId="5F3D2969">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中国居民膳食平衡宝塔食品模型</w:t>
            </w:r>
          </w:p>
        </w:tc>
        <w:tc>
          <w:tcPr>
            <w:tcW w:w="3516" w:type="pct"/>
            <w:shd w:val="clear" w:color="auto" w:fill="auto"/>
            <w:vAlign w:val="center"/>
          </w:tcPr>
          <w:p w14:paraId="7D5DC57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1.结构及材质要求：五层膳食平衡宝塔立体分层结构，层级分明、分区规范；整体高度≥48cm，加厚稳固底座，底座直径≥30cm，放置平稳、不易倾倒；材质要求：宝塔框架、底座采用加厚 ABS 环保硬质塑料，抗压耐摔、不变形、无异味，配套仿真食物模型采用食品级环保 PVC 高分子材质，韧性强、不开裂、不褪色、防潮防霉，整体表面光滑致密，可使用酒精、消毒湿巾擦拭消毒，适配实训室日常感控管理，长期反复使用；模型仿真与标识：所有食物模型 1:1 等比例仿真，色泽自然、纹理逼真、形态饱满，每层配备高清图文标识牌，标注食物类别、标准摄入量。</w:t>
            </w:r>
          </w:p>
          <w:p w14:paraId="774BF9D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2.分层标准配置（模型配置按照《中国居民膳食指南2022》要求进行合理搭配）</w:t>
            </w:r>
          </w:p>
          <w:p w14:paraId="4A274CD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第一层（底层）：谷薯类，含大米、面粉、杂粮、薯类等仿真模型，标注每日推荐摄入量；第二层：蔬菜水果类，绿叶蔬菜、瓜果、菌菇、鲜果等模型齐全，种类丰富；第三层：畜禽肉类、水产品、蛋类，适配老年优质蛋白摄入教学；第四层：乳类、大豆及坚果类，贴合老年补钙、营养补充教学；第五层（顶层）：烹调油、食盐、添加糖模型，强化老年低盐少油健康饮食宣教。质保期≥1 年，非人为损坏免费维修、更换配件。</w:t>
            </w:r>
          </w:p>
        </w:tc>
        <w:tc>
          <w:tcPr>
            <w:tcW w:w="291" w:type="pct"/>
            <w:vAlign w:val="center"/>
          </w:tcPr>
          <w:p w14:paraId="707C993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48BA9DB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0D15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1" w:type="pct"/>
            <w:vAlign w:val="center"/>
          </w:tcPr>
          <w:p w14:paraId="33AA146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28</w:t>
            </w:r>
          </w:p>
        </w:tc>
        <w:tc>
          <w:tcPr>
            <w:tcW w:w="608" w:type="pct"/>
            <w:shd w:val="clear" w:color="auto" w:fill="auto"/>
            <w:vAlign w:val="center"/>
          </w:tcPr>
          <w:p w14:paraId="74ACA60E">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幼儿膳食营养模型</w:t>
            </w:r>
          </w:p>
        </w:tc>
        <w:tc>
          <w:tcPr>
            <w:tcW w:w="3516" w:type="pct"/>
            <w:shd w:val="clear" w:color="auto" w:fill="auto"/>
            <w:vAlign w:val="center"/>
          </w:tcPr>
          <w:p w14:paraId="5CE5EB5C">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结构及材质要求：采用国标儿童专属六层膳食营养宝塔立体分层结构，层级划分科学，贴合幼儿生长发育饮食标准；整体立式组合设计，可拆卸分层，方便拆分教学、自由搭配膳食组合练习；底座加重防滑设计，放置稳固，不易倾倒，适配实训室桌面摆放。材质要求：宝塔支架、分层隔板、底座采用加厚 ABS 环保硬质塑料，坚固耐摔、抗压不变形、无异味、耐老化；</w:t>
            </w:r>
          </w:p>
          <w:p w14:paraId="45579DA6">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仿真食物模型采用环保 PVC 高分子软体材质，无毒无味、柔韧性好、不易碎裂、不褪色、防潮防霉；整体表面光滑平整，可使用消毒湿巾、医用酒精擦拭清洁，满足实训室感控要求。</w:t>
            </w:r>
          </w:p>
          <w:p w14:paraId="12E21FE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2.分层分类配置（严格依据《中国学龄前儿童膳食指南》分层配置）：</w:t>
            </w:r>
          </w:p>
          <w:p w14:paraId="6FDD4B11">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一层：谷薯类（杂粮、米饭、面条、薯类等）；第二层：新鲜蔬菜类（绿叶菜、瓜茄类、菌菇类）；第三层：新鲜水果类（常见应季水果模型）；第四层：畜禽肉、水产、蛋类（低脂优质蛋白食材）；第五层：奶及奶制品、大豆制品；第六层：烹调油、调味品，适配幼儿低盐、低糖、清淡饮食教学。</w:t>
            </w:r>
          </w:p>
          <w:p w14:paraId="32D48668">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3.仿真工艺与配比：全部食物模型 1:1 实物等比例制作，形态逼真、色彩自然、纹理清晰；</w:t>
            </w:r>
          </w:p>
          <w:p w14:paraId="1A387F5A">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食材分量按照3–6 岁学龄前儿童每日推荐摄入量精准配比，贴合幼儿胃容量及营养需求；每层配有高清彩色说明标识牌，标注食物类别、幼儿推荐摄入量、喂养注意事项；质保要求：质保期≥1 年，非人为损坏免费维修、更换配件。</w:t>
            </w:r>
          </w:p>
        </w:tc>
        <w:tc>
          <w:tcPr>
            <w:tcW w:w="291" w:type="pct"/>
            <w:vAlign w:val="center"/>
          </w:tcPr>
          <w:p w14:paraId="282C759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68920C38">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7F72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60D171D0">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29</w:t>
            </w:r>
          </w:p>
        </w:tc>
        <w:tc>
          <w:tcPr>
            <w:tcW w:w="608" w:type="pct"/>
            <w:shd w:val="clear" w:color="auto" w:fill="auto"/>
            <w:vAlign w:val="center"/>
          </w:tcPr>
          <w:p w14:paraId="2E0D7B5E">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婴幼儿辅食添加指导模型</w:t>
            </w:r>
          </w:p>
        </w:tc>
        <w:tc>
          <w:tcPr>
            <w:tcW w:w="3516" w:type="pct"/>
            <w:shd w:val="clear" w:color="auto" w:fill="auto"/>
            <w:vAlign w:val="center"/>
          </w:tcPr>
          <w:p w14:paraId="5BDDE5BA">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1.整体规格及材质：为套装：0–36 月龄分阶段辅食组合模型，按月龄科学划分辅食形态：泥状、末状、碎末状、小丁状、软烂固体状，分级明确；材质要求：仿真辅食模型采用环保无毒 PVC、高分子复合材质，无异味、柔韧性强、防摔抗压、不开裂、不脱屑；底座与分类托架采用加厚 ABS 硬质塑料，结构稳固、耐磕碰、不变形；表面致密光滑，可使用酒精、消毒湿巾擦拭清洁，防潮防霉，符合实训室感染控制要求。</w:t>
            </w:r>
          </w:p>
          <w:p w14:paraId="6ACCC00A">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2.分阶段辅食配置（严格按照婴幼儿辅食添加科学标准配比）全覆盖关键阶段：6 月龄：高铁米粉、菜泥、果泥、肉泥、蛋黄泥等细腻流质 / 泥糊状模型；7–9月龄：软烂碎泥、细菜末、鱼泥、肝泥、稀粥类模型；10–12月龄：碎菜、肉末、软烂面条、小块果蔬、稠粥模型；1–3岁：软烂饭菜、小丁状食材、杂粮、混合正餐辅食模型。涵盖谷物、蔬菜、水果、肉蛋、水产、豆制品、乳制品等全品类。</w:t>
            </w:r>
          </w:p>
          <w:p w14:paraId="5C4FDFC2">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3.仿真工艺与形态特点：1:1真实还原辅食实物形态、色泽、质感，高度仿真泥状、糊状、碎末、小块等不同性状；分量贴合婴幼儿单次喂食标准量，便于开展食量控制、合理喂养实训；</w:t>
            </w:r>
          </w:p>
          <w:p w14:paraId="14DCC388">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模型一体成型，不掉色、不老化、不发霉，反复手拿实操不易破损。每套配备高清图文说明卡，标注对应月龄、辅食性状、添加原则、喂养禁忌、过敏提示。质保期限：整体质保≥1 年，非人为损坏免费维修、更换配件。</w:t>
            </w:r>
          </w:p>
        </w:tc>
        <w:tc>
          <w:tcPr>
            <w:tcW w:w="291" w:type="pct"/>
            <w:vAlign w:val="center"/>
          </w:tcPr>
          <w:p w14:paraId="7B8CE47D">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24AF512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2D6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3E9BA06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30</w:t>
            </w:r>
          </w:p>
        </w:tc>
        <w:tc>
          <w:tcPr>
            <w:tcW w:w="608" w:type="pct"/>
            <w:shd w:val="clear" w:color="auto" w:fill="auto"/>
            <w:vAlign w:val="center"/>
          </w:tcPr>
          <w:p w14:paraId="3524D8ED">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老年人膳食宝塔模型</w:t>
            </w:r>
          </w:p>
        </w:tc>
        <w:tc>
          <w:tcPr>
            <w:tcW w:w="3516" w:type="pct"/>
            <w:shd w:val="clear" w:color="auto" w:fill="auto"/>
            <w:vAlign w:val="center"/>
          </w:tcPr>
          <w:p w14:paraId="1B71724C">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1.结构及材质要求：整体立式展示造型，高度≥45cm，加重加宽底座，放置稳固、防倾倒；材质要求：宝塔外框、分层隔板、底座采用加厚 ABS 环保塑料，抗压耐摔、不易变形、无异味、耐老化；仿真食物模型采用环保 PVC 复合材质，一体成型，柔韧防裂、不掉色、防潮防霉；表面光滑密实，支持酒精、消毒湿巾擦拭消毒，满足实训室院感清洁要求。</w:t>
            </w:r>
          </w:p>
          <w:p w14:paraId="4586D2BD">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2.五层分类配置（五层立体膳食宝塔结构，层级划分清晰，符合《中国居民膳食指南》老年人膳食要求）：第一层（塔底 谷薯类）：杂粮、燕麦、红薯、山药、软烂主食等，适配老年易消化主食；第二层（蔬菜水果类）：软烂蔬菜、低糖时令蔬果，兼顾膳食纤维与咀嚼能力；第三层（肉蛋水产类）：低脂肉类、鱼虾、蛋类，优质蛋白配比，贴合老年生理需求；第四层（奶豆坚果类）：牛奶、酸奶、豆制品、软质坚果，强化老年补钙、营养补充；第五层（塔顶 油盐调味）：少油、少盐、控糖模型，突出老年低盐低脂清淡饮食原则。</w:t>
            </w:r>
          </w:p>
          <w:p w14:paraId="11C6AD7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3.模型仿真与标识：食物模型 1:1 等比例仿真，色泽自然、纹理真实，分量严格按照老年人推荐摄入减量标准制作；每层配有彩色高清标识牌，标注食物类别、每日建议摄入量、老年饮食禁忌、咀嚼 / 吞咽饮食提示；质保要求：整体质保≥1 年，非人为质量问题免费维修、更换。</w:t>
            </w:r>
          </w:p>
        </w:tc>
        <w:tc>
          <w:tcPr>
            <w:tcW w:w="291" w:type="pct"/>
            <w:vAlign w:val="center"/>
          </w:tcPr>
          <w:p w14:paraId="4E9304C7">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1A2FE3F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D6C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15B3CF7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31</w:t>
            </w:r>
          </w:p>
        </w:tc>
        <w:tc>
          <w:tcPr>
            <w:tcW w:w="608" w:type="pct"/>
            <w:shd w:val="clear" w:color="auto" w:fill="auto"/>
            <w:vAlign w:val="center"/>
          </w:tcPr>
          <w:p w14:paraId="584A8528">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高血压膳食宝塔模型</w:t>
            </w:r>
          </w:p>
        </w:tc>
        <w:tc>
          <w:tcPr>
            <w:tcW w:w="3516" w:type="pct"/>
            <w:shd w:val="clear" w:color="auto" w:fill="auto"/>
            <w:vAlign w:val="center"/>
          </w:tcPr>
          <w:p w14:paraId="0310D0D7">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结构及材质要求：采用五层立体膳食宝塔结构，高血压慢病专属定制配比，区别于普通成人膳食宝塔；整体立式组合设计，高度≥45cm，加重防滑底座，放置平稳、不易倾倒；分层可拆卸独立摆放，便于拆分教学、分组实操、收纳存放。材质要求：宝塔框架、分层隔板、底座采用加厚 ABS 环保硬质塑料，坚固耐摔、不易变形、无异味、抗老化；仿真食物模型采用环保 PVC 高分子材质，一体成型，柔韧不易碎裂、不褪色、防潮防霉；表面光滑致密，可使用医用酒精、消毒湿巾擦拭清洁，符合实训室院感管理要求。</w:t>
            </w:r>
          </w:p>
          <w:p w14:paraId="6CF48381">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分层专项配置（高血压饮食定制）：第一层【谷薯类】：优选全谷物、杂粮、燕麦、薯类、杂豆，精细米面减量搭配，增加膳食纤维；第二层【蔬菜水果类】：高钾新鲜蔬果、深色蔬菜为主，标注限用高钠蔬菜，贴合高血压控钠需求；第三层【肉蛋水产类】：低脂瘦肉、淡水鱼虾、去皮禽肉、蛋清，严控肥肉、加工肉制品；第四层【奶豆坚果类】：低脂奶制品、豆制品、少量原味坚果，补充优质蛋白与矿物质；第五层【油脂调味类】：低钠盐、限量化食用油、禁止咸菜 / 腌制品 / 加工酱料模型，重点展示控盐、控油、控腌制品核心要点。</w:t>
            </w:r>
          </w:p>
          <w:p w14:paraId="22D8602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3.模型仿真与标识：所有食物模型 1:1 等比例仿真，形态逼真、色彩自然，严格按照高血压患者限量饮食标准配比；每层配备专用图文标识牌，标注食物类别、每日推荐摄入量、高血压饮食禁忌、限钠控油科普提示；质保要求：整体质保≥1 年，非人为损坏免费维修、更换配件。</w:t>
            </w:r>
          </w:p>
        </w:tc>
        <w:tc>
          <w:tcPr>
            <w:tcW w:w="291" w:type="pct"/>
            <w:vAlign w:val="center"/>
          </w:tcPr>
          <w:p w14:paraId="0F1D8EE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4C475310">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19A9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10304EA9">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32</w:t>
            </w:r>
          </w:p>
        </w:tc>
        <w:tc>
          <w:tcPr>
            <w:tcW w:w="608" w:type="pct"/>
            <w:shd w:val="clear" w:color="auto" w:fill="auto"/>
            <w:vAlign w:val="center"/>
          </w:tcPr>
          <w:p w14:paraId="2DA04DA6">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糖尿病膳食宝塔模型</w:t>
            </w:r>
          </w:p>
        </w:tc>
        <w:tc>
          <w:tcPr>
            <w:tcW w:w="3516" w:type="pct"/>
            <w:shd w:val="clear" w:color="auto" w:fill="auto"/>
            <w:vAlign w:val="center"/>
          </w:tcPr>
          <w:p w14:paraId="5F5E406D">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1.结构及材质要求：采用五层立体分层膳食宝塔结构，糖尿病慢病专属定制配比，区别于普通成人膳食模型；整体立式展示结构，总高度≥45cm，加宽加重防滑底座，放置稳固、防倾倒；</w:t>
            </w:r>
          </w:p>
          <w:p w14:paraId="53E54527">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材质要求：宝塔框架、分层隔板、底座采用加厚 ABS 环保硬质塑料，抗压耐摔、不易变形、无异味、耐老化；仿真食物模型采用环保 PVC 高分子材质，一体成型，柔韧防裂、不掉色、防潮防霉、无碎屑脱落；表面光滑密实，可使用酒精、含氯消毒用品擦拭清洁，符合实训室院感防控要求。</w:t>
            </w:r>
          </w:p>
          <w:p w14:paraId="46AE208D">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2.分层膳食配置（糖尿病专属标准</w:t>
            </w:r>
            <w:r>
              <w:rPr>
                <w:rFonts w:hint="eastAsia" w:asciiTheme="minorEastAsia" w:hAnsiTheme="minorEastAsia" w:eastAsiaTheme="minorEastAsia" w:cstheme="minorEastAsia"/>
                <w:b w:val="0"/>
                <w:bCs/>
                <w:color w:val="auto"/>
                <w:kern w:val="2"/>
                <w:sz w:val="24"/>
                <w:szCs w:val="24"/>
                <w:highlight w:val="none"/>
                <w:lang w:val="en-US" w:eastAsia="zh-CN"/>
              </w:rPr>
              <w:t>来源:《中国食物营养成分表》</w:t>
            </w:r>
            <w:r>
              <w:rPr>
                <w:rFonts w:hint="eastAsia" w:asciiTheme="minorEastAsia" w:hAnsiTheme="minorEastAsia" w:eastAsiaTheme="minorEastAsia" w:cstheme="minorEastAsia"/>
                <w:sz w:val="24"/>
                <w:szCs w:val="24"/>
                <w:lang w:val="en-US" w:eastAsia="zh-CN"/>
              </w:rPr>
              <w:t>）：第一层（塔底 谷薯类）：以杂粮、杂豆、燕麦、荞麦、山药、芋头等低升糖主食为主，精制米面减量配比，突出粗细搭配、定量摄入；第二层（蔬菜水果类）：优选低 GI 绿叶蔬菜、低糖瓜果，高纤维品类为主，标注高糖水果限制摄入量；第三层（肉蛋水产类）：优质低脂蛋白，鱼虾、瘦肉、去皮禽肉、鸡蛋，杜绝肥肉、腌制加工肉类；第四层（奶豆坚果类）：低脂 / 无糖奶制品、豆制品、少量原味坚果，严控加糖乳制品；第五层（塔顶 调味及添加类）：严格限制烹调油、杜绝蔗糖、蜂蜜、甜点、含糖饮料、精制糖制品，突出控糖、控油核心要点。仿真效果与教学标识</w:t>
            </w:r>
          </w:p>
          <w:p w14:paraId="2E522DC3">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3.模型仿真与标识：食物模型 1:1 等比例仿真，色泽形态逼真，严格按照老年人糖尿病每日定量、少食多餐饮食标准配比制作；每层配备专用彩色标识牌，标注食物类别、每日推荐摄入量、升糖提示、适宜/限制/禁食食材说明；清晰标注低 GI 食物、高糖禁忌食物，满足老年糖尿病、老年合并慢病护理实训教学。质保要求：整体质保≥1 年，非人为损坏免费维修、更换配件。</w:t>
            </w:r>
          </w:p>
        </w:tc>
        <w:tc>
          <w:tcPr>
            <w:tcW w:w="291" w:type="pct"/>
            <w:vAlign w:val="center"/>
          </w:tcPr>
          <w:p w14:paraId="1DB12A2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359BC3E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2F9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1" w:type="pct"/>
            <w:vAlign w:val="center"/>
          </w:tcPr>
          <w:p w14:paraId="40A77E5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33</w:t>
            </w:r>
          </w:p>
        </w:tc>
        <w:tc>
          <w:tcPr>
            <w:tcW w:w="608" w:type="pct"/>
            <w:shd w:val="clear" w:color="auto" w:fill="auto"/>
            <w:vAlign w:val="center"/>
          </w:tcPr>
          <w:p w14:paraId="6115294E">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营养电子秤</w:t>
            </w:r>
          </w:p>
        </w:tc>
        <w:tc>
          <w:tcPr>
            <w:tcW w:w="3516" w:type="pct"/>
            <w:shd w:val="clear" w:color="auto" w:fill="auto"/>
            <w:vAlign w:val="center"/>
          </w:tcPr>
          <w:p w14:paraId="6CA935EE">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1.计量性能：称量范围：0g-5000g；分度值/精度：1g精准，满足食材微量称重膳食定量教学。</w:t>
            </w:r>
          </w:p>
          <w:p w14:paraId="215A15B8">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单位切换：支持 g、kg、lb、oz 多单位转换。具备去皮 / 归零功能，可实现容器扣除、分次称重，满足分装膳食、辅食定量实训；自动归零、过载提示、低电量提醒；</w:t>
            </w:r>
          </w:p>
          <w:p w14:paraId="15A5E12C">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机身材质与结构：秤面采用食品级加厚不锈钢托盘，耐腐蚀、防油污、易擦拭消毒，适配实训室日常清洁；机身ABS环保工程塑料，坚固防摔、无异味、抗压不变形；超薄机身设计，占地小，便于实训室收纳摆放。高清 LCD 液晶大屏，白色背光显示，读数清晰；轻触式按键，防水防油污，操作简单，屏幕防刮耐磨，长期使用不易模糊。四角防滑脚垫，放置稳固，称重不滑动。</w:t>
            </w:r>
          </w:p>
          <w:p w14:paraId="3D7F8D5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3.供电及质保：双供电模式：电池供电+USB外接供电，运行稳定，称重反应灵敏，长时间称重数据不漂移。质保期≥1 年，非人为损坏免费维修、更换配件。</w:t>
            </w:r>
          </w:p>
        </w:tc>
        <w:tc>
          <w:tcPr>
            <w:tcW w:w="291" w:type="pct"/>
            <w:vAlign w:val="center"/>
          </w:tcPr>
          <w:p w14:paraId="0A1097EA">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531416A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EF6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61" w:type="pct"/>
            <w:vAlign w:val="center"/>
          </w:tcPr>
          <w:p w14:paraId="4C00A0B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rPr>
              <w:t>34</w:t>
            </w:r>
          </w:p>
        </w:tc>
        <w:tc>
          <w:tcPr>
            <w:tcW w:w="608" w:type="pct"/>
            <w:shd w:val="clear" w:color="auto" w:fill="auto"/>
            <w:vAlign w:val="center"/>
          </w:tcPr>
          <w:p w14:paraId="47E38DCD">
            <w:pPr>
              <w:widowControl w:val="0"/>
              <w:spacing w:line="240" w:lineRule="auto"/>
              <w:jc w:val="center"/>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食品温度计</w:t>
            </w:r>
          </w:p>
        </w:tc>
        <w:tc>
          <w:tcPr>
            <w:tcW w:w="3516" w:type="pct"/>
            <w:shd w:val="clear" w:color="auto" w:fill="auto"/>
            <w:vAlign w:val="center"/>
          </w:tcPr>
          <w:p w14:paraId="6DBB607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1.测温性能：测温范围：-50℃-300℃，覆盖冷食、热餐、汤粥、熟食全场景；测量精度：±1℃，读数精准，满足老年餐食温度管控教学，响应速度快，数显即时读数。</w:t>
            </w:r>
          </w:p>
          <w:p w14:paraId="14E6A7C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2.材质要求：探针采用食品级304不锈钢加长探头，防锈耐腐蚀、安全无毒，可直接接触食物；</w:t>
            </w:r>
          </w:p>
          <w:p w14:paraId="31EFE50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机身采用环保ABS防滑材质，防摔耐磕碰，适合实训室高频次反复使用；探头细长尖锐头钝化处理，无锋利 edge，实训操作安全。</w:t>
            </w:r>
          </w:p>
          <w:p w14:paraId="34B8F98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3.功能配置及质保：高清 LCD 数字显示屏，大屏清晰读数，背光可选，光线不足环境也可正常使用。</w:t>
            </w:r>
          </w:p>
        </w:tc>
        <w:tc>
          <w:tcPr>
            <w:tcW w:w="291" w:type="pct"/>
            <w:vAlign w:val="center"/>
          </w:tcPr>
          <w:p w14:paraId="16735BB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10</w:t>
            </w:r>
          </w:p>
        </w:tc>
        <w:tc>
          <w:tcPr>
            <w:tcW w:w="322" w:type="pct"/>
            <w:vAlign w:val="center"/>
          </w:tcPr>
          <w:p w14:paraId="010E00BA">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57D8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61" w:type="pct"/>
            <w:vAlign w:val="center"/>
          </w:tcPr>
          <w:p w14:paraId="6F3C362F">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35</w:t>
            </w:r>
          </w:p>
        </w:tc>
        <w:tc>
          <w:tcPr>
            <w:tcW w:w="608" w:type="pct"/>
            <w:shd w:val="clear" w:color="auto" w:fill="auto"/>
            <w:vAlign w:val="center"/>
          </w:tcPr>
          <w:p w14:paraId="0B0A4AF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医疗处置台</w:t>
            </w:r>
          </w:p>
        </w:tc>
        <w:tc>
          <w:tcPr>
            <w:tcW w:w="3516" w:type="pct"/>
            <w:shd w:val="clear" w:color="auto" w:fill="auto"/>
            <w:vAlign w:val="center"/>
          </w:tcPr>
          <w:p w14:paraId="65C37A0C">
            <w:pPr>
              <w:widowControl w:val="0"/>
              <w:numPr>
                <w:ilvl w:val="0"/>
                <w:numId w:val="0"/>
              </w:numPr>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1.整体外形尺寸：长1600mm×宽700mm×高800mm（允许行业标准正负偏差≤5mm，尺寸精准适配医护诊疗、器械摆放、换药处置等常规医疗场景）</w:t>
            </w:r>
          </w:p>
          <w:p w14:paraId="6FDF0715">
            <w:pPr>
              <w:widowControl w:val="0"/>
              <w:numPr>
                <w:ilvl w:val="0"/>
                <w:numId w:val="0"/>
              </w:numPr>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主体材质要求：台面材质：采用优质304医用级不锈钢材质，厚度≥1.2mm，耐腐蚀、耐酸碱、抗冲击，适配医用消毒液、酒精、碘伏等各类消毒药剂擦拭清洗，长期使用不变色、不生锈、不起鼓变形。台面一体折弯成型，无拼接缝隙，杜绝细菌滋生，符合医疗卫生洁净标准；柜体及支撑材质：整体支架、横梁、支撑腿均采用304医用级不锈钢，壁厚≥1.0mm，结构稳固承重，具备超强抗氧化、防腐蚀性能，适配医院门诊、病房、护理实训室、诊疗室等医疗环境长期使用；辅助配件材质：所有螺丝、连接件、固定件均为不锈钢材质，无铁质配件，彻底避免生锈脱落，保障设备长期使用稳定性。</w:t>
            </w:r>
          </w:p>
        </w:tc>
        <w:tc>
          <w:tcPr>
            <w:tcW w:w="291" w:type="pct"/>
            <w:vAlign w:val="center"/>
          </w:tcPr>
          <w:p w14:paraId="7F0B5CB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8</w:t>
            </w:r>
          </w:p>
        </w:tc>
        <w:tc>
          <w:tcPr>
            <w:tcW w:w="322" w:type="pct"/>
            <w:vAlign w:val="center"/>
          </w:tcPr>
          <w:p w14:paraId="7FD37F5D">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1918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7D8EE69A">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36</w:t>
            </w:r>
          </w:p>
        </w:tc>
        <w:tc>
          <w:tcPr>
            <w:tcW w:w="608" w:type="pct"/>
            <w:shd w:val="clear" w:color="auto" w:fill="auto"/>
            <w:vAlign w:val="center"/>
          </w:tcPr>
          <w:p w14:paraId="385572C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高级老年护理模拟人（带生命体征）</w:t>
            </w:r>
          </w:p>
        </w:tc>
        <w:tc>
          <w:tcPr>
            <w:tcW w:w="3516" w:type="pct"/>
            <w:shd w:val="clear" w:color="auto" w:fill="auto"/>
            <w:vAlign w:val="center"/>
          </w:tcPr>
          <w:p w14:paraId="3275F6B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1.模型为老年男性，高分子环保材料制成，肤质仿真度高，解剖标志明显，可触及两乳头及剑突，皮肤褶皱，形象逼真。</w:t>
            </w:r>
          </w:p>
          <w:p w14:paraId="7180A3B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2.关节灵活，可实现多种体位：去枕平卧位，屈膝仰卧位、半坐卧位、端坐位、俯卧位、头低足高位、头高足低位、侧卧位、截石位、昏迷体位等10余种。</w:t>
            </w:r>
          </w:p>
          <w:p w14:paraId="431E7FB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3.床上擦浴及更衣，扶助病人移向床头法、轮椅使用法、平车运送法、担架运送法等移动和搬运病人法，轴线翻身法，肢体约束法、肩部约束法、全身约束法。</w:t>
            </w:r>
          </w:p>
          <w:p w14:paraId="5DD9577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4.瞳孔示教：一侧散大，一侧正常。</w:t>
            </w:r>
          </w:p>
          <w:p w14:paraId="661A714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5.鼻饲：托起头部使下颌靠近胸骨柄，可抽出模拟胃液。</w:t>
            </w:r>
          </w:p>
          <w:p w14:paraId="27886D6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6.洗胃术：可经口、鼻进行洗胃器洗胃、电动吸引器洗胃、胃管洗胃、洗胃机洗胃，胃容量为500ml。</w:t>
            </w:r>
          </w:p>
          <w:p w14:paraId="5F05FA8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7.导尿：男女互换生殖器，男性抬起阴茎与腹壁成60°角，导尿管顺利插入；操作成功后可导出模拟尿液。</w:t>
            </w:r>
          </w:p>
          <w:p w14:paraId="009BF99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8.灌肠： 可实现大量不保留灌肠、小量不保留灌肠、清洁灌肠和保留灌肠等多种灌肠方式。</w:t>
            </w:r>
          </w:p>
          <w:p w14:paraId="0008018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9.造瘘口护理：可进行造瘘口清洗。</w:t>
            </w:r>
          </w:p>
          <w:p w14:paraId="4B8F0F1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10.口腔护理: 有活动义齿  。</w:t>
            </w:r>
          </w:p>
          <w:p w14:paraId="17F2327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11.气管切开术后护理。</w:t>
            </w:r>
          </w:p>
          <w:p w14:paraId="10AF8C8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12.肌内注射：上臂、臀部和股外侧均有肌内注射块，可注入真实液体，注射模块均可更换。</w:t>
            </w:r>
          </w:p>
          <w:p w14:paraId="0E15F27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13.右手均有手背静脉网，头静脉、贵要静脉，可进行静脉输液、采血等操作。</w:t>
            </w:r>
          </w:p>
          <w:p w14:paraId="5DE1EC9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14.其他护理操作：吸氧、雾化吸入疗法、冷热疗法护理、外阴擦洗、外阴湿热敷、尿道冲洗、耳道冲洗及褥疮等多项护理操作。</w:t>
            </w:r>
          </w:p>
        </w:tc>
        <w:tc>
          <w:tcPr>
            <w:tcW w:w="291" w:type="pct"/>
            <w:vAlign w:val="center"/>
          </w:tcPr>
          <w:p w14:paraId="7B6686B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12442E8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418E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529DCE41">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37</w:t>
            </w:r>
          </w:p>
        </w:tc>
        <w:tc>
          <w:tcPr>
            <w:tcW w:w="608" w:type="pct"/>
            <w:shd w:val="clear" w:color="auto" w:fill="auto"/>
            <w:vAlign w:val="center"/>
          </w:tcPr>
          <w:p w14:paraId="1BE188E5">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除颤仪</w:t>
            </w:r>
          </w:p>
        </w:tc>
        <w:tc>
          <w:tcPr>
            <w:tcW w:w="3516" w:type="pct"/>
            <w:shd w:val="clear" w:color="auto" w:fill="auto"/>
            <w:vAlign w:val="center"/>
          </w:tcPr>
          <w:p w14:paraId="348F860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模型为高仿真的模拟除颤仪，具有与真实除颤仪无差别的外形，操作流程与真实除颤仪操作无异，便于培训急救人员进行除颤训练。具有手动除颤和自动除颤（AED)功能</w:t>
            </w:r>
          </w:p>
          <w:p w14:paraId="7A8ED5C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模拟除颤仪拥有7寸彩色屏幕；焦耳档位选择，可以选择所需要的除颤能量值；系统自动侦测电联可报警；界面可显示心电图波形，并分析当前采集的心律是否可除颤；可模拟显示双相波除颤的能量曲线；可语音提示“正在充电”“充电完成”等；可传输当前除颤能量值到模型端，和模型互动反馈。；模拟AED功能：完全参照美国心脏协会（AHA）最新指南设计，内置美国心脏协会（AHA）推荐的10种情景模式供训练使用；可选择成人或儿童除颤模式，配有儿童和成人2 种电极片，便于教学；除颤手柄具有磁力，可自动吸引，便于放置手柄；可模拟心电监护，显示12导联心电波形，内置40个心电病例；可模拟体外起搏，起搏电压和起搏频率可设置；可模拟同步复律，当心律为室上心动过速、心房扑动、心房颤动、室性心动过速时可进行同步复律，同步复律时可检测出QRS波，选择最佳放电时期（心室肌绝对不应期放电，即R波降支或R波即使后30ms；内置锂电池，除颤界面有电池电量图标，实时监控模拟除颤仪电量信息。</w:t>
            </w:r>
          </w:p>
        </w:tc>
        <w:tc>
          <w:tcPr>
            <w:tcW w:w="291" w:type="pct"/>
            <w:vAlign w:val="center"/>
          </w:tcPr>
          <w:p w14:paraId="545B864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08562D6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EB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261" w:type="pct"/>
            <w:vAlign w:val="center"/>
          </w:tcPr>
          <w:p w14:paraId="0B873E2A">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38</w:t>
            </w:r>
          </w:p>
        </w:tc>
        <w:tc>
          <w:tcPr>
            <w:tcW w:w="608" w:type="pct"/>
            <w:shd w:val="clear" w:color="auto" w:fill="auto"/>
            <w:vAlign w:val="center"/>
          </w:tcPr>
          <w:p w14:paraId="0A6C9B2C">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急救车（含模拟急救药品）</w:t>
            </w:r>
          </w:p>
        </w:tc>
        <w:tc>
          <w:tcPr>
            <w:tcW w:w="3516" w:type="pct"/>
            <w:shd w:val="clear" w:color="auto" w:fill="auto"/>
            <w:vAlign w:val="center"/>
          </w:tcPr>
          <w:p w14:paraId="071DD32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1.规格及尺寸要求：整体柜体采用加厚环保 ABS 工程塑料一体成型，高强度、防腐蚀、耐酸碱、抗老化，适配实训室长期消毒擦拭；车架为加厚方形钢管静电喷塑处理，承重强、稳固静音、不易变形生锈；整体尺寸：长≥600mm× 宽≥380mm× 高≥850mm，布局合理，适合教学实操与教室摆放。</w:t>
            </w:r>
          </w:p>
          <w:p w14:paraId="1596A4A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抽屉与储物设计：上层配备多层分隔抽屉，内部分区隔断可拆卸，用于分类存放急救耗材、护理器械；下方封闭式大容量储物柜门设计，可放置氧气瓶、转运物品、大型急救物资；配置隐私保密门锁，带钥匙，满足药品规范管理实训教学；抽屉静音滑轨，推拉顺畅、防卡顿、防脱落，反复使用不易损坏。</w:t>
            </w:r>
          </w:p>
          <w:p w14:paraId="1057258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3.移动与制动系统：配备4寸静音万向脚轮，双轮带刹车制动，推行静音、转向灵活、固定稳固；四角防撞圆弧设计，防磕碰、防刮伤，实训室使用安全；两侧配置隐藏式/固定式推拉把手，方便移动转运演练。</w:t>
            </w:r>
          </w:p>
          <w:p w14:paraId="345D0B8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4.台面及辅助配置：顶部加厚防滑工作台面，耐冲击、防液体渗漏；配备输液架插孔、废液桶挂钩、器械侧挂位，功能齐全；台面边缘加高挡边，防止物品滑落，贴合急救操作规范。</w:t>
            </w:r>
          </w:p>
          <w:p w14:paraId="1D04C1A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 感控与耐用性：整车表面光滑无缝隙，可使用酒精、含氯消毒剂擦拭消毒；防水防污、易擦洗清洁，适配实训室院感管理要求；结构加固，受力点强化处理，耐高频次实训搬动。</w:t>
            </w:r>
          </w:p>
          <w:p w14:paraId="02F7013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6.模拟急救药品配置（非真药、纯教学仿真模型）：全套为仿真模拟药盒 / 仿真药剂模型，无药效、无化学成分、安全无毒，仅用于教学演示：急救常用针剂模型：肾上腺素、多巴胺、阿托品、尼可刹米、洛贝林、利多卡因等；急救片剂 / 胶囊模型：硝酸甘油、速效救心丸、阿司匹林、降压急救类常用药；液体药剂模型：生理盐水、葡萄糖注射液模拟瓶；配套标签完整，药品名称、规格、标识清晰，分类收纳，满足急救药品识别、摆放、查对制度实训。</w:t>
            </w:r>
          </w:p>
          <w:p w14:paraId="761607F0">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7.配套配件及质保：标配：可拆卸输液架、圆形污物桶、器械挂袋、钥匙两套、分层隔板；整体组装简单。整车质保≥1 年。</w:t>
            </w:r>
          </w:p>
        </w:tc>
        <w:tc>
          <w:tcPr>
            <w:tcW w:w="291" w:type="pct"/>
            <w:vAlign w:val="center"/>
          </w:tcPr>
          <w:p w14:paraId="309EA83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4</w:t>
            </w:r>
          </w:p>
        </w:tc>
        <w:tc>
          <w:tcPr>
            <w:tcW w:w="322" w:type="pct"/>
            <w:vAlign w:val="center"/>
          </w:tcPr>
          <w:p w14:paraId="7C41B76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E1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61" w:type="pct"/>
            <w:vAlign w:val="center"/>
          </w:tcPr>
          <w:p w14:paraId="5D9CE892">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39</w:t>
            </w:r>
          </w:p>
        </w:tc>
        <w:tc>
          <w:tcPr>
            <w:tcW w:w="608" w:type="pct"/>
            <w:shd w:val="clear" w:color="auto" w:fill="auto"/>
            <w:vAlign w:val="center"/>
          </w:tcPr>
          <w:p w14:paraId="1653A640">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压疮护理模型（多阶段）</w:t>
            </w:r>
          </w:p>
        </w:tc>
        <w:tc>
          <w:tcPr>
            <w:tcW w:w="3516" w:type="pct"/>
            <w:shd w:val="clear" w:color="auto" w:fill="auto"/>
            <w:vAlign w:val="center"/>
          </w:tcPr>
          <w:p w14:paraId="59418618">
            <w:pPr>
              <w:widowControl w:val="0"/>
              <w:spacing w:line="24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模型为成人臀部，用硅橡胶制作，含六层皮肤结构，可逐层剥离展示 Ⅰ - Ⅳ 期压疮进展；含 Ⅰ 期发红皮肤、Ⅳ 期骨头外露皮肤等多个部件，精准还原伤口深度、腐肉、焦痂等细节，质地无毒耐用，易清洗，适合反复实训进行褥疮护理练习，伤口的清洗、分类，对伤口的评估1.</w:t>
            </w:r>
            <w:r>
              <w:rPr>
                <w:rFonts w:hint="eastAsia" w:asciiTheme="minorEastAsia" w:hAnsiTheme="minorEastAsia" w:eastAsiaTheme="minorEastAsia" w:cstheme="minorEastAsia"/>
                <w:sz w:val="24"/>
                <w:szCs w:val="24"/>
                <w:lang w:val="en-US" w:eastAsia="zh-CN"/>
              </w:rPr>
              <w:t>整体结构设计要求：采用人体臀部、骶尾部标准解剖结构仿真模型，一体化成型，造型真实，皮肤质感接近人体软组织，触感柔软有韧性；体积适中，便于桌面摆放、手持操作演示。</w:t>
            </w:r>
          </w:p>
          <w:p w14:paraId="70A2B7C2">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2.多阶段压疮分期配置：完整包含压疮 Ⅰ 期、Ⅱ 期、Ⅲ 期、Ⅳ 期、不可分期、深部组织损伤全阶段病灶：Ⅰ 期：完整皮肤、红斑硬结、皮肤完整性受损前期表现；Ⅱ 期：表皮破损、水疱、浅表溃疡、浅层创面；Ⅲ 期：全层皮肤缺损、皮下组织暴露、腐肉组织模拟；Ⅳ 期：深达肌肉骨骼、窦道、潜行、坏死组织模拟；同步搭配渗液、腐皮、结痂、皮下淤血、浸渍皮肤等并发症病理表现。</w:t>
            </w:r>
          </w:p>
          <w:p w14:paraId="74EAB2F9">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清洁消毒与维护质保：模型表面密闭防水，可使用医用酒精、中性消毒剂擦拭消毒；耐水洗、易清洁，创面部位耐反复实操打磨，后期维护简单；无异味、无毒无害，符合实训室教学卫生与安全标准。整体质保≥1 年，非人为撕裂、老化脱胶等质量问题免费售后。</w:t>
            </w:r>
          </w:p>
        </w:tc>
        <w:tc>
          <w:tcPr>
            <w:tcW w:w="291" w:type="pct"/>
            <w:vAlign w:val="center"/>
          </w:tcPr>
          <w:p w14:paraId="6163564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26B5309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031F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4CA20779">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40</w:t>
            </w:r>
          </w:p>
        </w:tc>
        <w:tc>
          <w:tcPr>
            <w:tcW w:w="608" w:type="pct"/>
            <w:shd w:val="clear" w:color="auto" w:fill="auto"/>
            <w:vAlign w:val="center"/>
          </w:tcPr>
          <w:p w14:paraId="4D31598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输液泵</w:t>
            </w:r>
          </w:p>
        </w:tc>
        <w:tc>
          <w:tcPr>
            <w:tcW w:w="3516" w:type="pct"/>
            <w:shd w:val="clear" w:color="auto" w:fill="auto"/>
            <w:vAlign w:val="center"/>
          </w:tcPr>
          <w:p w14:paraId="7858671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微量输液泵技术参数</w:t>
            </w:r>
          </w:p>
          <w:p w14:paraId="077F2FD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1.流速设定范围：0.1ml/h-1200ml/h（6-150d/min）最小分辨率为：0.1ml/h (1d/min)</w:t>
            </w:r>
          </w:p>
          <w:p w14:paraId="4811308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2.显示：大尺寸液晶屏显示</w:t>
            </w:r>
          </w:p>
          <w:p w14:paraId="1727D2F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3.总量设定范围：0.1ml-9999.9ml，最小分辨率为：0.1ml</w:t>
            </w:r>
          </w:p>
          <w:p w14:paraId="60782EC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4.输液模式：流速模式ml/h，滴数模式d/min，时间模式hr：min</w:t>
            </w:r>
          </w:p>
          <w:p w14:paraId="23E7A98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5.输液精度：±5%</w:t>
            </w:r>
          </w:p>
          <w:p w14:paraId="32A255B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6.阻塞报警阈值分级调节：高：110kPa±20kPa (825mmHg±150 mmHg)</w:t>
            </w:r>
          </w:p>
          <w:p w14:paraId="6F68772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 xml:space="preserve">中：80kPa±30kPa  (600mmHg±225mmHg) </w:t>
            </w:r>
          </w:p>
          <w:p w14:paraId="3F9201A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低：60kPa±20kPa  (450mmHg±150 mmHg)</w:t>
            </w:r>
          </w:p>
          <w:p w14:paraId="2943D12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7.报警音量：（分高、中、低）可调，报警声音按国标YY0709-2009设计，适合不同听力人群，防止声音被淹没，使报警声更加安全。</w:t>
            </w:r>
          </w:p>
          <w:p w14:paraId="3CE5E84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8.滴数传感技术功能：外置滴数传感技术功能，自动校准滴数与预设匹配。</w:t>
            </w:r>
          </w:p>
          <w:p w14:paraId="3F19981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9.门锁选用双点锁紧设计，加强了门开关时的稳定性，从而使流速更为均匀。</w:t>
            </w:r>
          </w:p>
          <w:p w14:paraId="763A8CE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 xml:space="preserve">10.采用独特的止液夹锁定技术，方便医护人员单手安装输液管。 </w:t>
            </w:r>
          </w:p>
          <w:p w14:paraId="5F42596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11.高流速安全确认：为保证输液的安全性当流速大于300ml\h时、会提示二次确认，确认后方可输液</w:t>
            </w:r>
          </w:p>
          <w:p w14:paraId="7ECF2EE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12.夜间照明灯自动亮起，方便安装输液管。</w:t>
            </w:r>
          </w:p>
          <w:p w14:paraId="029FB32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13.输液器通用，匹配任何品牌输液器</w:t>
            </w:r>
          </w:p>
          <w:p w14:paraId="129C6B4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14.重量：2.15kg</w:t>
            </w:r>
          </w:p>
          <w:p w14:paraId="26CC84D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15.报警功能提示：</w:t>
            </w:r>
          </w:p>
          <w:p w14:paraId="7A198B0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阻塞报警、输液完成报警、电池欠压报警、待机报警（遗忘操作报警）、气泡报警、（空瓶）报警、开门报警、</w:t>
            </w:r>
          </w:p>
          <w:p w14:paraId="3A5A226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电机故障、市电故障或电源线脱落报警、备电开机报警，</w:t>
            </w:r>
          </w:p>
          <w:p w14:paraId="4DEEEF0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16.功能：开机自检、输液总量设置、输注流速和已输注量实时显示、供电状态显示、安全速度限制、数据保存、KVO功能。</w:t>
            </w:r>
          </w:p>
          <w:p w14:paraId="769D4DE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其它功能</w:t>
            </w:r>
          </w:p>
          <w:p w14:paraId="04884A3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1.电源：AC100V－240V、50/60Hz（±1 Hz），内置式电池: DC 12V 1800mAh，连续使用时间：至少4小时（全新电池完全充电情况下以25ml/h运行时）</w:t>
            </w:r>
          </w:p>
          <w:p w14:paraId="482D176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2.存储环境：环境温度：-20℃-+55℃ ，相对湿度：≤90%RH，大气压力：860hPa-1060hPa</w:t>
            </w:r>
          </w:p>
          <w:p w14:paraId="65C7546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3.防水等级：IPX1，电击防护：I类BF型</w:t>
            </w:r>
          </w:p>
        </w:tc>
        <w:tc>
          <w:tcPr>
            <w:tcW w:w="291" w:type="pct"/>
            <w:vAlign w:val="center"/>
          </w:tcPr>
          <w:p w14:paraId="58E2784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7459001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381B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61" w:type="pct"/>
            <w:vAlign w:val="center"/>
          </w:tcPr>
          <w:p w14:paraId="128985E2">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41</w:t>
            </w:r>
          </w:p>
        </w:tc>
        <w:tc>
          <w:tcPr>
            <w:tcW w:w="608" w:type="pct"/>
            <w:shd w:val="clear" w:color="auto" w:fill="auto"/>
            <w:vAlign w:val="center"/>
          </w:tcPr>
          <w:p w14:paraId="55DA82F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吸痰器（电动）</w:t>
            </w:r>
          </w:p>
        </w:tc>
        <w:tc>
          <w:tcPr>
            <w:tcW w:w="3516" w:type="pct"/>
            <w:shd w:val="clear" w:color="auto" w:fill="auto"/>
            <w:vAlign w:val="center"/>
          </w:tcPr>
          <w:p w14:paraId="6B326AD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1.性能参数：工作方式：电动负压吸引，医用级负压系统，运行平稳、噪音低；极限负压值：≥0.08MPa，负压连续可调；流量：≥15L/min，吸力柔和可控；工作模式：一键启停操作简单。</w:t>
            </w:r>
          </w:p>
          <w:p w14:paraId="5B82078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2.机身材质与结构：整机外壳采用高强度ABS环保工程塑料，抗撞击、耐磨损、防老化；一体化成型，表面光滑无死角，便于擦拭消毒，符合实训室感控要求。</w:t>
            </w:r>
          </w:p>
          <w:p w14:paraId="2CCD6ED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储液收集配件及质保：配置大容量透明储液瓶，容量≥1000mL，刻度清晰，便于观察、教学讲解；防倒流、防逆流设计，内置防污染滤芯，避免废液回流损坏机器；储液瓶可拆卸、反复清洗、浸泡消毒，适配实训反复使用；管路与操作配件：标配医用连接管路、引流软管，耐弯折、不易老化。整机质保≥1 年，核心负压泵非人为损坏免费维修更换。</w:t>
            </w:r>
          </w:p>
        </w:tc>
        <w:tc>
          <w:tcPr>
            <w:tcW w:w="291" w:type="pct"/>
            <w:vAlign w:val="center"/>
          </w:tcPr>
          <w:p w14:paraId="6C3608C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D63B19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4E49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7159FC12">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42</w:t>
            </w:r>
          </w:p>
        </w:tc>
        <w:tc>
          <w:tcPr>
            <w:tcW w:w="608" w:type="pct"/>
            <w:shd w:val="clear" w:color="auto" w:fill="auto"/>
            <w:vAlign w:val="center"/>
          </w:tcPr>
          <w:p w14:paraId="363E0078">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医用监护仪（多参数）</w:t>
            </w:r>
          </w:p>
        </w:tc>
        <w:tc>
          <w:tcPr>
            <w:tcW w:w="3516" w:type="pct"/>
            <w:shd w:val="clear" w:color="auto" w:fill="auto"/>
            <w:vAlign w:val="center"/>
          </w:tcPr>
          <w:p w14:paraId="7412E9D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一、监测功能</w:t>
            </w:r>
          </w:p>
          <w:p w14:paraId="58E3799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标配心电（ECG）、呼吸（RESP）、血氧饱和度（SpO2）、无创血压(NIBP)、脉搏(PR)、双通道体温监测(TEMP)</w:t>
            </w:r>
          </w:p>
          <w:p w14:paraId="40F78D1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二、屏幕显示</w:t>
            </w:r>
          </w:p>
          <w:p w14:paraId="09B381E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1.屏幕尺寸：≥12.1寸，高亮度彩色液晶显示，屏幕亮度0-10级可调</w:t>
            </w:r>
          </w:p>
          <w:p w14:paraId="543DDFF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2.多达10道波形同屏显示，波形颜色与位置可调</w:t>
            </w:r>
          </w:p>
          <w:p w14:paraId="22EAF5B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 具有大字符显示、呼吸氧合图、短趋势图，它床观察，七导同屏/半屏等多种界面供用户选择</w:t>
            </w:r>
          </w:p>
          <w:p w14:paraId="0BB90C3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4.主界面下可同屏显示血压列表，方便护士抄录与回顾</w:t>
            </w:r>
          </w:p>
          <w:p w14:paraId="66C5245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5.具有常用快捷键功能，可自定义设置，满足不同科室临床使用习惯</w:t>
            </w:r>
          </w:p>
          <w:p w14:paraId="645BD09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6.用户可根据需要选择四个监测参数进行观察，对于有波形的参数，同时会显示一道波形，使得医护人员可以全方位、远距离清晰观察</w:t>
            </w:r>
          </w:p>
          <w:p w14:paraId="484856D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7.具备ECG多导联同步分析功能，可同时分析多个心电导联，个别导联线干扰情况下仍能准确监测</w:t>
            </w:r>
          </w:p>
          <w:p w14:paraId="42D6EC7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8.可监测SpO2灌注指数PI，测量范围0.05-20%，能有效反映末梢循环的功能状态</w:t>
            </w:r>
          </w:p>
          <w:p w14:paraId="5DA0888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9.呼吸率及呼吸波行可通过脉搏波监测，适用更多人群，无需耗材，降低成本</w:t>
            </w:r>
          </w:p>
          <w:p w14:paraId="493A8DEF">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10.采用先进的心电分析软件，且心电算法通过CSE数据库测试</w:t>
            </w:r>
          </w:p>
          <w:p w14:paraId="49F1FF2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11.可选扩展VGA接口，支持外接显示器，实现双屏显示功能</w:t>
            </w:r>
          </w:p>
          <w:p w14:paraId="5F7A4AC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三、数据存储、回顾</w:t>
            </w:r>
          </w:p>
          <w:p w14:paraId="46E2414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1.具备480小时趋势图表存储与回顾功能</w:t>
            </w:r>
          </w:p>
          <w:p w14:paraId="2C63979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2.具有120分钟重点心电监护导联波形存储回放功能</w:t>
            </w:r>
          </w:p>
          <w:p w14:paraId="5BF302D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3.具有报警回顾功能，最多可存储700组报警事件</w:t>
            </w:r>
          </w:p>
          <w:p w14:paraId="6D7A388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4.具有心律失常回顾功能，最多可存储128组心律失常数据</w:t>
            </w:r>
          </w:p>
          <w:p w14:paraId="73CBB02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5.具有NIBP回顾功能，最多可存储1000组NIBP测量数据</w:t>
            </w:r>
          </w:p>
          <w:p w14:paraId="5352601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6.具有全参数掉电存储功能，可存储72小时全参数的数据</w:t>
            </w:r>
          </w:p>
          <w:p w14:paraId="121C1694">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四、操作及报警方式</w:t>
            </w:r>
          </w:p>
          <w:p w14:paraId="26562F8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1.具有按键和旋钮飞梭操作</w:t>
            </w:r>
          </w:p>
          <w:p w14:paraId="42700E3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2.中/英文操作界面</w:t>
            </w:r>
          </w:p>
          <w:p w14:paraId="2782BFE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3.声光双重三级报警和真人语音报警，提示更直观</w:t>
            </w:r>
          </w:p>
          <w:p w14:paraId="6BF6515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4.独立的技术和生理报警灯</w:t>
            </w:r>
          </w:p>
          <w:p w14:paraId="5C445BE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5.具有护士呼叫功能，能够把病人信息报警直接传递到护士站</w:t>
            </w:r>
          </w:p>
          <w:p w14:paraId="7079760B">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五、联网功能</w:t>
            </w:r>
          </w:p>
          <w:p w14:paraId="440F62B3">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1.支持有线、无线联网功能，实现有线无线等混合方式联网，与中央监护站无缝对接</w:t>
            </w:r>
          </w:p>
          <w:p w14:paraId="450FDF08">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2.具备有线网络接口，机器具备MAC地址，联网IP地址可调。通讯协议包括标准和HL7（提供 HL7产品标准符合性测试报告）</w:t>
            </w:r>
          </w:p>
          <w:p w14:paraId="2C36953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六、计算功能</w:t>
            </w:r>
          </w:p>
          <w:p w14:paraId="09173A8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1.具有药物/滴定表计算、通气计算、氧和计算、肾功能计算等</w:t>
            </w:r>
          </w:p>
          <w:p w14:paraId="77845E3D">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七、电池及接口配置</w:t>
            </w:r>
          </w:p>
          <w:p w14:paraId="6093392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1.内置高性能充电锂电池，实现长时间不间断监护</w:t>
            </w:r>
          </w:p>
          <w:p w14:paraId="4549087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2.具有RJ-45网络口、辅助输出接口、USB可在线升级功能等</w:t>
            </w:r>
          </w:p>
        </w:tc>
        <w:tc>
          <w:tcPr>
            <w:tcW w:w="291" w:type="pct"/>
            <w:vAlign w:val="center"/>
          </w:tcPr>
          <w:p w14:paraId="76965FCC">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6D48783">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2D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61" w:type="pct"/>
            <w:vAlign w:val="center"/>
          </w:tcPr>
          <w:p w14:paraId="530E5F9E">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43</w:t>
            </w:r>
          </w:p>
        </w:tc>
        <w:tc>
          <w:tcPr>
            <w:tcW w:w="608" w:type="pct"/>
            <w:shd w:val="clear" w:color="auto" w:fill="auto"/>
            <w:vAlign w:val="center"/>
          </w:tcPr>
          <w:p w14:paraId="40F7002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血糖血脂检测仪</w:t>
            </w:r>
          </w:p>
        </w:tc>
        <w:tc>
          <w:tcPr>
            <w:tcW w:w="3516" w:type="pct"/>
            <w:shd w:val="clear" w:color="auto" w:fill="auto"/>
            <w:vAlign w:val="center"/>
          </w:tcPr>
          <w:p w14:paraId="66ADF5C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血糖胆固醇尿酸测试仪 GUT02 的测量数值包括血糖、尿酸和胆固醇。</w:t>
            </w:r>
          </w:p>
          <w:p w14:paraId="7F118F9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该仪器的血糖、尿酸和胆固醇试纸技术分别为葡萄糖脱氢酶法、尿酸酶法和胆固醇氧化酶法。</w:t>
            </w:r>
          </w:p>
          <w:p w14:paraId="3F91DDA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GUT02的记忆值为600组，可用于存储血糖、尿酸和胆固醇的测试结果。其测试时长约为：血糖5秒、尿酸15秒、胆固醇75秒。 最小加样量分别为：血糖0.8μL、尿酸1.2μL、胆固醇15μL。</w:t>
            </w:r>
          </w:p>
          <w:p w14:paraId="7E247015">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操作温度和湿度范围为5-40℃，相对湿度10%-80%。</w:t>
            </w:r>
          </w:p>
          <w:p w14:paraId="37376B8C">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测量范围分别为：血糖1.1-33.3mmol/L (20-600mg/dL)、尿酸180-1190μmol/L (3-20mg/dl)、胆固醇2.6-10.4mmol/L (100-400mg/dL)。</w:t>
            </w:r>
          </w:p>
          <w:p w14:paraId="7314259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红细胞比容（HCT）范围为：血糖10%-70%、尿酸35%-50%、胆固醇30%-55%。</w:t>
            </w:r>
          </w:p>
          <w:p w14:paraId="009DECBA">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产品净重为56g，尺寸为9.5cm×6cm×2.3cm，包装尺寸为17×11.4×4.5cm。</w:t>
            </w:r>
          </w:p>
          <w:p w14:paraId="1CE5750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屏幕尺寸为LCD（3.4×3.7cm）。</w:t>
            </w:r>
          </w:p>
          <w:p w14:paraId="6DBE14D1">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测量位置为手指末梢毛细血管全血。具有退条操作功能。</w:t>
            </w:r>
          </w:p>
          <w:p w14:paraId="5733EA4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调码方式为：血糖免调码，尿酸有调码卡且自动调码无需手动输入。</w:t>
            </w:r>
          </w:p>
          <w:p w14:paraId="42685C9E">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使用2节7号电池供电。</w:t>
            </w:r>
          </w:p>
          <w:p w14:paraId="07DDB3C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试纸有效期为：血糖试纸开封6个月、未开封24个月；尿酸试纸开封3个月、未开封20个月；胆固醇试纸开封2个月、未开封18个月。</w:t>
            </w:r>
          </w:p>
          <w:p w14:paraId="28E5DE39">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采血笔档位为9档： GUT02具备语音播报（可关闭）、背光显示、升级8电极纯银试纸、抗干扰性强等特点，符合新国标生产，误差±15%，HCT测量范围更广，适用于儿童和孕妇。</w:t>
            </w:r>
          </w:p>
        </w:tc>
        <w:tc>
          <w:tcPr>
            <w:tcW w:w="291" w:type="pct"/>
            <w:vAlign w:val="center"/>
          </w:tcPr>
          <w:p w14:paraId="4124984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1085276">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4E0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61" w:type="pct"/>
            <w:vAlign w:val="center"/>
          </w:tcPr>
          <w:p w14:paraId="36964E35">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44</w:t>
            </w:r>
          </w:p>
        </w:tc>
        <w:tc>
          <w:tcPr>
            <w:tcW w:w="608" w:type="pct"/>
            <w:shd w:val="clear" w:color="auto" w:fill="auto"/>
            <w:vAlign w:val="center"/>
          </w:tcPr>
          <w:p w14:paraId="4464006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视力测试设备</w:t>
            </w:r>
          </w:p>
        </w:tc>
        <w:tc>
          <w:tcPr>
            <w:tcW w:w="3516" w:type="pct"/>
            <w:shd w:val="clear" w:color="auto" w:fill="auto"/>
            <w:vAlign w:val="center"/>
          </w:tcPr>
          <w:p w14:paraId="0F6F7EC7">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1.视力表类型：标准对数视力表（符合 GB 11533-2011 标准），含E字视标（可定制 C 字/儿童图形视标）</w:t>
            </w:r>
          </w:p>
          <w:p w14:paraId="5351E552">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2.灯箱尺寸：外框约 700mm×500mm×120mm（长 × 宽 × 厚），视标显示区域≥600mm×400mm，重量：≤8kg，支持壁挂 / 立式放置（配支架可选）</w:t>
            </w:r>
          </w:p>
          <w:p w14:paraId="214DBAA6">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3.显示亮度：≥300cd/㎡，亮度均匀度≥85%（无明暗不均）；色温：5000K-6500K（接近自然光，符合视觉舒适标准）；对比度：≥1000:1，视标边缘清晰无模糊；视角：水平≥160°、垂直≥120°，3 米观测距离下视标辨识度 100%</w:t>
            </w:r>
          </w:p>
          <w:p w14:paraId="41B2E910">
            <w:pPr>
              <w:widowControl w:val="0"/>
              <w:spacing w:line="240" w:lineRule="auto"/>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4.视标等级：对数视力值 0.1-2.0，共 14 行；每行视标数量 3-5 个，间距符合对数比例；视标大小：最大视标（0.1 行）高度≥72mm，最小视标（2.0 行）高度≥7.2mm；校准精度：视标尺寸误差≤±2%，行间距误差≤±1%。</w:t>
            </w:r>
          </w:p>
          <w:p w14:paraId="277D2F4C">
            <w:pPr>
              <w:widowControl w:val="0"/>
              <w:spacing w:line="240" w:lineRule="auto"/>
              <w:jc w:val="left"/>
              <w:textAlignment w:val="auto"/>
              <w:rPr>
                <w:rFonts w:hint="eastAsia" w:asciiTheme="minorEastAsia" w:hAnsiTheme="minorEastAsia" w:eastAsiaTheme="minorEastAsia" w:cstheme="minorEastAsia"/>
                <w:b w:val="0"/>
                <w:bCs/>
                <w:color w:val="FF0000"/>
                <w:kern w:val="2"/>
                <w:sz w:val="24"/>
                <w:szCs w:val="24"/>
                <w:highlight w:val="none"/>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rPr>
              <w:t>5.材质及结构：外壳材质：ABS 工程塑料（防火等级 V0 级），表面哑光处理防反光；面板材质：高透亚克力板（防刮花，透光率≥92%）；内部结构：内置导光板 + 扩散膜，确保光线均匀投射不含汞、铅等有害物质，符合 RoHS 指令；防护性能：IP40 防尘等级，适应室内常温环境（工作温度 0℃-40℃）。</w:t>
            </w:r>
          </w:p>
        </w:tc>
        <w:tc>
          <w:tcPr>
            <w:tcW w:w="291" w:type="pct"/>
            <w:vAlign w:val="center"/>
          </w:tcPr>
          <w:p w14:paraId="4EC72B67">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21E894A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2D0C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2E1305CC">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45</w:t>
            </w:r>
          </w:p>
        </w:tc>
        <w:tc>
          <w:tcPr>
            <w:tcW w:w="608" w:type="pct"/>
            <w:shd w:val="clear" w:color="auto" w:fill="auto"/>
            <w:vAlign w:val="center"/>
          </w:tcPr>
          <w:p w14:paraId="467CD82C">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高原特色食材模型（枸杞、虫草、青稞等）</w:t>
            </w:r>
          </w:p>
        </w:tc>
        <w:tc>
          <w:tcPr>
            <w:tcW w:w="3516" w:type="pct"/>
            <w:shd w:val="clear" w:color="auto" w:fill="auto"/>
            <w:vAlign w:val="center"/>
          </w:tcPr>
          <w:p w14:paraId="327CE71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1.材质及结构要求：全套模型采用环保 PVC、高仿真复合高分子材质，无毒无味、无有害物质、柔韧性强；一体成型工艺，抗压防摔、不开裂、不脱色、不发霉、防潮耐老化；表面肌理高度还原食材天然纹路，触感真实，可常规擦拭消毒，符合实训室感控要求。</w:t>
            </w:r>
          </w:p>
          <w:p w14:paraId="4A5C8AF1">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2.仿真及食材配置要求：1:1 实物等比例仿真制作，形态、色泽、大小、质感高度贴合高原原生食材；色彩自然饱和，不褪色、不变形，细节清晰，可直观辨别食材外观特征；药食同源类食材形态标准。核心食材配置（涵盖青海本土经典高原食材组合）：谷物类：青稞颗粒、青稞米、青稞面、藜麦模型；药食类：枸杞（红枸杞）、冬虫夏草、蕨麻（人参果）模型；特色特产：沙棘果、牦牛肉干 / 鲜肉、高原杂粮组合模型；品类齐全，适配高原老年膳食、养生保健、食疗护理专项教学。整体质保≥1 年，非人为破损免费更换单品模型。</w:t>
            </w:r>
          </w:p>
        </w:tc>
        <w:tc>
          <w:tcPr>
            <w:tcW w:w="291" w:type="pct"/>
            <w:vAlign w:val="center"/>
          </w:tcPr>
          <w:p w14:paraId="0654D01D">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w:t>
            </w:r>
          </w:p>
        </w:tc>
        <w:tc>
          <w:tcPr>
            <w:tcW w:w="322" w:type="pct"/>
            <w:vAlign w:val="center"/>
          </w:tcPr>
          <w:p w14:paraId="5B77B29A">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p>
        </w:tc>
      </w:tr>
      <w:tr w14:paraId="7EA6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1" w:type="pct"/>
            <w:vAlign w:val="center"/>
          </w:tcPr>
          <w:p w14:paraId="7587694E">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46</w:t>
            </w:r>
          </w:p>
        </w:tc>
        <w:tc>
          <w:tcPr>
            <w:tcW w:w="608" w:type="pct"/>
            <w:shd w:val="clear" w:color="auto" w:fill="auto"/>
            <w:vAlign w:val="center"/>
          </w:tcPr>
          <w:p w14:paraId="07BCC855">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老年膳食模型（软食 / 流质 / 匀浆膳）</w:t>
            </w:r>
          </w:p>
        </w:tc>
        <w:tc>
          <w:tcPr>
            <w:tcW w:w="3516" w:type="pct"/>
            <w:shd w:val="clear" w:color="auto" w:fill="auto"/>
            <w:vAlign w:val="center"/>
          </w:tcPr>
          <w:p w14:paraId="38A250B5">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1.材质要求：全套模型采用环保食品级 PVC、高分子仿真复合材质，无毒无味、韧性强、防摔抗压；一体成型，不开裂、不掉色、不掉碎屑、防潮防霉；表面致密光滑，可使用酒精、消毒湿巾擦拭清洁，符合实训室院感管控要求。</w:t>
            </w:r>
          </w:p>
          <w:p w14:paraId="7173A958">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2.形态仿真要求：严格还原老年五大特殊膳食性状，形态区分明显、教学辨识度高：软食模型：软烂米饭、蒸软蔬菜、炖肉、软面食、去皮软烂果蔬，质地松软易咀嚼；碎食 / 泥状膳食：菜泥、果肉泥、肉末、杂粮泥，适合牙口不佳老年人；半流质模型：烂面条、稠粥、蛋羹、豆腐脑、浓汤类，性状黏稠顺滑；流质膳食：米汤、果蔬汁、营养液、豆浆、稀汤，稀薄易吞咽；</w:t>
            </w:r>
          </w:p>
          <w:p w14:paraId="1DFD266C">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匀浆膳模型：全营养混合匀浆糊状，模拟失能、鼻饲患者标准膳食形态。</w:t>
            </w:r>
          </w:p>
          <w:p w14:paraId="68F0328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3.结构与规格：1:1 真人等比例制作，分量贴合老年人单次进食标准量；餐食分量科学减量、低盐低脂适配老年生理特点；碗杯容器为适老化宽口浅碗、防洒汤杯，完全贴合临床老年照护场景；所有容器、模型边缘圆角打磨，无毛刺、无尖锐棱角；配套分类说明卡，标注各类膳食适用人群、咀嚼吞咽等级、喂养注意事项、鼻饲饮食要点。整体质保≥1 年，非人为损坏免费维修、更换。</w:t>
            </w:r>
          </w:p>
        </w:tc>
        <w:tc>
          <w:tcPr>
            <w:tcW w:w="291" w:type="pct"/>
            <w:vAlign w:val="center"/>
          </w:tcPr>
          <w:p w14:paraId="45A4C35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058170B8">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54F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0171AA5A">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47</w:t>
            </w:r>
          </w:p>
        </w:tc>
        <w:tc>
          <w:tcPr>
            <w:tcW w:w="608" w:type="pct"/>
            <w:shd w:val="clear" w:color="auto" w:fill="auto"/>
            <w:vAlign w:val="center"/>
          </w:tcPr>
          <w:p w14:paraId="5334437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电动轮椅</w:t>
            </w:r>
          </w:p>
        </w:tc>
        <w:tc>
          <w:tcPr>
            <w:tcW w:w="3516" w:type="pct"/>
            <w:shd w:val="clear" w:color="auto" w:fill="auto"/>
            <w:vAlign w:val="center"/>
          </w:tcPr>
          <w:p w14:paraId="59370329">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结构材质及尺寸与承重要求：车架采用加厚高强度钢管，静电喷塑工艺，防锈防腐、承重强、不易变形；座椅、靠背采用加厚高弹透气面料，耐磨耐压、防撕裂、易擦拭消毒；整车圆角设计，无尖锐棱角、无毛刺，实训操作安全，防磕碰划伤。</w:t>
            </w:r>
          </w:p>
          <w:p w14:paraId="38A0CBC9">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整体尺寸：总长≤115cm，总宽≤62cm，坐高≤52cm；最大安全承重≥120kg；座垫宽度合理，贴合老年人体型，久坐舒适，便于转移照护操作。</w:t>
            </w:r>
          </w:p>
          <w:p w14:paraId="2AD40478">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行走与制动系统：前后轮配置：前轮实心万向轮，后轮大尺寸驱动轮，推行转向灵活、室内静音不伤地面；配备电磁刹车+手动驻车双重制动，松手即停、驻车锁定稳固，防止溜车；行驶速度多档位可调，低速平稳。</w:t>
            </w:r>
          </w:p>
          <w:p w14:paraId="4AD32AED">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3.电动控制系统及质保：配备简易防滑操作控制器，左右手可互换安装，按键简单易懂；防误操作设计，起步平缓、加速柔和，避免突发冲行，保障安全；电机静音节能，动力平稳，故障率低。</w:t>
            </w:r>
          </w:p>
          <w:p w14:paraId="11DC5F36">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整车质保≥1 年，电机、控制器等核心部件非人为损坏免费保修；免费送货安装调试及培训。</w:t>
            </w:r>
          </w:p>
        </w:tc>
        <w:tc>
          <w:tcPr>
            <w:tcW w:w="291" w:type="pct"/>
            <w:vAlign w:val="center"/>
          </w:tcPr>
          <w:p w14:paraId="47E2E909">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2</w:t>
            </w:r>
          </w:p>
        </w:tc>
        <w:tc>
          <w:tcPr>
            <w:tcW w:w="322" w:type="pct"/>
            <w:vAlign w:val="center"/>
          </w:tcPr>
          <w:p w14:paraId="122757C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个</w:t>
            </w:r>
          </w:p>
        </w:tc>
      </w:tr>
      <w:tr w14:paraId="6758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0FBFF017">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48</w:t>
            </w:r>
          </w:p>
        </w:tc>
        <w:tc>
          <w:tcPr>
            <w:tcW w:w="608" w:type="pct"/>
            <w:shd w:val="clear" w:color="auto" w:fill="auto"/>
            <w:vAlign w:val="center"/>
          </w:tcPr>
          <w:p w14:paraId="02634CB1">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无菌换药包</w:t>
            </w:r>
          </w:p>
        </w:tc>
        <w:tc>
          <w:tcPr>
            <w:tcW w:w="3516" w:type="pct"/>
            <w:shd w:val="clear" w:color="auto" w:fill="auto"/>
            <w:vAlign w:val="center"/>
          </w:tcPr>
          <w:p w14:paraId="31FFE6F1">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1.整体配置要求：每套内含：不锈钢换药碗（弯盘+方盘）、不锈钢镊子 2 把、止血钳、器械收纳盒、纯棉敷料巾、洞巾、储物布袋，配置完整，满足完整换药操作流程实训。</w:t>
            </w:r>
          </w:p>
          <w:p w14:paraId="3BFB9525">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2.材质要求：器械主体采用优质 304 不锈钢材质，耐腐蚀、耐高压高温灭菌、不易生锈、不变形、硬度适中；碗盘内壁光滑无死角，边缘圆弧打磨，无毛刺、无尖锐棱角，实训操作安全；</w:t>
            </w:r>
          </w:p>
          <w:p w14:paraId="1B7BC5E9">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棉质布料致密厚实，耐反复清洗、浸泡、高压消毒，不起球、不破损。</w:t>
            </w:r>
          </w:p>
          <w:p w14:paraId="3AAE93F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3.器械规格与结构要求：换药弯盘+消毒方盘分体设计，分区使用，区分清洁、污染区域，贴合无菌操作教学；镊子为圆头钝头医用款，夹持稳固，咬合紧密，适合纱布、棉球夹持练习；</w:t>
            </w:r>
          </w:p>
          <w:p w14:paraId="70A18E3E">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器械表面抛光处理，易擦拭、易清洗，残留污渍无残留，便于消毒处理。</w:t>
            </w:r>
          </w:p>
          <w:p w14:paraId="7072389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可重复灭菌性能：整套器械耐高压蒸汽灭菌、含氯消毒剂浸泡消毒、酒精擦拭消毒；不锈钢部件耐高温、耐酸碱腐蚀，反复灭菌不变形、不氧化；棉布类敷料可水洗、煮沸消毒、高温灭菌，循环使用损耗低。实训教学适配完全贴合护理专业《无菌技术》《伤口换药》《压疮护理》操作考核标准。</w:t>
            </w:r>
          </w:p>
        </w:tc>
        <w:tc>
          <w:tcPr>
            <w:tcW w:w="291" w:type="pct"/>
            <w:vAlign w:val="center"/>
          </w:tcPr>
          <w:p w14:paraId="6DCF5D9E">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10</w:t>
            </w:r>
          </w:p>
        </w:tc>
        <w:tc>
          <w:tcPr>
            <w:tcW w:w="322" w:type="pct"/>
            <w:vAlign w:val="center"/>
          </w:tcPr>
          <w:p w14:paraId="3510E424">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095E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4202EB9E">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49</w:t>
            </w:r>
          </w:p>
        </w:tc>
        <w:tc>
          <w:tcPr>
            <w:tcW w:w="608" w:type="pct"/>
            <w:shd w:val="clear" w:color="auto" w:fill="auto"/>
            <w:vAlign w:val="center"/>
          </w:tcPr>
          <w:p w14:paraId="0CDFBE6A">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无菌器械包</w:t>
            </w:r>
          </w:p>
        </w:tc>
        <w:tc>
          <w:tcPr>
            <w:tcW w:w="3516" w:type="pct"/>
            <w:shd w:val="clear" w:color="auto" w:fill="auto"/>
            <w:vAlign w:val="center"/>
          </w:tcPr>
          <w:p w14:paraId="6F19B7FC">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1.整体配置要求：无菌器械包，内含医用基础实操器械组合，配置齐全、分类规范；</w:t>
            </w:r>
          </w:p>
          <w:p w14:paraId="1775AAA7">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包含：不锈钢弯盘、不锈钢方盘、医用镊子、组织剪、线剪、持针器、止血钳、器械摆放巾、双层无菌包布。</w:t>
            </w:r>
          </w:p>
          <w:p w14:paraId="1808607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2.材质要求：所有金属器械采用优质304 不锈钢材质，一体锻造、镜面抛光；耐高低温、耐酸碱、耐腐蚀、不易生锈变形，可反复高压蒸汽灭菌、浸泡消毒；包布采用高密度纯棉加厚布料，致密透气、耐水洗、耐反复灭菌，不易破损、不起毛。</w:t>
            </w:r>
          </w:p>
          <w:p w14:paraId="38C495F2">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器械工艺设计：器械边缘圆角钝化处理，无毛刺、无锐边，实训操作安全，防止划伤；咬合紧密、开合顺畅，弹性适中，符合临床医用同款规格手感；表面光滑易清洁，无卫生死角，便于清洗、去污、消毒处理。</w:t>
            </w:r>
          </w:p>
          <w:p w14:paraId="00C07F06">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无菌收纳与包装结构：双层纯棉无菌包布包裹设计，符合医院无菌器械打包规范教学；内层器械分隔摆放，分区明确，模拟临床无菌器械台铺设、拆包、取用流程；包布绑带固定，捆扎牢固，便于存放、转运、灭菌收纳。</w:t>
            </w:r>
          </w:p>
        </w:tc>
        <w:tc>
          <w:tcPr>
            <w:tcW w:w="291" w:type="pct"/>
            <w:vAlign w:val="center"/>
          </w:tcPr>
          <w:p w14:paraId="2D2E39A2">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10</w:t>
            </w:r>
          </w:p>
        </w:tc>
        <w:tc>
          <w:tcPr>
            <w:tcW w:w="322" w:type="pct"/>
            <w:vAlign w:val="center"/>
          </w:tcPr>
          <w:p w14:paraId="7B4501C5">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r w14:paraId="73A4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1" w:type="pct"/>
            <w:vAlign w:val="center"/>
          </w:tcPr>
          <w:p w14:paraId="410D3CDA">
            <w:pPr>
              <w:spacing w:line="240" w:lineRule="auto"/>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sz w:val="24"/>
                <w:szCs w:val="24"/>
                <w:lang w:val="en-US" w:eastAsia="zh-CN"/>
              </w:rPr>
              <w:t>50</w:t>
            </w:r>
          </w:p>
        </w:tc>
        <w:tc>
          <w:tcPr>
            <w:tcW w:w="608" w:type="pct"/>
            <w:shd w:val="clear" w:color="auto" w:fill="auto"/>
            <w:vAlign w:val="center"/>
          </w:tcPr>
          <w:p w14:paraId="7A36CA0F">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无菌技术包</w:t>
            </w:r>
          </w:p>
        </w:tc>
        <w:tc>
          <w:tcPr>
            <w:tcW w:w="3516" w:type="pct"/>
            <w:shd w:val="clear" w:color="auto" w:fill="auto"/>
            <w:vAlign w:val="center"/>
          </w:tcPr>
          <w:p w14:paraId="3DA5DC4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1.整体配置：无菌技术专用组合套装内含：不锈钢无菌持物钳、持物钳筒、无菌治疗碗、无菌储物罐、双层纯棉无菌包布、无菌孔巾、无菌铺盘巾、物品收纳标识卡。</w:t>
            </w:r>
          </w:p>
          <w:p w14:paraId="7B888395">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2.材质要求：金属类器具全部采用304 优质不锈钢材质，一体成型、镜面抛光；耐高压高温、耐酸碱浸泡消毒、不易生锈、不变形、无镀层脱落；布料类采用加厚高密度纯棉布料，透气透水、耐高温蒸煮、反复水洗不发硬、不起毛、不易破损；塑料配件（如有）采用医用级 PP 材质，环保无异味，耐消毒剂腐蚀。</w:t>
            </w:r>
          </w:p>
          <w:p w14:paraId="7FA6633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结构工艺设计：不锈钢器具边缘圆角打磨、无毛刺、无尖锐棱角，实训操作安全；持物钳咬合紧密、弹性适中，夹持稳定，符合临床操作手感；持物筒、储罐内壁光滑无死角，便于清洗、消毒、无菌存放；布类剪裁规范，锁边工艺，防止脱线，符合无菌包裹、铺巾操作教学要求。</w:t>
            </w:r>
          </w:p>
        </w:tc>
        <w:tc>
          <w:tcPr>
            <w:tcW w:w="291" w:type="pct"/>
            <w:vAlign w:val="center"/>
          </w:tcPr>
          <w:p w14:paraId="67602607">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10</w:t>
            </w:r>
          </w:p>
        </w:tc>
        <w:tc>
          <w:tcPr>
            <w:tcW w:w="322" w:type="pct"/>
            <w:vAlign w:val="center"/>
          </w:tcPr>
          <w:p w14:paraId="6CCF6C4B">
            <w:pPr>
              <w:spacing w:line="240" w:lineRule="auto"/>
              <w:jc w:val="center"/>
              <w:rPr>
                <w:rFonts w:hint="eastAsia" w:asciiTheme="minorEastAsia" w:hAnsiTheme="minorEastAsia" w:eastAsiaTheme="minorEastAsia" w:cstheme="minorEastAsia"/>
                <w:b w:val="0"/>
                <w:bCs/>
                <w:color w:val="auto"/>
                <w:kern w:val="2"/>
                <w:sz w:val="24"/>
                <w:szCs w:val="24"/>
                <w:highlight w:val="none"/>
                <w:lang w:val="en-US" w:eastAsia="zh-CN"/>
              </w:rPr>
            </w:pPr>
            <w:r>
              <w:rPr>
                <w:rFonts w:hint="eastAsia" w:asciiTheme="minorEastAsia" w:hAnsiTheme="minorEastAsia" w:eastAsiaTheme="minorEastAsia" w:cstheme="minorEastAsia"/>
                <w:b w:val="0"/>
                <w:bCs/>
                <w:sz w:val="24"/>
                <w:szCs w:val="24"/>
                <w:lang w:val="en-US" w:eastAsia="zh-CN"/>
              </w:rPr>
              <w:t>套</w:t>
            </w:r>
          </w:p>
        </w:tc>
      </w:tr>
    </w:tbl>
    <w:p w14:paraId="12BA1043">
      <w:pPr>
        <w:pStyle w:val="21"/>
        <w:spacing w:after="0"/>
      </w:pPr>
    </w:p>
    <w:sectPr>
      <w:headerReference r:id="rId15" w:type="default"/>
      <w:footerReference r:id="rId16" w:type="default"/>
      <w:pgSz w:w="16838" w:h="11906" w:orient="landscape"/>
      <w:pgMar w:top="1800" w:right="1440" w:bottom="1800" w:left="1440"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monospace">
    <w:altName w:val="方正公文小标宋"/>
    <w:panose1 w:val="020B0604020202020204"/>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长城仿宋">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思源宋体 CN">
    <w:altName w:val="宋体"/>
    <w:panose1 w:val="020B0604020202020204"/>
    <w:charset w:val="00"/>
    <w:family w:val="auto"/>
    <w:pitch w:val="default"/>
    <w:sig w:usb0="00000000" w:usb1="00000000" w:usb2="00000000" w:usb3="00000000" w:csb0="00040001" w:csb1="00000000"/>
  </w:font>
  <w:font w:name="ˎ̥">
    <w:altName w:val="方正公文小标宋"/>
    <w:panose1 w:val="020B0604020202020204"/>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à.ā">
    <w:altName w:val="宋体"/>
    <w:panose1 w:val="020B0604020202020204"/>
    <w:charset w:val="86"/>
    <w:family w:val="modern"/>
    <w:pitch w:val="default"/>
    <w:sig w:usb0="00000000" w:usb1="00000000" w:usb2="00000010" w:usb3="00000000" w:csb0="00040000" w:csb1="00000000"/>
  </w:font>
  <w:font w:name="Times New (W1)">
    <w:altName w:val="Times New Roman"/>
    <w:panose1 w:val="020B0604020202020204"/>
    <w:charset w:val="00"/>
    <w:family w:val="roman"/>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875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56E4">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F340">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5E6D7">
                          <w:pPr>
                            <w:pStyle w:val="3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B5E6D7">
                    <w:pPr>
                      <w:pStyle w:val="3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C5A32">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32</w:t>
    </w:r>
    <w:r>
      <w:fldChar w:fldCharType="end"/>
    </w:r>
  </w:p>
  <w:p w14:paraId="6D5D1D31">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31A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55DD4">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755DD4">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59BCE">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20068">
                          <w:pPr>
                            <w:pStyle w:val="3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420068">
                    <w:pPr>
                      <w:pStyle w:val="3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B6F8">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496BB">
                          <w:pPr>
                            <w:pStyle w:val="3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E496BB">
                    <w:pPr>
                      <w:pStyle w:val="3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CE8F">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3697">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3AED">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A590">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2B11">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FB146">
    <w:pPr>
      <w:spacing w:before="53" w:line="76"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5BE17">
    <w:pPr>
      <w:spacing w:before="53" w:line="7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A177E"/>
    <w:multiLevelType w:val="multilevel"/>
    <w:tmpl w:val="B61A177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EBD11DA0"/>
    <w:multiLevelType w:val="singleLevel"/>
    <w:tmpl w:val="EBD11DA0"/>
    <w:lvl w:ilvl="0" w:tentative="0">
      <w:start w:val="6"/>
      <w:numFmt w:val="decimal"/>
      <w:lvlText w:val="%1."/>
      <w:lvlJc w:val="left"/>
      <w:pPr>
        <w:tabs>
          <w:tab w:val="left" w:pos="312"/>
        </w:tabs>
      </w:pPr>
    </w:lvl>
  </w:abstractNum>
  <w:abstractNum w:abstractNumId="2">
    <w:nsid w:val="00000004"/>
    <w:multiLevelType w:val="multilevel"/>
    <w:tmpl w:val="00000004"/>
    <w:lvl w:ilvl="0" w:tentative="0">
      <w:start w:val="1"/>
      <w:numFmt w:val="decimal"/>
      <w:pStyle w:val="332"/>
      <w:lvlText w:val="%1."/>
      <w:lvlJc w:val="left"/>
      <w:pPr>
        <w:tabs>
          <w:tab w:val="left" w:pos="360"/>
        </w:tabs>
        <w:ind w:left="360" w:hanging="360"/>
      </w:pPr>
      <w:rPr>
        <w:rFonts w:hint="eastAsia"/>
      </w:rPr>
    </w:lvl>
    <w:lvl w:ilvl="1" w:tentative="0">
      <w:start w:val="1"/>
      <w:numFmt w:val="lowerLetter"/>
      <w:pStyle w:val="182"/>
      <w:lvlText w:val="%2)"/>
      <w:lvlJc w:val="left"/>
      <w:pPr>
        <w:tabs>
          <w:tab w:val="left" w:pos="840"/>
        </w:tabs>
        <w:ind w:left="840" w:hanging="420"/>
      </w:pPr>
    </w:lvl>
    <w:lvl w:ilvl="2" w:tentative="0">
      <w:start w:val="1"/>
      <w:numFmt w:val="lowerRoman"/>
      <w:pStyle w:val="324"/>
      <w:lvlText w:val="%3."/>
      <w:lvlJc w:val="right"/>
      <w:pPr>
        <w:tabs>
          <w:tab w:val="left" w:pos="1260"/>
        </w:tabs>
        <w:ind w:left="1260" w:hanging="420"/>
      </w:pPr>
    </w:lvl>
    <w:lvl w:ilvl="3" w:tentative="0">
      <w:start w:val="1"/>
      <w:numFmt w:val="decimal"/>
      <w:pStyle w:val="32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第%1章"/>
      <w:lvlJc w:val="left"/>
      <w:pPr>
        <w:tabs>
          <w:tab w:val="left" w:pos="537"/>
        </w:tabs>
        <w:ind w:left="537" w:hanging="432"/>
      </w:pPr>
      <w:rPr>
        <w:rFonts w:hint="default" w:ascii="Times New Roman" w:hAnsi="Times New Roman" w:eastAsia="宋体"/>
        <w:b/>
        <w:i w:val="0"/>
        <w:sz w:val="30"/>
        <w:szCs w:val="30"/>
      </w:rPr>
    </w:lvl>
    <w:lvl w:ilvl="1" w:tentative="0">
      <w:start w:val="1"/>
      <w:numFmt w:val="decimal"/>
      <w:pStyle w:val="345"/>
      <w:lvlText w:val="%1.%2"/>
      <w:lvlJc w:val="left"/>
      <w:pPr>
        <w:tabs>
          <w:tab w:val="left" w:pos="576"/>
        </w:tabs>
        <w:ind w:left="576" w:hanging="576"/>
      </w:pPr>
      <w:rPr>
        <w:rFonts w:hint="default" w:ascii="Times New Roman" w:hAnsi="Times New Roman" w:eastAsia="宋体"/>
        <w:b/>
        <w:i w:val="0"/>
        <w:sz w:val="28"/>
        <w:szCs w:val="28"/>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i w:val="0"/>
        <w:iCs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rPr>
    </w:lvl>
    <w:lvl w:ilvl="3" w:tentative="0">
      <w:start w:val="1"/>
      <w:numFmt w:val="decimal"/>
      <w:lvlText w:val="%1.%2.%3.%4"/>
      <w:lvlJc w:val="left"/>
      <w:pPr>
        <w:tabs>
          <w:tab w:val="left" w:pos="864"/>
        </w:tabs>
        <w:ind w:left="864" w:hanging="864"/>
      </w:pPr>
      <w:rPr>
        <w:rFonts w:hint="default" w:ascii="Times New Roman" w:hAnsi="Times New Roman" w:eastAsia="宋体"/>
        <w:b/>
        <w:i w:val="0"/>
        <w:sz w:val="28"/>
        <w:szCs w:val="28"/>
      </w:rPr>
    </w:lvl>
    <w:lvl w:ilvl="4" w:tentative="0">
      <w:start w:val="1"/>
      <w:numFmt w:val="decimal"/>
      <w:lvlText w:val="%1.%2.%3.%4.%5"/>
      <w:lvlJc w:val="left"/>
      <w:pPr>
        <w:tabs>
          <w:tab w:val="left" w:pos="1113"/>
        </w:tabs>
        <w:ind w:left="1113" w:hanging="1008"/>
      </w:pPr>
      <w:rPr>
        <w:rFonts w:hint="default" w:ascii="Times New Roman" w:hAnsi="Times New Roman" w:eastAsia="宋体"/>
        <w:b/>
        <w:i w:val="0"/>
        <w:sz w:val="28"/>
        <w:szCs w:val="28"/>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4">
    <w:nsid w:val="00000006"/>
    <w:multiLevelType w:val="multilevel"/>
    <w:tmpl w:val="00000006"/>
    <w:lvl w:ilvl="0" w:tentative="0">
      <w:start w:val="1"/>
      <w:numFmt w:val="decimal"/>
      <w:pStyle w:val="116"/>
      <w:lvlText w:val="2.3.%1."/>
      <w:lvlJc w:val="left"/>
      <w:pPr>
        <w:ind w:left="618" w:hanging="420"/>
      </w:pPr>
      <w:rPr>
        <w:rFonts w:hint="eastAsia"/>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5">
    <w:nsid w:val="00000007"/>
    <w:multiLevelType w:val="multilevel"/>
    <w:tmpl w:val="00000007"/>
    <w:lvl w:ilvl="0" w:tentative="0">
      <w:start w:val="1"/>
      <w:numFmt w:val="decimal"/>
      <w:pStyle w:val="21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8"/>
    <w:multiLevelType w:val="multilevel"/>
    <w:tmpl w:val="00000008"/>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0C"/>
    <w:multiLevelType w:val="multilevel"/>
    <w:tmpl w:val="0000000C"/>
    <w:lvl w:ilvl="0" w:tentative="0">
      <w:start w:val="1"/>
      <w:numFmt w:val="decimal"/>
      <w:pStyle w:val="86"/>
      <w:lvlText w:val="2.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F"/>
    <w:multiLevelType w:val="multilevel"/>
    <w:tmpl w:val="0000000F"/>
    <w:lvl w:ilvl="0" w:tentative="0">
      <w:start w:val="1"/>
      <w:numFmt w:val="decimal"/>
      <w:pStyle w:val="3"/>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pStyle w:val="5"/>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pStyle w:val="207"/>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rPr>
    </w:lvl>
    <w:lvl w:ilvl="4" w:tentative="0">
      <w:start w:val="1"/>
      <w:numFmt w:val="decimal"/>
      <w:pStyle w:val="7"/>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pStyle w:val="8"/>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pStyle w:val="340"/>
      <w:lvlText w:val="%1.%2.%3.%4.%5.%6.%7.%8."/>
      <w:lvlJc w:val="left"/>
      <w:pPr>
        <w:tabs>
          <w:tab w:val="left" w:pos="5258"/>
        </w:tabs>
        <w:ind w:left="5258" w:hanging="1418"/>
      </w:pPr>
      <w:rPr>
        <w:rFonts w:hint="eastAsia"/>
      </w:rPr>
    </w:lvl>
    <w:lvl w:ilvl="8" w:tentative="0">
      <w:start w:val="1"/>
      <w:numFmt w:val="decimal"/>
      <w:pStyle w:val="206"/>
      <w:lvlText w:val="%1.%2.%3.%4.%5.%6.%7.%8.%9."/>
      <w:lvlJc w:val="left"/>
      <w:pPr>
        <w:tabs>
          <w:tab w:val="left" w:pos="5399"/>
        </w:tabs>
        <w:ind w:left="5399" w:hanging="1559"/>
      </w:pPr>
      <w:rPr>
        <w:rFonts w:hint="eastAsia"/>
      </w:rPr>
    </w:lvl>
  </w:abstractNum>
  <w:abstractNum w:abstractNumId="9">
    <w:nsid w:val="1518B3CF"/>
    <w:multiLevelType w:val="multilevel"/>
    <w:tmpl w:val="1518B3C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561F42AC"/>
    <w:multiLevelType w:val="multilevel"/>
    <w:tmpl w:val="561F42AC"/>
    <w:lvl w:ilvl="0" w:tentative="0">
      <w:start w:val="2"/>
      <w:numFmt w:val="decimal"/>
      <w:suff w:val="nothing"/>
      <w:lvlText w:val="%1."/>
      <w:lvlJc w:val="left"/>
    </w:lvl>
    <w:lvl w:ilvl="1" w:tentative="0">
      <w:start w:val="4"/>
      <w:numFmt w:val="decimal"/>
      <w:isLgl/>
      <w:lvlText w:val="%1.%2"/>
      <w:lvlJc w:val="left"/>
      <w:pPr>
        <w:ind w:left="864" w:hanging="864"/>
      </w:pPr>
      <w:rPr>
        <w:rFonts w:hint="default"/>
      </w:rPr>
    </w:lvl>
    <w:lvl w:ilvl="2" w:tentative="0">
      <w:start w:val="1"/>
      <w:numFmt w:val="decimal"/>
      <w:isLgl/>
      <w:lvlText w:val="%1.%2.%3"/>
      <w:lvlJc w:val="left"/>
      <w:pPr>
        <w:ind w:left="864" w:hanging="864"/>
      </w:pPr>
      <w:rPr>
        <w:rFonts w:hint="default"/>
      </w:rPr>
    </w:lvl>
    <w:lvl w:ilvl="3" w:tentative="0">
      <w:start w:val="2"/>
      <w:numFmt w:val="decimal"/>
      <w:isLgl/>
      <w:lvlText w:val="%1.%2.%3.%4"/>
      <w:lvlJc w:val="left"/>
      <w:pPr>
        <w:ind w:left="1080" w:hanging="1080"/>
      </w:pPr>
      <w:rPr>
        <w:rFonts w:hint="default"/>
        <w:sz w:val="24"/>
        <w:szCs w:val="24"/>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1">
    <w:nsid w:val="5A08424F"/>
    <w:multiLevelType w:val="singleLevel"/>
    <w:tmpl w:val="5A08424F"/>
    <w:lvl w:ilvl="0" w:tentative="0">
      <w:start w:val="7"/>
      <w:numFmt w:val="chineseCounting"/>
      <w:suff w:val="nothing"/>
      <w:lvlText w:val="%1、"/>
      <w:lvlJc w:val="left"/>
      <w:pPr>
        <w:ind w:left="-252"/>
      </w:pPr>
      <w:rPr>
        <w:rFonts w:hint="eastAsia"/>
      </w:rPr>
    </w:lvl>
  </w:abstractNum>
  <w:num w:numId="1">
    <w:abstractNumId w:val="8"/>
  </w:num>
  <w:num w:numId="2">
    <w:abstractNumId w:val="7"/>
  </w:num>
  <w:num w:numId="3">
    <w:abstractNumId w:val="4"/>
  </w:num>
  <w:num w:numId="4">
    <w:abstractNumId w:val="2"/>
  </w:num>
  <w:num w:numId="5">
    <w:abstractNumId w:val="5"/>
  </w:num>
  <w:num w:numId="6">
    <w:abstractNumId w:val="3"/>
  </w:num>
  <w:num w:numId="7">
    <w:abstractNumId w:val="11"/>
  </w:num>
  <w:num w:numId="8">
    <w:abstractNumId w:val="1"/>
  </w:num>
  <w:num w:numId="9">
    <w:abstractNumId w:val="6"/>
  </w:num>
  <w:num w:numId="10">
    <w:abstractNumId w:val="10"/>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YjRhZjc0MGIwY2FmYTUyMjY3ZGZlNGQzNWU5ZDEifQ=="/>
  </w:docVars>
  <w:rsids>
    <w:rsidRoot w:val="00172A27"/>
    <w:rsid w:val="00002635"/>
    <w:rsid w:val="000049B9"/>
    <w:rsid w:val="00005186"/>
    <w:rsid w:val="0001077A"/>
    <w:rsid w:val="000128D5"/>
    <w:rsid w:val="000128E2"/>
    <w:rsid w:val="00012D87"/>
    <w:rsid w:val="0001432C"/>
    <w:rsid w:val="000160BE"/>
    <w:rsid w:val="0002171E"/>
    <w:rsid w:val="000223D1"/>
    <w:rsid w:val="00023B9C"/>
    <w:rsid w:val="000309A1"/>
    <w:rsid w:val="00032D9B"/>
    <w:rsid w:val="000352F9"/>
    <w:rsid w:val="000371BE"/>
    <w:rsid w:val="0003769B"/>
    <w:rsid w:val="000419B3"/>
    <w:rsid w:val="00050970"/>
    <w:rsid w:val="00061002"/>
    <w:rsid w:val="00062C13"/>
    <w:rsid w:val="00067056"/>
    <w:rsid w:val="00072D78"/>
    <w:rsid w:val="0007681D"/>
    <w:rsid w:val="0007725F"/>
    <w:rsid w:val="00081498"/>
    <w:rsid w:val="000827C8"/>
    <w:rsid w:val="00091973"/>
    <w:rsid w:val="00093A01"/>
    <w:rsid w:val="0009608B"/>
    <w:rsid w:val="000B1513"/>
    <w:rsid w:val="000B54E8"/>
    <w:rsid w:val="000C05E9"/>
    <w:rsid w:val="000C61AA"/>
    <w:rsid w:val="000C6243"/>
    <w:rsid w:val="000D02E6"/>
    <w:rsid w:val="000D7434"/>
    <w:rsid w:val="000E3002"/>
    <w:rsid w:val="000E69F6"/>
    <w:rsid w:val="000F0D41"/>
    <w:rsid w:val="000F10C2"/>
    <w:rsid w:val="000F3F32"/>
    <w:rsid w:val="001052A7"/>
    <w:rsid w:val="00106311"/>
    <w:rsid w:val="001122C3"/>
    <w:rsid w:val="001175A5"/>
    <w:rsid w:val="00120384"/>
    <w:rsid w:val="00120A55"/>
    <w:rsid w:val="00121E73"/>
    <w:rsid w:val="001233F5"/>
    <w:rsid w:val="00127791"/>
    <w:rsid w:val="001331D2"/>
    <w:rsid w:val="0013692E"/>
    <w:rsid w:val="00137A0F"/>
    <w:rsid w:val="00141309"/>
    <w:rsid w:val="00145E7C"/>
    <w:rsid w:val="001638D2"/>
    <w:rsid w:val="001717F8"/>
    <w:rsid w:val="00172A27"/>
    <w:rsid w:val="00177161"/>
    <w:rsid w:val="00182165"/>
    <w:rsid w:val="00185729"/>
    <w:rsid w:val="001876F4"/>
    <w:rsid w:val="0018771A"/>
    <w:rsid w:val="00194ACD"/>
    <w:rsid w:val="00194FBD"/>
    <w:rsid w:val="001A2369"/>
    <w:rsid w:val="001A4891"/>
    <w:rsid w:val="001B62B3"/>
    <w:rsid w:val="001B74F9"/>
    <w:rsid w:val="001C15B4"/>
    <w:rsid w:val="001C2441"/>
    <w:rsid w:val="001C2B8E"/>
    <w:rsid w:val="001C3199"/>
    <w:rsid w:val="001C3B6A"/>
    <w:rsid w:val="001C4646"/>
    <w:rsid w:val="001C73EA"/>
    <w:rsid w:val="001C7A46"/>
    <w:rsid w:val="001D341F"/>
    <w:rsid w:val="001D438B"/>
    <w:rsid w:val="001E47DD"/>
    <w:rsid w:val="001F1459"/>
    <w:rsid w:val="001F4530"/>
    <w:rsid w:val="00202B66"/>
    <w:rsid w:val="00203EE3"/>
    <w:rsid w:val="0020543A"/>
    <w:rsid w:val="00205A7A"/>
    <w:rsid w:val="00212CF3"/>
    <w:rsid w:val="00213E89"/>
    <w:rsid w:val="0021400A"/>
    <w:rsid w:val="002151EE"/>
    <w:rsid w:val="00215723"/>
    <w:rsid w:val="00221303"/>
    <w:rsid w:val="0022430E"/>
    <w:rsid w:val="00225D30"/>
    <w:rsid w:val="00226F00"/>
    <w:rsid w:val="002326A3"/>
    <w:rsid w:val="00240393"/>
    <w:rsid w:val="002431F3"/>
    <w:rsid w:val="00244587"/>
    <w:rsid w:val="0024493E"/>
    <w:rsid w:val="002451CE"/>
    <w:rsid w:val="002527D3"/>
    <w:rsid w:val="002545F0"/>
    <w:rsid w:val="00254A3E"/>
    <w:rsid w:val="002627D1"/>
    <w:rsid w:val="00263A72"/>
    <w:rsid w:val="00271E22"/>
    <w:rsid w:val="00280E0D"/>
    <w:rsid w:val="00291DFB"/>
    <w:rsid w:val="00291FD1"/>
    <w:rsid w:val="002A6C33"/>
    <w:rsid w:val="002A7444"/>
    <w:rsid w:val="002B525F"/>
    <w:rsid w:val="002C76DE"/>
    <w:rsid w:val="002D307E"/>
    <w:rsid w:val="002D44F6"/>
    <w:rsid w:val="002E0248"/>
    <w:rsid w:val="002E3ACE"/>
    <w:rsid w:val="002E71CA"/>
    <w:rsid w:val="002E71D5"/>
    <w:rsid w:val="002E749D"/>
    <w:rsid w:val="002E79D6"/>
    <w:rsid w:val="002F3FF6"/>
    <w:rsid w:val="00300EBF"/>
    <w:rsid w:val="00303C61"/>
    <w:rsid w:val="003103FF"/>
    <w:rsid w:val="00315594"/>
    <w:rsid w:val="00330E5B"/>
    <w:rsid w:val="00333C55"/>
    <w:rsid w:val="00336B98"/>
    <w:rsid w:val="0034355E"/>
    <w:rsid w:val="00353DA8"/>
    <w:rsid w:val="00360315"/>
    <w:rsid w:val="00360D03"/>
    <w:rsid w:val="00361661"/>
    <w:rsid w:val="00361EEE"/>
    <w:rsid w:val="00362857"/>
    <w:rsid w:val="003720A9"/>
    <w:rsid w:val="00372197"/>
    <w:rsid w:val="003803A4"/>
    <w:rsid w:val="00381F5C"/>
    <w:rsid w:val="003932FE"/>
    <w:rsid w:val="003A2CAE"/>
    <w:rsid w:val="003A3E4F"/>
    <w:rsid w:val="003A479E"/>
    <w:rsid w:val="003A6516"/>
    <w:rsid w:val="003B225E"/>
    <w:rsid w:val="003B271A"/>
    <w:rsid w:val="003B2D66"/>
    <w:rsid w:val="003B3AE2"/>
    <w:rsid w:val="003B7A9D"/>
    <w:rsid w:val="003C2D61"/>
    <w:rsid w:val="003D0946"/>
    <w:rsid w:val="003D5F34"/>
    <w:rsid w:val="003D7074"/>
    <w:rsid w:val="003E0EC1"/>
    <w:rsid w:val="003E3C49"/>
    <w:rsid w:val="003E6DCE"/>
    <w:rsid w:val="0040202A"/>
    <w:rsid w:val="00402549"/>
    <w:rsid w:val="00404CA9"/>
    <w:rsid w:val="004054A9"/>
    <w:rsid w:val="00406F86"/>
    <w:rsid w:val="00410831"/>
    <w:rsid w:val="004141B4"/>
    <w:rsid w:val="00420EC5"/>
    <w:rsid w:val="00426971"/>
    <w:rsid w:val="00430548"/>
    <w:rsid w:val="00432F8E"/>
    <w:rsid w:val="00435ACB"/>
    <w:rsid w:val="0045541B"/>
    <w:rsid w:val="00456407"/>
    <w:rsid w:val="00456AA5"/>
    <w:rsid w:val="00457982"/>
    <w:rsid w:val="00463B2E"/>
    <w:rsid w:val="00465D36"/>
    <w:rsid w:val="00467EFA"/>
    <w:rsid w:val="0047646F"/>
    <w:rsid w:val="00477E54"/>
    <w:rsid w:val="0049725B"/>
    <w:rsid w:val="004A3B52"/>
    <w:rsid w:val="004A41AD"/>
    <w:rsid w:val="004A5769"/>
    <w:rsid w:val="004B2186"/>
    <w:rsid w:val="004B3890"/>
    <w:rsid w:val="004C0D22"/>
    <w:rsid w:val="004C18DF"/>
    <w:rsid w:val="004C2411"/>
    <w:rsid w:val="004C2B60"/>
    <w:rsid w:val="004C4F04"/>
    <w:rsid w:val="004D39A9"/>
    <w:rsid w:val="004D549C"/>
    <w:rsid w:val="004D5AD1"/>
    <w:rsid w:val="004E673B"/>
    <w:rsid w:val="004E7874"/>
    <w:rsid w:val="004F203B"/>
    <w:rsid w:val="004F236A"/>
    <w:rsid w:val="004F72BB"/>
    <w:rsid w:val="00512318"/>
    <w:rsid w:val="00513AB6"/>
    <w:rsid w:val="0051540D"/>
    <w:rsid w:val="0051683A"/>
    <w:rsid w:val="00527D25"/>
    <w:rsid w:val="00530B51"/>
    <w:rsid w:val="00530ED7"/>
    <w:rsid w:val="0053628D"/>
    <w:rsid w:val="0054174D"/>
    <w:rsid w:val="00544E9D"/>
    <w:rsid w:val="00544F30"/>
    <w:rsid w:val="0054712D"/>
    <w:rsid w:val="00547EC1"/>
    <w:rsid w:val="00553086"/>
    <w:rsid w:val="005556F3"/>
    <w:rsid w:val="00562904"/>
    <w:rsid w:val="005773AF"/>
    <w:rsid w:val="005827F9"/>
    <w:rsid w:val="00590008"/>
    <w:rsid w:val="005A2EE5"/>
    <w:rsid w:val="005A4879"/>
    <w:rsid w:val="005A669E"/>
    <w:rsid w:val="005A67C6"/>
    <w:rsid w:val="005A77E8"/>
    <w:rsid w:val="005B24B5"/>
    <w:rsid w:val="005B3281"/>
    <w:rsid w:val="005B3990"/>
    <w:rsid w:val="005B674A"/>
    <w:rsid w:val="005B7D0A"/>
    <w:rsid w:val="005C7C13"/>
    <w:rsid w:val="005D4D66"/>
    <w:rsid w:val="005D6DA2"/>
    <w:rsid w:val="005E188B"/>
    <w:rsid w:val="005E45F1"/>
    <w:rsid w:val="005E4794"/>
    <w:rsid w:val="005E6A69"/>
    <w:rsid w:val="005F3C53"/>
    <w:rsid w:val="00616BB6"/>
    <w:rsid w:val="006252CA"/>
    <w:rsid w:val="00627D3B"/>
    <w:rsid w:val="006419E7"/>
    <w:rsid w:val="00642241"/>
    <w:rsid w:val="00650AA7"/>
    <w:rsid w:val="00650E6D"/>
    <w:rsid w:val="00662488"/>
    <w:rsid w:val="00672BF5"/>
    <w:rsid w:val="00680058"/>
    <w:rsid w:val="00680A14"/>
    <w:rsid w:val="0069180D"/>
    <w:rsid w:val="00692397"/>
    <w:rsid w:val="00696C26"/>
    <w:rsid w:val="006A2375"/>
    <w:rsid w:val="006A4428"/>
    <w:rsid w:val="006A51E9"/>
    <w:rsid w:val="006A7CFA"/>
    <w:rsid w:val="006B6D40"/>
    <w:rsid w:val="006B727D"/>
    <w:rsid w:val="006E09C6"/>
    <w:rsid w:val="006E380F"/>
    <w:rsid w:val="006E6512"/>
    <w:rsid w:val="006E6E42"/>
    <w:rsid w:val="006F11CB"/>
    <w:rsid w:val="006F208F"/>
    <w:rsid w:val="006F5460"/>
    <w:rsid w:val="006F76A3"/>
    <w:rsid w:val="007026FB"/>
    <w:rsid w:val="00704596"/>
    <w:rsid w:val="007051BB"/>
    <w:rsid w:val="00705417"/>
    <w:rsid w:val="00707A43"/>
    <w:rsid w:val="0071021A"/>
    <w:rsid w:val="00711D06"/>
    <w:rsid w:val="00726C0E"/>
    <w:rsid w:val="00726DD3"/>
    <w:rsid w:val="00727655"/>
    <w:rsid w:val="00727D3E"/>
    <w:rsid w:val="00731707"/>
    <w:rsid w:val="00732983"/>
    <w:rsid w:val="0073635C"/>
    <w:rsid w:val="00741893"/>
    <w:rsid w:val="00743EEF"/>
    <w:rsid w:val="007467DB"/>
    <w:rsid w:val="00746B28"/>
    <w:rsid w:val="00753121"/>
    <w:rsid w:val="00756C72"/>
    <w:rsid w:val="00760159"/>
    <w:rsid w:val="00761E7B"/>
    <w:rsid w:val="00762EF2"/>
    <w:rsid w:val="007722A5"/>
    <w:rsid w:val="00772805"/>
    <w:rsid w:val="00772B2F"/>
    <w:rsid w:val="00776296"/>
    <w:rsid w:val="00781E62"/>
    <w:rsid w:val="00783E8E"/>
    <w:rsid w:val="00790561"/>
    <w:rsid w:val="00790AEB"/>
    <w:rsid w:val="00793763"/>
    <w:rsid w:val="007968EB"/>
    <w:rsid w:val="00797685"/>
    <w:rsid w:val="007A0347"/>
    <w:rsid w:val="007A3CEB"/>
    <w:rsid w:val="007A726E"/>
    <w:rsid w:val="007B78E1"/>
    <w:rsid w:val="007C0110"/>
    <w:rsid w:val="007D17ED"/>
    <w:rsid w:val="007D345D"/>
    <w:rsid w:val="007D3DBC"/>
    <w:rsid w:val="007D50BD"/>
    <w:rsid w:val="007D5BA0"/>
    <w:rsid w:val="007E411A"/>
    <w:rsid w:val="007E4A66"/>
    <w:rsid w:val="007E58FE"/>
    <w:rsid w:val="007F0C42"/>
    <w:rsid w:val="007F11A7"/>
    <w:rsid w:val="00800144"/>
    <w:rsid w:val="00807091"/>
    <w:rsid w:val="00813054"/>
    <w:rsid w:val="0081452C"/>
    <w:rsid w:val="00815AD3"/>
    <w:rsid w:val="00815E44"/>
    <w:rsid w:val="00817080"/>
    <w:rsid w:val="00820970"/>
    <w:rsid w:val="00820B82"/>
    <w:rsid w:val="00822FBD"/>
    <w:rsid w:val="008256FD"/>
    <w:rsid w:val="00827A27"/>
    <w:rsid w:val="008303C1"/>
    <w:rsid w:val="008310F3"/>
    <w:rsid w:val="00836522"/>
    <w:rsid w:val="00836FB9"/>
    <w:rsid w:val="008435E2"/>
    <w:rsid w:val="00843A8D"/>
    <w:rsid w:val="00847631"/>
    <w:rsid w:val="00851BD5"/>
    <w:rsid w:val="008521E6"/>
    <w:rsid w:val="00872F1A"/>
    <w:rsid w:val="00873A17"/>
    <w:rsid w:val="0088020D"/>
    <w:rsid w:val="00880C7A"/>
    <w:rsid w:val="008811E0"/>
    <w:rsid w:val="00882006"/>
    <w:rsid w:val="00882923"/>
    <w:rsid w:val="008849C0"/>
    <w:rsid w:val="0088784A"/>
    <w:rsid w:val="008930C5"/>
    <w:rsid w:val="00895B6B"/>
    <w:rsid w:val="008A2681"/>
    <w:rsid w:val="008B445B"/>
    <w:rsid w:val="008B612D"/>
    <w:rsid w:val="008C219C"/>
    <w:rsid w:val="008C749F"/>
    <w:rsid w:val="008D1580"/>
    <w:rsid w:val="008D1F2F"/>
    <w:rsid w:val="008D268B"/>
    <w:rsid w:val="008D29F1"/>
    <w:rsid w:val="008D3092"/>
    <w:rsid w:val="008D6F9E"/>
    <w:rsid w:val="008E2539"/>
    <w:rsid w:val="008E69C6"/>
    <w:rsid w:val="008F1B08"/>
    <w:rsid w:val="008F7FBA"/>
    <w:rsid w:val="009064D4"/>
    <w:rsid w:val="009064E2"/>
    <w:rsid w:val="00906E63"/>
    <w:rsid w:val="00916E42"/>
    <w:rsid w:val="00921773"/>
    <w:rsid w:val="00924EC1"/>
    <w:rsid w:val="0092797F"/>
    <w:rsid w:val="00930149"/>
    <w:rsid w:val="00930588"/>
    <w:rsid w:val="00931204"/>
    <w:rsid w:val="0093318C"/>
    <w:rsid w:val="00933C27"/>
    <w:rsid w:val="00937302"/>
    <w:rsid w:val="0094397A"/>
    <w:rsid w:val="00945AB5"/>
    <w:rsid w:val="00946BEE"/>
    <w:rsid w:val="00947D56"/>
    <w:rsid w:val="00952FF8"/>
    <w:rsid w:val="0095385C"/>
    <w:rsid w:val="0095660F"/>
    <w:rsid w:val="00957DEA"/>
    <w:rsid w:val="00960449"/>
    <w:rsid w:val="00962913"/>
    <w:rsid w:val="00967FEB"/>
    <w:rsid w:val="009740A1"/>
    <w:rsid w:val="00983537"/>
    <w:rsid w:val="009B31C5"/>
    <w:rsid w:val="009B3B08"/>
    <w:rsid w:val="009B497D"/>
    <w:rsid w:val="009C1D0C"/>
    <w:rsid w:val="009C308C"/>
    <w:rsid w:val="009C4D5C"/>
    <w:rsid w:val="009D4C07"/>
    <w:rsid w:val="009D671D"/>
    <w:rsid w:val="009D6845"/>
    <w:rsid w:val="009E09BF"/>
    <w:rsid w:val="009E1FC8"/>
    <w:rsid w:val="009E33A0"/>
    <w:rsid w:val="00A02CFD"/>
    <w:rsid w:val="00A05BE0"/>
    <w:rsid w:val="00A06A71"/>
    <w:rsid w:val="00A13D57"/>
    <w:rsid w:val="00A15369"/>
    <w:rsid w:val="00A15EAD"/>
    <w:rsid w:val="00A27A4C"/>
    <w:rsid w:val="00A32463"/>
    <w:rsid w:val="00A32E8F"/>
    <w:rsid w:val="00A47BED"/>
    <w:rsid w:val="00A5448C"/>
    <w:rsid w:val="00A6395A"/>
    <w:rsid w:val="00A64A42"/>
    <w:rsid w:val="00A65176"/>
    <w:rsid w:val="00A70714"/>
    <w:rsid w:val="00A7389B"/>
    <w:rsid w:val="00A739E9"/>
    <w:rsid w:val="00A745E2"/>
    <w:rsid w:val="00A827A5"/>
    <w:rsid w:val="00A875D9"/>
    <w:rsid w:val="00A876B7"/>
    <w:rsid w:val="00A94CD9"/>
    <w:rsid w:val="00A9695C"/>
    <w:rsid w:val="00AA1981"/>
    <w:rsid w:val="00AA41C2"/>
    <w:rsid w:val="00AA4638"/>
    <w:rsid w:val="00AB4F61"/>
    <w:rsid w:val="00AB74B9"/>
    <w:rsid w:val="00AD1E93"/>
    <w:rsid w:val="00AD3407"/>
    <w:rsid w:val="00AE0AE4"/>
    <w:rsid w:val="00AE1621"/>
    <w:rsid w:val="00AE383B"/>
    <w:rsid w:val="00AF0710"/>
    <w:rsid w:val="00AF3626"/>
    <w:rsid w:val="00AF52D8"/>
    <w:rsid w:val="00B026AF"/>
    <w:rsid w:val="00B0767A"/>
    <w:rsid w:val="00B1300A"/>
    <w:rsid w:val="00B22520"/>
    <w:rsid w:val="00B256E8"/>
    <w:rsid w:val="00B32DB9"/>
    <w:rsid w:val="00B34D90"/>
    <w:rsid w:val="00B44506"/>
    <w:rsid w:val="00B45FA6"/>
    <w:rsid w:val="00B47A56"/>
    <w:rsid w:val="00B572FE"/>
    <w:rsid w:val="00B6210E"/>
    <w:rsid w:val="00B63143"/>
    <w:rsid w:val="00B644D7"/>
    <w:rsid w:val="00B72AAD"/>
    <w:rsid w:val="00B74ED5"/>
    <w:rsid w:val="00B75FA7"/>
    <w:rsid w:val="00B80D6F"/>
    <w:rsid w:val="00B82E95"/>
    <w:rsid w:val="00B83AF0"/>
    <w:rsid w:val="00B855D4"/>
    <w:rsid w:val="00B92AD0"/>
    <w:rsid w:val="00B92CCC"/>
    <w:rsid w:val="00B95C18"/>
    <w:rsid w:val="00B96EB6"/>
    <w:rsid w:val="00BA0966"/>
    <w:rsid w:val="00BA48CC"/>
    <w:rsid w:val="00BA53A2"/>
    <w:rsid w:val="00BB0B83"/>
    <w:rsid w:val="00BB44B0"/>
    <w:rsid w:val="00BB5AFF"/>
    <w:rsid w:val="00BB747E"/>
    <w:rsid w:val="00BB74D7"/>
    <w:rsid w:val="00BC7DB4"/>
    <w:rsid w:val="00BD0A94"/>
    <w:rsid w:val="00BD79D3"/>
    <w:rsid w:val="00BE17F8"/>
    <w:rsid w:val="00BE4ED2"/>
    <w:rsid w:val="00BF45A0"/>
    <w:rsid w:val="00BF7D13"/>
    <w:rsid w:val="00C0069F"/>
    <w:rsid w:val="00C034EC"/>
    <w:rsid w:val="00C0352C"/>
    <w:rsid w:val="00C11C6F"/>
    <w:rsid w:val="00C36A3C"/>
    <w:rsid w:val="00C37329"/>
    <w:rsid w:val="00C40DDD"/>
    <w:rsid w:val="00C42626"/>
    <w:rsid w:val="00C47F66"/>
    <w:rsid w:val="00C47FB1"/>
    <w:rsid w:val="00C505F4"/>
    <w:rsid w:val="00C51F67"/>
    <w:rsid w:val="00C54ADB"/>
    <w:rsid w:val="00C571DF"/>
    <w:rsid w:val="00C60EB3"/>
    <w:rsid w:val="00C62E94"/>
    <w:rsid w:val="00C8153B"/>
    <w:rsid w:val="00C82F2B"/>
    <w:rsid w:val="00C86695"/>
    <w:rsid w:val="00C904FA"/>
    <w:rsid w:val="00C922E9"/>
    <w:rsid w:val="00C93F0E"/>
    <w:rsid w:val="00C93FD9"/>
    <w:rsid w:val="00C959D0"/>
    <w:rsid w:val="00C95E87"/>
    <w:rsid w:val="00CA17F7"/>
    <w:rsid w:val="00CA1E39"/>
    <w:rsid w:val="00CA32AE"/>
    <w:rsid w:val="00CA3BE8"/>
    <w:rsid w:val="00CA406C"/>
    <w:rsid w:val="00CA40C3"/>
    <w:rsid w:val="00CA5A5D"/>
    <w:rsid w:val="00CA709D"/>
    <w:rsid w:val="00CB0C25"/>
    <w:rsid w:val="00CB125C"/>
    <w:rsid w:val="00CB3EA0"/>
    <w:rsid w:val="00CB6837"/>
    <w:rsid w:val="00CB724B"/>
    <w:rsid w:val="00CB7BB0"/>
    <w:rsid w:val="00CC0EB1"/>
    <w:rsid w:val="00CC5869"/>
    <w:rsid w:val="00CC5DC7"/>
    <w:rsid w:val="00CD071F"/>
    <w:rsid w:val="00CD27C2"/>
    <w:rsid w:val="00CE3EC5"/>
    <w:rsid w:val="00CE5087"/>
    <w:rsid w:val="00CE74B3"/>
    <w:rsid w:val="00CE780A"/>
    <w:rsid w:val="00CF1BE9"/>
    <w:rsid w:val="00D01E53"/>
    <w:rsid w:val="00D02E26"/>
    <w:rsid w:val="00D10A43"/>
    <w:rsid w:val="00D13D51"/>
    <w:rsid w:val="00D1477E"/>
    <w:rsid w:val="00D14C1A"/>
    <w:rsid w:val="00D17AE9"/>
    <w:rsid w:val="00D22BC0"/>
    <w:rsid w:val="00D246D9"/>
    <w:rsid w:val="00D319D3"/>
    <w:rsid w:val="00D33433"/>
    <w:rsid w:val="00D34373"/>
    <w:rsid w:val="00D524B7"/>
    <w:rsid w:val="00D53A24"/>
    <w:rsid w:val="00D542CC"/>
    <w:rsid w:val="00D56225"/>
    <w:rsid w:val="00D60FFB"/>
    <w:rsid w:val="00D61D0D"/>
    <w:rsid w:val="00D6359B"/>
    <w:rsid w:val="00D6752B"/>
    <w:rsid w:val="00D676EC"/>
    <w:rsid w:val="00D7389B"/>
    <w:rsid w:val="00D832A7"/>
    <w:rsid w:val="00D84982"/>
    <w:rsid w:val="00D86D75"/>
    <w:rsid w:val="00DA3795"/>
    <w:rsid w:val="00DA479F"/>
    <w:rsid w:val="00DA7D17"/>
    <w:rsid w:val="00DB3EDF"/>
    <w:rsid w:val="00DB409C"/>
    <w:rsid w:val="00DB5087"/>
    <w:rsid w:val="00DB762D"/>
    <w:rsid w:val="00DC0713"/>
    <w:rsid w:val="00DC184F"/>
    <w:rsid w:val="00DC4701"/>
    <w:rsid w:val="00DC4FDE"/>
    <w:rsid w:val="00DC54B9"/>
    <w:rsid w:val="00DD4407"/>
    <w:rsid w:val="00DD51C1"/>
    <w:rsid w:val="00DD7021"/>
    <w:rsid w:val="00DE5069"/>
    <w:rsid w:val="00DE53D0"/>
    <w:rsid w:val="00DE57A8"/>
    <w:rsid w:val="00DE5DBB"/>
    <w:rsid w:val="00E0097A"/>
    <w:rsid w:val="00E02F76"/>
    <w:rsid w:val="00E059BA"/>
    <w:rsid w:val="00E1184D"/>
    <w:rsid w:val="00E141C1"/>
    <w:rsid w:val="00E211CF"/>
    <w:rsid w:val="00E25263"/>
    <w:rsid w:val="00E25F1D"/>
    <w:rsid w:val="00E260BD"/>
    <w:rsid w:val="00E27A83"/>
    <w:rsid w:val="00E35324"/>
    <w:rsid w:val="00E43F8B"/>
    <w:rsid w:val="00E45686"/>
    <w:rsid w:val="00E458E7"/>
    <w:rsid w:val="00E508C4"/>
    <w:rsid w:val="00E50B99"/>
    <w:rsid w:val="00E54AC1"/>
    <w:rsid w:val="00E560F2"/>
    <w:rsid w:val="00E631B8"/>
    <w:rsid w:val="00E73F62"/>
    <w:rsid w:val="00E80447"/>
    <w:rsid w:val="00E8340E"/>
    <w:rsid w:val="00E84478"/>
    <w:rsid w:val="00E8786D"/>
    <w:rsid w:val="00E96AFE"/>
    <w:rsid w:val="00E97A8D"/>
    <w:rsid w:val="00EA038B"/>
    <w:rsid w:val="00EA1A10"/>
    <w:rsid w:val="00EA46E8"/>
    <w:rsid w:val="00EB4E97"/>
    <w:rsid w:val="00EB5714"/>
    <w:rsid w:val="00EB74F9"/>
    <w:rsid w:val="00EC1F31"/>
    <w:rsid w:val="00EC20F6"/>
    <w:rsid w:val="00EC3791"/>
    <w:rsid w:val="00ED25DC"/>
    <w:rsid w:val="00EE177C"/>
    <w:rsid w:val="00EE2D28"/>
    <w:rsid w:val="00EE6CB2"/>
    <w:rsid w:val="00F02AE3"/>
    <w:rsid w:val="00F11A6E"/>
    <w:rsid w:val="00F14EC6"/>
    <w:rsid w:val="00F15E10"/>
    <w:rsid w:val="00F17AB6"/>
    <w:rsid w:val="00F21782"/>
    <w:rsid w:val="00F36D03"/>
    <w:rsid w:val="00F5042E"/>
    <w:rsid w:val="00F5738C"/>
    <w:rsid w:val="00F60426"/>
    <w:rsid w:val="00F75620"/>
    <w:rsid w:val="00F84865"/>
    <w:rsid w:val="00F84B2E"/>
    <w:rsid w:val="00F84C23"/>
    <w:rsid w:val="00F94C88"/>
    <w:rsid w:val="00F95C10"/>
    <w:rsid w:val="00F96D9E"/>
    <w:rsid w:val="00FA57D1"/>
    <w:rsid w:val="00FB7500"/>
    <w:rsid w:val="00FC039C"/>
    <w:rsid w:val="00FC13E9"/>
    <w:rsid w:val="00FC23D0"/>
    <w:rsid w:val="00FC297A"/>
    <w:rsid w:val="00FC3E57"/>
    <w:rsid w:val="00FC6845"/>
    <w:rsid w:val="00FD070E"/>
    <w:rsid w:val="00FD3117"/>
    <w:rsid w:val="00FD6DDC"/>
    <w:rsid w:val="00FE32E0"/>
    <w:rsid w:val="00FF1EFE"/>
    <w:rsid w:val="00FF4E45"/>
    <w:rsid w:val="00FF65C6"/>
    <w:rsid w:val="01177261"/>
    <w:rsid w:val="013A793E"/>
    <w:rsid w:val="0147778C"/>
    <w:rsid w:val="014E5C9D"/>
    <w:rsid w:val="01516B1C"/>
    <w:rsid w:val="01883647"/>
    <w:rsid w:val="019249CF"/>
    <w:rsid w:val="01BD35AB"/>
    <w:rsid w:val="01C75E03"/>
    <w:rsid w:val="01DD3C4D"/>
    <w:rsid w:val="01EF3980"/>
    <w:rsid w:val="020B6A0C"/>
    <w:rsid w:val="02361CB6"/>
    <w:rsid w:val="02463BF6"/>
    <w:rsid w:val="025C1016"/>
    <w:rsid w:val="026223A4"/>
    <w:rsid w:val="02754AEC"/>
    <w:rsid w:val="028813DA"/>
    <w:rsid w:val="0292348F"/>
    <w:rsid w:val="02B74B8A"/>
    <w:rsid w:val="02ED3B95"/>
    <w:rsid w:val="032338E1"/>
    <w:rsid w:val="0362704E"/>
    <w:rsid w:val="0373176C"/>
    <w:rsid w:val="038720C2"/>
    <w:rsid w:val="03A47B83"/>
    <w:rsid w:val="03B00EF2"/>
    <w:rsid w:val="03BC76A4"/>
    <w:rsid w:val="03D41080"/>
    <w:rsid w:val="03E070B2"/>
    <w:rsid w:val="03F42812"/>
    <w:rsid w:val="03F4702C"/>
    <w:rsid w:val="04001E75"/>
    <w:rsid w:val="040C25C7"/>
    <w:rsid w:val="04185410"/>
    <w:rsid w:val="041A0A32"/>
    <w:rsid w:val="042C7A34"/>
    <w:rsid w:val="04673CA2"/>
    <w:rsid w:val="04693406"/>
    <w:rsid w:val="047861C9"/>
    <w:rsid w:val="04873C67"/>
    <w:rsid w:val="048E535F"/>
    <w:rsid w:val="04914841"/>
    <w:rsid w:val="049D3B67"/>
    <w:rsid w:val="049F343C"/>
    <w:rsid w:val="04AB1DE0"/>
    <w:rsid w:val="04AC0B3C"/>
    <w:rsid w:val="04B64021"/>
    <w:rsid w:val="04CE6DA6"/>
    <w:rsid w:val="04DA4582"/>
    <w:rsid w:val="04F35B9A"/>
    <w:rsid w:val="04FF3C89"/>
    <w:rsid w:val="050A0412"/>
    <w:rsid w:val="05307EDB"/>
    <w:rsid w:val="05876E68"/>
    <w:rsid w:val="058F4DAC"/>
    <w:rsid w:val="05950417"/>
    <w:rsid w:val="059A5276"/>
    <w:rsid w:val="05A70EAD"/>
    <w:rsid w:val="05E27B25"/>
    <w:rsid w:val="06231E4A"/>
    <w:rsid w:val="06292513"/>
    <w:rsid w:val="062A17EC"/>
    <w:rsid w:val="063564B6"/>
    <w:rsid w:val="064029FC"/>
    <w:rsid w:val="066C3F56"/>
    <w:rsid w:val="06BF6017"/>
    <w:rsid w:val="06C34539"/>
    <w:rsid w:val="06D95E44"/>
    <w:rsid w:val="06DB44D3"/>
    <w:rsid w:val="06E1697C"/>
    <w:rsid w:val="06FD66C2"/>
    <w:rsid w:val="075E4DA1"/>
    <w:rsid w:val="07623E6D"/>
    <w:rsid w:val="07750D24"/>
    <w:rsid w:val="07763B94"/>
    <w:rsid w:val="077E7B77"/>
    <w:rsid w:val="078D1255"/>
    <w:rsid w:val="07945D58"/>
    <w:rsid w:val="07A13695"/>
    <w:rsid w:val="07A70F85"/>
    <w:rsid w:val="07E31891"/>
    <w:rsid w:val="07FA19A3"/>
    <w:rsid w:val="07FB02ED"/>
    <w:rsid w:val="08260881"/>
    <w:rsid w:val="083640B7"/>
    <w:rsid w:val="085B1D6F"/>
    <w:rsid w:val="08A732B5"/>
    <w:rsid w:val="08C23B9D"/>
    <w:rsid w:val="08CE0793"/>
    <w:rsid w:val="08DB1FC0"/>
    <w:rsid w:val="08EB4EA1"/>
    <w:rsid w:val="09151F1E"/>
    <w:rsid w:val="092108C3"/>
    <w:rsid w:val="0924536D"/>
    <w:rsid w:val="09943AC6"/>
    <w:rsid w:val="099532AE"/>
    <w:rsid w:val="099E60E1"/>
    <w:rsid w:val="09B0693F"/>
    <w:rsid w:val="09C15923"/>
    <w:rsid w:val="09C464BE"/>
    <w:rsid w:val="09EE1697"/>
    <w:rsid w:val="09F97DE1"/>
    <w:rsid w:val="09FB1114"/>
    <w:rsid w:val="0A023D04"/>
    <w:rsid w:val="0A0D7099"/>
    <w:rsid w:val="0A18079F"/>
    <w:rsid w:val="0A252635"/>
    <w:rsid w:val="0A26352D"/>
    <w:rsid w:val="0A2C6E0A"/>
    <w:rsid w:val="0A66087D"/>
    <w:rsid w:val="0A6E6188"/>
    <w:rsid w:val="0A871661"/>
    <w:rsid w:val="0A895589"/>
    <w:rsid w:val="0A9E1B03"/>
    <w:rsid w:val="0AA622C6"/>
    <w:rsid w:val="0AAF7CDF"/>
    <w:rsid w:val="0AB539B9"/>
    <w:rsid w:val="0AC1354E"/>
    <w:rsid w:val="0B0D03CF"/>
    <w:rsid w:val="0B12787E"/>
    <w:rsid w:val="0B1C30CC"/>
    <w:rsid w:val="0B2863C2"/>
    <w:rsid w:val="0B2A0567"/>
    <w:rsid w:val="0B30303F"/>
    <w:rsid w:val="0B3F75B2"/>
    <w:rsid w:val="0B416FFB"/>
    <w:rsid w:val="0B522C6E"/>
    <w:rsid w:val="0B6A52FD"/>
    <w:rsid w:val="0B975E85"/>
    <w:rsid w:val="0BAA5D47"/>
    <w:rsid w:val="0BBA6759"/>
    <w:rsid w:val="0BF566C7"/>
    <w:rsid w:val="0C2F1549"/>
    <w:rsid w:val="0C597C7B"/>
    <w:rsid w:val="0C886038"/>
    <w:rsid w:val="0C8A49D1"/>
    <w:rsid w:val="0CB31713"/>
    <w:rsid w:val="0CF03FF4"/>
    <w:rsid w:val="0CF12CA2"/>
    <w:rsid w:val="0CF24531"/>
    <w:rsid w:val="0D075F6B"/>
    <w:rsid w:val="0D093B48"/>
    <w:rsid w:val="0D0B5B12"/>
    <w:rsid w:val="0D202483"/>
    <w:rsid w:val="0D311BE2"/>
    <w:rsid w:val="0D3F3A0E"/>
    <w:rsid w:val="0D576FA9"/>
    <w:rsid w:val="0D5E3C29"/>
    <w:rsid w:val="0D7969A9"/>
    <w:rsid w:val="0D855E8A"/>
    <w:rsid w:val="0D8851A4"/>
    <w:rsid w:val="0D965A5F"/>
    <w:rsid w:val="0DA57D3E"/>
    <w:rsid w:val="0DDE4FD5"/>
    <w:rsid w:val="0DF77E44"/>
    <w:rsid w:val="0E0B1B42"/>
    <w:rsid w:val="0E2C21E4"/>
    <w:rsid w:val="0E4B4E42"/>
    <w:rsid w:val="0E522318"/>
    <w:rsid w:val="0E6F20D1"/>
    <w:rsid w:val="0E72396F"/>
    <w:rsid w:val="0E8E3936"/>
    <w:rsid w:val="0E9C2E85"/>
    <w:rsid w:val="0EA0287C"/>
    <w:rsid w:val="0ECE3BF6"/>
    <w:rsid w:val="0EE3661B"/>
    <w:rsid w:val="0F114E45"/>
    <w:rsid w:val="0F12372F"/>
    <w:rsid w:val="0F1E488B"/>
    <w:rsid w:val="0F43465C"/>
    <w:rsid w:val="0F523168"/>
    <w:rsid w:val="0F5F798D"/>
    <w:rsid w:val="0F60394A"/>
    <w:rsid w:val="0F6459AD"/>
    <w:rsid w:val="0F660315"/>
    <w:rsid w:val="0F89122B"/>
    <w:rsid w:val="0F9F232D"/>
    <w:rsid w:val="0FAA3E38"/>
    <w:rsid w:val="0FB87AA7"/>
    <w:rsid w:val="0FCB1589"/>
    <w:rsid w:val="0FCD29BD"/>
    <w:rsid w:val="0FD02012"/>
    <w:rsid w:val="0FF33FF3"/>
    <w:rsid w:val="0FFF1692"/>
    <w:rsid w:val="0FFF56D6"/>
    <w:rsid w:val="100803F5"/>
    <w:rsid w:val="102B64CB"/>
    <w:rsid w:val="1034532E"/>
    <w:rsid w:val="106E1DC1"/>
    <w:rsid w:val="10790C9C"/>
    <w:rsid w:val="1091537A"/>
    <w:rsid w:val="109E6C9D"/>
    <w:rsid w:val="109F10D6"/>
    <w:rsid w:val="10B80246"/>
    <w:rsid w:val="10C6571A"/>
    <w:rsid w:val="10EB7092"/>
    <w:rsid w:val="10EC2169"/>
    <w:rsid w:val="11151219"/>
    <w:rsid w:val="111B3923"/>
    <w:rsid w:val="112D1A27"/>
    <w:rsid w:val="114233DA"/>
    <w:rsid w:val="116A46F7"/>
    <w:rsid w:val="117A5014"/>
    <w:rsid w:val="11826EDE"/>
    <w:rsid w:val="118B157B"/>
    <w:rsid w:val="118D50A1"/>
    <w:rsid w:val="11A618BA"/>
    <w:rsid w:val="11B200EF"/>
    <w:rsid w:val="11D77BA2"/>
    <w:rsid w:val="12131BD1"/>
    <w:rsid w:val="126C3F27"/>
    <w:rsid w:val="127E0B34"/>
    <w:rsid w:val="129E4D32"/>
    <w:rsid w:val="129F2BC0"/>
    <w:rsid w:val="12AF10A5"/>
    <w:rsid w:val="12BE3627"/>
    <w:rsid w:val="12CD386A"/>
    <w:rsid w:val="12D1493E"/>
    <w:rsid w:val="12D5383D"/>
    <w:rsid w:val="12F1545A"/>
    <w:rsid w:val="130C700D"/>
    <w:rsid w:val="131B4645"/>
    <w:rsid w:val="132E255A"/>
    <w:rsid w:val="1353132E"/>
    <w:rsid w:val="135770EF"/>
    <w:rsid w:val="135D4DFE"/>
    <w:rsid w:val="135E5BDA"/>
    <w:rsid w:val="1362115B"/>
    <w:rsid w:val="13675213"/>
    <w:rsid w:val="13792A30"/>
    <w:rsid w:val="137F5D6D"/>
    <w:rsid w:val="1399219A"/>
    <w:rsid w:val="13F62631"/>
    <w:rsid w:val="14021522"/>
    <w:rsid w:val="141640D0"/>
    <w:rsid w:val="14225451"/>
    <w:rsid w:val="14461CE2"/>
    <w:rsid w:val="145B649E"/>
    <w:rsid w:val="146971C3"/>
    <w:rsid w:val="149C34F4"/>
    <w:rsid w:val="14EB7FD7"/>
    <w:rsid w:val="14F21F21"/>
    <w:rsid w:val="15093232"/>
    <w:rsid w:val="152A0AFF"/>
    <w:rsid w:val="153A6275"/>
    <w:rsid w:val="15891CCA"/>
    <w:rsid w:val="15996995"/>
    <w:rsid w:val="15B51208"/>
    <w:rsid w:val="15C14137"/>
    <w:rsid w:val="15E5435D"/>
    <w:rsid w:val="15FD75F3"/>
    <w:rsid w:val="15FF7088"/>
    <w:rsid w:val="160B28A6"/>
    <w:rsid w:val="160F3257"/>
    <w:rsid w:val="1618220F"/>
    <w:rsid w:val="163D686F"/>
    <w:rsid w:val="168A62F3"/>
    <w:rsid w:val="168E3C1D"/>
    <w:rsid w:val="16922E00"/>
    <w:rsid w:val="16F86ED8"/>
    <w:rsid w:val="17092D7A"/>
    <w:rsid w:val="170F273C"/>
    <w:rsid w:val="1715728B"/>
    <w:rsid w:val="1739770D"/>
    <w:rsid w:val="173F59AB"/>
    <w:rsid w:val="175F6ABE"/>
    <w:rsid w:val="176C58B7"/>
    <w:rsid w:val="177D1EFB"/>
    <w:rsid w:val="178A3AD7"/>
    <w:rsid w:val="178F4DE8"/>
    <w:rsid w:val="17B63D41"/>
    <w:rsid w:val="17B67874"/>
    <w:rsid w:val="17E556B6"/>
    <w:rsid w:val="17EE4066"/>
    <w:rsid w:val="17F90C5D"/>
    <w:rsid w:val="181F38F1"/>
    <w:rsid w:val="184C5701"/>
    <w:rsid w:val="1853036D"/>
    <w:rsid w:val="18860008"/>
    <w:rsid w:val="18884DF5"/>
    <w:rsid w:val="18954E2A"/>
    <w:rsid w:val="18971DAD"/>
    <w:rsid w:val="18987FF3"/>
    <w:rsid w:val="18B7733C"/>
    <w:rsid w:val="18D606C5"/>
    <w:rsid w:val="18FC6087"/>
    <w:rsid w:val="1919613C"/>
    <w:rsid w:val="192C004F"/>
    <w:rsid w:val="1933166E"/>
    <w:rsid w:val="19481E9C"/>
    <w:rsid w:val="1954439D"/>
    <w:rsid w:val="195E6FCA"/>
    <w:rsid w:val="19622F5E"/>
    <w:rsid w:val="19814D3A"/>
    <w:rsid w:val="198333C8"/>
    <w:rsid w:val="198A6011"/>
    <w:rsid w:val="198E565D"/>
    <w:rsid w:val="199B1C57"/>
    <w:rsid w:val="19D07575"/>
    <w:rsid w:val="19DB6E4F"/>
    <w:rsid w:val="19EA602A"/>
    <w:rsid w:val="19EC3755"/>
    <w:rsid w:val="1A0C1F26"/>
    <w:rsid w:val="1A107940"/>
    <w:rsid w:val="1A1324AA"/>
    <w:rsid w:val="1A280711"/>
    <w:rsid w:val="1A3A7F06"/>
    <w:rsid w:val="1A6E5CE6"/>
    <w:rsid w:val="1A7B1DFD"/>
    <w:rsid w:val="1AA15E19"/>
    <w:rsid w:val="1AAE41D0"/>
    <w:rsid w:val="1ABF618E"/>
    <w:rsid w:val="1AD27F91"/>
    <w:rsid w:val="1ADF7B91"/>
    <w:rsid w:val="1AE94F93"/>
    <w:rsid w:val="1AEB51C8"/>
    <w:rsid w:val="1B010554"/>
    <w:rsid w:val="1B255DED"/>
    <w:rsid w:val="1B2A7AAB"/>
    <w:rsid w:val="1B3A29B4"/>
    <w:rsid w:val="1B3E7EED"/>
    <w:rsid w:val="1B3F41FD"/>
    <w:rsid w:val="1B642300"/>
    <w:rsid w:val="1B801CD9"/>
    <w:rsid w:val="1B8B42C2"/>
    <w:rsid w:val="1B9A7D6A"/>
    <w:rsid w:val="1B9F0879"/>
    <w:rsid w:val="1BA64D34"/>
    <w:rsid w:val="1BAA4748"/>
    <w:rsid w:val="1BD726D7"/>
    <w:rsid w:val="1C0824CB"/>
    <w:rsid w:val="1C0876C1"/>
    <w:rsid w:val="1C1328F8"/>
    <w:rsid w:val="1C163317"/>
    <w:rsid w:val="1C16365B"/>
    <w:rsid w:val="1C340C53"/>
    <w:rsid w:val="1C433F2B"/>
    <w:rsid w:val="1C683D8A"/>
    <w:rsid w:val="1C826727"/>
    <w:rsid w:val="1C8C02F2"/>
    <w:rsid w:val="1C92095A"/>
    <w:rsid w:val="1C9B0535"/>
    <w:rsid w:val="1CBF79FD"/>
    <w:rsid w:val="1CC65AF6"/>
    <w:rsid w:val="1CD93876"/>
    <w:rsid w:val="1D102CD1"/>
    <w:rsid w:val="1D1A7AF2"/>
    <w:rsid w:val="1D245C3E"/>
    <w:rsid w:val="1D2D031C"/>
    <w:rsid w:val="1D5C1371"/>
    <w:rsid w:val="1D6422C7"/>
    <w:rsid w:val="1D6D6E8A"/>
    <w:rsid w:val="1D6E79F7"/>
    <w:rsid w:val="1D736699"/>
    <w:rsid w:val="1DA17BE1"/>
    <w:rsid w:val="1DAA63A4"/>
    <w:rsid w:val="1E032835"/>
    <w:rsid w:val="1E04657F"/>
    <w:rsid w:val="1E0A088F"/>
    <w:rsid w:val="1E0D5462"/>
    <w:rsid w:val="1E0E7594"/>
    <w:rsid w:val="1E116C67"/>
    <w:rsid w:val="1E1E1C1C"/>
    <w:rsid w:val="1EB87933"/>
    <w:rsid w:val="1EC34409"/>
    <w:rsid w:val="1EC41C4C"/>
    <w:rsid w:val="1EC85925"/>
    <w:rsid w:val="1F084022"/>
    <w:rsid w:val="1F1E2B9B"/>
    <w:rsid w:val="1F1E7176"/>
    <w:rsid w:val="1F4524A1"/>
    <w:rsid w:val="1F617814"/>
    <w:rsid w:val="1F6E12B5"/>
    <w:rsid w:val="1F7B50D1"/>
    <w:rsid w:val="1F7D6811"/>
    <w:rsid w:val="1F872F9F"/>
    <w:rsid w:val="1F880BD0"/>
    <w:rsid w:val="1F8B2AE2"/>
    <w:rsid w:val="1F996089"/>
    <w:rsid w:val="1F9A2D26"/>
    <w:rsid w:val="1F9F033C"/>
    <w:rsid w:val="1FAA6A65"/>
    <w:rsid w:val="1FC40755"/>
    <w:rsid w:val="1FC764C2"/>
    <w:rsid w:val="1FCF59E1"/>
    <w:rsid w:val="20012DA5"/>
    <w:rsid w:val="201E7A16"/>
    <w:rsid w:val="20570623"/>
    <w:rsid w:val="206F0600"/>
    <w:rsid w:val="207B1AA6"/>
    <w:rsid w:val="207B4905"/>
    <w:rsid w:val="20881925"/>
    <w:rsid w:val="208D2AFA"/>
    <w:rsid w:val="208F0F8E"/>
    <w:rsid w:val="20AD4379"/>
    <w:rsid w:val="20BA168C"/>
    <w:rsid w:val="20CF69FF"/>
    <w:rsid w:val="21134716"/>
    <w:rsid w:val="21157C09"/>
    <w:rsid w:val="21346C70"/>
    <w:rsid w:val="21354AB4"/>
    <w:rsid w:val="21410EA9"/>
    <w:rsid w:val="214A0565"/>
    <w:rsid w:val="21505D92"/>
    <w:rsid w:val="215A451A"/>
    <w:rsid w:val="215A5D30"/>
    <w:rsid w:val="215C32A5"/>
    <w:rsid w:val="21605D91"/>
    <w:rsid w:val="218F3E3F"/>
    <w:rsid w:val="21933134"/>
    <w:rsid w:val="21A659E2"/>
    <w:rsid w:val="21D97B35"/>
    <w:rsid w:val="21EB3D26"/>
    <w:rsid w:val="221943D6"/>
    <w:rsid w:val="221B014E"/>
    <w:rsid w:val="223869A6"/>
    <w:rsid w:val="22522C64"/>
    <w:rsid w:val="226B1DC2"/>
    <w:rsid w:val="22757310"/>
    <w:rsid w:val="22757A9D"/>
    <w:rsid w:val="22787FFF"/>
    <w:rsid w:val="22880EF6"/>
    <w:rsid w:val="229041E8"/>
    <w:rsid w:val="22C526A0"/>
    <w:rsid w:val="22CB007D"/>
    <w:rsid w:val="22CF2CE6"/>
    <w:rsid w:val="22D701A1"/>
    <w:rsid w:val="230413A9"/>
    <w:rsid w:val="230C3865"/>
    <w:rsid w:val="23171695"/>
    <w:rsid w:val="23243032"/>
    <w:rsid w:val="23272638"/>
    <w:rsid w:val="23384DF9"/>
    <w:rsid w:val="234A2D6F"/>
    <w:rsid w:val="236749EA"/>
    <w:rsid w:val="2378512C"/>
    <w:rsid w:val="237A70F6"/>
    <w:rsid w:val="23861377"/>
    <w:rsid w:val="239D08AF"/>
    <w:rsid w:val="23D5257E"/>
    <w:rsid w:val="23EB7D6B"/>
    <w:rsid w:val="23F72809"/>
    <w:rsid w:val="240758CD"/>
    <w:rsid w:val="241E5CD3"/>
    <w:rsid w:val="24344C14"/>
    <w:rsid w:val="24AA57B9"/>
    <w:rsid w:val="25034EC9"/>
    <w:rsid w:val="252C08C4"/>
    <w:rsid w:val="253D487F"/>
    <w:rsid w:val="25453733"/>
    <w:rsid w:val="255E0351"/>
    <w:rsid w:val="2566235C"/>
    <w:rsid w:val="25711DDF"/>
    <w:rsid w:val="259A3A7F"/>
    <w:rsid w:val="259D3EAE"/>
    <w:rsid w:val="25BA771D"/>
    <w:rsid w:val="25D86356"/>
    <w:rsid w:val="261E67E6"/>
    <w:rsid w:val="261F37C7"/>
    <w:rsid w:val="26240585"/>
    <w:rsid w:val="263523A8"/>
    <w:rsid w:val="265C2AE3"/>
    <w:rsid w:val="266F6CBA"/>
    <w:rsid w:val="2670672C"/>
    <w:rsid w:val="267C13D7"/>
    <w:rsid w:val="269404CF"/>
    <w:rsid w:val="269B32E1"/>
    <w:rsid w:val="26F35C52"/>
    <w:rsid w:val="271A4150"/>
    <w:rsid w:val="27767B20"/>
    <w:rsid w:val="2777472B"/>
    <w:rsid w:val="278B07DA"/>
    <w:rsid w:val="278C564A"/>
    <w:rsid w:val="27A110F5"/>
    <w:rsid w:val="27A831FB"/>
    <w:rsid w:val="27F82B00"/>
    <w:rsid w:val="27F86191"/>
    <w:rsid w:val="281431C6"/>
    <w:rsid w:val="28352082"/>
    <w:rsid w:val="283D2CBE"/>
    <w:rsid w:val="283E4B96"/>
    <w:rsid w:val="28421DB1"/>
    <w:rsid w:val="28494FB2"/>
    <w:rsid w:val="28613025"/>
    <w:rsid w:val="28722A91"/>
    <w:rsid w:val="28A10A52"/>
    <w:rsid w:val="28A367F6"/>
    <w:rsid w:val="28B22E8E"/>
    <w:rsid w:val="28B45431"/>
    <w:rsid w:val="28B9246E"/>
    <w:rsid w:val="28EA7F0A"/>
    <w:rsid w:val="28F70270"/>
    <w:rsid w:val="28F811E9"/>
    <w:rsid w:val="29035745"/>
    <w:rsid w:val="290A0F1C"/>
    <w:rsid w:val="292A15D6"/>
    <w:rsid w:val="29364D2B"/>
    <w:rsid w:val="2936586D"/>
    <w:rsid w:val="29575CAF"/>
    <w:rsid w:val="295C59EE"/>
    <w:rsid w:val="29930F11"/>
    <w:rsid w:val="29982084"/>
    <w:rsid w:val="29C541BA"/>
    <w:rsid w:val="29C9449A"/>
    <w:rsid w:val="29D8506A"/>
    <w:rsid w:val="29DB4FAD"/>
    <w:rsid w:val="29DC28FD"/>
    <w:rsid w:val="29DF5F05"/>
    <w:rsid w:val="29EB5AFD"/>
    <w:rsid w:val="2A1831C5"/>
    <w:rsid w:val="2A297180"/>
    <w:rsid w:val="2A5319FD"/>
    <w:rsid w:val="2A571F3F"/>
    <w:rsid w:val="2A6329F2"/>
    <w:rsid w:val="2A6E7289"/>
    <w:rsid w:val="2AD70CB1"/>
    <w:rsid w:val="2ADC04E9"/>
    <w:rsid w:val="2AF072F8"/>
    <w:rsid w:val="2B0771DA"/>
    <w:rsid w:val="2B091630"/>
    <w:rsid w:val="2B144354"/>
    <w:rsid w:val="2B3E3C56"/>
    <w:rsid w:val="2B667F60"/>
    <w:rsid w:val="2B6E11B7"/>
    <w:rsid w:val="2B832D34"/>
    <w:rsid w:val="2B8D3A1C"/>
    <w:rsid w:val="2BBB3C9F"/>
    <w:rsid w:val="2BCE0CD6"/>
    <w:rsid w:val="2BDE7D31"/>
    <w:rsid w:val="2C0115C9"/>
    <w:rsid w:val="2C027C88"/>
    <w:rsid w:val="2C041C52"/>
    <w:rsid w:val="2C0B41E9"/>
    <w:rsid w:val="2C130764"/>
    <w:rsid w:val="2C2E5FE2"/>
    <w:rsid w:val="2C3A1B18"/>
    <w:rsid w:val="2C666469"/>
    <w:rsid w:val="2C71642E"/>
    <w:rsid w:val="2C7B51DB"/>
    <w:rsid w:val="2C8868D3"/>
    <w:rsid w:val="2C8C6BFB"/>
    <w:rsid w:val="2CA23219"/>
    <w:rsid w:val="2CA927FA"/>
    <w:rsid w:val="2CBA4A07"/>
    <w:rsid w:val="2CBA7C56"/>
    <w:rsid w:val="2CBB3ED1"/>
    <w:rsid w:val="2CC45F13"/>
    <w:rsid w:val="2CC81276"/>
    <w:rsid w:val="2CDF621C"/>
    <w:rsid w:val="2CE37ABA"/>
    <w:rsid w:val="2CFF066C"/>
    <w:rsid w:val="2D34338D"/>
    <w:rsid w:val="2D3E7672"/>
    <w:rsid w:val="2D4117C8"/>
    <w:rsid w:val="2D4947C9"/>
    <w:rsid w:val="2D685E27"/>
    <w:rsid w:val="2D760E7E"/>
    <w:rsid w:val="2D914D11"/>
    <w:rsid w:val="2D95768D"/>
    <w:rsid w:val="2D975779"/>
    <w:rsid w:val="2DB201C1"/>
    <w:rsid w:val="2DBE4083"/>
    <w:rsid w:val="2DD70EF3"/>
    <w:rsid w:val="2DEA31DD"/>
    <w:rsid w:val="2DEB3B27"/>
    <w:rsid w:val="2E0F5A06"/>
    <w:rsid w:val="2E110657"/>
    <w:rsid w:val="2E662761"/>
    <w:rsid w:val="2E6D0BD0"/>
    <w:rsid w:val="2E755089"/>
    <w:rsid w:val="2E7836A9"/>
    <w:rsid w:val="2EBA6C92"/>
    <w:rsid w:val="2EC1207D"/>
    <w:rsid w:val="2EDC0C65"/>
    <w:rsid w:val="2EDF2503"/>
    <w:rsid w:val="2EEB2B34"/>
    <w:rsid w:val="2F077100"/>
    <w:rsid w:val="2F185491"/>
    <w:rsid w:val="2F243483"/>
    <w:rsid w:val="2F2B1A7F"/>
    <w:rsid w:val="2F425298"/>
    <w:rsid w:val="2F436F36"/>
    <w:rsid w:val="2F633134"/>
    <w:rsid w:val="2F884949"/>
    <w:rsid w:val="2FAD2601"/>
    <w:rsid w:val="2FDE23CC"/>
    <w:rsid w:val="2FE74814"/>
    <w:rsid w:val="2FF66CB1"/>
    <w:rsid w:val="30152439"/>
    <w:rsid w:val="301B7C96"/>
    <w:rsid w:val="30242A99"/>
    <w:rsid w:val="30360848"/>
    <w:rsid w:val="3036791C"/>
    <w:rsid w:val="30466CDD"/>
    <w:rsid w:val="3059019D"/>
    <w:rsid w:val="305A4537"/>
    <w:rsid w:val="306F73BF"/>
    <w:rsid w:val="309D61D2"/>
    <w:rsid w:val="309F019C"/>
    <w:rsid w:val="309F1F4A"/>
    <w:rsid w:val="30A734F4"/>
    <w:rsid w:val="30B37BBC"/>
    <w:rsid w:val="30BB2AFC"/>
    <w:rsid w:val="30CB06DF"/>
    <w:rsid w:val="30CB41A4"/>
    <w:rsid w:val="30D93AAF"/>
    <w:rsid w:val="30FE5914"/>
    <w:rsid w:val="310B3A83"/>
    <w:rsid w:val="311042B9"/>
    <w:rsid w:val="311237E5"/>
    <w:rsid w:val="31126CA6"/>
    <w:rsid w:val="312D7973"/>
    <w:rsid w:val="3130028A"/>
    <w:rsid w:val="313930CC"/>
    <w:rsid w:val="316D33DC"/>
    <w:rsid w:val="31704B31"/>
    <w:rsid w:val="31732735"/>
    <w:rsid w:val="31732F1E"/>
    <w:rsid w:val="31887CEA"/>
    <w:rsid w:val="31AB7BE3"/>
    <w:rsid w:val="31B306F3"/>
    <w:rsid w:val="31BE4652"/>
    <w:rsid w:val="31CF5D95"/>
    <w:rsid w:val="320F4EAD"/>
    <w:rsid w:val="323D7C6C"/>
    <w:rsid w:val="32436F89"/>
    <w:rsid w:val="329B160C"/>
    <w:rsid w:val="32B141B6"/>
    <w:rsid w:val="32B20609"/>
    <w:rsid w:val="32DF4B97"/>
    <w:rsid w:val="32E5500C"/>
    <w:rsid w:val="32F47FEA"/>
    <w:rsid w:val="3305187B"/>
    <w:rsid w:val="33240E2C"/>
    <w:rsid w:val="33296437"/>
    <w:rsid w:val="33300FFF"/>
    <w:rsid w:val="33402EA3"/>
    <w:rsid w:val="334F32BF"/>
    <w:rsid w:val="33590882"/>
    <w:rsid w:val="33775400"/>
    <w:rsid w:val="339F4432"/>
    <w:rsid w:val="33C60892"/>
    <w:rsid w:val="33D74031"/>
    <w:rsid w:val="33DE5327"/>
    <w:rsid w:val="33E12879"/>
    <w:rsid w:val="33FC7A12"/>
    <w:rsid w:val="33FE1CF5"/>
    <w:rsid w:val="34014CC9"/>
    <w:rsid w:val="34111C62"/>
    <w:rsid w:val="342015F4"/>
    <w:rsid w:val="342366A3"/>
    <w:rsid w:val="34252CD9"/>
    <w:rsid w:val="34282FB3"/>
    <w:rsid w:val="3428494C"/>
    <w:rsid w:val="343C3245"/>
    <w:rsid w:val="34557D11"/>
    <w:rsid w:val="345B4BAA"/>
    <w:rsid w:val="346239BA"/>
    <w:rsid w:val="3474193F"/>
    <w:rsid w:val="34904EB1"/>
    <w:rsid w:val="34A535DC"/>
    <w:rsid w:val="34B40ED9"/>
    <w:rsid w:val="34C12DD7"/>
    <w:rsid w:val="34D66156"/>
    <w:rsid w:val="34E37753"/>
    <w:rsid w:val="34FC0984"/>
    <w:rsid w:val="350562FA"/>
    <w:rsid w:val="352F0F6D"/>
    <w:rsid w:val="353D4B7C"/>
    <w:rsid w:val="35432C5F"/>
    <w:rsid w:val="35462624"/>
    <w:rsid w:val="35477AFE"/>
    <w:rsid w:val="354D7131"/>
    <w:rsid w:val="358F40D3"/>
    <w:rsid w:val="35B32CAD"/>
    <w:rsid w:val="35EB499D"/>
    <w:rsid w:val="35F04771"/>
    <w:rsid w:val="36083FD2"/>
    <w:rsid w:val="361B35EE"/>
    <w:rsid w:val="362B1AFE"/>
    <w:rsid w:val="362D624A"/>
    <w:rsid w:val="366F397F"/>
    <w:rsid w:val="367E3FDD"/>
    <w:rsid w:val="368045CB"/>
    <w:rsid w:val="36B81FB7"/>
    <w:rsid w:val="36BA0E83"/>
    <w:rsid w:val="36C26C99"/>
    <w:rsid w:val="36CD55D7"/>
    <w:rsid w:val="36D137AD"/>
    <w:rsid w:val="36DF7544"/>
    <w:rsid w:val="36E6392A"/>
    <w:rsid w:val="36E80115"/>
    <w:rsid w:val="36E95D33"/>
    <w:rsid w:val="36EF52AD"/>
    <w:rsid w:val="370945C1"/>
    <w:rsid w:val="3715740A"/>
    <w:rsid w:val="37372801"/>
    <w:rsid w:val="37557806"/>
    <w:rsid w:val="3762270D"/>
    <w:rsid w:val="376D13A9"/>
    <w:rsid w:val="3772660A"/>
    <w:rsid w:val="3790083E"/>
    <w:rsid w:val="37982EDD"/>
    <w:rsid w:val="37A32B62"/>
    <w:rsid w:val="37AB1B1C"/>
    <w:rsid w:val="37AC2312"/>
    <w:rsid w:val="37C8447C"/>
    <w:rsid w:val="37CD3840"/>
    <w:rsid w:val="37EC7E14"/>
    <w:rsid w:val="37EF0327"/>
    <w:rsid w:val="37F45271"/>
    <w:rsid w:val="37FC7769"/>
    <w:rsid w:val="381950F1"/>
    <w:rsid w:val="38397128"/>
    <w:rsid w:val="38465AA7"/>
    <w:rsid w:val="384A4E91"/>
    <w:rsid w:val="38526A02"/>
    <w:rsid w:val="388C7258"/>
    <w:rsid w:val="389E3E7C"/>
    <w:rsid w:val="38B505EA"/>
    <w:rsid w:val="38D8472D"/>
    <w:rsid w:val="38E015D9"/>
    <w:rsid w:val="3947019F"/>
    <w:rsid w:val="394C31A1"/>
    <w:rsid w:val="398E34A3"/>
    <w:rsid w:val="39E401D8"/>
    <w:rsid w:val="39ED01CA"/>
    <w:rsid w:val="39FD1B2E"/>
    <w:rsid w:val="39FE4185"/>
    <w:rsid w:val="3A0D3949"/>
    <w:rsid w:val="3A124B71"/>
    <w:rsid w:val="3A1461B0"/>
    <w:rsid w:val="3A465B2C"/>
    <w:rsid w:val="3A7601BF"/>
    <w:rsid w:val="3A843FED"/>
    <w:rsid w:val="3A8477EC"/>
    <w:rsid w:val="3AB962FE"/>
    <w:rsid w:val="3AEA3F70"/>
    <w:rsid w:val="3B0F4170"/>
    <w:rsid w:val="3B20637D"/>
    <w:rsid w:val="3B24149F"/>
    <w:rsid w:val="3B241AF2"/>
    <w:rsid w:val="3B44206B"/>
    <w:rsid w:val="3B457B92"/>
    <w:rsid w:val="3B7F12F6"/>
    <w:rsid w:val="3BB573F7"/>
    <w:rsid w:val="3BC45386"/>
    <w:rsid w:val="3C007272"/>
    <w:rsid w:val="3C1C6B44"/>
    <w:rsid w:val="3C21663C"/>
    <w:rsid w:val="3C314819"/>
    <w:rsid w:val="3C6030A1"/>
    <w:rsid w:val="3CAD252C"/>
    <w:rsid w:val="3CE77EF0"/>
    <w:rsid w:val="3CF3147F"/>
    <w:rsid w:val="3D1635D1"/>
    <w:rsid w:val="3D37175C"/>
    <w:rsid w:val="3D4F0739"/>
    <w:rsid w:val="3D8250CD"/>
    <w:rsid w:val="3D9B0157"/>
    <w:rsid w:val="3DA545EB"/>
    <w:rsid w:val="3DE31C22"/>
    <w:rsid w:val="3DF67CF7"/>
    <w:rsid w:val="3DF912C2"/>
    <w:rsid w:val="3DFA2EB5"/>
    <w:rsid w:val="3E207E24"/>
    <w:rsid w:val="3E2241BA"/>
    <w:rsid w:val="3E246A84"/>
    <w:rsid w:val="3E3C2C4E"/>
    <w:rsid w:val="3E3F508E"/>
    <w:rsid w:val="3E535A2C"/>
    <w:rsid w:val="3E595E2E"/>
    <w:rsid w:val="3E703177"/>
    <w:rsid w:val="3E82338D"/>
    <w:rsid w:val="3EB10520"/>
    <w:rsid w:val="3ECA119D"/>
    <w:rsid w:val="3ED50B0D"/>
    <w:rsid w:val="3EEF47A5"/>
    <w:rsid w:val="3F340649"/>
    <w:rsid w:val="3F3D74FE"/>
    <w:rsid w:val="3F4B4DF6"/>
    <w:rsid w:val="3F557E69"/>
    <w:rsid w:val="3F5B1D9D"/>
    <w:rsid w:val="3F7604D9"/>
    <w:rsid w:val="3F8242B9"/>
    <w:rsid w:val="3F93536F"/>
    <w:rsid w:val="3F9906D5"/>
    <w:rsid w:val="3F997A91"/>
    <w:rsid w:val="3FA57926"/>
    <w:rsid w:val="3FB75C9F"/>
    <w:rsid w:val="3FFD6C8D"/>
    <w:rsid w:val="40106D41"/>
    <w:rsid w:val="40121BF8"/>
    <w:rsid w:val="401A4615"/>
    <w:rsid w:val="40363F4D"/>
    <w:rsid w:val="403D6206"/>
    <w:rsid w:val="40442B0E"/>
    <w:rsid w:val="4050500F"/>
    <w:rsid w:val="40C52BE2"/>
    <w:rsid w:val="40CF2F41"/>
    <w:rsid w:val="40E72599"/>
    <w:rsid w:val="40F167F2"/>
    <w:rsid w:val="40F57964"/>
    <w:rsid w:val="41007395"/>
    <w:rsid w:val="410253B1"/>
    <w:rsid w:val="4108305B"/>
    <w:rsid w:val="411C2CD7"/>
    <w:rsid w:val="41266A8F"/>
    <w:rsid w:val="41270465"/>
    <w:rsid w:val="4134048C"/>
    <w:rsid w:val="41455F11"/>
    <w:rsid w:val="4155206A"/>
    <w:rsid w:val="4156389E"/>
    <w:rsid w:val="417135DA"/>
    <w:rsid w:val="417C1E33"/>
    <w:rsid w:val="41A5138A"/>
    <w:rsid w:val="41A77C6F"/>
    <w:rsid w:val="41C10116"/>
    <w:rsid w:val="41D103D1"/>
    <w:rsid w:val="41EC4393"/>
    <w:rsid w:val="42181B5C"/>
    <w:rsid w:val="42202106"/>
    <w:rsid w:val="42323E79"/>
    <w:rsid w:val="42650D7A"/>
    <w:rsid w:val="426D167A"/>
    <w:rsid w:val="427F4DF3"/>
    <w:rsid w:val="42963325"/>
    <w:rsid w:val="42A22ED7"/>
    <w:rsid w:val="42B068D2"/>
    <w:rsid w:val="42B84AEC"/>
    <w:rsid w:val="42C876BA"/>
    <w:rsid w:val="42FA6D0E"/>
    <w:rsid w:val="430D368B"/>
    <w:rsid w:val="43471468"/>
    <w:rsid w:val="434B3651"/>
    <w:rsid w:val="435B1DFF"/>
    <w:rsid w:val="436F30AF"/>
    <w:rsid w:val="4387343D"/>
    <w:rsid w:val="43985945"/>
    <w:rsid w:val="43A86F10"/>
    <w:rsid w:val="43BC63D5"/>
    <w:rsid w:val="43D72DA4"/>
    <w:rsid w:val="43E02A75"/>
    <w:rsid w:val="43E178E3"/>
    <w:rsid w:val="43FC4299"/>
    <w:rsid w:val="44022AC4"/>
    <w:rsid w:val="440F7783"/>
    <w:rsid w:val="4413082D"/>
    <w:rsid w:val="44150A49"/>
    <w:rsid w:val="44795FA3"/>
    <w:rsid w:val="448829BA"/>
    <w:rsid w:val="44A92F3F"/>
    <w:rsid w:val="44C61D43"/>
    <w:rsid w:val="44D37370"/>
    <w:rsid w:val="44DE24E0"/>
    <w:rsid w:val="44E8603B"/>
    <w:rsid w:val="44FC39B7"/>
    <w:rsid w:val="45001F37"/>
    <w:rsid w:val="45085EB8"/>
    <w:rsid w:val="4514107C"/>
    <w:rsid w:val="455C4456"/>
    <w:rsid w:val="45BF763D"/>
    <w:rsid w:val="460D1C9F"/>
    <w:rsid w:val="461819F3"/>
    <w:rsid w:val="46195F3D"/>
    <w:rsid w:val="46647A66"/>
    <w:rsid w:val="466709A7"/>
    <w:rsid w:val="46680585"/>
    <w:rsid w:val="467A1037"/>
    <w:rsid w:val="469A087A"/>
    <w:rsid w:val="46AB6560"/>
    <w:rsid w:val="46C0585D"/>
    <w:rsid w:val="46C422B2"/>
    <w:rsid w:val="46E639AB"/>
    <w:rsid w:val="46F7465C"/>
    <w:rsid w:val="472A5A5C"/>
    <w:rsid w:val="474F6ECB"/>
    <w:rsid w:val="476D46F8"/>
    <w:rsid w:val="477041E8"/>
    <w:rsid w:val="4774432E"/>
    <w:rsid w:val="477B5A12"/>
    <w:rsid w:val="47A20325"/>
    <w:rsid w:val="47AA594C"/>
    <w:rsid w:val="47BF6F48"/>
    <w:rsid w:val="47DE73A4"/>
    <w:rsid w:val="47FF04F8"/>
    <w:rsid w:val="48043434"/>
    <w:rsid w:val="481B33B6"/>
    <w:rsid w:val="48233009"/>
    <w:rsid w:val="487C1540"/>
    <w:rsid w:val="48840E1D"/>
    <w:rsid w:val="488F175D"/>
    <w:rsid w:val="48955BB2"/>
    <w:rsid w:val="48AB197C"/>
    <w:rsid w:val="48BC5937"/>
    <w:rsid w:val="48BD16AF"/>
    <w:rsid w:val="48C60564"/>
    <w:rsid w:val="48CC52F2"/>
    <w:rsid w:val="48DF3A8F"/>
    <w:rsid w:val="48EF001A"/>
    <w:rsid w:val="491F76AB"/>
    <w:rsid w:val="494A49BF"/>
    <w:rsid w:val="49532607"/>
    <w:rsid w:val="496144D7"/>
    <w:rsid w:val="49671A36"/>
    <w:rsid w:val="496D4E83"/>
    <w:rsid w:val="49757894"/>
    <w:rsid w:val="49847874"/>
    <w:rsid w:val="49870237"/>
    <w:rsid w:val="49920446"/>
    <w:rsid w:val="499A58DB"/>
    <w:rsid w:val="499A7AC1"/>
    <w:rsid w:val="499B07DC"/>
    <w:rsid w:val="49A10FA9"/>
    <w:rsid w:val="49A27849"/>
    <w:rsid w:val="49A756D2"/>
    <w:rsid w:val="49BA799D"/>
    <w:rsid w:val="49D55CB7"/>
    <w:rsid w:val="49DD5237"/>
    <w:rsid w:val="49FB35F4"/>
    <w:rsid w:val="4A000C6F"/>
    <w:rsid w:val="4A002364"/>
    <w:rsid w:val="4A1F44DC"/>
    <w:rsid w:val="4A22547A"/>
    <w:rsid w:val="4A235542"/>
    <w:rsid w:val="4A3E237C"/>
    <w:rsid w:val="4A406C6C"/>
    <w:rsid w:val="4A4C4A99"/>
    <w:rsid w:val="4A6872B7"/>
    <w:rsid w:val="4A706BD3"/>
    <w:rsid w:val="4A7437A5"/>
    <w:rsid w:val="4A826364"/>
    <w:rsid w:val="4A87395C"/>
    <w:rsid w:val="4AA76173"/>
    <w:rsid w:val="4AB60128"/>
    <w:rsid w:val="4AC4174A"/>
    <w:rsid w:val="4AE27323"/>
    <w:rsid w:val="4AE44CD1"/>
    <w:rsid w:val="4B0E3212"/>
    <w:rsid w:val="4B1F7C71"/>
    <w:rsid w:val="4B24353C"/>
    <w:rsid w:val="4B373CCC"/>
    <w:rsid w:val="4B6972A2"/>
    <w:rsid w:val="4B6D2B50"/>
    <w:rsid w:val="4B833651"/>
    <w:rsid w:val="4BAA21AF"/>
    <w:rsid w:val="4BAD5A0B"/>
    <w:rsid w:val="4BB9615E"/>
    <w:rsid w:val="4BC613A8"/>
    <w:rsid w:val="4C1A4474"/>
    <w:rsid w:val="4C2D30CA"/>
    <w:rsid w:val="4C441632"/>
    <w:rsid w:val="4C787686"/>
    <w:rsid w:val="4C8D0BB7"/>
    <w:rsid w:val="4C9269AF"/>
    <w:rsid w:val="4C9A2FAF"/>
    <w:rsid w:val="4CAD4B2B"/>
    <w:rsid w:val="4CF62906"/>
    <w:rsid w:val="4D1B28AB"/>
    <w:rsid w:val="4D334393"/>
    <w:rsid w:val="4D603840"/>
    <w:rsid w:val="4D7D083E"/>
    <w:rsid w:val="4D986247"/>
    <w:rsid w:val="4DBA4D4C"/>
    <w:rsid w:val="4DD35FD1"/>
    <w:rsid w:val="4DE07E39"/>
    <w:rsid w:val="4DE71A97"/>
    <w:rsid w:val="4E0843BC"/>
    <w:rsid w:val="4E1624B5"/>
    <w:rsid w:val="4E192EE4"/>
    <w:rsid w:val="4E473EF5"/>
    <w:rsid w:val="4E5959D6"/>
    <w:rsid w:val="4E915170"/>
    <w:rsid w:val="4EBB5FAB"/>
    <w:rsid w:val="4EBE7F2F"/>
    <w:rsid w:val="4EF47740"/>
    <w:rsid w:val="4F091790"/>
    <w:rsid w:val="4F200CC1"/>
    <w:rsid w:val="4F312F02"/>
    <w:rsid w:val="4F3C0A88"/>
    <w:rsid w:val="4F3D39D2"/>
    <w:rsid w:val="4F505FBB"/>
    <w:rsid w:val="4F526F1E"/>
    <w:rsid w:val="4F5368C9"/>
    <w:rsid w:val="4F5B423C"/>
    <w:rsid w:val="4F607CA0"/>
    <w:rsid w:val="4F867ECA"/>
    <w:rsid w:val="4F9111A0"/>
    <w:rsid w:val="4F94131B"/>
    <w:rsid w:val="4F9A0054"/>
    <w:rsid w:val="4FA70B7B"/>
    <w:rsid w:val="4FAD78BD"/>
    <w:rsid w:val="4FD64FA7"/>
    <w:rsid w:val="4FF97842"/>
    <w:rsid w:val="4FFF3ACB"/>
    <w:rsid w:val="500B4570"/>
    <w:rsid w:val="502B5150"/>
    <w:rsid w:val="5032028D"/>
    <w:rsid w:val="503D01FE"/>
    <w:rsid w:val="50493828"/>
    <w:rsid w:val="505E5526"/>
    <w:rsid w:val="50651D05"/>
    <w:rsid w:val="506D39BB"/>
    <w:rsid w:val="507B46E1"/>
    <w:rsid w:val="50C23FBA"/>
    <w:rsid w:val="50D24EE2"/>
    <w:rsid w:val="50D7765D"/>
    <w:rsid w:val="50E2175C"/>
    <w:rsid w:val="50E377D9"/>
    <w:rsid w:val="512C203E"/>
    <w:rsid w:val="51340F56"/>
    <w:rsid w:val="5141286D"/>
    <w:rsid w:val="514F5C03"/>
    <w:rsid w:val="5169280F"/>
    <w:rsid w:val="51713DAE"/>
    <w:rsid w:val="517A4396"/>
    <w:rsid w:val="51870AAC"/>
    <w:rsid w:val="519448B3"/>
    <w:rsid w:val="51C20F09"/>
    <w:rsid w:val="51CC3F66"/>
    <w:rsid w:val="51D37F37"/>
    <w:rsid w:val="51E87DBA"/>
    <w:rsid w:val="52081BED"/>
    <w:rsid w:val="522B4CE1"/>
    <w:rsid w:val="522B58DB"/>
    <w:rsid w:val="52601C78"/>
    <w:rsid w:val="52784E56"/>
    <w:rsid w:val="52B33F95"/>
    <w:rsid w:val="52B551A5"/>
    <w:rsid w:val="52C04276"/>
    <w:rsid w:val="52C86D6D"/>
    <w:rsid w:val="52CC7C98"/>
    <w:rsid w:val="52D47D21"/>
    <w:rsid w:val="52DB10B0"/>
    <w:rsid w:val="52DE0373"/>
    <w:rsid w:val="52FE76DD"/>
    <w:rsid w:val="5306655B"/>
    <w:rsid w:val="53276FBE"/>
    <w:rsid w:val="53443F26"/>
    <w:rsid w:val="5349340E"/>
    <w:rsid w:val="53514C51"/>
    <w:rsid w:val="535B5CDC"/>
    <w:rsid w:val="535E75EB"/>
    <w:rsid w:val="53635596"/>
    <w:rsid w:val="537B5878"/>
    <w:rsid w:val="537B6537"/>
    <w:rsid w:val="538434F5"/>
    <w:rsid w:val="538744A6"/>
    <w:rsid w:val="538904C4"/>
    <w:rsid w:val="538D48EA"/>
    <w:rsid w:val="53967BF3"/>
    <w:rsid w:val="53AB4C56"/>
    <w:rsid w:val="53FB308C"/>
    <w:rsid w:val="54095C24"/>
    <w:rsid w:val="54273E81"/>
    <w:rsid w:val="54277970"/>
    <w:rsid w:val="54281936"/>
    <w:rsid w:val="54583F8B"/>
    <w:rsid w:val="54890697"/>
    <w:rsid w:val="549534CE"/>
    <w:rsid w:val="5497256E"/>
    <w:rsid w:val="549906B4"/>
    <w:rsid w:val="549F5583"/>
    <w:rsid w:val="54BD7044"/>
    <w:rsid w:val="54EE1313"/>
    <w:rsid w:val="54F95776"/>
    <w:rsid w:val="55061CE8"/>
    <w:rsid w:val="5529742E"/>
    <w:rsid w:val="553F6EF2"/>
    <w:rsid w:val="553F778B"/>
    <w:rsid w:val="55782BE6"/>
    <w:rsid w:val="55785E82"/>
    <w:rsid w:val="558C43C9"/>
    <w:rsid w:val="559B68D4"/>
    <w:rsid w:val="55AB48AB"/>
    <w:rsid w:val="55C80355"/>
    <w:rsid w:val="55C8791A"/>
    <w:rsid w:val="55D30A2F"/>
    <w:rsid w:val="55DF753C"/>
    <w:rsid w:val="55E53FF3"/>
    <w:rsid w:val="55E61E99"/>
    <w:rsid w:val="560A3CA7"/>
    <w:rsid w:val="56551179"/>
    <w:rsid w:val="56576C9F"/>
    <w:rsid w:val="56666EE2"/>
    <w:rsid w:val="566E1271"/>
    <w:rsid w:val="567F61F6"/>
    <w:rsid w:val="56A96DCF"/>
    <w:rsid w:val="56BA2964"/>
    <w:rsid w:val="56E22112"/>
    <w:rsid w:val="57044B44"/>
    <w:rsid w:val="57062473"/>
    <w:rsid w:val="572D03F0"/>
    <w:rsid w:val="57340D8E"/>
    <w:rsid w:val="574C58A7"/>
    <w:rsid w:val="575A1A22"/>
    <w:rsid w:val="57695BB4"/>
    <w:rsid w:val="5785783C"/>
    <w:rsid w:val="57907445"/>
    <w:rsid w:val="57911D3D"/>
    <w:rsid w:val="57C4398B"/>
    <w:rsid w:val="582D164E"/>
    <w:rsid w:val="58347140"/>
    <w:rsid w:val="58620909"/>
    <w:rsid w:val="58662E0A"/>
    <w:rsid w:val="586D705A"/>
    <w:rsid w:val="58704048"/>
    <w:rsid w:val="58787A4C"/>
    <w:rsid w:val="587C0C3F"/>
    <w:rsid w:val="588D7196"/>
    <w:rsid w:val="58922210"/>
    <w:rsid w:val="58957303"/>
    <w:rsid w:val="58A75590"/>
    <w:rsid w:val="58D02C09"/>
    <w:rsid w:val="58E86CCC"/>
    <w:rsid w:val="590355BB"/>
    <w:rsid w:val="59345076"/>
    <w:rsid w:val="5945006F"/>
    <w:rsid w:val="59722B93"/>
    <w:rsid w:val="59CE54CA"/>
    <w:rsid w:val="59D440D5"/>
    <w:rsid w:val="59FB1CCF"/>
    <w:rsid w:val="5A0A2C48"/>
    <w:rsid w:val="5A0B7279"/>
    <w:rsid w:val="5A1F3FB5"/>
    <w:rsid w:val="5A5123CC"/>
    <w:rsid w:val="5A7F0572"/>
    <w:rsid w:val="5A917564"/>
    <w:rsid w:val="5AAA4D97"/>
    <w:rsid w:val="5AB730C1"/>
    <w:rsid w:val="5AB84A44"/>
    <w:rsid w:val="5ABA3751"/>
    <w:rsid w:val="5ACC1B4C"/>
    <w:rsid w:val="5ACC28C2"/>
    <w:rsid w:val="5AEE56F8"/>
    <w:rsid w:val="5AFD2CAD"/>
    <w:rsid w:val="5B0108DF"/>
    <w:rsid w:val="5B43189A"/>
    <w:rsid w:val="5B5A73CA"/>
    <w:rsid w:val="5BB240A9"/>
    <w:rsid w:val="5BBC254F"/>
    <w:rsid w:val="5BC17CC2"/>
    <w:rsid w:val="5C31120A"/>
    <w:rsid w:val="5C5C50EC"/>
    <w:rsid w:val="5C62404B"/>
    <w:rsid w:val="5C967DF5"/>
    <w:rsid w:val="5C9A1694"/>
    <w:rsid w:val="5CC130C4"/>
    <w:rsid w:val="5CD96ECD"/>
    <w:rsid w:val="5CEA1017"/>
    <w:rsid w:val="5CF6644D"/>
    <w:rsid w:val="5D077E91"/>
    <w:rsid w:val="5D086F45"/>
    <w:rsid w:val="5D0B340E"/>
    <w:rsid w:val="5D120389"/>
    <w:rsid w:val="5D380EAD"/>
    <w:rsid w:val="5D4930BA"/>
    <w:rsid w:val="5D4B6F3F"/>
    <w:rsid w:val="5D586B7D"/>
    <w:rsid w:val="5D802AC7"/>
    <w:rsid w:val="5D865E42"/>
    <w:rsid w:val="5D987F1B"/>
    <w:rsid w:val="5DC15E33"/>
    <w:rsid w:val="5DD21F1E"/>
    <w:rsid w:val="5DD74598"/>
    <w:rsid w:val="5DE27796"/>
    <w:rsid w:val="5E062D59"/>
    <w:rsid w:val="5E15278D"/>
    <w:rsid w:val="5E2C6C63"/>
    <w:rsid w:val="5E3A47D9"/>
    <w:rsid w:val="5E47584B"/>
    <w:rsid w:val="5E4F7F20"/>
    <w:rsid w:val="5E505146"/>
    <w:rsid w:val="5E701FD1"/>
    <w:rsid w:val="5E771DDE"/>
    <w:rsid w:val="5E826A5E"/>
    <w:rsid w:val="5E8D218E"/>
    <w:rsid w:val="5E910C0E"/>
    <w:rsid w:val="5E9A321D"/>
    <w:rsid w:val="5E9A6191"/>
    <w:rsid w:val="5EA22DFC"/>
    <w:rsid w:val="5EC833BE"/>
    <w:rsid w:val="5EE4543C"/>
    <w:rsid w:val="5EF77271"/>
    <w:rsid w:val="5EFB3400"/>
    <w:rsid w:val="5F015B56"/>
    <w:rsid w:val="5F055908"/>
    <w:rsid w:val="5F182D44"/>
    <w:rsid w:val="5F2B0CC9"/>
    <w:rsid w:val="5F2B4A1F"/>
    <w:rsid w:val="5F816B3B"/>
    <w:rsid w:val="5FA647F3"/>
    <w:rsid w:val="5FC36454"/>
    <w:rsid w:val="5FD1133F"/>
    <w:rsid w:val="600A6B30"/>
    <w:rsid w:val="601856F1"/>
    <w:rsid w:val="602C4CF9"/>
    <w:rsid w:val="603511AD"/>
    <w:rsid w:val="604C0EF7"/>
    <w:rsid w:val="605727F7"/>
    <w:rsid w:val="6068395B"/>
    <w:rsid w:val="607D7E6A"/>
    <w:rsid w:val="608E59B3"/>
    <w:rsid w:val="608F5287"/>
    <w:rsid w:val="609F03CC"/>
    <w:rsid w:val="60B06F61"/>
    <w:rsid w:val="60DA0BF8"/>
    <w:rsid w:val="60DE3E31"/>
    <w:rsid w:val="60E23322"/>
    <w:rsid w:val="60F13292"/>
    <w:rsid w:val="60FF39DB"/>
    <w:rsid w:val="61080BA7"/>
    <w:rsid w:val="61142AC4"/>
    <w:rsid w:val="6118481F"/>
    <w:rsid w:val="612C2A35"/>
    <w:rsid w:val="615A3F65"/>
    <w:rsid w:val="61637CAA"/>
    <w:rsid w:val="617E1F3E"/>
    <w:rsid w:val="61842912"/>
    <w:rsid w:val="618A1CBE"/>
    <w:rsid w:val="61980E6D"/>
    <w:rsid w:val="619A2136"/>
    <w:rsid w:val="61B91515"/>
    <w:rsid w:val="61C3168D"/>
    <w:rsid w:val="61DD453B"/>
    <w:rsid w:val="61E1500C"/>
    <w:rsid w:val="61EA05F7"/>
    <w:rsid w:val="61FA0C64"/>
    <w:rsid w:val="6212604F"/>
    <w:rsid w:val="622D3A45"/>
    <w:rsid w:val="6239194F"/>
    <w:rsid w:val="62621B48"/>
    <w:rsid w:val="626C523F"/>
    <w:rsid w:val="6291178B"/>
    <w:rsid w:val="62AB56C0"/>
    <w:rsid w:val="62AC042F"/>
    <w:rsid w:val="62C835CB"/>
    <w:rsid w:val="62D70D17"/>
    <w:rsid w:val="62DE4C05"/>
    <w:rsid w:val="62FD1C6D"/>
    <w:rsid w:val="634467FD"/>
    <w:rsid w:val="634B530D"/>
    <w:rsid w:val="636D3B58"/>
    <w:rsid w:val="63A75F63"/>
    <w:rsid w:val="63B079EF"/>
    <w:rsid w:val="63E559EE"/>
    <w:rsid w:val="63FC79DC"/>
    <w:rsid w:val="64485BB7"/>
    <w:rsid w:val="644D16E1"/>
    <w:rsid w:val="64634947"/>
    <w:rsid w:val="64704899"/>
    <w:rsid w:val="6475188C"/>
    <w:rsid w:val="647F22F9"/>
    <w:rsid w:val="64B4350F"/>
    <w:rsid w:val="64B94068"/>
    <w:rsid w:val="64BD6867"/>
    <w:rsid w:val="64E040F7"/>
    <w:rsid w:val="64E04304"/>
    <w:rsid w:val="64E5191A"/>
    <w:rsid w:val="64EC5C92"/>
    <w:rsid w:val="651C7CF6"/>
    <w:rsid w:val="65216C46"/>
    <w:rsid w:val="652833C1"/>
    <w:rsid w:val="65404DA2"/>
    <w:rsid w:val="65473C74"/>
    <w:rsid w:val="654E7557"/>
    <w:rsid w:val="65562818"/>
    <w:rsid w:val="65571D22"/>
    <w:rsid w:val="655F4C96"/>
    <w:rsid w:val="656274BA"/>
    <w:rsid w:val="656475E0"/>
    <w:rsid w:val="657101BC"/>
    <w:rsid w:val="658F0C0C"/>
    <w:rsid w:val="65960E66"/>
    <w:rsid w:val="65A041FA"/>
    <w:rsid w:val="65A3249B"/>
    <w:rsid w:val="65C14135"/>
    <w:rsid w:val="66066D42"/>
    <w:rsid w:val="660676CB"/>
    <w:rsid w:val="660D47DF"/>
    <w:rsid w:val="662D17CA"/>
    <w:rsid w:val="663A2E25"/>
    <w:rsid w:val="663B67D3"/>
    <w:rsid w:val="664663E8"/>
    <w:rsid w:val="6670757C"/>
    <w:rsid w:val="667E5B82"/>
    <w:rsid w:val="66AE558B"/>
    <w:rsid w:val="66D45117"/>
    <w:rsid w:val="66D6250D"/>
    <w:rsid w:val="66D63C10"/>
    <w:rsid w:val="670E32C8"/>
    <w:rsid w:val="675D7E8D"/>
    <w:rsid w:val="67805F38"/>
    <w:rsid w:val="6792650B"/>
    <w:rsid w:val="67B22191"/>
    <w:rsid w:val="67B850C4"/>
    <w:rsid w:val="67C03A30"/>
    <w:rsid w:val="67C954CA"/>
    <w:rsid w:val="67D5325C"/>
    <w:rsid w:val="67DC5256"/>
    <w:rsid w:val="67E5475C"/>
    <w:rsid w:val="67E660D5"/>
    <w:rsid w:val="67E74EEE"/>
    <w:rsid w:val="68305D55"/>
    <w:rsid w:val="68A213B1"/>
    <w:rsid w:val="68CF27F5"/>
    <w:rsid w:val="68DB550E"/>
    <w:rsid w:val="693576B9"/>
    <w:rsid w:val="69430CA9"/>
    <w:rsid w:val="695131C0"/>
    <w:rsid w:val="696F3EA8"/>
    <w:rsid w:val="697737A9"/>
    <w:rsid w:val="699C4843"/>
    <w:rsid w:val="69A00868"/>
    <w:rsid w:val="69AF27B9"/>
    <w:rsid w:val="69B67E6F"/>
    <w:rsid w:val="69CF28F2"/>
    <w:rsid w:val="69FA6617"/>
    <w:rsid w:val="6A0A775E"/>
    <w:rsid w:val="6A2334BA"/>
    <w:rsid w:val="6A5C2C13"/>
    <w:rsid w:val="6A7774B8"/>
    <w:rsid w:val="6AA162E3"/>
    <w:rsid w:val="6AB04778"/>
    <w:rsid w:val="6ACB7804"/>
    <w:rsid w:val="6ACD7C60"/>
    <w:rsid w:val="6AE5085E"/>
    <w:rsid w:val="6B130818"/>
    <w:rsid w:val="6B1D4DCD"/>
    <w:rsid w:val="6B1F7A69"/>
    <w:rsid w:val="6B421874"/>
    <w:rsid w:val="6B6C68F1"/>
    <w:rsid w:val="6B6E1E92"/>
    <w:rsid w:val="6B7234C0"/>
    <w:rsid w:val="6B73047C"/>
    <w:rsid w:val="6B9B6602"/>
    <w:rsid w:val="6BF91169"/>
    <w:rsid w:val="6C1C0317"/>
    <w:rsid w:val="6C275C61"/>
    <w:rsid w:val="6C3D028D"/>
    <w:rsid w:val="6C492AA5"/>
    <w:rsid w:val="6C57134F"/>
    <w:rsid w:val="6C620470"/>
    <w:rsid w:val="6C6555F0"/>
    <w:rsid w:val="6C7E78AE"/>
    <w:rsid w:val="6C89739A"/>
    <w:rsid w:val="6CA50A5E"/>
    <w:rsid w:val="6CAB3449"/>
    <w:rsid w:val="6CAE2F39"/>
    <w:rsid w:val="6CD33EE0"/>
    <w:rsid w:val="6CD72222"/>
    <w:rsid w:val="6CF44DF0"/>
    <w:rsid w:val="6D1C57AD"/>
    <w:rsid w:val="6D2B01C1"/>
    <w:rsid w:val="6D350F65"/>
    <w:rsid w:val="6D3671B7"/>
    <w:rsid w:val="6D456D67"/>
    <w:rsid w:val="6D6D6956"/>
    <w:rsid w:val="6D9739CD"/>
    <w:rsid w:val="6DA379CF"/>
    <w:rsid w:val="6DA700B4"/>
    <w:rsid w:val="6DE07122"/>
    <w:rsid w:val="6DE24D6B"/>
    <w:rsid w:val="6E1113A9"/>
    <w:rsid w:val="6E1A0886"/>
    <w:rsid w:val="6E564236"/>
    <w:rsid w:val="6E63712C"/>
    <w:rsid w:val="6E653EA7"/>
    <w:rsid w:val="6E83150A"/>
    <w:rsid w:val="6EAB14DE"/>
    <w:rsid w:val="6ECB6B37"/>
    <w:rsid w:val="6ECC2670"/>
    <w:rsid w:val="6EE816DD"/>
    <w:rsid w:val="6EEF2D56"/>
    <w:rsid w:val="6EFA102D"/>
    <w:rsid w:val="6F211FA2"/>
    <w:rsid w:val="6F223CBA"/>
    <w:rsid w:val="6F407139"/>
    <w:rsid w:val="6F637B39"/>
    <w:rsid w:val="6F834209"/>
    <w:rsid w:val="6F8C6D86"/>
    <w:rsid w:val="6F936FD4"/>
    <w:rsid w:val="6F94795E"/>
    <w:rsid w:val="700122F7"/>
    <w:rsid w:val="7007308C"/>
    <w:rsid w:val="70205EFC"/>
    <w:rsid w:val="70223BDE"/>
    <w:rsid w:val="703C14DD"/>
    <w:rsid w:val="703F6251"/>
    <w:rsid w:val="704B55FD"/>
    <w:rsid w:val="704E0CBB"/>
    <w:rsid w:val="7053007F"/>
    <w:rsid w:val="705738C5"/>
    <w:rsid w:val="705D666C"/>
    <w:rsid w:val="70732282"/>
    <w:rsid w:val="708D1203"/>
    <w:rsid w:val="70973C1A"/>
    <w:rsid w:val="70BA1EAD"/>
    <w:rsid w:val="70C67CCC"/>
    <w:rsid w:val="70D25448"/>
    <w:rsid w:val="70D92AE2"/>
    <w:rsid w:val="71245578"/>
    <w:rsid w:val="712C7150"/>
    <w:rsid w:val="713A17CC"/>
    <w:rsid w:val="71632544"/>
    <w:rsid w:val="71B17A98"/>
    <w:rsid w:val="71CA3EA0"/>
    <w:rsid w:val="71DE7E1D"/>
    <w:rsid w:val="72200254"/>
    <w:rsid w:val="722C3E3E"/>
    <w:rsid w:val="72545CEF"/>
    <w:rsid w:val="72640152"/>
    <w:rsid w:val="72676064"/>
    <w:rsid w:val="72680AF9"/>
    <w:rsid w:val="72883134"/>
    <w:rsid w:val="72961ADB"/>
    <w:rsid w:val="72C5133A"/>
    <w:rsid w:val="72EC69C4"/>
    <w:rsid w:val="72ED4AF8"/>
    <w:rsid w:val="730A4C55"/>
    <w:rsid w:val="732D0D9B"/>
    <w:rsid w:val="73527664"/>
    <w:rsid w:val="736646BD"/>
    <w:rsid w:val="736A259F"/>
    <w:rsid w:val="73B9469D"/>
    <w:rsid w:val="73C71A82"/>
    <w:rsid w:val="73D03FA4"/>
    <w:rsid w:val="73DB6B2D"/>
    <w:rsid w:val="73F4698B"/>
    <w:rsid w:val="73FE1225"/>
    <w:rsid w:val="73FFF8D2"/>
    <w:rsid w:val="740B1F99"/>
    <w:rsid w:val="741F6176"/>
    <w:rsid w:val="74322D2E"/>
    <w:rsid w:val="744C3764"/>
    <w:rsid w:val="74582108"/>
    <w:rsid w:val="74627028"/>
    <w:rsid w:val="74661CFE"/>
    <w:rsid w:val="747F58E7"/>
    <w:rsid w:val="74D379E1"/>
    <w:rsid w:val="74D55507"/>
    <w:rsid w:val="750E5B8B"/>
    <w:rsid w:val="75156F04"/>
    <w:rsid w:val="7530693F"/>
    <w:rsid w:val="75372624"/>
    <w:rsid w:val="753D12FE"/>
    <w:rsid w:val="7554793F"/>
    <w:rsid w:val="75686C39"/>
    <w:rsid w:val="75702964"/>
    <w:rsid w:val="757271FA"/>
    <w:rsid w:val="75815E4A"/>
    <w:rsid w:val="75841D88"/>
    <w:rsid w:val="75AE44DB"/>
    <w:rsid w:val="75C31803"/>
    <w:rsid w:val="75E01EA2"/>
    <w:rsid w:val="75E605FD"/>
    <w:rsid w:val="75FA2D4B"/>
    <w:rsid w:val="75FB71EF"/>
    <w:rsid w:val="76104E71"/>
    <w:rsid w:val="7624646E"/>
    <w:rsid w:val="763031D5"/>
    <w:rsid w:val="764566BC"/>
    <w:rsid w:val="765F6370"/>
    <w:rsid w:val="76764AC8"/>
    <w:rsid w:val="767849AA"/>
    <w:rsid w:val="76832AC6"/>
    <w:rsid w:val="768E68C8"/>
    <w:rsid w:val="7691545E"/>
    <w:rsid w:val="76BC3FE1"/>
    <w:rsid w:val="76EC08E6"/>
    <w:rsid w:val="76F01968"/>
    <w:rsid w:val="76F31C74"/>
    <w:rsid w:val="77034DED"/>
    <w:rsid w:val="77173AAA"/>
    <w:rsid w:val="771F0CBB"/>
    <w:rsid w:val="77521091"/>
    <w:rsid w:val="776668EA"/>
    <w:rsid w:val="777B2A86"/>
    <w:rsid w:val="7791148D"/>
    <w:rsid w:val="77A66735"/>
    <w:rsid w:val="77D85615"/>
    <w:rsid w:val="77F21009"/>
    <w:rsid w:val="782A5B6A"/>
    <w:rsid w:val="783D6892"/>
    <w:rsid w:val="784824F2"/>
    <w:rsid w:val="785A2E96"/>
    <w:rsid w:val="7871757C"/>
    <w:rsid w:val="788849AC"/>
    <w:rsid w:val="78917997"/>
    <w:rsid w:val="789254BD"/>
    <w:rsid w:val="78B813C8"/>
    <w:rsid w:val="78BF29E3"/>
    <w:rsid w:val="78CB4ACD"/>
    <w:rsid w:val="78CB52D4"/>
    <w:rsid w:val="78FB7506"/>
    <w:rsid w:val="79036F87"/>
    <w:rsid w:val="790C3183"/>
    <w:rsid w:val="79346574"/>
    <w:rsid w:val="795D3D1D"/>
    <w:rsid w:val="796357C2"/>
    <w:rsid w:val="79690120"/>
    <w:rsid w:val="799D5DCD"/>
    <w:rsid w:val="79A91DB3"/>
    <w:rsid w:val="79B17BC5"/>
    <w:rsid w:val="79BC4EE7"/>
    <w:rsid w:val="79BF0EC2"/>
    <w:rsid w:val="79C141B3"/>
    <w:rsid w:val="79CE07A0"/>
    <w:rsid w:val="79D51B05"/>
    <w:rsid w:val="79F91C98"/>
    <w:rsid w:val="7A1F0FD2"/>
    <w:rsid w:val="7A2134D3"/>
    <w:rsid w:val="7A2F41C8"/>
    <w:rsid w:val="7A335B7B"/>
    <w:rsid w:val="7A363F01"/>
    <w:rsid w:val="7A70182E"/>
    <w:rsid w:val="7A7255A6"/>
    <w:rsid w:val="7A886FF6"/>
    <w:rsid w:val="7A8A42D7"/>
    <w:rsid w:val="7A9E45ED"/>
    <w:rsid w:val="7AF95411"/>
    <w:rsid w:val="7B0C5032"/>
    <w:rsid w:val="7B221BA7"/>
    <w:rsid w:val="7B505BD1"/>
    <w:rsid w:val="7B685318"/>
    <w:rsid w:val="7B746E0D"/>
    <w:rsid w:val="7B9D2AF7"/>
    <w:rsid w:val="7BE30623"/>
    <w:rsid w:val="7C090A2F"/>
    <w:rsid w:val="7C10151B"/>
    <w:rsid w:val="7C2A00F9"/>
    <w:rsid w:val="7C2F7BF3"/>
    <w:rsid w:val="7C4A4A2C"/>
    <w:rsid w:val="7C78072F"/>
    <w:rsid w:val="7C8A45E3"/>
    <w:rsid w:val="7C8D2BE0"/>
    <w:rsid w:val="7CE72C39"/>
    <w:rsid w:val="7CF0431D"/>
    <w:rsid w:val="7CF93D5D"/>
    <w:rsid w:val="7CFB5D27"/>
    <w:rsid w:val="7CFF6BD1"/>
    <w:rsid w:val="7D0D15B6"/>
    <w:rsid w:val="7D287965"/>
    <w:rsid w:val="7D2E5C35"/>
    <w:rsid w:val="7D3664A9"/>
    <w:rsid w:val="7D38205F"/>
    <w:rsid w:val="7D7B0C16"/>
    <w:rsid w:val="7D9B4E14"/>
    <w:rsid w:val="7D9F5831"/>
    <w:rsid w:val="7DCE39D2"/>
    <w:rsid w:val="7DD66F00"/>
    <w:rsid w:val="7DE138A1"/>
    <w:rsid w:val="7DE44A0D"/>
    <w:rsid w:val="7DE4678E"/>
    <w:rsid w:val="7E132BFC"/>
    <w:rsid w:val="7E18795F"/>
    <w:rsid w:val="7E296292"/>
    <w:rsid w:val="7E3E390C"/>
    <w:rsid w:val="7E4436FD"/>
    <w:rsid w:val="7E60035C"/>
    <w:rsid w:val="7E8F4771"/>
    <w:rsid w:val="7E9213E4"/>
    <w:rsid w:val="7E953F59"/>
    <w:rsid w:val="7EAA44A4"/>
    <w:rsid w:val="7EAD0948"/>
    <w:rsid w:val="7EAD5943"/>
    <w:rsid w:val="7EB54D6E"/>
    <w:rsid w:val="7ED96C58"/>
    <w:rsid w:val="7EDA1BB0"/>
    <w:rsid w:val="7F0E655C"/>
    <w:rsid w:val="7F115045"/>
    <w:rsid w:val="7F1B0AA7"/>
    <w:rsid w:val="7F1E501B"/>
    <w:rsid w:val="7F6A6FAF"/>
    <w:rsid w:val="7F961584"/>
    <w:rsid w:val="7F9878E3"/>
    <w:rsid w:val="7F9B734D"/>
    <w:rsid w:val="7FA611F7"/>
    <w:rsid w:val="7FBF585C"/>
    <w:rsid w:val="7FC560EB"/>
    <w:rsid w:val="7FC71A9F"/>
    <w:rsid w:val="7FD27DD1"/>
    <w:rsid w:val="AFF974D4"/>
    <w:rsid w:val="BA7F318A"/>
    <w:rsid w:val="BBE56892"/>
    <w:rsid w:val="BF7F1916"/>
    <w:rsid w:val="CB6F8E8D"/>
    <w:rsid w:val="DD9A9767"/>
    <w:rsid w:val="EB7C916C"/>
    <w:rsid w:val="F6FD10F8"/>
    <w:rsid w:val="F87B0F1E"/>
    <w:rsid w:val="FAB3DC3B"/>
    <w:rsid w:val="FF7E2B2F"/>
    <w:rsid w:val="FFEFE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zh-CN" w:bidi="ar-SA"/>
    </w:rPr>
  </w:style>
  <w:style w:type="paragraph" w:styleId="3">
    <w:name w:val="heading 1"/>
    <w:basedOn w:val="1"/>
    <w:next w:val="1"/>
    <w:link w:val="68"/>
    <w:autoRedefine/>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4">
    <w:name w:val="heading 2"/>
    <w:basedOn w:val="1"/>
    <w:next w:val="1"/>
    <w:autoRedefine/>
    <w:qFormat/>
    <w:uiPriority w:val="0"/>
    <w:pPr>
      <w:keepNext/>
      <w:keepLines/>
      <w:widowControl w:val="0"/>
      <w:tabs>
        <w:tab w:val="left" w:pos="720"/>
      </w:tabs>
      <w:spacing w:before="260" w:after="260" w:line="360" w:lineRule="auto"/>
      <w:jc w:val="center"/>
      <w:outlineLvl w:val="1"/>
    </w:pPr>
    <w:rPr>
      <w:rFonts w:ascii="宋体" w:hAnsi="宋体" w:cs="Arial"/>
      <w:b/>
      <w:bCs/>
      <w:iCs/>
      <w:sz w:val="28"/>
      <w:szCs w:val="28"/>
    </w:rPr>
  </w:style>
  <w:style w:type="paragraph" w:styleId="5">
    <w:name w:val="heading 3"/>
    <w:basedOn w:val="1"/>
    <w:next w:val="1"/>
    <w:link w:val="69"/>
    <w:autoRedefine/>
    <w:qFormat/>
    <w:uiPriority w:val="0"/>
    <w:pPr>
      <w:keepNext/>
      <w:keepLines/>
      <w:widowControl w:val="0"/>
      <w:numPr>
        <w:ilvl w:val="2"/>
        <w:numId w:val="1"/>
      </w:numPr>
      <w:tabs>
        <w:tab w:val="left" w:pos="900"/>
        <w:tab w:val="clear" w:pos="5269"/>
      </w:tabs>
      <w:spacing w:before="260" w:after="260" w:line="360" w:lineRule="auto"/>
      <w:ind w:hanging="1249"/>
      <w:jc w:val="both"/>
      <w:outlineLvl w:val="2"/>
    </w:pPr>
    <w:rPr>
      <w:rFonts w:ascii="宋体" w:hAnsi="宋体"/>
      <w:b/>
      <w:bCs/>
      <w:kern w:val="2"/>
      <w:sz w:val="28"/>
      <w:szCs w:val="28"/>
    </w:rPr>
  </w:style>
  <w:style w:type="paragraph" w:styleId="6">
    <w:name w:val="heading 4"/>
    <w:basedOn w:val="1"/>
    <w:next w:val="1"/>
    <w:link w:val="70"/>
    <w:autoRedefine/>
    <w:qFormat/>
    <w:uiPriority w:val="0"/>
    <w:pPr>
      <w:keepNext/>
      <w:spacing w:before="240" w:after="60"/>
      <w:outlineLvl w:val="3"/>
    </w:pPr>
    <w:rPr>
      <w:b/>
      <w:bCs/>
      <w:sz w:val="28"/>
      <w:szCs w:val="28"/>
    </w:rPr>
  </w:style>
  <w:style w:type="paragraph" w:styleId="7">
    <w:name w:val="heading 5"/>
    <w:basedOn w:val="1"/>
    <w:next w:val="1"/>
    <w:link w:val="71"/>
    <w:autoRedefine/>
    <w:qFormat/>
    <w:uiPriority w:val="0"/>
    <w:pPr>
      <w:keepNext/>
      <w:keepLines/>
      <w:widowControl w:val="0"/>
      <w:numPr>
        <w:ilvl w:val="4"/>
        <w:numId w:val="1"/>
      </w:numPr>
      <w:autoSpaceDE w:val="0"/>
      <w:autoSpaceDN w:val="0"/>
      <w:adjustRightInd w:val="0"/>
      <w:spacing w:before="280" w:after="290" w:line="374" w:lineRule="auto"/>
      <w:jc w:val="both"/>
      <w:outlineLvl w:val="4"/>
    </w:pPr>
    <w:rPr>
      <w:b/>
      <w:bCs/>
      <w:sz w:val="28"/>
      <w:szCs w:val="28"/>
    </w:rPr>
  </w:style>
  <w:style w:type="paragraph" w:styleId="8">
    <w:name w:val="heading 6"/>
    <w:basedOn w:val="1"/>
    <w:next w:val="1"/>
    <w:autoRedefine/>
    <w:qFormat/>
    <w:uiPriority w:val="0"/>
    <w:pPr>
      <w:keepNext/>
      <w:keepLines/>
      <w:widowControl w:val="0"/>
      <w:numPr>
        <w:ilvl w:val="5"/>
        <w:numId w:val="1"/>
      </w:numPr>
      <w:spacing w:before="240" w:after="64" w:line="319" w:lineRule="auto"/>
      <w:jc w:val="both"/>
      <w:outlineLvl w:val="5"/>
    </w:pPr>
    <w:rPr>
      <w:rFonts w:ascii="Arial" w:hAnsi="Arial" w:eastAsia="黑体"/>
      <w:b/>
      <w:bCs/>
      <w:kern w:val="2"/>
    </w:rPr>
  </w:style>
  <w:style w:type="paragraph" w:styleId="9">
    <w:name w:val="heading 7"/>
    <w:basedOn w:val="1"/>
    <w:next w:val="1"/>
    <w:autoRedefine/>
    <w:qFormat/>
    <w:uiPriority w:val="0"/>
    <w:pPr>
      <w:keepNext/>
      <w:tabs>
        <w:tab w:val="left" w:pos="3600"/>
      </w:tabs>
      <w:spacing w:after="120"/>
      <w:outlineLvl w:val="6"/>
    </w:pPr>
    <w:rPr>
      <w:rFonts w:ascii="Arial Narrow" w:hAnsi="Arial Narrow"/>
      <w:b/>
      <w:sz w:val="20"/>
      <w:szCs w:val="20"/>
      <w:lang w:eastAsia="en-US"/>
    </w:rPr>
  </w:style>
  <w:style w:type="paragraph" w:styleId="10">
    <w:name w:val="heading 8"/>
    <w:basedOn w:val="1"/>
    <w:next w:val="1"/>
    <w:autoRedefine/>
    <w:qFormat/>
    <w:uiPriority w:val="0"/>
    <w:pPr>
      <w:keepNext/>
      <w:keepLines/>
      <w:widowControl w:val="0"/>
      <w:spacing w:before="240" w:after="64" w:line="317" w:lineRule="auto"/>
      <w:jc w:val="both"/>
      <w:outlineLvl w:val="7"/>
    </w:pPr>
    <w:rPr>
      <w:rFonts w:ascii="Arial" w:hAnsi="Arial" w:eastAsia="黑体"/>
      <w:kern w:val="2"/>
      <w:szCs w:val="20"/>
    </w:rPr>
  </w:style>
  <w:style w:type="paragraph" w:styleId="11">
    <w:name w:val="heading 9"/>
    <w:basedOn w:val="1"/>
    <w:next w:val="1"/>
    <w:autoRedefine/>
    <w:qFormat/>
    <w:uiPriority w:val="0"/>
    <w:pPr>
      <w:keepNext/>
      <w:keepLines/>
      <w:widowControl w:val="0"/>
      <w:spacing w:before="240" w:after="64" w:line="317" w:lineRule="auto"/>
      <w:jc w:val="both"/>
      <w:outlineLvl w:val="8"/>
    </w:pPr>
    <w:rPr>
      <w:rFonts w:ascii="Arial" w:hAnsi="Arial" w:eastAsia="黑体"/>
      <w:kern w:val="2"/>
      <w:sz w:val="21"/>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eastAsia="宋体" w:cs="Times New Roman"/>
    </w:rPr>
  </w:style>
  <w:style w:type="paragraph" w:styleId="12">
    <w:name w:val="toc 7"/>
    <w:basedOn w:val="1"/>
    <w:next w:val="1"/>
    <w:autoRedefine/>
    <w:qFormat/>
    <w:uiPriority w:val="0"/>
    <w:pPr>
      <w:widowControl w:val="0"/>
      <w:ind w:left="1080"/>
    </w:pPr>
    <w:rPr>
      <w:kern w:val="2"/>
      <w:sz w:val="18"/>
      <w:szCs w:val="20"/>
    </w:rPr>
  </w:style>
  <w:style w:type="paragraph" w:styleId="13">
    <w:name w:val="Normal Indent"/>
    <w:basedOn w:val="1"/>
    <w:next w:val="14"/>
    <w:link w:val="72"/>
    <w:autoRedefine/>
    <w:qFormat/>
    <w:uiPriority w:val="0"/>
    <w:pPr>
      <w:widowControl w:val="0"/>
      <w:spacing w:line="360" w:lineRule="auto"/>
      <w:ind w:firstLine="420" w:firstLineChars="200"/>
      <w:jc w:val="both"/>
    </w:pPr>
    <w:rPr>
      <w:kern w:val="2"/>
      <w:sz w:val="21"/>
    </w:rPr>
  </w:style>
  <w:style w:type="paragraph" w:styleId="14">
    <w:name w:val="Body Text First Indent 2"/>
    <w:basedOn w:val="15"/>
    <w:next w:val="1"/>
    <w:autoRedefine/>
    <w:unhideWhenUsed/>
    <w:qFormat/>
    <w:uiPriority w:val="99"/>
    <w:pPr>
      <w:spacing w:after="120" w:line="240" w:lineRule="auto"/>
      <w:ind w:left="420" w:leftChars="200" w:firstLine="420" w:firstLineChars="200"/>
    </w:pPr>
    <w:rPr>
      <w:rFonts w:ascii="Times New Roman"/>
      <w:sz w:val="21"/>
    </w:rPr>
  </w:style>
  <w:style w:type="paragraph" w:styleId="15">
    <w:name w:val="Body Text Indent"/>
    <w:basedOn w:val="1"/>
    <w:link w:val="67"/>
    <w:autoRedefine/>
    <w:qFormat/>
    <w:uiPriority w:val="0"/>
    <w:pPr>
      <w:widowControl w:val="0"/>
      <w:autoSpaceDE w:val="0"/>
      <w:autoSpaceDN w:val="0"/>
      <w:adjustRightInd w:val="0"/>
      <w:spacing w:line="360" w:lineRule="auto"/>
      <w:ind w:firstLine="540" w:firstLineChars="180"/>
      <w:jc w:val="both"/>
    </w:pPr>
    <w:rPr>
      <w:rFonts w:ascii="宋体"/>
      <w:sz w:val="30"/>
    </w:rPr>
  </w:style>
  <w:style w:type="paragraph" w:styleId="16">
    <w:name w:val="caption"/>
    <w:basedOn w:val="1"/>
    <w:next w:val="1"/>
    <w:autoRedefine/>
    <w:qFormat/>
    <w:uiPriority w:val="0"/>
    <w:pPr>
      <w:widowControl w:val="0"/>
      <w:spacing w:before="152" w:after="160" w:line="360" w:lineRule="auto"/>
      <w:jc w:val="both"/>
    </w:pPr>
    <w:rPr>
      <w:rFonts w:ascii="Arial" w:hAnsi="Arial" w:eastAsia="黑体"/>
      <w:kern w:val="2"/>
      <w:sz w:val="20"/>
      <w:szCs w:val="20"/>
    </w:rPr>
  </w:style>
  <w:style w:type="paragraph" w:styleId="17">
    <w:name w:val="Document Map"/>
    <w:basedOn w:val="1"/>
    <w:link w:val="73"/>
    <w:autoRedefine/>
    <w:qFormat/>
    <w:uiPriority w:val="99"/>
    <w:pPr>
      <w:shd w:val="clear" w:color="auto" w:fill="000080"/>
    </w:pPr>
    <w:rPr>
      <w:shd w:val="clear" w:color="auto" w:fill="000080"/>
    </w:rPr>
  </w:style>
  <w:style w:type="paragraph" w:styleId="18">
    <w:name w:val="annotation text"/>
    <w:basedOn w:val="1"/>
    <w:link w:val="74"/>
    <w:autoRedefine/>
    <w:qFormat/>
    <w:uiPriority w:val="0"/>
    <w:pPr>
      <w:widowControl w:val="0"/>
    </w:pPr>
    <w:rPr>
      <w:kern w:val="2"/>
      <w:sz w:val="18"/>
      <w:szCs w:val="20"/>
    </w:rPr>
  </w:style>
  <w:style w:type="paragraph" w:styleId="19">
    <w:name w:val="Salutation"/>
    <w:basedOn w:val="1"/>
    <w:next w:val="1"/>
    <w:autoRedefine/>
    <w:qFormat/>
    <w:uiPriority w:val="0"/>
    <w:pPr>
      <w:widowControl w:val="0"/>
      <w:jc w:val="both"/>
    </w:pPr>
    <w:rPr>
      <w:rFonts w:eastAsia="黑体"/>
      <w:kern w:val="2"/>
      <w:szCs w:val="20"/>
    </w:rPr>
  </w:style>
  <w:style w:type="paragraph" w:styleId="20">
    <w:name w:val="Body Text 3"/>
    <w:basedOn w:val="1"/>
    <w:autoRedefine/>
    <w:qFormat/>
    <w:uiPriority w:val="0"/>
    <w:pPr>
      <w:spacing w:after="120"/>
    </w:pPr>
    <w:rPr>
      <w:sz w:val="16"/>
      <w:szCs w:val="16"/>
    </w:rPr>
  </w:style>
  <w:style w:type="paragraph" w:styleId="21">
    <w:name w:val="Body Text"/>
    <w:basedOn w:val="1"/>
    <w:next w:val="15"/>
    <w:link w:val="75"/>
    <w:autoRedefine/>
    <w:qFormat/>
    <w:uiPriority w:val="0"/>
    <w:pPr>
      <w:spacing w:after="120"/>
    </w:pPr>
  </w:style>
  <w:style w:type="paragraph" w:styleId="22">
    <w:name w:val="Block Text"/>
    <w:basedOn w:val="1"/>
    <w:autoRedefine/>
    <w:qFormat/>
    <w:uiPriority w:val="0"/>
    <w:pPr>
      <w:widowControl w:val="0"/>
      <w:ind w:left="-540" w:leftChars="-257" w:right="-334" w:rightChars="-159" w:firstLine="540" w:firstLineChars="180"/>
      <w:jc w:val="both"/>
    </w:pPr>
    <w:rPr>
      <w:kern w:val="2"/>
      <w:sz w:val="30"/>
    </w:rPr>
  </w:style>
  <w:style w:type="paragraph" w:styleId="23">
    <w:name w:val="toc 5"/>
    <w:basedOn w:val="1"/>
    <w:next w:val="1"/>
    <w:autoRedefine/>
    <w:qFormat/>
    <w:uiPriority w:val="0"/>
    <w:pPr>
      <w:widowControl w:val="0"/>
      <w:ind w:left="720"/>
    </w:pPr>
    <w:rPr>
      <w:kern w:val="2"/>
      <w:sz w:val="18"/>
      <w:szCs w:val="20"/>
    </w:rPr>
  </w:style>
  <w:style w:type="paragraph" w:styleId="24">
    <w:name w:val="toc 3"/>
    <w:basedOn w:val="1"/>
    <w:next w:val="1"/>
    <w:autoRedefine/>
    <w:qFormat/>
    <w:uiPriority w:val="0"/>
    <w:pPr>
      <w:widowControl w:val="0"/>
      <w:ind w:left="360"/>
    </w:pPr>
    <w:rPr>
      <w:i/>
      <w:kern w:val="2"/>
      <w:sz w:val="20"/>
      <w:szCs w:val="20"/>
    </w:rPr>
  </w:style>
  <w:style w:type="paragraph" w:styleId="25">
    <w:name w:val="Plain Text"/>
    <w:basedOn w:val="1"/>
    <w:link w:val="76"/>
    <w:autoRedefine/>
    <w:qFormat/>
    <w:uiPriority w:val="0"/>
    <w:pPr>
      <w:widowControl w:val="0"/>
      <w:autoSpaceDE w:val="0"/>
      <w:autoSpaceDN w:val="0"/>
      <w:adjustRightInd w:val="0"/>
      <w:jc w:val="both"/>
    </w:pPr>
    <w:rPr>
      <w:rFonts w:hint="eastAsia" w:ascii="宋体" w:hAnsi="Tms Rmn"/>
      <w:sz w:val="21"/>
      <w:szCs w:val="20"/>
    </w:rPr>
  </w:style>
  <w:style w:type="paragraph" w:styleId="26">
    <w:name w:val="toc 8"/>
    <w:basedOn w:val="1"/>
    <w:next w:val="1"/>
    <w:autoRedefine/>
    <w:qFormat/>
    <w:uiPriority w:val="0"/>
    <w:pPr>
      <w:widowControl w:val="0"/>
      <w:ind w:left="1260"/>
    </w:pPr>
    <w:rPr>
      <w:kern w:val="2"/>
      <w:sz w:val="18"/>
      <w:szCs w:val="20"/>
    </w:rPr>
  </w:style>
  <w:style w:type="paragraph" w:styleId="27">
    <w:name w:val="Date"/>
    <w:basedOn w:val="1"/>
    <w:next w:val="1"/>
    <w:link w:val="77"/>
    <w:autoRedefine/>
    <w:qFormat/>
    <w:uiPriority w:val="99"/>
    <w:pPr>
      <w:ind w:left="100" w:leftChars="2500"/>
    </w:pPr>
  </w:style>
  <w:style w:type="paragraph" w:styleId="28">
    <w:name w:val="Body Text Indent 2"/>
    <w:basedOn w:val="1"/>
    <w:autoRedefine/>
    <w:qFormat/>
    <w:uiPriority w:val="0"/>
    <w:pPr>
      <w:widowControl w:val="0"/>
      <w:ind w:firstLine="540" w:firstLineChars="257"/>
      <w:jc w:val="both"/>
    </w:pPr>
    <w:rPr>
      <w:kern w:val="2"/>
      <w:sz w:val="21"/>
    </w:rPr>
  </w:style>
  <w:style w:type="paragraph" w:styleId="29">
    <w:name w:val="Balloon Text"/>
    <w:basedOn w:val="1"/>
    <w:link w:val="78"/>
    <w:autoRedefine/>
    <w:qFormat/>
    <w:uiPriority w:val="99"/>
    <w:rPr>
      <w:sz w:val="18"/>
      <w:szCs w:val="18"/>
    </w:rPr>
  </w:style>
  <w:style w:type="paragraph" w:styleId="30">
    <w:name w:val="footer"/>
    <w:basedOn w:val="1"/>
    <w:link w:val="79"/>
    <w:autoRedefine/>
    <w:qFormat/>
    <w:uiPriority w:val="99"/>
    <w:pPr>
      <w:tabs>
        <w:tab w:val="center" w:pos="4153"/>
        <w:tab w:val="right" w:pos="8306"/>
      </w:tabs>
      <w:snapToGrid w:val="0"/>
    </w:pPr>
    <w:rPr>
      <w:sz w:val="18"/>
      <w:szCs w:val="18"/>
    </w:rPr>
  </w:style>
  <w:style w:type="paragraph" w:styleId="31">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pPr>
    <w:rPr>
      <w:b/>
      <w:bCs/>
      <w:caps/>
      <w:szCs w:val="20"/>
    </w:rPr>
  </w:style>
  <w:style w:type="paragraph" w:styleId="33">
    <w:name w:val="toc 4"/>
    <w:basedOn w:val="1"/>
    <w:next w:val="1"/>
    <w:autoRedefine/>
    <w:qFormat/>
    <w:uiPriority w:val="0"/>
    <w:pPr>
      <w:widowControl w:val="0"/>
      <w:ind w:left="540"/>
    </w:pPr>
    <w:rPr>
      <w:kern w:val="2"/>
      <w:sz w:val="18"/>
      <w:szCs w:val="20"/>
    </w:rPr>
  </w:style>
  <w:style w:type="paragraph" w:styleId="34">
    <w:name w:val="Subtitle"/>
    <w:basedOn w:val="1"/>
    <w:next w:val="1"/>
    <w:autoRedefine/>
    <w:qFormat/>
    <w:uiPriority w:val="0"/>
    <w:pPr>
      <w:widowControl w:val="0"/>
      <w:jc w:val="both"/>
    </w:pPr>
    <w:rPr>
      <w:kern w:val="2"/>
      <w:sz w:val="28"/>
      <w:szCs w:val="20"/>
    </w:rPr>
  </w:style>
  <w:style w:type="paragraph" w:styleId="35">
    <w:name w:val="toc 6"/>
    <w:basedOn w:val="1"/>
    <w:next w:val="1"/>
    <w:autoRedefine/>
    <w:qFormat/>
    <w:uiPriority w:val="0"/>
    <w:pPr>
      <w:ind w:left="1200"/>
    </w:pPr>
    <w:rPr>
      <w:sz w:val="18"/>
      <w:szCs w:val="18"/>
    </w:rPr>
  </w:style>
  <w:style w:type="paragraph" w:styleId="36">
    <w:name w:val="Body Text Indent 3"/>
    <w:basedOn w:val="1"/>
    <w:autoRedefine/>
    <w:qFormat/>
    <w:uiPriority w:val="0"/>
    <w:pPr>
      <w:widowControl w:val="0"/>
      <w:spacing w:after="120"/>
      <w:ind w:left="420" w:leftChars="200"/>
      <w:jc w:val="both"/>
    </w:pPr>
    <w:rPr>
      <w:kern w:val="2"/>
      <w:sz w:val="16"/>
      <w:szCs w:val="16"/>
    </w:rPr>
  </w:style>
  <w:style w:type="paragraph" w:styleId="37">
    <w:name w:val="toc 2"/>
    <w:basedOn w:val="1"/>
    <w:next w:val="1"/>
    <w:autoRedefine/>
    <w:qFormat/>
    <w:uiPriority w:val="0"/>
    <w:pPr>
      <w:ind w:left="240"/>
    </w:pPr>
    <w:rPr>
      <w:smallCaps/>
      <w:szCs w:val="20"/>
    </w:rPr>
  </w:style>
  <w:style w:type="paragraph" w:styleId="38">
    <w:name w:val="toc 9"/>
    <w:basedOn w:val="1"/>
    <w:next w:val="1"/>
    <w:autoRedefine/>
    <w:qFormat/>
    <w:uiPriority w:val="0"/>
    <w:pPr>
      <w:widowControl w:val="0"/>
      <w:ind w:left="1440"/>
    </w:pPr>
    <w:rPr>
      <w:kern w:val="2"/>
      <w:sz w:val="18"/>
      <w:szCs w:val="20"/>
    </w:rPr>
  </w:style>
  <w:style w:type="paragraph" w:styleId="39">
    <w:name w:val="Body Text 2"/>
    <w:basedOn w:val="1"/>
    <w:autoRedefine/>
    <w:qFormat/>
    <w:uiPriority w:val="0"/>
    <w:pPr>
      <w:widowControl w:val="0"/>
      <w:autoSpaceDE w:val="0"/>
      <w:autoSpaceDN w:val="0"/>
      <w:adjustRightInd w:val="0"/>
      <w:spacing w:after="120" w:line="480" w:lineRule="auto"/>
      <w:jc w:val="both"/>
    </w:pPr>
    <w:rPr>
      <w:sz w:val="21"/>
      <w:szCs w:val="21"/>
    </w:rPr>
  </w:style>
  <w:style w:type="paragraph" w:styleId="4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41">
    <w:name w:val="Normal (Web)"/>
    <w:basedOn w:val="1"/>
    <w:autoRedefine/>
    <w:qFormat/>
    <w:uiPriority w:val="0"/>
    <w:pPr>
      <w:spacing w:before="100" w:beforeAutospacing="1" w:after="100" w:afterAutospacing="1"/>
    </w:pPr>
    <w:rPr>
      <w:rFonts w:ascii="宋体" w:hAnsi="宋体"/>
    </w:rPr>
  </w:style>
  <w:style w:type="paragraph" w:styleId="42">
    <w:name w:val="Title"/>
    <w:basedOn w:val="1"/>
    <w:next w:val="1"/>
    <w:link w:val="81"/>
    <w:autoRedefine/>
    <w:qFormat/>
    <w:uiPriority w:val="0"/>
    <w:pPr>
      <w:widowControl w:val="0"/>
      <w:spacing w:before="240" w:after="60"/>
      <w:jc w:val="center"/>
      <w:outlineLvl w:val="0"/>
    </w:pPr>
    <w:rPr>
      <w:rFonts w:ascii="Cambria" w:hAnsi="Cambria"/>
      <w:b/>
      <w:bCs/>
      <w:kern w:val="2"/>
      <w:sz w:val="32"/>
      <w:szCs w:val="32"/>
    </w:rPr>
  </w:style>
  <w:style w:type="paragraph" w:styleId="43">
    <w:name w:val="annotation subject"/>
    <w:basedOn w:val="18"/>
    <w:next w:val="18"/>
    <w:link w:val="82"/>
    <w:autoRedefine/>
    <w:qFormat/>
    <w:uiPriority w:val="0"/>
    <w:rPr>
      <w:b/>
    </w:rPr>
  </w:style>
  <w:style w:type="paragraph" w:styleId="44">
    <w:name w:val="Body Text First Indent"/>
    <w:basedOn w:val="21"/>
    <w:next w:val="35"/>
    <w:autoRedefine/>
    <w:qFormat/>
    <w:uiPriority w:val="0"/>
    <w:pPr>
      <w:widowControl w:val="0"/>
      <w:ind w:firstLine="420" w:firstLineChars="100"/>
      <w:jc w:val="both"/>
    </w:pPr>
    <w:rPr>
      <w:rFonts w:ascii="宋体" w:hAnsi="宋体"/>
      <w:kern w:val="2"/>
      <w:sz w:val="21"/>
      <w:szCs w:val="20"/>
    </w:rPr>
  </w:style>
  <w:style w:type="table" w:styleId="46">
    <w:name w:val="Table Grid"/>
    <w:basedOn w:val="4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autoRedefine/>
    <w:qFormat/>
    <w:uiPriority w:val="0"/>
    <w:rPr>
      <w:b/>
    </w:rPr>
  </w:style>
  <w:style w:type="character" w:styleId="49">
    <w:name w:val="page number"/>
    <w:basedOn w:val="47"/>
    <w:autoRedefine/>
    <w:qFormat/>
    <w:uiPriority w:val="0"/>
  </w:style>
  <w:style w:type="character" w:styleId="50">
    <w:name w:val="FollowedHyperlink"/>
    <w:basedOn w:val="47"/>
    <w:autoRedefine/>
    <w:qFormat/>
    <w:uiPriority w:val="0"/>
    <w:rPr>
      <w:color w:val="741274"/>
      <w:u w:val="single"/>
    </w:rPr>
  </w:style>
  <w:style w:type="character" w:styleId="51">
    <w:name w:val="Emphasis"/>
    <w:basedOn w:val="47"/>
    <w:autoRedefine/>
    <w:qFormat/>
    <w:uiPriority w:val="20"/>
    <w:rPr>
      <w:color w:val="CC0000"/>
    </w:rPr>
  </w:style>
  <w:style w:type="character" w:styleId="52">
    <w:name w:val="HTML Definition"/>
    <w:basedOn w:val="47"/>
    <w:autoRedefine/>
    <w:unhideWhenUsed/>
    <w:qFormat/>
    <w:uiPriority w:val="99"/>
  </w:style>
  <w:style w:type="character" w:styleId="53">
    <w:name w:val="HTML Typewriter"/>
    <w:basedOn w:val="47"/>
    <w:autoRedefine/>
    <w:unhideWhenUsed/>
    <w:qFormat/>
    <w:uiPriority w:val="99"/>
    <w:rPr>
      <w:rFonts w:hint="default" w:ascii="monospace" w:hAnsi="monospace" w:eastAsia="monospace" w:cs="monospace"/>
      <w:sz w:val="20"/>
    </w:rPr>
  </w:style>
  <w:style w:type="character" w:styleId="54">
    <w:name w:val="HTML Acronym"/>
    <w:basedOn w:val="47"/>
    <w:autoRedefine/>
    <w:unhideWhenUsed/>
    <w:qFormat/>
    <w:uiPriority w:val="99"/>
  </w:style>
  <w:style w:type="character" w:styleId="55">
    <w:name w:val="HTML Variable"/>
    <w:basedOn w:val="47"/>
    <w:autoRedefine/>
    <w:unhideWhenUsed/>
    <w:qFormat/>
    <w:uiPriority w:val="99"/>
  </w:style>
  <w:style w:type="character" w:styleId="56">
    <w:name w:val="Hyperlink"/>
    <w:basedOn w:val="47"/>
    <w:autoRedefine/>
    <w:qFormat/>
    <w:uiPriority w:val="99"/>
    <w:rPr>
      <w:color w:val="0000CC"/>
      <w:u w:val="single"/>
    </w:rPr>
  </w:style>
  <w:style w:type="character" w:styleId="57">
    <w:name w:val="HTML Code"/>
    <w:basedOn w:val="47"/>
    <w:autoRedefine/>
    <w:unhideWhenUsed/>
    <w:qFormat/>
    <w:uiPriority w:val="99"/>
    <w:rPr>
      <w:rFonts w:ascii="monospace" w:hAnsi="monospace" w:eastAsia="monospace" w:cs="monospace"/>
      <w:sz w:val="20"/>
    </w:rPr>
  </w:style>
  <w:style w:type="character" w:styleId="58">
    <w:name w:val="annotation reference"/>
    <w:autoRedefine/>
    <w:qFormat/>
    <w:uiPriority w:val="0"/>
    <w:rPr>
      <w:sz w:val="21"/>
    </w:rPr>
  </w:style>
  <w:style w:type="character" w:styleId="59">
    <w:name w:val="HTML Cite"/>
    <w:basedOn w:val="47"/>
    <w:autoRedefine/>
    <w:unhideWhenUsed/>
    <w:qFormat/>
    <w:uiPriority w:val="99"/>
    <w:rPr>
      <w:color w:val="008000"/>
    </w:rPr>
  </w:style>
  <w:style w:type="character" w:styleId="60">
    <w:name w:val="HTML Keyboard"/>
    <w:basedOn w:val="47"/>
    <w:autoRedefine/>
    <w:unhideWhenUsed/>
    <w:qFormat/>
    <w:uiPriority w:val="99"/>
    <w:rPr>
      <w:rFonts w:hint="default" w:ascii="monospace" w:hAnsi="monospace" w:eastAsia="monospace" w:cs="monospace"/>
      <w:sz w:val="20"/>
    </w:rPr>
  </w:style>
  <w:style w:type="character" w:styleId="61">
    <w:name w:val="HTML Sample"/>
    <w:basedOn w:val="47"/>
    <w:autoRedefine/>
    <w:unhideWhenUsed/>
    <w:qFormat/>
    <w:uiPriority w:val="99"/>
    <w:rPr>
      <w:rFonts w:hint="default" w:ascii="monospace" w:hAnsi="monospace" w:eastAsia="monospace" w:cs="monospace"/>
    </w:rPr>
  </w:style>
  <w:style w:type="paragraph" w:customStyle="1" w:styleId="62">
    <w:name w:val="样式 正文缩进正文缩进2正文缩进 Char Char正文缩进 Char Char Char Char正文缩进 Char ..."/>
    <w:basedOn w:val="13"/>
    <w:qFormat/>
    <w:uiPriority w:val="99"/>
    <w:pPr>
      <w:ind w:firstLine="200"/>
    </w:pPr>
    <w:rPr>
      <w:rFonts w:cs="宋体"/>
      <w:sz w:val="24"/>
    </w:rPr>
  </w:style>
  <w:style w:type="paragraph" w:customStyle="1" w:styleId="63">
    <w:name w:val="一级条标题"/>
    <w:basedOn w:val="64"/>
    <w:next w:val="65"/>
    <w:autoRedefine/>
    <w:qFormat/>
    <w:uiPriority w:val="99"/>
    <w:pPr>
      <w:spacing w:line="240" w:lineRule="auto"/>
      <w:ind w:left="420"/>
      <w:outlineLvl w:val="2"/>
    </w:pPr>
  </w:style>
  <w:style w:type="paragraph" w:customStyle="1" w:styleId="64">
    <w:name w:val="章标题"/>
    <w:next w:val="1"/>
    <w:autoRedefine/>
    <w:qFormat/>
    <w:uiPriority w:val="99"/>
    <w:pPr>
      <w:spacing w:line="360" w:lineRule="auto"/>
      <w:jc w:val="both"/>
      <w:outlineLvl w:val="1"/>
    </w:pPr>
    <w:rPr>
      <w:rFonts w:ascii="黑体" w:hAnsi="Calibri" w:eastAsia="黑体" w:cs="黑体"/>
      <w:sz w:val="21"/>
      <w:szCs w:val="21"/>
      <w:lang w:val="en-US" w:eastAsia="zh-CN" w:bidi="ar-SA"/>
    </w:rPr>
  </w:style>
  <w:style w:type="paragraph" w:customStyle="1" w:styleId="6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6">
    <w:name w:val="文档正文"/>
    <w:basedOn w:val="1"/>
    <w:autoRedefine/>
    <w:qFormat/>
    <w:uiPriority w:val="0"/>
    <w:pPr>
      <w:widowControl w:val="0"/>
      <w:adjustRightInd w:val="0"/>
      <w:spacing w:line="312" w:lineRule="atLeast"/>
      <w:ind w:firstLine="567"/>
      <w:jc w:val="both"/>
      <w:textAlignment w:val="baseline"/>
    </w:pPr>
    <w:rPr>
      <w:rFonts w:ascii="长城仿宋" w:eastAsia="长城仿宋"/>
      <w:sz w:val="28"/>
      <w:szCs w:val="20"/>
    </w:rPr>
  </w:style>
  <w:style w:type="character" w:customStyle="1" w:styleId="67">
    <w:name w:val="正文文本缩进 字符"/>
    <w:link w:val="15"/>
    <w:autoRedefine/>
    <w:qFormat/>
    <w:uiPriority w:val="0"/>
    <w:rPr>
      <w:rFonts w:ascii="宋体" w:eastAsia="宋体"/>
      <w:sz w:val="30"/>
      <w:szCs w:val="24"/>
      <w:lang w:val="en-US" w:eastAsia="zh-CN" w:bidi="ar-SA"/>
    </w:rPr>
  </w:style>
  <w:style w:type="character" w:customStyle="1" w:styleId="68">
    <w:name w:val="标题 1 字符"/>
    <w:link w:val="3"/>
    <w:autoRedefine/>
    <w:qFormat/>
    <w:uiPriority w:val="0"/>
    <w:rPr>
      <w:rFonts w:ascii="华文中宋" w:hAnsi="华文中宋" w:eastAsia="华文中宋"/>
      <w:b/>
      <w:bCs/>
      <w:color w:val="000000"/>
      <w:kern w:val="44"/>
      <w:sz w:val="32"/>
      <w:szCs w:val="32"/>
    </w:rPr>
  </w:style>
  <w:style w:type="character" w:customStyle="1" w:styleId="69">
    <w:name w:val="标题 3 字符"/>
    <w:link w:val="5"/>
    <w:autoRedefine/>
    <w:qFormat/>
    <w:uiPriority w:val="0"/>
    <w:rPr>
      <w:rFonts w:ascii="宋体" w:hAnsi="宋体" w:eastAsia="宋体"/>
      <w:b/>
      <w:bCs/>
      <w:kern w:val="2"/>
      <w:sz w:val="28"/>
      <w:szCs w:val="28"/>
      <w:lang w:val="en-US" w:eastAsia="zh-CN" w:bidi="ar-SA"/>
    </w:rPr>
  </w:style>
  <w:style w:type="character" w:customStyle="1" w:styleId="70">
    <w:name w:val="标题 4 字符"/>
    <w:link w:val="6"/>
    <w:autoRedefine/>
    <w:qFormat/>
    <w:uiPriority w:val="0"/>
    <w:rPr>
      <w:rFonts w:eastAsia="宋体"/>
      <w:b/>
      <w:bCs/>
      <w:sz w:val="28"/>
      <w:szCs w:val="28"/>
      <w:lang w:val="en-US" w:eastAsia="zh-CN" w:bidi="ar-SA"/>
    </w:rPr>
  </w:style>
  <w:style w:type="character" w:customStyle="1" w:styleId="71">
    <w:name w:val="标题 5 字符"/>
    <w:link w:val="7"/>
    <w:autoRedefine/>
    <w:qFormat/>
    <w:uiPriority w:val="0"/>
    <w:rPr>
      <w:rFonts w:eastAsia="宋体"/>
      <w:b/>
      <w:bCs/>
      <w:sz w:val="28"/>
      <w:szCs w:val="28"/>
      <w:lang w:val="en-US" w:eastAsia="zh-CN" w:bidi="ar-SA"/>
    </w:rPr>
  </w:style>
  <w:style w:type="character" w:customStyle="1" w:styleId="72">
    <w:name w:val="正文缩进 字符"/>
    <w:link w:val="13"/>
    <w:autoRedefine/>
    <w:qFormat/>
    <w:uiPriority w:val="0"/>
    <w:rPr>
      <w:rFonts w:eastAsia="宋体"/>
      <w:kern w:val="2"/>
      <w:sz w:val="21"/>
      <w:szCs w:val="24"/>
      <w:lang w:val="en-US" w:eastAsia="zh-CN" w:bidi="ar-SA"/>
    </w:rPr>
  </w:style>
  <w:style w:type="character" w:customStyle="1" w:styleId="73">
    <w:name w:val="文档结构图 字符"/>
    <w:link w:val="17"/>
    <w:autoRedefine/>
    <w:qFormat/>
    <w:uiPriority w:val="99"/>
    <w:rPr>
      <w:sz w:val="24"/>
      <w:szCs w:val="24"/>
      <w:shd w:val="clear" w:color="auto" w:fill="000080"/>
    </w:rPr>
  </w:style>
  <w:style w:type="character" w:customStyle="1" w:styleId="74">
    <w:name w:val="批注文字 字符"/>
    <w:link w:val="18"/>
    <w:autoRedefine/>
    <w:qFormat/>
    <w:uiPriority w:val="0"/>
    <w:rPr>
      <w:kern w:val="2"/>
      <w:sz w:val="18"/>
    </w:rPr>
  </w:style>
  <w:style w:type="character" w:customStyle="1" w:styleId="75">
    <w:name w:val="正文文本 字符"/>
    <w:link w:val="21"/>
    <w:autoRedefine/>
    <w:qFormat/>
    <w:uiPriority w:val="0"/>
    <w:rPr>
      <w:sz w:val="24"/>
      <w:szCs w:val="24"/>
    </w:rPr>
  </w:style>
  <w:style w:type="character" w:customStyle="1" w:styleId="76">
    <w:name w:val="纯文本 字符"/>
    <w:link w:val="25"/>
    <w:autoRedefine/>
    <w:qFormat/>
    <w:uiPriority w:val="0"/>
    <w:rPr>
      <w:rFonts w:hint="eastAsia" w:ascii="宋体" w:hAnsi="Tms Rmn" w:eastAsia="宋体"/>
      <w:sz w:val="21"/>
      <w:lang w:val="en-US" w:eastAsia="zh-CN"/>
    </w:rPr>
  </w:style>
  <w:style w:type="character" w:customStyle="1" w:styleId="77">
    <w:name w:val="日期 字符"/>
    <w:link w:val="27"/>
    <w:autoRedefine/>
    <w:qFormat/>
    <w:uiPriority w:val="99"/>
    <w:rPr>
      <w:rFonts w:eastAsia="宋体"/>
      <w:sz w:val="24"/>
      <w:szCs w:val="24"/>
      <w:lang w:val="en-US" w:eastAsia="zh-CN" w:bidi="ar-SA"/>
    </w:rPr>
  </w:style>
  <w:style w:type="character" w:customStyle="1" w:styleId="78">
    <w:name w:val="批注框文本 字符"/>
    <w:link w:val="29"/>
    <w:autoRedefine/>
    <w:qFormat/>
    <w:uiPriority w:val="99"/>
    <w:rPr>
      <w:sz w:val="18"/>
      <w:szCs w:val="18"/>
    </w:rPr>
  </w:style>
  <w:style w:type="character" w:customStyle="1" w:styleId="79">
    <w:name w:val="页脚 字符"/>
    <w:link w:val="30"/>
    <w:autoRedefine/>
    <w:qFormat/>
    <w:locked/>
    <w:uiPriority w:val="99"/>
    <w:rPr>
      <w:sz w:val="18"/>
      <w:szCs w:val="18"/>
    </w:rPr>
  </w:style>
  <w:style w:type="character" w:customStyle="1" w:styleId="80">
    <w:name w:val="页眉 字符"/>
    <w:link w:val="31"/>
    <w:autoRedefine/>
    <w:qFormat/>
    <w:uiPriority w:val="99"/>
    <w:rPr>
      <w:rFonts w:eastAsia="宋体"/>
      <w:sz w:val="18"/>
      <w:szCs w:val="18"/>
      <w:lang w:val="en-US" w:eastAsia="zh-CN" w:bidi="ar-SA"/>
    </w:rPr>
  </w:style>
  <w:style w:type="character" w:customStyle="1" w:styleId="81">
    <w:name w:val="标题 字符"/>
    <w:link w:val="42"/>
    <w:autoRedefine/>
    <w:qFormat/>
    <w:uiPriority w:val="0"/>
    <w:rPr>
      <w:rFonts w:ascii="Cambria" w:hAnsi="Cambria"/>
      <w:b/>
      <w:bCs/>
      <w:kern w:val="2"/>
      <w:sz w:val="32"/>
      <w:szCs w:val="32"/>
    </w:rPr>
  </w:style>
  <w:style w:type="character" w:customStyle="1" w:styleId="82">
    <w:name w:val="批注主题 字符"/>
    <w:link w:val="43"/>
    <w:autoRedefine/>
    <w:qFormat/>
    <w:uiPriority w:val="0"/>
    <w:rPr>
      <w:b/>
      <w:kern w:val="2"/>
      <w:sz w:val="18"/>
    </w:rPr>
  </w:style>
  <w:style w:type="character" w:customStyle="1" w:styleId="83">
    <w:name w:val="fo Char"/>
    <w:autoRedefine/>
    <w:qFormat/>
    <w:uiPriority w:val="0"/>
    <w:rPr>
      <w:rFonts w:eastAsia="宋体"/>
      <w:kern w:val="2"/>
      <w:sz w:val="18"/>
      <w:lang w:bidi="ar-SA"/>
    </w:rPr>
  </w:style>
  <w:style w:type="character" w:customStyle="1" w:styleId="84">
    <w:name w:val="纯文本 Char Char"/>
    <w:autoRedefine/>
    <w:qFormat/>
    <w:uiPriority w:val="0"/>
    <w:rPr>
      <w:rFonts w:ascii="宋体" w:hAnsi="Tms Rmn" w:eastAsia="宋体" w:cs="宋体"/>
      <w:sz w:val="21"/>
      <w:szCs w:val="21"/>
      <w:lang w:val="en-US" w:eastAsia="zh-CN" w:bidi="ar-SA"/>
    </w:rPr>
  </w:style>
  <w:style w:type="character" w:customStyle="1" w:styleId="85">
    <w:name w:val="h5-1 Char Char"/>
    <w:link w:val="86"/>
    <w:autoRedefine/>
    <w:qFormat/>
    <w:uiPriority w:val="0"/>
    <w:rPr>
      <w:rFonts w:ascii="Arial" w:hAnsi="Arial" w:eastAsia="仿宋_GB2312" w:cs="Arial"/>
      <w:b/>
      <w:bCs/>
      <w:kern w:val="2"/>
      <w:sz w:val="24"/>
      <w:szCs w:val="28"/>
      <w:lang w:val="en-US" w:eastAsia="zh-CN" w:bidi="ar-SA"/>
    </w:rPr>
  </w:style>
  <w:style w:type="paragraph" w:customStyle="1" w:styleId="86">
    <w:name w:val="h5-1"/>
    <w:basedOn w:val="7"/>
    <w:link w:val="85"/>
    <w:autoRedefine/>
    <w:qFormat/>
    <w:uiPriority w:val="0"/>
    <w:pPr>
      <w:numPr>
        <w:ilvl w:val="0"/>
        <w:numId w:val="2"/>
      </w:numPr>
      <w:tabs>
        <w:tab w:val="clear" w:pos="4832"/>
      </w:tabs>
      <w:autoSpaceDE/>
      <w:autoSpaceDN/>
      <w:snapToGrid w:val="0"/>
      <w:spacing w:before="80" w:after="80" w:line="360" w:lineRule="auto"/>
      <w:ind w:left="200" w:leftChars="200"/>
    </w:pPr>
    <w:rPr>
      <w:rFonts w:ascii="Arial" w:hAnsi="Arial" w:eastAsia="仿宋_GB2312" w:cs="Arial"/>
      <w:kern w:val="2"/>
      <w:sz w:val="24"/>
    </w:rPr>
  </w:style>
  <w:style w:type="character" w:customStyle="1" w:styleId="87">
    <w:name w:val="标题 3 Char Char Char"/>
    <w:autoRedefine/>
    <w:qFormat/>
    <w:uiPriority w:val="0"/>
    <w:rPr>
      <w:rFonts w:eastAsia="宋体"/>
      <w:b/>
      <w:kern w:val="2"/>
      <w:sz w:val="32"/>
      <w:lang w:val="en-US" w:eastAsia="zh-CN" w:bidi="ar-SA"/>
    </w:rPr>
  </w:style>
  <w:style w:type="character" w:customStyle="1" w:styleId="88">
    <w:name w:val="page-cur"/>
    <w:basedOn w:val="47"/>
    <w:autoRedefine/>
    <w:qFormat/>
    <w:uiPriority w:val="0"/>
    <w:rPr>
      <w:b/>
      <w:color w:val="333333"/>
      <w:bdr w:val="single" w:color="E5E5E5" w:sz="6" w:space="0"/>
      <w:shd w:val="clear" w:color="auto" w:fill="F2F2F2"/>
    </w:rPr>
  </w:style>
  <w:style w:type="character" w:customStyle="1" w:styleId="89">
    <w:name w:val="标题2 Char"/>
    <w:autoRedefine/>
    <w:qFormat/>
    <w:uiPriority w:val="0"/>
    <w:rPr>
      <w:rFonts w:eastAsia="宋体"/>
      <w:sz w:val="24"/>
    </w:rPr>
  </w:style>
  <w:style w:type="character" w:customStyle="1" w:styleId="90">
    <w:name w:val="CD正文 Char Char"/>
    <w:link w:val="91"/>
    <w:autoRedefine/>
    <w:qFormat/>
    <w:uiPriority w:val="0"/>
    <w:rPr>
      <w:rFonts w:eastAsia="宋体"/>
      <w:kern w:val="2"/>
      <w:sz w:val="30"/>
      <w:szCs w:val="28"/>
      <w:lang w:val="en-US" w:eastAsia="zh-CN" w:bidi="ar-SA"/>
    </w:rPr>
  </w:style>
  <w:style w:type="paragraph" w:customStyle="1" w:styleId="91">
    <w:name w:val="CD正文"/>
    <w:basedOn w:val="1"/>
    <w:link w:val="90"/>
    <w:autoRedefine/>
    <w:qFormat/>
    <w:uiPriority w:val="0"/>
    <w:pPr>
      <w:widowControl w:val="0"/>
      <w:spacing w:line="360" w:lineRule="auto"/>
      <w:ind w:firstLine="493"/>
      <w:jc w:val="both"/>
    </w:pPr>
    <w:rPr>
      <w:kern w:val="2"/>
      <w:sz w:val="30"/>
      <w:szCs w:val="28"/>
    </w:rPr>
  </w:style>
  <w:style w:type="character" w:customStyle="1" w:styleId="92">
    <w:name w:val="huei12b1"/>
    <w:autoRedefine/>
    <w:qFormat/>
    <w:uiPriority w:val="0"/>
    <w:rPr>
      <w:b/>
      <w:bCs/>
      <w:color w:val="333333"/>
      <w:sz w:val="18"/>
      <w:szCs w:val="18"/>
    </w:rPr>
  </w:style>
  <w:style w:type="character" w:customStyle="1" w:styleId="93">
    <w:name w:val="Char Char4"/>
    <w:autoRedefine/>
    <w:qFormat/>
    <w:uiPriority w:val="0"/>
    <w:rPr>
      <w:rFonts w:ascii="宋体" w:hAnsi="Courier New" w:eastAsia="宋体"/>
      <w:kern w:val="2"/>
      <w:sz w:val="21"/>
      <w:lang w:val="en-US" w:eastAsia="zh-CN"/>
    </w:rPr>
  </w:style>
  <w:style w:type="character" w:customStyle="1" w:styleId="94">
    <w:name w:val="grame"/>
    <w:basedOn w:val="47"/>
    <w:autoRedefine/>
    <w:qFormat/>
    <w:uiPriority w:val="0"/>
  </w:style>
  <w:style w:type="character" w:customStyle="1" w:styleId="95">
    <w:name w:val="small"/>
    <w:basedOn w:val="47"/>
    <w:autoRedefine/>
    <w:qFormat/>
    <w:uiPriority w:val="0"/>
  </w:style>
  <w:style w:type="character" w:customStyle="1" w:styleId="96">
    <w:name w:val="标书（正文） Char Char"/>
    <w:link w:val="97"/>
    <w:autoRedefine/>
    <w:qFormat/>
    <w:uiPriority w:val="0"/>
    <w:rPr>
      <w:rFonts w:ascii="宋体" w:hAnsi="宋体" w:eastAsia="宋体"/>
      <w:b/>
      <w:kern w:val="10"/>
      <w:sz w:val="21"/>
      <w:lang w:val="en-US" w:eastAsia="zh-CN" w:bidi="ar-SA"/>
    </w:rPr>
  </w:style>
  <w:style w:type="paragraph" w:customStyle="1" w:styleId="97">
    <w:name w:val="标书（正文）"/>
    <w:basedOn w:val="1"/>
    <w:link w:val="96"/>
    <w:autoRedefine/>
    <w:qFormat/>
    <w:uiPriority w:val="0"/>
    <w:pPr>
      <w:widowControl w:val="0"/>
      <w:spacing w:line="360" w:lineRule="auto"/>
      <w:ind w:firstLine="560" w:firstLineChars="200"/>
      <w:jc w:val="both"/>
    </w:pPr>
    <w:rPr>
      <w:rFonts w:ascii="宋体" w:hAnsi="宋体"/>
      <w:b/>
      <w:kern w:val="10"/>
      <w:sz w:val="21"/>
      <w:szCs w:val="20"/>
    </w:rPr>
  </w:style>
  <w:style w:type="character" w:customStyle="1" w:styleId="98">
    <w:name w:val="fontblank12"/>
    <w:basedOn w:val="47"/>
    <w:autoRedefine/>
    <w:qFormat/>
    <w:uiPriority w:val="0"/>
  </w:style>
  <w:style w:type="character" w:customStyle="1" w:styleId="99">
    <w:name w:val="Char1 Char Char"/>
    <w:autoRedefine/>
    <w:qFormat/>
    <w:uiPriority w:val="0"/>
    <w:rPr>
      <w:rFonts w:ascii="宋体" w:hAnsi="Courier New" w:eastAsia="宋体"/>
      <w:kern w:val="2"/>
      <w:sz w:val="24"/>
      <w:lang w:val="en-US" w:eastAsia="zh-CN" w:bidi="ar-SA"/>
    </w:rPr>
  </w:style>
  <w:style w:type="character" w:customStyle="1" w:styleId="100">
    <w:name w:val="style61"/>
    <w:autoRedefine/>
    <w:qFormat/>
    <w:uiPriority w:val="0"/>
    <w:rPr>
      <w:rFonts w:hint="default" w:ascii="Arial" w:hAnsi="Arial" w:cs="Arial"/>
      <w:color w:val="003399"/>
      <w:sz w:val="18"/>
      <w:szCs w:val="18"/>
    </w:rPr>
  </w:style>
  <w:style w:type="character" w:customStyle="1" w:styleId="101">
    <w:name w:val="标题 2 Char"/>
    <w:autoRedefine/>
    <w:qFormat/>
    <w:uiPriority w:val="0"/>
    <w:rPr>
      <w:rFonts w:ascii="Arial" w:hAnsi="Arial"/>
      <w:b/>
      <w:sz w:val="28"/>
    </w:rPr>
  </w:style>
  <w:style w:type="character" w:customStyle="1" w:styleId="102">
    <w:name w:val="font31"/>
    <w:basedOn w:val="47"/>
    <w:autoRedefine/>
    <w:qFormat/>
    <w:uiPriority w:val="0"/>
    <w:rPr>
      <w:rFonts w:hint="eastAsia" w:ascii="宋体" w:hAnsi="宋体" w:eastAsia="宋体" w:cs="宋体"/>
      <w:color w:val="FF0000"/>
      <w:sz w:val="24"/>
      <w:szCs w:val="24"/>
      <w:u w:val="none"/>
    </w:rPr>
  </w:style>
  <w:style w:type="character" w:customStyle="1" w:styleId="103">
    <w:name w:val="textnorm_chn1"/>
    <w:autoRedefine/>
    <w:qFormat/>
    <w:uiPriority w:val="0"/>
    <w:rPr>
      <w:rFonts w:hint="default" w:ascii="Arial" w:hAnsi="Arial" w:cs="Arial"/>
      <w:color w:val="21254A"/>
      <w:sz w:val="22"/>
      <w:szCs w:val="22"/>
    </w:rPr>
  </w:style>
  <w:style w:type="character" w:customStyle="1" w:styleId="104">
    <w:name w:val="productdetailname"/>
    <w:basedOn w:val="47"/>
    <w:autoRedefine/>
    <w:qFormat/>
    <w:uiPriority w:val="0"/>
  </w:style>
  <w:style w:type="character" w:customStyle="1" w:styleId="105">
    <w:name w:val="页眉 Char1"/>
    <w:autoRedefine/>
    <w:semiHidden/>
    <w:qFormat/>
    <w:uiPriority w:val="99"/>
    <w:rPr>
      <w:rFonts w:ascii="Calibri" w:hAnsi="Calibri" w:eastAsia="仿宋_GB2312" w:cs="Times New Roman"/>
      <w:sz w:val="18"/>
      <w:szCs w:val="18"/>
    </w:rPr>
  </w:style>
  <w:style w:type="character" w:customStyle="1" w:styleId="106">
    <w:name w:val="font21"/>
    <w:basedOn w:val="47"/>
    <w:autoRedefine/>
    <w:qFormat/>
    <w:uiPriority w:val="0"/>
    <w:rPr>
      <w:rFonts w:hint="default" w:ascii="思源宋体 CN" w:hAnsi="思源宋体 CN" w:eastAsia="思源宋体 CN" w:cs="思源宋体 CN"/>
      <w:color w:val="FF0000"/>
      <w:sz w:val="24"/>
      <w:szCs w:val="24"/>
      <w:u w:val="none"/>
    </w:rPr>
  </w:style>
  <w:style w:type="character" w:customStyle="1" w:styleId="107">
    <w:name w:val="unnamed31"/>
    <w:autoRedefine/>
    <w:qFormat/>
    <w:uiPriority w:val="0"/>
    <w:rPr>
      <w:sz w:val="22"/>
      <w:szCs w:val="22"/>
    </w:rPr>
  </w:style>
  <w:style w:type="character" w:customStyle="1" w:styleId="108">
    <w:name w:val="headline-content2"/>
    <w:basedOn w:val="47"/>
    <w:autoRedefine/>
    <w:qFormat/>
    <w:uiPriority w:val="0"/>
  </w:style>
  <w:style w:type="character" w:customStyle="1" w:styleId="109">
    <w:name w:val="批注框文本 Char1"/>
    <w:autoRedefine/>
    <w:semiHidden/>
    <w:qFormat/>
    <w:uiPriority w:val="99"/>
    <w:rPr>
      <w:rFonts w:ascii="Calibri" w:hAnsi="Calibri" w:eastAsia="仿宋_GB2312" w:cs="Times New Roman"/>
      <w:sz w:val="18"/>
      <w:szCs w:val="18"/>
    </w:rPr>
  </w:style>
  <w:style w:type="character" w:customStyle="1" w:styleId="110">
    <w:name w:val="huei12b"/>
    <w:basedOn w:val="47"/>
    <w:autoRedefine/>
    <w:qFormat/>
    <w:uiPriority w:val="0"/>
  </w:style>
  <w:style w:type="character" w:customStyle="1" w:styleId="111">
    <w:name w:val="WW8Num9z0"/>
    <w:autoRedefine/>
    <w:qFormat/>
    <w:uiPriority w:val="0"/>
    <w:rPr>
      <w:rFonts w:ascii="Wingdings" w:hAnsi="Wingdings"/>
    </w:rPr>
  </w:style>
  <w:style w:type="character" w:customStyle="1" w:styleId="112">
    <w:name w:val="magic-list1"/>
    <w:autoRedefine/>
    <w:qFormat/>
    <w:uiPriority w:val="0"/>
    <w:rPr>
      <w:rFonts w:hint="default" w:ascii="ˎ̥" w:hAnsi="ˎ̥"/>
      <w:color w:val="000000"/>
      <w:sz w:val="20"/>
      <w:u w:val="none"/>
    </w:rPr>
  </w:style>
  <w:style w:type="character" w:customStyle="1" w:styleId="113">
    <w:name w:val="Char1 Char Char1"/>
    <w:autoRedefine/>
    <w:qFormat/>
    <w:uiPriority w:val="0"/>
    <w:rPr>
      <w:rFonts w:ascii="宋体" w:hAnsi="Courier New" w:eastAsia="宋体"/>
      <w:kern w:val="2"/>
      <w:sz w:val="24"/>
      <w:lang w:val="en-US" w:eastAsia="zh-CN" w:bidi="ar-SA"/>
    </w:rPr>
  </w:style>
  <w:style w:type="character" w:customStyle="1" w:styleId="114">
    <w:name w:val="Char Char1"/>
    <w:autoRedefine/>
    <w:qFormat/>
    <w:uiPriority w:val="0"/>
    <w:rPr>
      <w:rFonts w:ascii="宋体" w:hAnsi="Courier New" w:eastAsia="宋体"/>
      <w:kern w:val="2"/>
      <w:sz w:val="21"/>
      <w:szCs w:val="21"/>
      <w:lang w:bidi="ar-SA"/>
    </w:rPr>
  </w:style>
  <w:style w:type="character" w:customStyle="1" w:styleId="115">
    <w:name w:val="h4-1 Char Char"/>
    <w:link w:val="116"/>
    <w:autoRedefine/>
    <w:qFormat/>
    <w:uiPriority w:val="0"/>
    <w:rPr>
      <w:rFonts w:ascii="Arial" w:hAnsi="Arial" w:eastAsia="仿宋_GB2312" w:cs="Arial"/>
      <w:b/>
      <w:bCs/>
      <w:kern w:val="2"/>
      <w:sz w:val="28"/>
      <w:szCs w:val="28"/>
      <w:lang w:val="zh-CN" w:eastAsia="zh-CN" w:bidi="ar-SA"/>
    </w:rPr>
  </w:style>
  <w:style w:type="paragraph" w:customStyle="1" w:styleId="116">
    <w:name w:val="h4-1"/>
    <w:basedOn w:val="6"/>
    <w:link w:val="115"/>
    <w:autoRedefine/>
    <w:qFormat/>
    <w:uiPriority w:val="0"/>
    <w:pPr>
      <w:keepLines/>
      <w:widowControl w:val="0"/>
      <w:numPr>
        <w:ilvl w:val="0"/>
        <w:numId w:val="3"/>
      </w:numPr>
      <w:spacing w:before="156" w:beforeLines="50" w:after="156" w:afterLines="50"/>
      <w:ind w:left="200" w:leftChars="200" w:right="420" w:rightChars="200"/>
      <w:jc w:val="both"/>
    </w:pPr>
    <w:rPr>
      <w:rFonts w:ascii="Arial" w:hAnsi="Arial" w:eastAsia="仿宋_GB2312" w:cs="Arial"/>
      <w:kern w:val="2"/>
      <w:lang w:val="zh-CN"/>
    </w:rPr>
  </w:style>
  <w:style w:type="character" w:customStyle="1" w:styleId="117">
    <w:name w:val="style31"/>
    <w:autoRedefine/>
    <w:qFormat/>
    <w:uiPriority w:val="0"/>
    <w:rPr>
      <w:rFonts w:hint="default" w:ascii="Arial" w:hAnsi="Arial" w:cs="Arial"/>
      <w:b/>
      <w:bCs/>
      <w:sz w:val="21"/>
      <w:szCs w:val="21"/>
    </w:rPr>
  </w:style>
  <w:style w:type="character" w:customStyle="1" w:styleId="118">
    <w:name w:val="h Char"/>
    <w:autoRedefine/>
    <w:qFormat/>
    <w:uiPriority w:val="0"/>
    <w:rPr>
      <w:rFonts w:eastAsia="仿宋_GB2312"/>
      <w:kern w:val="2"/>
      <w:sz w:val="18"/>
      <w:szCs w:val="18"/>
      <w:lang w:val="en-US" w:eastAsia="zh-CN" w:bidi="ar-SA"/>
    </w:rPr>
  </w:style>
  <w:style w:type="character" w:customStyle="1" w:styleId="119">
    <w:name w:val="正文首行缩进两字符 Char Char"/>
    <w:autoRedefine/>
    <w:qFormat/>
    <w:uiPriority w:val="0"/>
    <w:rPr>
      <w:rFonts w:eastAsia="宋体"/>
      <w:kern w:val="2"/>
      <w:sz w:val="21"/>
      <w:szCs w:val="24"/>
      <w:lang w:val="en-US" w:eastAsia="zh-CN" w:bidi="ar-SA"/>
    </w:rPr>
  </w:style>
  <w:style w:type="character" w:customStyle="1" w:styleId="120">
    <w:name w:val="ca-111"/>
    <w:autoRedefine/>
    <w:qFormat/>
    <w:uiPriority w:val="0"/>
    <w:rPr>
      <w:rFonts w:hint="eastAsia" w:ascii="宋体" w:hAnsi="宋体" w:eastAsia="宋体"/>
      <w:color w:val="000000"/>
      <w:sz w:val="24"/>
      <w:szCs w:val="24"/>
    </w:rPr>
  </w:style>
  <w:style w:type="character" w:customStyle="1" w:styleId="121">
    <w:name w:val="textnormchn1"/>
    <w:basedOn w:val="47"/>
    <w:autoRedefine/>
    <w:qFormat/>
    <w:uiPriority w:val="0"/>
  </w:style>
  <w:style w:type="character" w:customStyle="1" w:styleId="122">
    <w:name w:val="批注引用1"/>
    <w:autoRedefine/>
    <w:qFormat/>
    <w:uiPriority w:val="0"/>
    <w:rPr>
      <w:sz w:val="21"/>
      <w:szCs w:val="21"/>
    </w:rPr>
  </w:style>
  <w:style w:type="character" w:customStyle="1" w:styleId="123">
    <w:name w:val="日期 Char1"/>
    <w:autoRedefine/>
    <w:semiHidden/>
    <w:qFormat/>
    <w:uiPriority w:val="99"/>
    <w:rPr>
      <w:rFonts w:ascii="Calibri" w:hAnsi="Calibri" w:eastAsia="仿宋_GB2312" w:cs="Times New Roman"/>
      <w:sz w:val="24"/>
    </w:rPr>
  </w:style>
  <w:style w:type="character" w:customStyle="1" w:styleId="124">
    <w:name w:val="正文3 Char Char"/>
    <w:link w:val="125"/>
    <w:autoRedefine/>
    <w:qFormat/>
    <w:uiPriority w:val="0"/>
    <w:rPr>
      <w:rFonts w:ascii="Calibri" w:hAnsi="Calibri"/>
      <w:sz w:val="24"/>
      <w:szCs w:val="24"/>
      <w:lang w:val="en-US" w:eastAsia="zh-CN" w:bidi="ar-SA"/>
    </w:rPr>
  </w:style>
  <w:style w:type="paragraph" w:customStyle="1" w:styleId="125">
    <w:name w:val="正文3"/>
    <w:link w:val="124"/>
    <w:autoRedefine/>
    <w:qFormat/>
    <w:uiPriority w:val="0"/>
    <w:pPr>
      <w:spacing w:before="120" w:after="120" w:line="360" w:lineRule="auto"/>
      <w:ind w:firstLine="200" w:firstLineChars="200"/>
    </w:pPr>
    <w:rPr>
      <w:rFonts w:ascii="Calibri" w:hAnsi="Calibri" w:eastAsia="宋体" w:cs="Times New Roman"/>
      <w:sz w:val="24"/>
      <w:szCs w:val="24"/>
      <w:lang w:val="en-US" w:eastAsia="zh-CN" w:bidi="ar-SA"/>
    </w:rPr>
  </w:style>
  <w:style w:type="character" w:customStyle="1" w:styleId="126">
    <w:name w:val="ca-01"/>
    <w:autoRedefine/>
    <w:qFormat/>
    <w:uiPriority w:val="0"/>
    <w:rPr>
      <w:rFonts w:hint="eastAsia" w:ascii="宋体" w:hAnsi="宋体" w:eastAsia="宋体"/>
      <w:b/>
      <w:bCs/>
      <w:color w:val="000000"/>
      <w:spacing w:val="-20"/>
      <w:sz w:val="36"/>
      <w:szCs w:val="36"/>
    </w:rPr>
  </w:style>
  <w:style w:type="character" w:customStyle="1" w:styleId="127">
    <w:name w:val="keyword"/>
    <w:basedOn w:val="47"/>
    <w:autoRedefine/>
    <w:qFormat/>
    <w:uiPriority w:val="0"/>
  </w:style>
  <w:style w:type="character" w:customStyle="1" w:styleId="128">
    <w:name w:val="fontstyle01"/>
    <w:basedOn w:val="47"/>
    <w:autoRedefine/>
    <w:qFormat/>
    <w:uiPriority w:val="0"/>
    <w:rPr>
      <w:rFonts w:hint="eastAsia" w:ascii="宋体" w:hAnsi="宋体" w:eastAsia="宋体"/>
      <w:color w:val="000000"/>
      <w:sz w:val="24"/>
      <w:szCs w:val="24"/>
    </w:rPr>
  </w:style>
  <w:style w:type="character" w:customStyle="1" w:styleId="129">
    <w:name w:val="文档结构图 Char1"/>
    <w:autoRedefine/>
    <w:semiHidden/>
    <w:qFormat/>
    <w:uiPriority w:val="99"/>
    <w:rPr>
      <w:rFonts w:ascii="宋体" w:hAnsi="Calibri" w:eastAsia="宋体" w:cs="Times New Roman"/>
      <w:sz w:val="18"/>
      <w:szCs w:val="18"/>
    </w:rPr>
  </w:style>
  <w:style w:type="character" w:customStyle="1" w:styleId="130">
    <w:name w:val="ca-221"/>
    <w:autoRedefine/>
    <w:qFormat/>
    <w:uiPriority w:val="0"/>
    <w:rPr>
      <w:rFonts w:hint="default" w:ascii="Times New Roman" w:hAnsi="Times New Roman" w:cs="Times New Roman"/>
      <w:color w:val="000000"/>
      <w:sz w:val="24"/>
      <w:szCs w:val="24"/>
    </w:rPr>
  </w:style>
  <w:style w:type="character" w:customStyle="1" w:styleId="131">
    <w:name w:val="param_td12"/>
    <w:basedOn w:val="47"/>
    <w:autoRedefine/>
    <w:qFormat/>
    <w:uiPriority w:val="0"/>
  </w:style>
  <w:style w:type="character" w:customStyle="1" w:styleId="132">
    <w:name w:val="H4 Char"/>
    <w:autoRedefine/>
    <w:qFormat/>
    <w:uiPriority w:val="0"/>
    <w:rPr>
      <w:rFonts w:ascii="Arial" w:hAnsi="Arial" w:eastAsia="宋体"/>
      <w:b/>
      <w:kern w:val="2"/>
      <w:sz w:val="28"/>
      <w:lang w:val="en-US" w:eastAsia="zh-CN"/>
    </w:rPr>
  </w:style>
  <w:style w:type="character" w:customStyle="1" w:styleId="133">
    <w:name w:val="纯文本 Char Char1"/>
    <w:autoRedefine/>
    <w:qFormat/>
    <w:uiPriority w:val="0"/>
    <w:rPr>
      <w:rFonts w:ascii="宋体" w:hAnsi="Courier New" w:eastAsia="宋体"/>
      <w:kern w:val="2"/>
      <w:sz w:val="21"/>
      <w:lang w:val="en-US" w:eastAsia="zh-CN" w:bidi="ar-SA"/>
    </w:rPr>
  </w:style>
  <w:style w:type="character" w:customStyle="1" w:styleId="134">
    <w:name w:val="sugg-loading"/>
    <w:basedOn w:val="47"/>
    <w:autoRedefine/>
    <w:qFormat/>
    <w:uiPriority w:val="0"/>
  </w:style>
  <w:style w:type="character" w:customStyle="1" w:styleId="135">
    <w:name w:val="页脚 Char1"/>
    <w:autoRedefine/>
    <w:semiHidden/>
    <w:qFormat/>
    <w:uiPriority w:val="99"/>
    <w:rPr>
      <w:rFonts w:ascii="Calibri" w:hAnsi="Calibri" w:eastAsia="仿宋_GB2312" w:cs="Times New Roman"/>
      <w:sz w:val="18"/>
      <w:szCs w:val="18"/>
    </w:rPr>
  </w:style>
  <w:style w:type="character" w:customStyle="1" w:styleId="136">
    <w:name w:val="表正文 Char2"/>
    <w:autoRedefine/>
    <w:qFormat/>
    <w:uiPriority w:val="0"/>
    <w:rPr>
      <w:rFonts w:eastAsia="宋体"/>
      <w:kern w:val="2"/>
      <w:sz w:val="21"/>
      <w:lang w:val="en-US" w:eastAsia="zh-CN" w:bidi="ar-SA"/>
    </w:rPr>
  </w:style>
  <w:style w:type="character" w:customStyle="1" w:styleId="137">
    <w:name w:val="文章正文 Char Char"/>
    <w:link w:val="138"/>
    <w:autoRedefine/>
    <w:qFormat/>
    <w:uiPriority w:val="0"/>
    <w:rPr>
      <w:rFonts w:eastAsia="宋体"/>
      <w:kern w:val="2"/>
      <w:sz w:val="24"/>
      <w:szCs w:val="24"/>
      <w:lang w:val="en-US" w:eastAsia="zh-CN" w:bidi="ar-SA"/>
    </w:rPr>
  </w:style>
  <w:style w:type="paragraph" w:customStyle="1" w:styleId="138">
    <w:name w:val="文章正文"/>
    <w:basedOn w:val="1"/>
    <w:link w:val="137"/>
    <w:autoRedefine/>
    <w:qFormat/>
    <w:uiPriority w:val="0"/>
    <w:pPr>
      <w:widowControl w:val="0"/>
      <w:spacing w:line="360" w:lineRule="auto"/>
      <w:ind w:firstLine="420"/>
      <w:jc w:val="both"/>
    </w:pPr>
    <w:rPr>
      <w:kern w:val="2"/>
    </w:rPr>
  </w:style>
  <w:style w:type="paragraph" w:customStyle="1" w:styleId="139">
    <w:name w:val="标3"/>
    <w:basedOn w:val="1"/>
    <w:autoRedefine/>
    <w:qFormat/>
    <w:uiPriority w:val="0"/>
    <w:pPr>
      <w:widowControl w:val="0"/>
      <w:tabs>
        <w:tab w:val="left" w:pos="1740"/>
      </w:tabs>
      <w:adjustRightInd w:val="0"/>
      <w:snapToGrid w:val="0"/>
      <w:spacing w:before="50"/>
      <w:ind w:left="1740" w:hanging="420"/>
      <w:jc w:val="both"/>
      <w:outlineLvl w:val="2"/>
    </w:pPr>
    <w:rPr>
      <w:rFonts w:ascii="Arial Narrow" w:hAnsi="Arial Narrow" w:eastAsia="仿宋_GB2312"/>
      <w:kern w:val="2"/>
      <w:sz w:val="28"/>
      <w:szCs w:val="20"/>
    </w:rPr>
  </w:style>
  <w:style w:type="paragraph" w:customStyle="1" w:styleId="140">
    <w:name w:val="页眉 New New New New New New New New New New New New New"/>
    <w:basedOn w:val="14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1">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样式 正文缩进 + 首行缩进:  2 字符"/>
    <w:basedOn w:val="13"/>
    <w:autoRedefine/>
    <w:qFormat/>
    <w:uiPriority w:val="0"/>
    <w:pPr>
      <w:ind w:firstLine="480"/>
    </w:pPr>
    <w:rPr>
      <w:sz w:val="24"/>
      <w:szCs w:val="20"/>
    </w:rPr>
  </w:style>
  <w:style w:type="paragraph" w:customStyle="1" w:styleId="143">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44">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45">
    <w:name w:val="页脚 New New New New New New New New New New New New New New"/>
    <w:basedOn w:val="146"/>
    <w:autoRedefine/>
    <w:qFormat/>
    <w:uiPriority w:val="0"/>
    <w:pPr>
      <w:tabs>
        <w:tab w:val="center" w:pos="4153"/>
        <w:tab w:val="right" w:pos="8306"/>
      </w:tabs>
      <w:snapToGrid w:val="0"/>
      <w:jc w:val="left"/>
    </w:pPr>
    <w:rPr>
      <w:sz w:val="18"/>
      <w:szCs w:val="18"/>
    </w:rPr>
  </w:style>
  <w:style w:type="paragraph" w:customStyle="1" w:styleId="146">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har Char Char Char Char Char Char Char Char"/>
    <w:basedOn w:val="1"/>
    <w:autoRedefine/>
    <w:qFormat/>
    <w:uiPriority w:val="0"/>
    <w:pPr>
      <w:spacing w:after="160" w:line="240" w:lineRule="exact"/>
    </w:pPr>
    <w:rPr>
      <w:rFonts w:ascii="Verdana" w:hAnsi="Verdana" w:eastAsia="仿宋_GB2312"/>
      <w:szCs w:val="20"/>
      <w:lang w:eastAsia="en-US"/>
    </w:rPr>
  </w:style>
  <w:style w:type="paragraph" w:customStyle="1" w:styleId="148">
    <w:name w:val="样式 标题 1 + 宋体 居中 段前: 17 磅 段后: 16.5 磅"/>
    <w:basedOn w:val="3"/>
    <w:autoRedefine/>
    <w:qFormat/>
    <w:uiPriority w:val="0"/>
    <w:pPr>
      <w:pageBreakBefore/>
      <w:numPr>
        <w:numId w:val="0"/>
      </w:numPr>
      <w:tabs>
        <w:tab w:val="left" w:pos="840"/>
        <w:tab w:val="clear" w:pos="425"/>
      </w:tabs>
      <w:ind w:left="840" w:hanging="420"/>
    </w:pPr>
    <w:rPr>
      <w:rFonts w:cs="宋体"/>
      <w:sz w:val="28"/>
      <w:szCs w:val="20"/>
    </w:rPr>
  </w:style>
  <w:style w:type="paragraph" w:customStyle="1" w:styleId="149">
    <w:name w:val="pa-107"/>
    <w:basedOn w:val="1"/>
    <w:autoRedefine/>
    <w:qFormat/>
    <w:uiPriority w:val="0"/>
    <w:pPr>
      <w:spacing w:line="360" w:lineRule="atLeast"/>
      <w:jc w:val="both"/>
    </w:pPr>
    <w:rPr>
      <w:rFonts w:ascii="宋体" w:hAnsi="宋体" w:cs="宋体"/>
    </w:rPr>
  </w:style>
  <w:style w:type="paragraph" w:customStyle="1" w:styleId="150">
    <w:name w:val="我的正文"/>
    <w:basedOn w:val="1"/>
    <w:autoRedefine/>
    <w:qFormat/>
    <w:uiPriority w:val="0"/>
    <w:pPr>
      <w:widowControl w:val="0"/>
      <w:spacing w:line="360" w:lineRule="auto"/>
      <w:ind w:firstLine="420" w:firstLineChars="200"/>
      <w:jc w:val="both"/>
    </w:pPr>
    <w:rPr>
      <w:rFonts w:ascii="宋体" w:hAnsi="宋体"/>
      <w:kern w:val="2"/>
      <w:sz w:val="21"/>
      <w:szCs w:val="20"/>
    </w:rPr>
  </w:style>
  <w:style w:type="paragraph" w:customStyle="1" w:styleId="151">
    <w:name w:val="xl72"/>
    <w:basedOn w:val="1"/>
    <w:autoRedefine/>
    <w:qFormat/>
    <w:uiPriority w:val="0"/>
    <w:pPr>
      <w:spacing w:before="100" w:beforeAutospacing="1" w:after="100" w:afterAutospacing="1"/>
      <w:jc w:val="center"/>
    </w:pPr>
    <w:rPr>
      <w:rFonts w:ascii="宋体" w:hAnsi="宋体" w:cs="宋体"/>
    </w:rPr>
  </w:style>
  <w:style w:type="paragraph" w:customStyle="1" w:styleId="152">
    <w:name w:val="表格"/>
    <w:basedOn w:val="1"/>
    <w:autoRedefine/>
    <w:qFormat/>
    <w:uiPriority w:val="0"/>
    <w:pPr>
      <w:widowControl w:val="0"/>
      <w:spacing w:line="400" w:lineRule="exact"/>
      <w:jc w:val="both"/>
    </w:pPr>
    <w:rPr>
      <w:kern w:val="2"/>
    </w:rPr>
  </w:style>
  <w:style w:type="paragraph" w:customStyle="1" w:styleId="153">
    <w:name w:val="2"/>
    <w:basedOn w:val="1"/>
    <w:autoRedefine/>
    <w:qFormat/>
    <w:uiPriority w:val="0"/>
    <w:pPr>
      <w:spacing w:before="100" w:beforeAutospacing="1" w:after="100" w:afterAutospacing="1"/>
    </w:pPr>
    <w:rPr>
      <w:rFonts w:ascii="宋体" w:hAnsi="宋体"/>
      <w:sz w:val="21"/>
      <w:szCs w:val="21"/>
    </w:rPr>
  </w:style>
  <w:style w:type="paragraph" w:customStyle="1" w:styleId="154">
    <w:name w:val="样式2"/>
    <w:basedOn w:val="1"/>
    <w:autoRedefine/>
    <w:qFormat/>
    <w:uiPriority w:val="0"/>
    <w:pPr>
      <w:widowControl w:val="0"/>
      <w:adjustRightInd w:val="0"/>
      <w:spacing w:line="410" w:lineRule="atLeast"/>
      <w:jc w:val="both"/>
      <w:textAlignment w:val="baseline"/>
    </w:pPr>
    <w:rPr>
      <w:szCs w:val="20"/>
    </w:rPr>
  </w:style>
  <w:style w:type="paragraph" w:customStyle="1" w:styleId="155">
    <w:name w:val="MM Topic 1"/>
    <w:basedOn w:val="3"/>
    <w:autoRedefine/>
    <w:qFormat/>
    <w:uiPriority w:val="0"/>
    <w:pPr>
      <w:widowControl w:val="0"/>
      <w:numPr>
        <w:numId w:val="0"/>
      </w:numPr>
      <w:tabs>
        <w:tab w:val="clear" w:pos="425"/>
      </w:tabs>
      <w:spacing w:line="576" w:lineRule="auto"/>
    </w:pPr>
    <w:rPr>
      <w:rFonts w:ascii="Times New Roman" w:hAnsi="Times New Roman"/>
      <w:bCs w:val="0"/>
      <w:sz w:val="44"/>
      <w:szCs w:val="20"/>
    </w:rPr>
  </w:style>
  <w:style w:type="paragraph" w:customStyle="1" w:styleId="156">
    <w:name w:val="1"/>
    <w:basedOn w:val="1"/>
    <w:autoRedefine/>
    <w:qFormat/>
    <w:uiPriority w:val="0"/>
    <w:pPr>
      <w:widowControl w:val="0"/>
      <w:jc w:val="both"/>
    </w:pPr>
    <w:rPr>
      <w:rFonts w:ascii="Tahoma" w:hAnsi="Tahoma"/>
      <w:kern w:val="2"/>
      <w:szCs w:val="20"/>
    </w:rPr>
  </w:style>
  <w:style w:type="paragraph" w:customStyle="1" w:styleId="157">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样式1"/>
    <w:basedOn w:val="1"/>
    <w:autoRedefine/>
    <w:qFormat/>
    <w:uiPriority w:val="0"/>
    <w:pPr>
      <w:widowControl w:val="0"/>
      <w:tabs>
        <w:tab w:val="left" w:pos="840"/>
      </w:tabs>
      <w:adjustRightInd w:val="0"/>
      <w:spacing w:line="360" w:lineRule="auto"/>
      <w:ind w:left="840" w:hanging="420"/>
      <w:jc w:val="both"/>
      <w:textAlignment w:val="baseline"/>
    </w:pPr>
    <w:rPr>
      <w:rFonts w:ascii="宋体" w:hAnsi="宋体"/>
      <w:szCs w:val="21"/>
    </w:rPr>
  </w:style>
  <w:style w:type="paragraph" w:customStyle="1" w:styleId="159">
    <w:name w:val="p4"/>
    <w:basedOn w:val="1"/>
    <w:autoRedefine/>
    <w:qFormat/>
    <w:uiPriority w:val="0"/>
    <w:pPr>
      <w:spacing w:before="100" w:beforeAutospacing="1" w:after="100" w:afterAutospacing="1" w:line="360" w:lineRule="auto"/>
      <w:ind w:firstLine="360"/>
    </w:pPr>
    <w:rPr>
      <w:rFonts w:ascii="宋体" w:hAnsi="宋体"/>
    </w:rPr>
  </w:style>
  <w:style w:type="paragraph" w:customStyle="1" w:styleId="160">
    <w:name w:val="xl113"/>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161">
    <w:name w:val="xl70"/>
    <w:basedOn w:val="1"/>
    <w:autoRedefine/>
    <w:qFormat/>
    <w:uiPriority w:val="0"/>
    <w:pPr>
      <w:spacing w:before="100" w:beforeAutospacing="1" w:after="100" w:afterAutospacing="1"/>
      <w:jc w:val="center"/>
    </w:pPr>
    <w:rPr>
      <w:rFonts w:ascii="宋体" w:hAnsi="宋体" w:cs="宋体"/>
    </w:rPr>
  </w:style>
  <w:style w:type="paragraph" w:customStyle="1" w:styleId="162">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63">
    <w:name w:val="样式 样式 样式 左侧:  2 字符1 + 首行缩进:  2 字符1 + 首行缩进:  2 字符"/>
    <w:basedOn w:val="1"/>
    <w:autoRedefine/>
    <w:qFormat/>
    <w:uiPriority w:val="0"/>
    <w:pPr>
      <w:adjustRightInd w:val="0"/>
      <w:spacing w:before="60" w:after="120" w:line="440" w:lineRule="atLeast"/>
      <w:ind w:firstLine="480"/>
      <w:textAlignment w:val="baseline"/>
    </w:pPr>
  </w:style>
  <w:style w:type="paragraph" w:customStyle="1" w:styleId="164">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165">
    <w:name w:val="font8"/>
    <w:basedOn w:val="1"/>
    <w:autoRedefine/>
    <w:qFormat/>
    <w:uiPriority w:val="0"/>
    <w:pPr>
      <w:spacing w:before="100" w:beforeAutospacing="1" w:after="100" w:afterAutospacing="1"/>
    </w:pPr>
    <w:rPr>
      <w:color w:val="000000"/>
      <w:sz w:val="22"/>
      <w:szCs w:val="22"/>
    </w:rPr>
  </w:style>
  <w:style w:type="paragraph" w:customStyle="1" w:styleId="166">
    <w:name w:val="MM Topic 5"/>
    <w:basedOn w:val="7"/>
    <w:autoRedefine/>
    <w:qFormat/>
    <w:uiPriority w:val="0"/>
    <w:pPr>
      <w:numPr>
        <w:numId w:val="0"/>
      </w:numPr>
      <w:tabs>
        <w:tab w:val="left" w:pos="2551"/>
        <w:tab w:val="clear" w:pos="4832"/>
      </w:tabs>
      <w:autoSpaceDE/>
      <w:autoSpaceDN/>
      <w:adjustRightInd/>
      <w:spacing w:line="372" w:lineRule="auto"/>
    </w:pPr>
    <w:rPr>
      <w:bCs w:val="0"/>
      <w:kern w:val="2"/>
      <w:szCs w:val="20"/>
    </w:rPr>
  </w:style>
  <w:style w:type="paragraph" w:customStyle="1" w:styleId="167">
    <w:name w:val="xl105"/>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168">
    <w:name w:val="Char Char Char Char Char Char Char Char Char Char Char Char Char"/>
    <w:basedOn w:val="17"/>
    <w:autoRedefine/>
    <w:qFormat/>
    <w:uiPriority w:val="0"/>
    <w:pPr>
      <w:widowControl w:val="0"/>
      <w:jc w:val="both"/>
    </w:pPr>
    <w:rPr>
      <w:rFonts w:ascii="Tahoma" w:hAnsi="Tahoma"/>
      <w:kern w:val="2"/>
      <w:szCs w:val="20"/>
    </w:rPr>
  </w:style>
  <w:style w:type="paragraph" w:customStyle="1" w:styleId="169">
    <w:name w:val="xl77"/>
    <w:basedOn w:val="1"/>
    <w:autoRedefine/>
    <w:qFormat/>
    <w:uiPriority w:val="0"/>
    <w:pPr>
      <w:spacing w:before="100" w:beforeAutospacing="1" w:after="100" w:afterAutospacing="1"/>
      <w:jc w:val="center"/>
    </w:pPr>
    <w:rPr>
      <w:rFonts w:ascii="宋体" w:hAnsi="宋体" w:cs="宋体"/>
    </w:rPr>
  </w:style>
  <w:style w:type="paragraph" w:customStyle="1" w:styleId="170">
    <w:name w:val="默认段落字体 Para Char Char Char Char Char Char Char"/>
    <w:basedOn w:val="1"/>
    <w:autoRedefine/>
    <w:qFormat/>
    <w:uiPriority w:val="0"/>
    <w:pPr>
      <w:widowControl w:val="0"/>
      <w:jc w:val="both"/>
    </w:pPr>
    <w:rPr>
      <w:rFonts w:ascii="Tahoma" w:hAnsi="Tahoma"/>
      <w:kern w:val="2"/>
      <w:szCs w:val="20"/>
    </w:rPr>
  </w:style>
  <w:style w:type="paragraph" w:customStyle="1" w:styleId="171">
    <w:name w:val="浅色网格 - 强调文字颜色 31"/>
    <w:basedOn w:val="1"/>
    <w:autoRedefine/>
    <w:qFormat/>
    <w:uiPriority w:val="0"/>
    <w:pPr>
      <w:widowControl w:val="0"/>
      <w:ind w:firstLine="420" w:firstLineChars="200"/>
      <w:jc w:val="both"/>
    </w:pPr>
    <w:rPr>
      <w:rFonts w:ascii="Calibri" w:hAnsi="Calibri"/>
      <w:kern w:val="2"/>
      <w:sz w:val="21"/>
      <w:szCs w:val="22"/>
    </w:rPr>
  </w:style>
  <w:style w:type="paragraph" w:customStyle="1" w:styleId="172">
    <w:name w:val="默认段落字体 Para Char Char Char Char"/>
    <w:basedOn w:val="1"/>
    <w:autoRedefine/>
    <w:qFormat/>
    <w:uiPriority w:val="0"/>
    <w:pPr>
      <w:widowControl w:val="0"/>
      <w:jc w:val="both"/>
    </w:pPr>
    <w:rPr>
      <w:kern w:val="2"/>
      <w:sz w:val="21"/>
    </w:rPr>
  </w:style>
  <w:style w:type="paragraph" w:customStyle="1" w:styleId="173">
    <w:name w:val="样式 正文缩进 + (中文) 仿宋_GB2312 小四 Char"/>
    <w:basedOn w:val="13"/>
    <w:autoRedefine/>
    <w:qFormat/>
    <w:uiPriority w:val="0"/>
    <w:pPr>
      <w:ind w:firstLine="480"/>
    </w:pPr>
    <w:rPr>
      <w:rFonts w:ascii="宋体" w:hAnsi="宋体"/>
      <w:sz w:val="24"/>
      <w:szCs w:val="20"/>
    </w:rPr>
  </w:style>
  <w:style w:type="paragraph" w:customStyle="1" w:styleId="174">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样式 右侧:  1 字符1"/>
    <w:basedOn w:val="1"/>
    <w:autoRedefine/>
    <w:qFormat/>
    <w:uiPriority w:val="0"/>
    <w:pPr>
      <w:widowControl w:val="0"/>
      <w:ind w:left="240" w:leftChars="100" w:right="100" w:rightChars="100"/>
      <w:jc w:val="both"/>
    </w:pPr>
    <w:rPr>
      <w:rFonts w:eastAsia="仿宋_GB2312"/>
      <w:kern w:val="2"/>
      <w:sz w:val="28"/>
      <w:szCs w:val="20"/>
    </w:rPr>
  </w:style>
  <w:style w:type="paragraph" w:customStyle="1" w:styleId="176">
    <w:name w:val="Style Style4 + First line:  2 ch Before:  0.5 line After:  0.5 li..."/>
    <w:basedOn w:val="1"/>
    <w:autoRedefine/>
    <w:qFormat/>
    <w:uiPriority w:val="0"/>
    <w:pPr>
      <w:widowControl w:val="0"/>
      <w:spacing w:before="156" w:beforeLines="50" w:after="156" w:afterLines="50" w:line="276" w:lineRule="auto"/>
      <w:ind w:firstLine="480" w:firstLineChars="200"/>
      <w:jc w:val="both"/>
    </w:pPr>
    <w:rPr>
      <w:rFonts w:ascii="Arial" w:hAnsi="Arial"/>
      <w:kern w:val="2"/>
      <w:szCs w:val="20"/>
    </w:rPr>
  </w:style>
  <w:style w:type="paragraph" w:customStyle="1" w:styleId="177">
    <w:name w:val="页脚 New New New New New New New New New New New New"/>
    <w:basedOn w:val="178"/>
    <w:autoRedefine/>
    <w:qFormat/>
    <w:uiPriority w:val="0"/>
    <w:pPr>
      <w:tabs>
        <w:tab w:val="center" w:pos="4153"/>
        <w:tab w:val="right" w:pos="8306"/>
      </w:tabs>
      <w:snapToGrid w:val="0"/>
      <w:jc w:val="left"/>
    </w:pPr>
    <w:rPr>
      <w:sz w:val="18"/>
      <w:szCs w:val="18"/>
    </w:rPr>
  </w:style>
  <w:style w:type="paragraph" w:customStyle="1" w:styleId="178">
    <w:name w:val="正文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页脚 New New New New New New New"/>
    <w:basedOn w:val="174"/>
    <w:autoRedefine/>
    <w:qFormat/>
    <w:uiPriority w:val="0"/>
    <w:pPr>
      <w:tabs>
        <w:tab w:val="center" w:pos="4153"/>
        <w:tab w:val="right" w:pos="8306"/>
      </w:tabs>
      <w:snapToGrid w:val="0"/>
      <w:jc w:val="left"/>
    </w:pPr>
    <w:rPr>
      <w:sz w:val="18"/>
      <w:szCs w:val="18"/>
    </w:rPr>
  </w:style>
  <w:style w:type="paragraph" w:customStyle="1" w:styleId="18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82">
    <w:name w:val="正文序号 2"/>
    <w:basedOn w:val="1"/>
    <w:autoRedefine/>
    <w:qFormat/>
    <w:uiPriority w:val="0"/>
    <w:pPr>
      <w:widowControl w:val="0"/>
      <w:numPr>
        <w:ilvl w:val="1"/>
        <w:numId w:val="4"/>
      </w:numPr>
      <w:tabs>
        <w:tab w:val="left" w:pos="1049"/>
        <w:tab w:val="clear" w:pos="840"/>
      </w:tabs>
      <w:spacing w:before="60"/>
      <w:jc w:val="both"/>
    </w:pPr>
    <w:rPr>
      <w:kern w:val="2"/>
      <w:sz w:val="21"/>
      <w:szCs w:val="20"/>
    </w:rPr>
  </w:style>
  <w:style w:type="paragraph" w:customStyle="1" w:styleId="183">
    <w:name w:val="项目符号：一级"/>
    <w:basedOn w:val="184"/>
    <w:next w:val="184"/>
    <w:autoRedefine/>
    <w:qFormat/>
    <w:uiPriority w:val="0"/>
    <w:pPr>
      <w:tabs>
        <w:tab w:val="left" w:pos="700"/>
      </w:tabs>
      <w:spacing w:before="0" w:beforeLines="0"/>
      <w:ind w:left="630" w:hanging="290" w:firstLineChars="0"/>
    </w:pPr>
  </w:style>
  <w:style w:type="paragraph" w:customStyle="1" w:styleId="184">
    <w:name w:val="正文格式"/>
    <w:basedOn w:val="1"/>
    <w:autoRedefine/>
    <w:qFormat/>
    <w:uiPriority w:val="0"/>
    <w:pPr>
      <w:adjustRightInd w:val="0"/>
      <w:snapToGrid w:val="0"/>
      <w:spacing w:before="78" w:beforeLines="25" w:line="360" w:lineRule="auto"/>
      <w:ind w:firstLine="480" w:firstLineChars="200"/>
      <w:jc w:val="both"/>
      <w:textAlignment w:val="baseline"/>
    </w:pPr>
    <w:rPr>
      <w:rFonts w:ascii="宋体" w:hAnsi="宋体"/>
      <w:color w:val="000000"/>
      <w:szCs w:val="20"/>
    </w:rPr>
  </w:style>
  <w:style w:type="paragraph" w:customStyle="1" w:styleId="185">
    <w:name w:val="xl115"/>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186">
    <w:name w:val="xl103"/>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187">
    <w:name w:val="Char1 Char Char Char"/>
    <w:basedOn w:val="1"/>
    <w:next w:val="1"/>
    <w:autoRedefine/>
    <w:qFormat/>
    <w:uiPriority w:val="0"/>
    <w:pPr>
      <w:widowControl w:val="0"/>
      <w:spacing w:line="240" w:lineRule="atLeast"/>
      <w:ind w:left="420" w:firstLine="420"/>
    </w:pPr>
    <w:rPr>
      <w:sz w:val="21"/>
      <w:szCs w:val="20"/>
    </w:rPr>
  </w:style>
  <w:style w:type="paragraph" w:customStyle="1" w:styleId="188">
    <w:name w:val="论文正文"/>
    <w:basedOn w:val="1"/>
    <w:autoRedefine/>
    <w:qFormat/>
    <w:uiPriority w:val="0"/>
    <w:pPr>
      <w:widowControl w:val="0"/>
      <w:spacing w:line="300" w:lineRule="auto"/>
      <w:ind w:firstLine="200" w:firstLineChars="200"/>
      <w:jc w:val="both"/>
    </w:pPr>
    <w:rPr>
      <w:kern w:val="2"/>
    </w:rPr>
  </w:style>
  <w:style w:type="paragraph" w:customStyle="1" w:styleId="189">
    <w:name w:val="Style8"/>
    <w:basedOn w:val="1"/>
    <w:autoRedefine/>
    <w:qFormat/>
    <w:uiPriority w:val="0"/>
    <w:pPr>
      <w:widowControl w:val="0"/>
      <w:tabs>
        <w:tab w:val="left" w:pos="1304"/>
      </w:tabs>
      <w:spacing w:before="156" w:beforeLines="50" w:after="156" w:afterLines="50" w:line="276" w:lineRule="auto"/>
      <w:ind w:left="1304" w:hanging="397"/>
      <w:jc w:val="both"/>
    </w:pPr>
    <w:rPr>
      <w:rFonts w:ascii="Arial" w:hAnsi="Arial"/>
      <w:kern w:val="2"/>
      <w:szCs w:val="20"/>
    </w:rPr>
  </w:style>
  <w:style w:type="paragraph" w:customStyle="1" w:styleId="190">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91">
    <w:name w:val="Char1 Char Char Char Char Char Char"/>
    <w:basedOn w:val="1"/>
    <w:autoRedefine/>
    <w:qFormat/>
    <w:uiPriority w:val="0"/>
    <w:pPr>
      <w:widowControl w:val="0"/>
      <w:jc w:val="both"/>
    </w:pPr>
    <w:rPr>
      <w:rFonts w:ascii="Tahoma" w:hAnsi="Tahoma"/>
      <w:kern w:val="2"/>
      <w:szCs w:val="20"/>
    </w:rPr>
  </w:style>
  <w:style w:type="paragraph" w:customStyle="1" w:styleId="192">
    <w:name w:val="Char Char11"/>
    <w:basedOn w:val="1"/>
    <w:next w:val="1"/>
    <w:autoRedefine/>
    <w:qFormat/>
    <w:uiPriority w:val="0"/>
    <w:pPr>
      <w:widowControl w:val="0"/>
      <w:spacing w:line="240" w:lineRule="atLeast"/>
      <w:ind w:left="420" w:firstLine="420"/>
    </w:pPr>
    <w:rPr>
      <w:rFonts w:ascii="楷体_GB2312" w:hAnsi="宋体" w:eastAsia="楷体_GB2312"/>
      <w:color w:val="000000"/>
      <w:sz w:val="28"/>
      <w:szCs w:val="20"/>
    </w:rPr>
  </w:style>
  <w:style w:type="paragraph" w:customStyle="1" w:styleId="193">
    <w:name w:val="Table Text"/>
    <w:basedOn w:val="1"/>
    <w:autoRedefine/>
    <w:qFormat/>
    <w:uiPriority w:val="0"/>
    <w:pPr>
      <w:spacing w:before="60" w:after="60"/>
    </w:pPr>
    <w:rPr>
      <w:sz w:val="21"/>
    </w:rPr>
  </w:style>
  <w:style w:type="paragraph" w:customStyle="1" w:styleId="194">
    <w:name w:val="Char Char Char Char Char Char1 Char"/>
    <w:basedOn w:val="17"/>
    <w:autoRedefine/>
    <w:qFormat/>
    <w:uiPriority w:val="0"/>
    <w:pPr>
      <w:widowControl w:val="0"/>
      <w:jc w:val="both"/>
    </w:pPr>
    <w:rPr>
      <w:rFonts w:ascii="Tahoma" w:hAnsi="Tahoma"/>
      <w:kern w:val="2"/>
    </w:rPr>
  </w:style>
  <w:style w:type="paragraph" w:customStyle="1" w:styleId="195">
    <w:name w:val="样式 首行缩进:  2 字符"/>
    <w:basedOn w:val="1"/>
    <w:autoRedefine/>
    <w:qFormat/>
    <w:uiPriority w:val="0"/>
    <w:pPr>
      <w:widowControl w:val="0"/>
      <w:ind w:firstLine="420" w:firstLineChars="200"/>
      <w:jc w:val="both"/>
    </w:pPr>
    <w:rPr>
      <w:rFonts w:cs="宋体"/>
      <w:kern w:val="2"/>
      <w:sz w:val="21"/>
      <w:szCs w:val="20"/>
    </w:rPr>
  </w:style>
  <w:style w:type="paragraph" w:customStyle="1" w:styleId="196">
    <w:name w:val="font7"/>
    <w:basedOn w:val="1"/>
    <w:autoRedefine/>
    <w:qFormat/>
    <w:uiPriority w:val="0"/>
    <w:pPr>
      <w:spacing w:before="100" w:beforeAutospacing="1" w:after="100" w:afterAutospacing="1"/>
    </w:pPr>
    <w:rPr>
      <w:rFonts w:ascii="宋体" w:hAnsi="宋体" w:cs="宋体"/>
      <w:color w:val="000000"/>
      <w:sz w:val="22"/>
      <w:szCs w:val="22"/>
    </w:rPr>
  </w:style>
  <w:style w:type="paragraph" w:customStyle="1" w:styleId="197">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98">
    <w:name w:val="1 Char Char Char Char"/>
    <w:basedOn w:val="1"/>
    <w:autoRedefine/>
    <w:qFormat/>
    <w:uiPriority w:val="0"/>
    <w:pPr>
      <w:widowControl w:val="0"/>
      <w:jc w:val="both"/>
    </w:pPr>
    <w:rPr>
      <w:rFonts w:ascii="Tahoma" w:hAnsi="Tahoma"/>
      <w:kern w:val="2"/>
      <w:szCs w:val="20"/>
    </w:rPr>
  </w:style>
  <w:style w:type="paragraph" w:customStyle="1" w:styleId="199">
    <w:name w:val="页脚 New"/>
    <w:basedOn w:val="180"/>
    <w:autoRedefine/>
    <w:qFormat/>
    <w:uiPriority w:val="0"/>
    <w:pPr>
      <w:tabs>
        <w:tab w:val="center" w:pos="4153"/>
        <w:tab w:val="right" w:pos="8306"/>
      </w:tabs>
      <w:snapToGrid w:val="0"/>
      <w:jc w:val="left"/>
    </w:pPr>
    <w:rPr>
      <w:sz w:val="18"/>
      <w:szCs w:val="18"/>
    </w:rPr>
  </w:style>
  <w:style w:type="paragraph" w:customStyle="1" w:styleId="200">
    <w:name w:val="大纲正文"/>
    <w:basedOn w:val="1"/>
    <w:autoRedefine/>
    <w:qFormat/>
    <w:uiPriority w:val="0"/>
    <w:pPr>
      <w:widowControl w:val="0"/>
      <w:spacing w:line="360" w:lineRule="auto"/>
      <w:ind w:firstLine="480" w:firstLineChars="200"/>
      <w:jc w:val="both"/>
    </w:pPr>
    <w:rPr>
      <w:kern w:val="2"/>
      <w:szCs w:val="20"/>
    </w:rPr>
  </w:style>
  <w:style w:type="paragraph" w:customStyle="1" w:styleId="201">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02">
    <w:name w:val="样式3"/>
    <w:basedOn w:val="25"/>
    <w:autoRedefine/>
    <w:qFormat/>
    <w:uiPriority w:val="0"/>
    <w:pPr>
      <w:autoSpaceDE/>
      <w:autoSpaceDN/>
      <w:adjustRightInd/>
      <w:spacing w:line="0" w:lineRule="atLeast"/>
      <w:outlineLvl w:val="0"/>
    </w:pPr>
    <w:rPr>
      <w:rFonts w:hAnsi="Courier New"/>
      <w:kern w:val="2"/>
      <w:sz w:val="28"/>
    </w:rPr>
  </w:style>
  <w:style w:type="paragraph" w:customStyle="1" w:styleId="203">
    <w:name w:val="xl9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204">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06">
    <w:name w:val="表格题注"/>
    <w:next w:val="1"/>
    <w:autoRedefine/>
    <w:qFormat/>
    <w:uiPriority w:val="0"/>
    <w:pPr>
      <w:keepLines/>
      <w:numPr>
        <w:ilvl w:val="8"/>
        <w:numId w:val="1"/>
      </w:numPr>
      <w:tabs>
        <w:tab w:val="left" w:pos="1559"/>
        <w:tab w:val="clear" w:pos="5399"/>
      </w:tabs>
      <w:spacing w:before="312" w:beforeLines="100"/>
      <w:jc w:val="center"/>
    </w:pPr>
    <w:rPr>
      <w:rFonts w:ascii="Arial" w:hAnsi="Arial" w:eastAsia="宋体" w:cs="Times New Roman"/>
      <w:sz w:val="18"/>
      <w:lang w:val="en-US" w:eastAsia="zh-CN" w:bidi="ar-SA"/>
    </w:rPr>
  </w:style>
  <w:style w:type="paragraph" w:customStyle="1" w:styleId="207">
    <w:name w:val="标题 4[858D7CFB-ED40-4347-BF05-701D383B685F][858D7CFB-ED40-4347-BF05-701D383B685F]"/>
    <w:basedOn w:val="1"/>
    <w:autoRedefine/>
    <w:qFormat/>
    <w:uiPriority w:val="0"/>
    <w:pPr>
      <w:numPr>
        <w:ilvl w:val="3"/>
        <w:numId w:val="1"/>
      </w:numPr>
    </w:pPr>
  </w:style>
  <w:style w:type="paragraph" w:customStyle="1" w:styleId="208">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09">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页脚 New New New New New New New New New New New"/>
    <w:basedOn w:val="211"/>
    <w:autoRedefine/>
    <w:qFormat/>
    <w:uiPriority w:val="0"/>
    <w:pPr>
      <w:tabs>
        <w:tab w:val="center" w:pos="4153"/>
        <w:tab w:val="right" w:pos="8306"/>
      </w:tabs>
      <w:snapToGrid w:val="0"/>
      <w:jc w:val="left"/>
    </w:pPr>
    <w:rPr>
      <w:sz w:val="18"/>
      <w:szCs w:val="18"/>
    </w:rPr>
  </w:style>
  <w:style w:type="paragraph" w:customStyle="1" w:styleId="211">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1 Char"/>
    <w:basedOn w:val="1"/>
    <w:autoRedefine/>
    <w:qFormat/>
    <w:uiPriority w:val="0"/>
    <w:pPr>
      <w:spacing w:after="160" w:line="240" w:lineRule="exact"/>
    </w:pPr>
    <w:rPr>
      <w:rFonts w:ascii="Tahoma" w:hAnsi="Tahoma" w:eastAsia="Times New Roman"/>
      <w:lang w:eastAsia="en-US"/>
    </w:rPr>
  </w:style>
  <w:style w:type="paragraph" w:customStyle="1" w:styleId="213">
    <w:name w:val="条目正文"/>
    <w:basedOn w:val="1"/>
    <w:autoRedefine/>
    <w:qFormat/>
    <w:uiPriority w:val="0"/>
    <w:pPr>
      <w:widowControl w:val="0"/>
      <w:numPr>
        <w:ilvl w:val="0"/>
        <w:numId w:val="5"/>
      </w:numPr>
      <w:tabs>
        <w:tab w:val="left" w:pos="1050"/>
        <w:tab w:val="clear" w:pos="1230"/>
      </w:tabs>
      <w:spacing w:after="120" w:line="360" w:lineRule="auto"/>
      <w:ind w:left="1050" w:hanging="450"/>
      <w:jc w:val="both"/>
    </w:pPr>
    <w:rPr>
      <w:rFonts w:ascii="宋体" w:hAnsi="Arial" w:cs="Arial"/>
      <w:szCs w:val="20"/>
    </w:rPr>
  </w:style>
  <w:style w:type="paragraph" w:customStyle="1" w:styleId="214">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15">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16">
    <w:name w:val="正文 首行缩进:  2 字符 Char Char"/>
    <w:basedOn w:val="1"/>
    <w:autoRedefine/>
    <w:qFormat/>
    <w:uiPriority w:val="0"/>
    <w:pPr>
      <w:widowControl w:val="0"/>
      <w:spacing w:line="360" w:lineRule="auto"/>
      <w:ind w:firstLine="480"/>
      <w:jc w:val="both"/>
    </w:pPr>
    <w:rPr>
      <w:kern w:val="2"/>
      <w:szCs w:val="20"/>
    </w:rPr>
  </w:style>
  <w:style w:type="paragraph" w:customStyle="1" w:styleId="217">
    <w:name w:val="MM Topic 6"/>
    <w:basedOn w:val="8"/>
    <w:autoRedefine/>
    <w:qFormat/>
    <w:uiPriority w:val="0"/>
    <w:pPr>
      <w:numPr>
        <w:numId w:val="0"/>
      </w:numPr>
      <w:tabs>
        <w:tab w:val="left" w:pos="3260"/>
        <w:tab w:val="clear" w:pos="4974"/>
      </w:tabs>
      <w:spacing w:line="317" w:lineRule="auto"/>
    </w:pPr>
    <w:rPr>
      <w:bCs w:val="0"/>
      <w:sz w:val="28"/>
      <w:szCs w:val="20"/>
    </w:rPr>
  </w:style>
  <w:style w:type="paragraph" w:customStyle="1" w:styleId="21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xl9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220">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221">
    <w:name w:val="font10"/>
    <w:basedOn w:val="1"/>
    <w:autoRedefine/>
    <w:qFormat/>
    <w:uiPriority w:val="0"/>
    <w:pPr>
      <w:spacing w:before="100" w:beforeAutospacing="1" w:after="100" w:afterAutospacing="1"/>
    </w:pPr>
    <w:rPr>
      <w:rFonts w:ascii="宋体" w:hAnsi="宋体" w:cs="宋体"/>
      <w:color w:val="000000"/>
      <w:sz w:val="22"/>
      <w:szCs w:val="22"/>
    </w:rPr>
  </w:style>
  <w:style w:type="paragraph" w:customStyle="1" w:styleId="222">
    <w:name w:val="style6"/>
    <w:basedOn w:val="1"/>
    <w:autoRedefine/>
    <w:qFormat/>
    <w:uiPriority w:val="0"/>
    <w:pPr>
      <w:spacing w:before="100" w:beforeAutospacing="1" w:after="100" w:afterAutospacing="1" w:line="375" w:lineRule="atLeast"/>
    </w:pPr>
    <w:rPr>
      <w:rFonts w:ascii="Arial" w:hAnsi="Arial" w:cs="Arial"/>
      <w:color w:val="003399"/>
      <w:sz w:val="18"/>
      <w:szCs w:val="18"/>
    </w:rPr>
  </w:style>
  <w:style w:type="paragraph" w:customStyle="1" w:styleId="223">
    <w:name w:val="页眉 New New New New New New New New New New"/>
    <w:basedOn w:val="22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24">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xl10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26">
    <w:name w:val="gb_master正文"/>
    <w:basedOn w:val="1"/>
    <w:autoRedefine/>
    <w:qFormat/>
    <w:uiPriority w:val="0"/>
    <w:pPr>
      <w:widowControl w:val="0"/>
      <w:ind w:firstLine="200" w:firstLineChars="200"/>
      <w:jc w:val="both"/>
    </w:pPr>
    <w:rPr>
      <w:kern w:val="2"/>
      <w:sz w:val="21"/>
    </w:rPr>
  </w:style>
  <w:style w:type="paragraph" w:customStyle="1" w:styleId="227">
    <w:name w:val="MM Topic 3"/>
    <w:basedOn w:val="5"/>
    <w:autoRedefine/>
    <w:qFormat/>
    <w:uiPriority w:val="0"/>
    <w:pPr>
      <w:numPr>
        <w:numId w:val="0"/>
      </w:numPr>
      <w:tabs>
        <w:tab w:val="left" w:pos="1418"/>
        <w:tab w:val="clear" w:pos="900"/>
      </w:tabs>
    </w:pPr>
    <w:rPr>
      <w:rFonts w:ascii="Times New Roman" w:hAnsi="Times New Roman"/>
      <w:bCs w:val="0"/>
      <w:szCs w:val="20"/>
    </w:rPr>
  </w:style>
  <w:style w:type="paragraph" w:customStyle="1" w:styleId="228">
    <w:name w:val="xl111"/>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229">
    <w:name w:val="正文段落"/>
    <w:basedOn w:val="1"/>
    <w:autoRedefine/>
    <w:qFormat/>
    <w:uiPriority w:val="0"/>
    <w:pPr>
      <w:widowControl w:val="0"/>
      <w:spacing w:line="300" w:lineRule="auto"/>
      <w:ind w:firstLine="510"/>
      <w:jc w:val="both"/>
    </w:pPr>
    <w:rPr>
      <w:kern w:val="2"/>
      <w:szCs w:val="20"/>
    </w:rPr>
  </w:style>
  <w:style w:type="paragraph" w:customStyle="1" w:styleId="230">
    <w:name w:val="table head"/>
    <w:basedOn w:val="1"/>
    <w:autoRedefine/>
    <w:qFormat/>
    <w:uiPriority w:val="0"/>
    <w:pPr>
      <w:keepNext/>
      <w:keepLines/>
      <w:widowControl w:val="0"/>
      <w:adjustRightInd w:val="0"/>
      <w:spacing w:line="312" w:lineRule="atLeast"/>
      <w:jc w:val="center"/>
      <w:textAlignment w:val="baseline"/>
    </w:pPr>
    <w:rPr>
      <w:b/>
      <w:sz w:val="21"/>
      <w:szCs w:val="20"/>
    </w:rPr>
  </w:style>
  <w:style w:type="paragraph" w:customStyle="1" w:styleId="231">
    <w:name w:val="xl78"/>
    <w:basedOn w:val="1"/>
    <w:autoRedefine/>
    <w:qFormat/>
    <w:uiPriority w:val="0"/>
    <w:pPr>
      <w:spacing w:before="100" w:beforeAutospacing="1" w:after="100" w:afterAutospacing="1"/>
      <w:jc w:val="center"/>
    </w:pPr>
    <w:rPr>
      <w:rFonts w:ascii="宋体" w:hAnsi="宋体" w:cs="宋体"/>
    </w:rPr>
  </w:style>
  <w:style w:type="paragraph" w:customStyle="1" w:styleId="232">
    <w:name w:val="默认段落字体 Para Char Char"/>
    <w:basedOn w:val="1"/>
    <w:autoRedefine/>
    <w:qFormat/>
    <w:uiPriority w:val="0"/>
    <w:pPr>
      <w:widowControl w:val="0"/>
      <w:jc w:val="both"/>
    </w:pPr>
    <w:rPr>
      <w:kern w:val="2"/>
      <w:sz w:val="21"/>
      <w:szCs w:val="20"/>
    </w:rPr>
  </w:style>
  <w:style w:type="paragraph" w:customStyle="1" w:styleId="233">
    <w:name w:val="MM Topic 8"/>
    <w:basedOn w:val="10"/>
    <w:autoRedefine/>
    <w:qFormat/>
    <w:uiPriority w:val="0"/>
    <w:pPr>
      <w:tabs>
        <w:tab w:val="left" w:pos="4394"/>
      </w:tabs>
    </w:pPr>
  </w:style>
  <w:style w:type="paragraph" w:customStyle="1" w:styleId="234">
    <w:name w:val="Char1"/>
    <w:basedOn w:val="1"/>
    <w:next w:val="1"/>
    <w:autoRedefine/>
    <w:qFormat/>
    <w:uiPriority w:val="0"/>
    <w:pPr>
      <w:widowControl w:val="0"/>
      <w:spacing w:line="240" w:lineRule="atLeast"/>
      <w:ind w:left="420" w:firstLine="420"/>
    </w:pPr>
    <w:rPr>
      <w:sz w:val="21"/>
      <w:szCs w:val="21"/>
    </w:rPr>
  </w:style>
  <w:style w:type="paragraph" w:customStyle="1" w:styleId="235">
    <w:name w:val="标题样式"/>
    <w:basedOn w:val="1"/>
    <w:autoRedefine/>
    <w:qFormat/>
    <w:uiPriority w:val="0"/>
    <w:pPr>
      <w:widowControl w:val="0"/>
      <w:tabs>
        <w:tab w:val="left" w:pos="420"/>
      </w:tabs>
      <w:spacing w:line="360" w:lineRule="auto"/>
      <w:jc w:val="both"/>
    </w:pPr>
    <w:rPr>
      <w:rFonts w:ascii="宋体" w:hAnsi="宋体"/>
      <w:kern w:val="2"/>
      <w:szCs w:val="20"/>
    </w:rPr>
  </w:style>
  <w:style w:type="paragraph" w:customStyle="1" w:styleId="236">
    <w:name w:val="正文文本 21"/>
    <w:basedOn w:val="1"/>
    <w:autoRedefine/>
    <w:qFormat/>
    <w:uiPriority w:val="0"/>
    <w:pPr>
      <w:widowControl w:val="0"/>
      <w:adjustRightInd w:val="0"/>
      <w:spacing w:line="300" w:lineRule="auto"/>
      <w:jc w:val="center"/>
      <w:textAlignment w:val="baseline"/>
    </w:pPr>
    <w:rPr>
      <w:rFonts w:ascii="宋体" w:hAnsi="宋体"/>
      <w:kern w:val="2"/>
      <w:szCs w:val="20"/>
    </w:rPr>
  </w:style>
  <w:style w:type="paragraph" w:customStyle="1" w:styleId="23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38">
    <w:name w:val="页脚 New New New New New New New New New New New New New New New New"/>
    <w:basedOn w:val="239"/>
    <w:autoRedefine/>
    <w:qFormat/>
    <w:uiPriority w:val="0"/>
    <w:pPr>
      <w:tabs>
        <w:tab w:val="center" w:pos="4153"/>
        <w:tab w:val="right" w:pos="8306"/>
      </w:tabs>
      <w:snapToGrid w:val="0"/>
      <w:jc w:val="left"/>
    </w:pPr>
    <w:rPr>
      <w:sz w:val="18"/>
      <w:szCs w:val="18"/>
    </w:rPr>
  </w:style>
  <w:style w:type="paragraph" w:customStyle="1" w:styleId="239">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WW-正文（首行缩进两字）"/>
    <w:basedOn w:val="1"/>
    <w:autoRedefine/>
    <w:qFormat/>
    <w:uiPriority w:val="0"/>
    <w:pPr>
      <w:widowControl w:val="0"/>
      <w:autoSpaceDE w:val="0"/>
      <w:autoSpaceDN w:val="0"/>
      <w:adjustRightInd w:val="0"/>
      <w:ind w:firstLine="420"/>
      <w:jc w:val="both"/>
    </w:pPr>
    <w:rPr>
      <w:sz w:val="21"/>
      <w:szCs w:val="21"/>
    </w:rPr>
  </w:style>
  <w:style w:type="paragraph" w:customStyle="1" w:styleId="241">
    <w:name w:val="Char Char Char"/>
    <w:basedOn w:val="1"/>
    <w:autoRedefine/>
    <w:qFormat/>
    <w:uiPriority w:val="0"/>
    <w:pPr>
      <w:widowControl w:val="0"/>
      <w:jc w:val="both"/>
    </w:pPr>
    <w:rPr>
      <w:rFonts w:ascii="Tahoma" w:hAnsi="Tahoma"/>
      <w:kern w:val="2"/>
      <w:szCs w:val="20"/>
    </w:rPr>
  </w:style>
  <w:style w:type="paragraph" w:customStyle="1" w:styleId="242">
    <w:name w:val="pa-106"/>
    <w:basedOn w:val="1"/>
    <w:autoRedefine/>
    <w:qFormat/>
    <w:uiPriority w:val="0"/>
    <w:pPr>
      <w:spacing w:line="360" w:lineRule="atLeast"/>
      <w:ind w:firstLine="460"/>
      <w:jc w:val="both"/>
    </w:pPr>
    <w:rPr>
      <w:rFonts w:ascii="宋体" w:hAnsi="宋体" w:cs="宋体"/>
    </w:rPr>
  </w:style>
  <w:style w:type="paragraph" w:customStyle="1" w:styleId="243">
    <w:name w:val="默认段落字体 Para Char Char Char1 Char"/>
    <w:basedOn w:val="1"/>
    <w:next w:val="1"/>
    <w:autoRedefine/>
    <w:qFormat/>
    <w:uiPriority w:val="0"/>
    <w:pPr>
      <w:widowControl w:val="0"/>
      <w:spacing w:line="240" w:lineRule="atLeast"/>
      <w:ind w:left="420" w:firstLine="420"/>
    </w:pPr>
    <w:rPr>
      <w:sz w:val="21"/>
      <w:szCs w:val="21"/>
    </w:rPr>
  </w:style>
  <w:style w:type="paragraph" w:customStyle="1" w:styleId="244">
    <w:name w:val="xl101"/>
    <w:basedOn w:val="1"/>
    <w:autoRedefine/>
    <w:qFormat/>
    <w:uiPriority w:val="0"/>
    <w:pPr>
      <w:spacing w:before="100" w:beforeAutospacing="1" w:after="100" w:afterAutospacing="1"/>
    </w:pPr>
    <w:rPr>
      <w:rFonts w:ascii="宋体" w:hAnsi="宋体" w:cs="宋体"/>
      <w:sz w:val="20"/>
      <w:szCs w:val="20"/>
    </w:rPr>
  </w:style>
  <w:style w:type="paragraph" w:customStyle="1" w:styleId="245">
    <w:name w:val="xl107"/>
    <w:basedOn w:val="1"/>
    <w:autoRedefine/>
    <w:qFormat/>
    <w:uiPriority w:val="0"/>
    <w:pPr>
      <w:spacing w:before="100" w:beforeAutospacing="1" w:after="100" w:afterAutospacing="1"/>
      <w:jc w:val="center"/>
    </w:pPr>
    <w:rPr>
      <w:rFonts w:ascii="宋体" w:hAnsi="宋体" w:cs="宋体"/>
      <w:b/>
      <w:bCs/>
      <w:sz w:val="20"/>
      <w:szCs w:val="20"/>
    </w:rPr>
  </w:style>
  <w:style w:type="paragraph" w:customStyle="1" w:styleId="246">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47">
    <w:name w:val="_Style 16"/>
    <w:basedOn w:val="1"/>
    <w:autoRedefine/>
    <w:qFormat/>
    <w:uiPriority w:val="0"/>
  </w:style>
  <w:style w:type="paragraph" w:customStyle="1" w:styleId="248">
    <w:name w:val="Table Paragraph"/>
    <w:basedOn w:val="1"/>
    <w:autoRedefine/>
    <w:qFormat/>
    <w:uiPriority w:val="1"/>
    <w:rPr>
      <w:sz w:val="22"/>
      <w:lang w:eastAsia="en-US"/>
    </w:rPr>
  </w:style>
  <w:style w:type="paragraph" w:customStyle="1" w:styleId="249">
    <w:name w:val="MM Topic 2"/>
    <w:basedOn w:val="4"/>
    <w:autoRedefine/>
    <w:qFormat/>
    <w:uiPriority w:val="0"/>
    <w:pPr>
      <w:tabs>
        <w:tab w:val="left" w:pos="992"/>
        <w:tab w:val="clear" w:pos="720"/>
      </w:tabs>
    </w:pPr>
    <w:rPr>
      <w:rFonts w:ascii="Arial" w:cs="Times New Roman"/>
      <w:bCs w:val="0"/>
      <w:iCs w:val="0"/>
      <w:color w:val="000000"/>
      <w:kern w:val="2"/>
      <w:szCs w:val="20"/>
    </w:rPr>
  </w:style>
  <w:style w:type="paragraph" w:customStyle="1" w:styleId="250">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51">
    <w:name w:val="MM Title"/>
    <w:basedOn w:val="1"/>
    <w:autoRedefine/>
    <w:qFormat/>
    <w:uiPriority w:val="0"/>
    <w:pPr>
      <w:widowControl w:val="0"/>
      <w:spacing w:before="240" w:after="60"/>
      <w:jc w:val="center"/>
      <w:outlineLvl w:val="0"/>
    </w:pPr>
    <w:rPr>
      <w:rFonts w:ascii="Arial" w:hAnsi="Arial"/>
      <w:b/>
      <w:kern w:val="2"/>
      <w:sz w:val="32"/>
      <w:szCs w:val="20"/>
    </w:rPr>
  </w:style>
  <w:style w:type="paragraph" w:customStyle="1" w:styleId="252">
    <w:name w:val="MM Topic 7"/>
    <w:basedOn w:val="9"/>
    <w:autoRedefine/>
    <w:qFormat/>
    <w:uiPriority w:val="0"/>
    <w:pPr>
      <w:keepLines/>
      <w:widowControl w:val="0"/>
      <w:tabs>
        <w:tab w:val="left" w:pos="3827"/>
        <w:tab w:val="clear" w:pos="3600"/>
      </w:tabs>
      <w:spacing w:before="240" w:after="64" w:line="317" w:lineRule="auto"/>
      <w:jc w:val="both"/>
    </w:pPr>
    <w:rPr>
      <w:rFonts w:ascii="Times New Roman" w:hAnsi="Times New Roman"/>
      <w:kern w:val="2"/>
      <w:sz w:val="24"/>
      <w:lang w:eastAsia="zh-CN"/>
    </w:rPr>
  </w:style>
  <w:style w:type="paragraph" w:customStyle="1" w:styleId="253">
    <w:name w:val="MM Topic 9"/>
    <w:basedOn w:val="11"/>
    <w:autoRedefine/>
    <w:qFormat/>
    <w:uiPriority w:val="0"/>
    <w:pPr>
      <w:tabs>
        <w:tab w:val="left" w:pos="5102"/>
      </w:tabs>
    </w:pPr>
  </w:style>
  <w:style w:type="paragraph" w:customStyle="1" w:styleId="254">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255">
    <w:name w:val="页脚 New New New New New New New New New New New New New New New"/>
    <w:basedOn w:val="256"/>
    <w:autoRedefine/>
    <w:qFormat/>
    <w:uiPriority w:val="0"/>
    <w:pPr>
      <w:tabs>
        <w:tab w:val="center" w:pos="4153"/>
        <w:tab w:val="right" w:pos="8306"/>
      </w:tabs>
      <w:snapToGrid w:val="0"/>
      <w:jc w:val="left"/>
    </w:pPr>
    <w:rPr>
      <w:sz w:val="18"/>
      <w:szCs w:val="18"/>
    </w:rPr>
  </w:style>
  <w:style w:type="paragraph" w:customStyle="1" w:styleId="256">
    <w:name w:val="正文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Char Char1 Char Char Char Char Char Char Char Char Char Char Char Char Char Char Char"/>
    <w:basedOn w:val="1"/>
    <w:autoRedefine/>
    <w:qFormat/>
    <w:uiPriority w:val="0"/>
    <w:pPr>
      <w:spacing w:after="160" w:line="240" w:lineRule="exact"/>
    </w:pPr>
    <w:rPr>
      <w:rFonts w:ascii="Verdana" w:hAnsi="Verdana"/>
      <w:sz w:val="20"/>
      <w:szCs w:val="20"/>
      <w:lang w:eastAsia="en-US"/>
    </w:rPr>
  </w:style>
  <w:style w:type="paragraph" w:customStyle="1" w:styleId="258">
    <w:name w:val="页脚 New New New New"/>
    <w:basedOn w:val="259"/>
    <w:autoRedefine/>
    <w:qFormat/>
    <w:uiPriority w:val="0"/>
    <w:pPr>
      <w:tabs>
        <w:tab w:val="center" w:pos="4153"/>
        <w:tab w:val="right" w:pos="8306"/>
      </w:tabs>
      <w:snapToGrid w:val="0"/>
      <w:jc w:val="left"/>
    </w:pPr>
    <w:rPr>
      <w:sz w:val="18"/>
      <w:szCs w:val="18"/>
    </w:rPr>
  </w:style>
  <w:style w:type="paragraph" w:customStyle="1" w:styleId="259">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页脚 New New New New New"/>
    <w:basedOn w:val="261"/>
    <w:autoRedefine/>
    <w:qFormat/>
    <w:uiPriority w:val="0"/>
    <w:pPr>
      <w:tabs>
        <w:tab w:val="center" w:pos="4153"/>
        <w:tab w:val="right" w:pos="8306"/>
      </w:tabs>
      <w:snapToGrid w:val="0"/>
      <w:jc w:val="left"/>
    </w:pPr>
    <w:rPr>
      <w:sz w:val="18"/>
      <w:szCs w:val="18"/>
    </w:rPr>
  </w:style>
  <w:style w:type="paragraph" w:customStyle="1" w:styleId="261">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页眉 New New New New New New New"/>
    <w:basedOn w:val="17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3">
    <w:name w:val="页眉 New New New New New New New New New New New New"/>
    <w:basedOn w:val="17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4">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65">
    <w:name w:val="页眉 New New New New New"/>
    <w:basedOn w:val="26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6">
    <w:name w:val="正文2"/>
    <w:basedOn w:val="1"/>
    <w:autoRedefine/>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267">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26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页眉 New New New New New New New New New New New New New New New New"/>
    <w:basedOn w:val="23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0">
    <w:name w:val="列出段落11"/>
    <w:basedOn w:val="1"/>
    <w:autoRedefine/>
    <w:qFormat/>
    <w:uiPriority w:val="34"/>
    <w:pPr>
      <w:ind w:firstLine="420" w:firstLineChars="200"/>
    </w:pPr>
    <w:rPr>
      <w:rFonts w:ascii="宋体" w:hAnsi="Calibri"/>
    </w:rPr>
  </w:style>
  <w:style w:type="paragraph" w:customStyle="1" w:styleId="271">
    <w:name w:val="Char"/>
    <w:basedOn w:val="1"/>
    <w:autoRedefine/>
    <w:qFormat/>
    <w:uiPriority w:val="0"/>
    <w:pPr>
      <w:spacing w:after="160" w:line="240" w:lineRule="exact"/>
    </w:pPr>
    <w:rPr>
      <w:rFonts w:ascii="Tahoma" w:hAnsi="Tahoma"/>
      <w:kern w:val="2"/>
      <w:lang w:eastAsia="en-US"/>
    </w:rPr>
  </w:style>
  <w:style w:type="paragraph" w:customStyle="1" w:styleId="272">
    <w:name w:val="内容1"/>
    <w:basedOn w:val="1"/>
    <w:autoRedefine/>
    <w:qFormat/>
    <w:uiPriority w:val="0"/>
    <w:pPr>
      <w:spacing w:line="360" w:lineRule="auto"/>
      <w:ind w:firstLine="480" w:firstLineChars="200"/>
    </w:pPr>
  </w:style>
  <w:style w:type="paragraph" w:customStyle="1" w:styleId="273">
    <w:name w:val="xl114"/>
    <w:basedOn w:val="1"/>
    <w:autoRedefine/>
    <w:qFormat/>
    <w:uiPriority w:val="0"/>
    <w:pPr>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274">
    <w:name w:val="页眉 New New New New New New New New New New New"/>
    <w:basedOn w:val="21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5">
    <w:name w:val="页眉 New New New New New New New New New"/>
    <w:basedOn w:val="20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6">
    <w:name w:val="style3"/>
    <w:basedOn w:val="1"/>
    <w:autoRedefine/>
    <w:qFormat/>
    <w:uiPriority w:val="0"/>
    <w:pPr>
      <w:spacing w:before="100" w:beforeAutospacing="1" w:after="100" w:afterAutospacing="1" w:line="450" w:lineRule="atLeast"/>
    </w:pPr>
    <w:rPr>
      <w:rFonts w:ascii="Arial" w:hAnsi="Arial" w:cs="Arial"/>
      <w:b/>
      <w:bCs/>
      <w:sz w:val="21"/>
      <w:szCs w:val="21"/>
    </w:rPr>
  </w:style>
  <w:style w:type="paragraph" w:customStyle="1" w:styleId="277">
    <w:name w:val="页眉 New New New New New New New New New New New New New New New"/>
    <w:basedOn w:val="25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8">
    <w:name w:val="表格文字"/>
    <w:basedOn w:val="1"/>
    <w:autoRedefine/>
    <w:qFormat/>
    <w:uiPriority w:val="0"/>
    <w:pPr>
      <w:widowControl w:val="0"/>
      <w:spacing w:before="78" w:beforeLines="25" w:after="78" w:afterLines="25"/>
      <w:jc w:val="both"/>
    </w:pPr>
    <w:rPr>
      <w:rFonts w:ascii="Times New (W1)" w:hAnsi="Times New (W1)"/>
      <w:spacing w:val="10"/>
      <w:kern w:val="2"/>
      <w:sz w:val="21"/>
      <w:szCs w:val="20"/>
    </w:rPr>
  </w:style>
  <w:style w:type="paragraph" w:customStyle="1" w:styleId="279">
    <w:name w:val="页眉 New New New New New New"/>
    <w:basedOn w:val="28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80">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p0"/>
    <w:basedOn w:val="1"/>
    <w:autoRedefine/>
    <w:qFormat/>
    <w:uiPriority w:val="0"/>
    <w:pPr>
      <w:jc w:val="both"/>
    </w:pPr>
    <w:rPr>
      <w:sz w:val="21"/>
      <w:szCs w:val="20"/>
    </w:rPr>
  </w:style>
  <w:style w:type="paragraph" w:customStyle="1" w:styleId="282">
    <w:name w:val="plaintext"/>
    <w:basedOn w:val="1"/>
    <w:autoRedefine/>
    <w:qFormat/>
    <w:uiPriority w:val="0"/>
    <w:pPr>
      <w:spacing w:before="100" w:beforeAutospacing="1" w:after="100" w:afterAutospacing="1"/>
    </w:pPr>
    <w:rPr>
      <w:rFonts w:ascii="宋体" w:hAnsi="宋体"/>
    </w:rPr>
  </w:style>
  <w:style w:type="paragraph" w:customStyle="1" w:styleId="283">
    <w:name w:val="文字"/>
    <w:basedOn w:val="1"/>
    <w:autoRedefine/>
    <w:qFormat/>
    <w:uiPriority w:val="0"/>
    <w:pPr>
      <w:widowControl w:val="0"/>
      <w:tabs>
        <w:tab w:val="left" w:pos="8520"/>
      </w:tabs>
      <w:spacing w:line="312" w:lineRule="auto"/>
      <w:ind w:right="-210" w:firstLine="556"/>
      <w:jc w:val="both"/>
    </w:pPr>
    <w:rPr>
      <w:rFonts w:ascii="楷体_GB2312" w:eastAsia="楷体_GB2312"/>
      <w:kern w:val="2"/>
      <w:sz w:val="28"/>
      <w:szCs w:val="20"/>
    </w:rPr>
  </w:style>
  <w:style w:type="paragraph" w:customStyle="1" w:styleId="284">
    <w:name w:val="列表段落1"/>
    <w:basedOn w:val="1"/>
    <w:autoRedefine/>
    <w:qFormat/>
    <w:uiPriority w:val="0"/>
    <w:pPr>
      <w:widowControl w:val="0"/>
      <w:ind w:firstLine="420" w:firstLineChars="200"/>
      <w:jc w:val="both"/>
    </w:pPr>
    <w:rPr>
      <w:kern w:val="2"/>
      <w:sz w:val="21"/>
      <w:szCs w:val="22"/>
    </w:rPr>
  </w:style>
  <w:style w:type="paragraph" w:customStyle="1" w:styleId="285">
    <w:name w:val="正文首行缩进两字符"/>
    <w:basedOn w:val="1"/>
    <w:autoRedefine/>
    <w:qFormat/>
    <w:uiPriority w:val="0"/>
    <w:pPr>
      <w:widowControl w:val="0"/>
      <w:spacing w:line="360" w:lineRule="auto"/>
      <w:ind w:firstLine="200" w:firstLineChars="200"/>
      <w:jc w:val="both"/>
    </w:pPr>
    <w:rPr>
      <w:kern w:val="2"/>
      <w:sz w:val="21"/>
      <w:szCs w:val="20"/>
    </w:rPr>
  </w:style>
  <w:style w:type="paragraph" w:customStyle="1" w:styleId="286">
    <w:name w:val="文章正文 Char Char1"/>
    <w:basedOn w:val="1"/>
    <w:autoRedefine/>
    <w:qFormat/>
    <w:uiPriority w:val="0"/>
    <w:pPr>
      <w:widowControl w:val="0"/>
      <w:spacing w:line="360" w:lineRule="auto"/>
      <w:ind w:firstLine="420"/>
      <w:jc w:val="both"/>
    </w:pPr>
    <w:rPr>
      <w:kern w:val="2"/>
      <w:szCs w:val="20"/>
    </w:rPr>
  </w:style>
  <w:style w:type="paragraph" w:customStyle="1" w:styleId="287">
    <w:name w:val="_Style 2"/>
    <w:basedOn w:val="1"/>
    <w:autoRedefine/>
    <w:qFormat/>
    <w:uiPriority w:val="0"/>
    <w:pPr>
      <w:ind w:firstLine="420" w:firstLineChars="200"/>
    </w:pPr>
    <w:rPr>
      <w:kern w:val="2"/>
    </w:rPr>
  </w:style>
  <w:style w:type="paragraph" w:customStyle="1" w:styleId="288">
    <w:name w:val="Item List"/>
    <w:autoRedefine/>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289">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90">
    <w:name w:val="Char Char Char Char Char Char Char"/>
    <w:basedOn w:val="1"/>
    <w:autoRedefine/>
    <w:qFormat/>
    <w:uiPriority w:val="0"/>
    <w:pPr>
      <w:snapToGrid w:val="0"/>
      <w:spacing w:line="240" w:lineRule="exact"/>
    </w:pPr>
    <w:rPr>
      <w:rFonts w:ascii="Verdana" w:hAnsi="Verdana"/>
      <w:sz w:val="20"/>
      <w:szCs w:val="20"/>
      <w:lang w:eastAsia="en-US"/>
    </w:rPr>
  </w:style>
  <w:style w:type="paragraph" w:customStyle="1" w:styleId="291">
    <w:name w:val="页眉 New New New New"/>
    <w:basedOn w:val="25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2">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标题3"/>
    <w:basedOn w:val="5"/>
    <w:autoRedefine/>
    <w:qFormat/>
    <w:uiPriority w:val="0"/>
    <w:pPr>
      <w:keepNext w:val="0"/>
      <w:keepLines w:val="0"/>
      <w:numPr>
        <w:numId w:val="0"/>
      </w:numPr>
      <w:tabs>
        <w:tab w:val="left" w:pos="1843"/>
        <w:tab w:val="clear" w:pos="900"/>
      </w:tabs>
      <w:spacing w:before="0" w:after="0" w:line="240" w:lineRule="auto"/>
      <w:outlineLvl w:val="9"/>
    </w:pPr>
    <w:rPr>
      <w:rFonts w:ascii="Times New Roman" w:hAnsi="Times New Roman"/>
      <w:b w:val="0"/>
      <w:bCs w:val="0"/>
      <w:sz w:val="21"/>
      <w:szCs w:val="20"/>
    </w:rPr>
  </w:style>
  <w:style w:type="paragraph" w:customStyle="1" w:styleId="294">
    <w:name w:val="xl1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95">
    <w:name w:val="xl79"/>
    <w:basedOn w:val="1"/>
    <w:autoRedefine/>
    <w:qFormat/>
    <w:uiPriority w:val="0"/>
    <w:pPr>
      <w:spacing w:before="100" w:beforeAutospacing="1" w:after="100" w:afterAutospacing="1"/>
      <w:jc w:val="center"/>
    </w:pPr>
    <w:rPr>
      <w:rFonts w:ascii="宋体" w:hAnsi="宋体" w:cs="宋体"/>
    </w:rPr>
  </w:style>
  <w:style w:type="paragraph" w:customStyle="1" w:styleId="296">
    <w:name w:val="font11"/>
    <w:basedOn w:val="1"/>
    <w:autoRedefine/>
    <w:qFormat/>
    <w:uiPriority w:val="0"/>
    <w:pPr>
      <w:spacing w:before="100" w:beforeAutospacing="1" w:after="100" w:afterAutospacing="1"/>
    </w:pPr>
    <w:rPr>
      <w:rFonts w:ascii="宋体" w:hAnsi="宋体" w:cs="宋体"/>
      <w:b/>
      <w:bCs/>
      <w:sz w:val="40"/>
      <w:szCs w:val="40"/>
    </w:rPr>
  </w:style>
  <w:style w:type="paragraph" w:customStyle="1" w:styleId="297">
    <w:name w:val="Char11"/>
    <w:basedOn w:val="1"/>
    <w:next w:val="1"/>
    <w:autoRedefine/>
    <w:qFormat/>
    <w:uiPriority w:val="0"/>
    <w:pPr>
      <w:widowControl w:val="0"/>
      <w:spacing w:line="240" w:lineRule="atLeast"/>
      <w:ind w:left="420" w:firstLine="420"/>
    </w:pPr>
    <w:rPr>
      <w:sz w:val="21"/>
      <w:szCs w:val="21"/>
    </w:rPr>
  </w:style>
  <w:style w:type="paragraph" w:customStyle="1" w:styleId="298">
    <w:name w:val="默认段落字体 Para Char Char Char Char Char Char Char Char Char1 Char Char Char Char"/>
    <w:basedOn w:val="1"/>
    <w:autoRedefine/>
    <w:qFormat/>
    <w:uiPriority w:val="0"/>
    <w:pPr>
      <w:widowControl w:val="0"/>
      <w:jc w:val="both"/>
    </w:pPr>
    <w:rPr>
      <w:rFonts w:ascii="Tahoma" w:hAnsi="Tahoma"/>
      <w:kern w:val="2"/>
      <w:szCs w:val="20"/>
    </w:rPr>
  </w:style>
  <w:style w:type="paragraph" w:customStyle="1" w:styleId="299">
    <w:name w:val="xl9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300">
    <w:name w:val="ptdl"/>
    <w:basedOn w:val="1"/>
    <w:autoRedefine/>
    <w:qFormat/>
    <w:uiPriority w:val="0"/>
    <w:pPr>
      <w:widowControl w:val="0"/>
      <w:spacing w:after="156"/>
      <w:ind w:firstLine="480"/>
      <w:jc w:val="both"/>
    </w:pPr>
    <w:rPr>
      <w:kern w:val="2"/>
      <w:szCs w:val="20"/>
    </w:rPr>
  </w:style>
  <w:style w:type="paragraph" w:customStyle="1" w:styleId="301">
    <w:name w:val="xl106"/>
    <w:basedOn w:val="1"/>
    <w:autoRedefine/>
    <w:qFormat/>
    <w:uiPriority w:val="0"/>
    <w:pPr>
      <w:spacing w:before="100" w:beforeAutospacing="1" w:after="100" w:afterAutospacing="1"/>
      <w:jc w:val="center"/>
    </w:pPr>
    <w:rPr>
      <w:rFonts w:ascii="宋体" w:hAnsi="宋体" w:cs="宋体"/>
      <w:b/>
      <w:bCs/>
      <w:sz w:val="40"/>
      <w:szCs w:val="40"/>
    </w:rPr>
  </w:style>
  <w:style w:type="paragraph" w:customStyle="1" w:styleId="302">
    <w:name w:val="标题 3 （加黑）"/>
    <w:basedOn w:val="5"/>
    <w:autoRedefine/>
    <w:qFormat/>
    <w:uiPriority w:val="0"/>
    <w:pPr>
      <w:keepNext w:val="0"/>
      <w:numPr>
        <w:numId w:val="0"/>
      </w:numPr>
      <w:tabs>
        <w:tab w:val="clear" w:pos="900"/>
      </w:tabs>
      <w:spacing w:before="120" w:after="120" w:line="413" w:lineRule="auto"/>
      <w:ind w:left="354" w:hanging="354" w:hangingChars="150"/>
    </w:pPr>
    <w:rPr>
      <w:rFonts w:ascii="Times New Roman" w:hAnsi="Times New Roman"/>
      <w:sz w:val="24"/>
      <w:szCs w:val="32"/>
    </w:rPr>
  </w:style>
  <w:style w:type="paragraph" w:customStyle="1" w:styleId="303">
    <w:name w:val="xl76"/>
    <w:basedOn w:val="1"/>
    <w:autoRedefine/>
    <w:qFormat/>
    <w:uiPriority w:val="0"/>
    <w:pPr>
      <w:spacing w:before="100" w:beforeAutospacing="1" w:after="100" w:afterAutospacing="1"/>
      <w:jc w:val="center"/>
    </w:pPr>
    <w:rPr>
      <w:rFonts w:ascii="宋体" w:hAnsi="宋体" w:cs="宋体"/>
    </w:rPr>
  </w:style>
  <w:style w:type="paragraph" w:customStyle="1" w:styleId="304">
    <w:name w:val="black1"/>
    <w:basedOn w:val="1"/>
    <w:autoRedefine/>
    <w:qFormat/>
    <w:uiPriority w:val="0"/>
    <w:pPr>
      <w:spacing w:before="100" w:beforeAutospacing="1" w:after="100" w:afterAutospacing="1" w:line="280" w:lineRule="atLeast"/>
    </w:pPr>
    <w:rPr>
      <w:rFonts w:ascii="Arial" w:hAnsi="Arial" w:eastAsia="Arial Unicode MS"/>
      <w:color w:val="000000"/>
      <w:sz w:val="18"/>
      <w:szCs w:val="20"/>
    </w:rPr>
  </w:style>
  <w:style w:type="paragraph" w:customStyle="1" w:styleId="305">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06">
    <w:name w:val="样式 仿宋_GB2312 小四 左侧:  0.63 厘米"/>
    <w:basedOn w:val="1"/>
    <w:autoRedefine/>
    <w:qFormat/>
    <w:uiPriority w:val="0"/>
    <w:pPr>
      <w:widowControl w:val="0"/>
      <w:spacing w:before="120" w:after="120" w:line="360" w:lineRule="auto"/>
      <w:ind w:left="357" w:firstLine="200" w:firstLineChars="200"/>
      <w:jc w:val="both"/>
    </w:pPr>
    <w:rPr>
      <w:rFonts w:ascii="仿宋_GB2312" w:hAnsi="仿宋_GB2312" w:eastAsia="仿宋_GB2312"/>
      <w:kern w:val="2"/>
      <w:szCs w:val="20"/>
    </w:rPr>
  </w:style>
  <w:style w:type="paragraph" w:customStyle="1" w:styleId="307">
    <w:name w:val="页眉 New New New New New New New New"/>
    <w:basedOn w:val="30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8">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列出段落1"/>
    <w:basedOn w:val="1"/>
    <w:autoRedefine/>
    <w:qFormat/>
    <w:uiPriority w:val="0"/>
    <w:pPr>
      <w:widowControl w:val="0"/>
      <w:ind w:firstLine="420" w:firstLineChars="200"/>
      <w:jc w:val="both"/>
    </w:pPr>
    <w:rPr>
      <w:rFonts w:ascii="Calibri" w:hAnsi="Calibri"/>
      <w:kern w:val="2"/>
      <w:sz w:val="21"/>
      <w:szCs w:val="22"/>
    </w:rPr>
  </w:style>
  <w:style w:type="paragraph" w:customStyle="1" w:styleId="310">
    <w:name w:val="页脚 New New New New New New New New New New"/>
    <w:basedOn w:val="224"/>
    <w:autoRedefine/>
    <w:qFormat/>
    <w:uiPriority w:val="0"/>
    <w:pPr>
      <w:tabs>
        <w:tab w:val="center" w:pos="4153"/>
        <w:tab w:val="right" w:pos="8306"/>
      </w:tabs>
      <w:snapToGrid w:val="0"/>
      <w:jc w:val="left"/>
    </w:pPr>
    <w:rPr>
      <w:sz w:val="18"/>
      <w:szCs w:val="18"/>
    </w:rPr>
  </w:style>
  <w:style w:type="paragraph" w:customStyle="1" w:styleId="311">
    <w:name w:val="style10"/>
    <w:basedOn w:val="1"/>
    <w:autoRedefine/>
    <w:qFormat/>
    <w:uiPriority w:val="0"/>
    <w:pPr>
      <w:spacing w:before="100" w:beforeAutospacing="1" w:after="100" w:afterAutospacing="1" w:line="270" w:lineRule="atLeast"/>
    </w:pPr>
    <w:rPr>
      <w:rFonts w:ascii="宋体" w:hAnsi="宋体" w:cs="宋体"/>
      <w:color w:val="FFFFFF"/>
      <w:sz w:val="21"/>
      <w:szCs w:val="21"/>
    </w:rPr>
  </w:style>
  <w:style w:type="paragraph" w:customStyle="1" w:styleId="312">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13">
    <w:name w:val="font12"/>
    <w:basedOn w:val="1"/>
    <w:autoRedefine/>
    <w:qFormat/>
    <w:uiPriority w:val="0"/>
    <w:pPr>
      <w:spacing w:before="100" w:beforeAutospacing="1" w:after="100" w:afterAutospacing="1"/>
    </w:pPr>
    <w:rPr>
      <w:rFonts w:ascii="宋体" w:hAnsi="宋体" w:cs="宋体"/>
      <w:b/>
      <w:bCs/>
      <w:color w:val="000000"/>
      <w:sz w:val="20"/>
      <w:szCs w:val="20"/>
    </w:rPr>
  </w:style>
  <w:style w:type="paragraph" w:customStyle="1" w:styleId="314">
    <w:name w:val="页脚 New New New New New New"/>
    <w:basedOn w:val="280"/>
    <w:autoRedefine/>
    <w:qFormat/>
    <w:uiPriority w:val="0"/>
    <w:pPr>
      <w:tabs>
        <w:tab w:val="center" w:pos="4153"/>
        <w:tab w:val="right" w:pos="8306"/>
      </w:tabs>
      <w:snapToGrid w:val="0"/>
      <w:jc w:val="left"/>
    </w:pPr>
    <w:rPr>
      <w:sz w:val="18"/>
      <w:szCs w:val="18"/>
    </w:rPr>
  </w:style>
  <w:style w:type="paragraph" w:customStyle="1" w:styleId="315">
    <w:name w:val="xl112"/>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316">
    <w:name w:val="Char Char1 Char Char Char Char Char Char Char Char Char Char Char Char Char Char"/>
    <w:basedOn w:val="1"/>
    <w:autoRedefine/>
    <w:qFormat/>
    <w:uiPriority w:val="0"/>
    <w:pPr>
      <w:spacing w:after="160" w:line="240" w:lineRule="exact"/>
    </w:pPr>
    <w:rPr>
      <w:rFonts w:ascii="Verdana" w:hAnsi="Verdana"/>
      <w:sz w:val="20"/>
      <w:szCs w:val="20"/>
      <w:lang w:eastAsia="en-US"/>
    </w:rPr>
  </w:style>
  <w:style w:type="paragraph" w:customStyle="1" w:styleId="317">
    <w:name w:val="xl102"/>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b/>
      <w:bCs/>
      <w:sz w:val="28"/>
      <w:szCs w:val="28"/>
    </w:rPr>
  </w:style>
  <w:style w:type="paragraph" w:customStyle="1" w:styleId="318">
    <w:name w:val="页脚 New New New New New New New New New New New New New"/>
    <w:basedOn w:val="141"/>
    <w:autoRedefine/>
    <w:qFormat/>
    <w:uiPriority w:val="0"/>
    <w:pPr>
      <w:tabs>
        <w:tab w:val="center" w:pos="4153"/>
        <w:tab w:val="right" w:pos="8306"/>
      </w:tabs>
      <w:snapToGrid w:val="0"/>
      <w:jc w:val="left"/>
    </w:pPr>
    <w:rPr>
      <w:sz w:val="18"/>
      <w:szCs w:val="18"/>
    </w:rPr>
  </w:style>
  <w:style w:type="paragraph" w:customStyle="1" w:styleId="319">
    <w:name w:val="样式 标题 2proj2proj21proj22proj23proj24proj25proj26proj27p...1"/>
    <w:basedOn w:val="4"/>
    <w:autoRedefine/>
    <w:qFormat/>
    <w:uiPriority w:val="0"/>
    <w:pPr>
      <w:keepNext w:val="0"/>
      <w:keepLines w:val="0"/>
      <w:adjustRightInd w:val="0"/>
      <w:spacing w:before="0" w:after="0" w:line="360" w:lineRule="exact"/>
      <w:textAlignment w:val="baseline"/>
      <w:outlineLvl w:val="9"/>
    </w:pPr>
    <w:rPr>
      <w:rFonts w:ascii="Times New Roman" w:hAnsi="Times New Roman" w:cs="Times New Roman"/>
      <w:b w:val="0"/>
      <w:bCs w:val="0"/>
      <w:iCs w:val="0"/>
      <w:kern w:val="2"/>
      <w:sz w:val="24"/>
      <w:szCs w:val="20"/>
    </w:rPr>
  </w:style>
  <w:style w:type="paragraph" w:customStyle="1" w:styleId="320">
    <w:name w:val="content"/>
    <w:basedOn w:val="1"/>
    <w:autoRedefine/>
    <w:qFormat/>
    <w:uiPriority w:val="0"/>
    <w:pPr>
      <w:spacing w:before="120" w:line="360" w:lineRule="auto"/>
      <w:ind w:firstLine="420" w:firstLineChars="200"/>
      <w:jc w:val="both"/>
    </w:pPr>
    <w:rPr>
      <w:rFonts w:ascii="宋体" w:hAnsi="宋体"/>
      <w:sz w:val="21"/>
      <w:szCs w:val="21"/>
    </w:rPr>
  </w:style>
  <w:style w:type="paragraph" w:customStyle="1" w:styleId="321">
    <w:name w:val="xl104"/>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b/>
      <w:bCs/>
    </w:rPr>
  </w:style>
  <w:style w:type="paragraph" w:customStyle="1" w:styleId="322">
    <w:name w:val="页眉 New"/>
    <w:basedOn w:val="18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3">
    <w:name w:val="正文序号 4"/>
    <w:basedOn w:val="1"/>
    <w:autoRedefine/>
    <w:qFormat/>
    <w:uiPriority w:val="0"/>
    <w:pPr>
      <w:widowControl w:val="0"/>
      <w:numPr>
        <w:ilvl w:val="3"/>
        <w:numId w:val="4"/>
      </w:numPr>
      <w:tabs>
        <w:tab w:val="left" w:pos="1469"/>
        <w:tab w:val="clear" w:pos="1680"/>
      </w:tabs>
      <w:spacing w:before="60"/>
      <w:jc w:val="both"/>
    </w:pPr>
    <w:rPr>
      <w:kern w:val="2"/>
      <w:sz w:val="21"/>
      <w:szCs w:val="20"/>
    </w:rPr>
  </w:style>
  <w:style w:type="paragraph" w:customStyle="1" w:styleId="324">
    <w:name w:val="正文序号 3"/>
    <w:basedOn w:val="1"/>
    <w:autoRedefine/>
    <w:qFormat/>
    <w:uiPriority w:val="0"/>
    <w:pPr>
      <w:widowControl w:val="0"/>
      <w:numPr>
        <w:ilvl w:val="2"/>
        <w:numId w:val="4"/>
      </w:numPr>
      <w:tabs>
        <w:tab w:val="left" w:pos="1259"/>
        <w:tab w:val="clear" w:pos="1260"/>
      </w:tabs>
      <w:spacing w:before="60"/>
      <w:jc w:val="both"/>
    </w:pPr>
    <w:rPr>
      <w:kern w:val="2"/>
      <w:sz w:val="21"/>
      <w:szCs w:val="20"/>
    </w:rPr>
  </w:style>
  <w:style w:type="paragraph" w:customStyle="1" w:styleId="325">
    <w:name w:val="8"/>
    <w:basedOn w:val="1"/>
    <w:autoRedefine/>
    <w:qFormat/>
    <w:uiPriority w:val="0"/>
    <w:pPr>
      <w:spacing w:before="100" w:beforeAutospacing="1" w:after="100" w:afterAutospacing="1" w:line="432" w:lineRule="auto"/>
    </w:pPr>
    <w:rPr>
      <w:rFonts w:ascii="宋体" w:hAnsi="宋体"/>
      <w:szCs w:val="21"/>
    </w:rPr>
  </w:style>
  <w:style w:type="paragraph" w:customStyle="1" w:styleId="326">
    <w:name w:val="Char2 Char Char Char"/>
    <w:basedOn w:val="1"/>
    <w:autoRedefine/>
    <w:qFormat/>
    <w:uiPriority w:val="0"/>
    <w:pPr>
      <w:widowControl w:val="0"/>
      <w:jc w:val="both"/>
    </w:pPr>
    <w:rPr>
      <w:rFonts w:ascii="仿宋_GB2312"/>
      <w:b/>
      <w:kern w:val="2"/>
      <w:sz w:val="30"/>
      <w:szCs w:val="20"/>
    </w:rPr>
  </w:style>
  <w:style w:type="paragraph" w:customStyle="1" w:styleId="327">
    <w:name w:val="页眉 New New"/>
    <w:basedOn w:val="218"/>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8">
    <w:name w:val="Char2 Char Char Char Char Char Char"/>
    <w:basedOn w:val="1"/>
    <w:autoRedefine/>
    <w:qFormat/>
    <w:uiPriority w:val="0"/>
    <w:pPr>
      <w:widowControl w:val="0"/>
      <w:jc w:val="both"/>
    </w:pPr>
    <w:rPr>
      <w:rFonts w:ascii="仿宋_GB2312"/>
      <w:b/>
      <w:kern w:val="2"/>
      <w:sz w:val="30"/>
      <w:szCs w:val="20"/>
    </w:rPr>
  </w:style>
  <w:style w:type="paragraph" w:customStyle="1" w:styleId="329">
    <w:name w:val="xl9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330">
    <w:name w:val="正文（标书）"/>
    <w:basedOn w:val="1"/>
    <w:autoRedefine/>
    <w:qFormat/>
    <w:uiPriority w:val="0"/>
    <w:pPr>
      <w:widowControl w:val="0"/>
      <w:spacing w:line="360" w:lineRule="auto"/>
      <w:ind w:firstLine="420"/>
      <w:jc w:val="both"/>
    </w:pPr>
    <w:rPr>
      <w:rFonts w:ascii="Calibri" w:hAnsi="Calibri"/>
      <w:kern w:val="2"/>
    </w:rPr>
  </w:style>
  <w:style w:type="paragraph" w:customStyle="1" w:styleId="331">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332">
    <w:name w:val="正文序号 1"/>
    <w:basedOn w:val="1"/>
    <w:autoRedefine/>
    <w:qFormat/>
    <w:uiPriority w:val="0"/>
    <w:pPr>
      <w:widowControl w:val="0"/>
      <w:numPr>
        <w:ilvl w:val="0"/>
        <w:numId w:val="4"/>
      </w:numPr>
      <w:tabs>
        <w:tab w:val="left" w:pos="839"/>
        <w:tab w:val="clear" w:pos="360"/>
      </w:tabs>
      <w:spacing w:before="60"/>
      <w:jc w:val="both"/>
    </w:pPr>
    <w:rPr>
      <w:kern w:val="2"/>
      <w:sz w:val="21"/>
      <w:szCs w:val="20"/>
    </w:rPr>
  </w:style>
  <w:style w:type="paragraph" w:customStyle="1" w:styleId="333">
    <w:name w:val="xl1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334">
    <w:name w:val="页脚 New New New New New New New New"/>
    <w:basedOn w:val="308"/>
    <w:autoRedefine/>
    <w:qFormat/>
    <w:uiPriority w:val="0"/>
    <w:pPr>
      <w:tabs>
        <w:tab w:val="center" w:pos="4153"/>
        <w:tab w:val="right" w:pos="8306"/>
      </w:tabs>
      <w:snapToGrid w:val="0"/>
      <w:jc w:val="left"/>
    </w:pPr>
    <w:rPr>
      <w:sz w:val="18"/>
      <w:szCs w:val="18"/>
    </w:rPr>
  </w:style>
  <w:style w:type="paragraph" w:customStyle="1" w:styleId="33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6">
    <w:name w:val="标准正文"/>
    <w:basedOn w:val="1"/>
    <w:autoRedefine/>
    <w:qFormat/>
    <w:uiPriority w:val="0"/>
    <w:pPr>
      <w:widowControl w:val="0"/>
      <w:adjustRightInd w:val="0"/>
      <w:spacing w:before="120" w:line="400" w:lineRule="atLeast"/>
      <w:ind w:firstLine="576"/>
      <w:textAlignment w:val="baseline"/>
    </w:pPr>
    <w:rPr>
      <w:rFonts w:eastAsia="楷体_GB2312"/>
      <w:sz w:val="28"/>
      <w:szCs w:val="20"/>
    </w:rPr>
  </w:style>
  <w:style w:type="paragraph" w:customStyle="1" w:styleId="337">
    <w:name w:val="纯文本1"/>
    <w:basedOn w:val="1"/>
    <w:autoRedefine/>
    <w:qFormat/>
    <w:uiPriority w:val="0"/>
    <w:pPr>
      <w:widowControl w:val="0"/>
      <w:adjustRightInd w:val="0"/>
      <w:jc w:val="both"/>
      <w:textAlignment w:val="baseline"/>
    </w:pPr>
    <w:rPr>
      <w:rFonts w:ascii="宋体" w:hAnsi="Courier New"/>
      <w:kern w:val="2"/>
      <w:sz w:val="21"/>
      <w:szCs w:val="20"/>
    </w:rPr>
  </w:style>
  <w:style w:type="paragraph" w:customStyle="1" w:styleId="338">
    <w:name w:val="页脚 New New New"/>
    <w:basedOn w:val="339"/>
    <w:autoRedefine/>
    <w:qFormat/>
    <w:uiPriority w:val="0"/>
    <w:pPr>
      <w:tabs>
        <w:tab w:val="center" w:pos="4153"/>
        <w:tab w:val="right" w:pos="8306"/>
      </w:tabs>
      <w:snapToGrid w:val="0"/>
      <w:jc w:val="left"/>
    </w:pPr>
    <w:rPr>
      <w:sz w:val="18"/>
      <w:szCs w:val="18"/>
    </w:rPr>
  </w:style>
  <w:style w:type="paragraph" w:customStyle="1" w:styleId="339">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插图题注"/>
    <w:next w:val="1"/>
    <w:autoRedefine/>
    <w:qFormat/>
    <w:uiPriority w:val="0"/>
    <w:pPr>
      <w:numPr>
        <w:ilvl w:val="7"/>
        <w:numId w:val="1"/>
      </w:numPr>
      <w:tabs>
        <w:tab w:val="left" w:pos="1418"/>
        <w:tab w:val="clear" w:pos="5258"/>
      </w:tabs>
      <w:spacing w:after="312" w:afterLines="100"/>
      <w:jc w:val="center"/>
    </w:pPr>
    <w:rPr>
      <w:rFonts w:ascii="Arial" w:hAnsi="Arial" w:eastAsia="宋体" w:cs="Times New Roman"/>
      <w:sz w:val="18"/>
      <w:lang w:val="en-US" w:eastAsia="zh-CN" w:bidi="ar-SA"/>
    </w:rPr>
  </w:style>
  <w:style w:type="paragraph" w:customStyle="1" w:styleId="341">
    <w:name w:val="页眉 New New New"/>
    <w:basedOn w:val="33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2">
    <w:name w:val="Char21"/>
    <w:basedOn w:val="1"/>
    <w:next w:val="1"/>
    <w:autoRedefine/>
    <w:qFormat/>
    <w:uiPriority w:val="0"/>
    <w:pPr>
      <w:widowControl w:val="0"/>
      <w:spacing w:line="240" w:lineRule="atLeast"/>
      <w:ind w:left="420" w:firstLine="420"/>
    </w:pPr>
    <w:rPr>
      <w:kern w:val="2"/>
      <w:szCs w:val="20"/>
    </w:rPr>
  </w:style>
  <w:style w:type="paragraph" w:customStyle="1" w:styleId="343">
    <w:name w:val="MM Topic 4"/>
    <w:basedOn w:val="6"/>
    <w:autoRedefine/>
    <w:qFormat/>
    <w:uiPriority w:val="0"/>
    <w:pPr>
      <w:keepLines/>
      <w:widowControl w:val="0"/>
      <w:tabs>
        <w:tab w:val="left" w:pos="1984"/>
      </w:tabs>
      <w:spacing w:before="280" w:after="290" w:line="372" w:lineRule="auto"/>
      <w:jc w:val="both"/>
    </w:pPr>
    <w:rPr>
      <w:rFonts w:ascii="宋体" w:hAnsi="宋体"/>
      <w:bCs w:val="0"/>
      <w:kern w:val="2"/>
      <w:szCs w:val="20"/>
    </w:rPr>
  </w:style>
  <w:style w:type="paragraph" w:customStyle="1" w:styleId="344">
    <w:name w:val="xl26"/>
    <w:basedOn w:val="1"/>
    <w:autoRedefine/>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sz w:val="22"/>
      <w:szCs w:val="22"/>
    </w:rPr>
  </w:style>
  <w:style w:type="paragraph" w:customStyle="1" w:styleId="345">
    <w:name w:val="标题 2 + 楷体_GB2312"/>
    <w:basedOn w:val="4"/>
    <w:autoRedefine/>
    <w:qFormat/>
    <w:uiPriority w:val="0"/>
    <w:pPr>
      <w:numPr>
        <w:ilvl w:val="1"/>
        <w:numId w:val="6"/>
      </w:numPr>
      <w:tabs>
        <w:tab w:val="clear" w:pos="720"/>
      </w:tabs>
      <w:spacing w:before="0" w:after="0"/>
    </w:pPr>
    <w:rPr>
      <w:rFonts w:ascii="楷体_GB2312" w:eastAsia="楷体_GB2312" w:cs="Times New Roman"/>
      <w:b w:val="0"/>
      <w:bCs w:val="0"/>
      <w:i/>
      <w:iCs w:val="0"/>
      <w:kern w:val="2"/>
      <w:sz w:val="24"/>
      <w:szCs w:val="20"/>
    </w:rPr>
  </w:style>
  <w:style w:type="paragraph" w:customStyle="1" w:styleId="346">
    <w:name w:val="Char2"/>
    <w:basedOn w:val="1"/>
    <w:autoRedefine/>
    <w:qFormat/>
    <w:uiPriority w:val="0"/>
    <w:pPr>
      <w:widowControl w:val="0"/>
      <w:jc w:val="both"/>
    </w:pPr>
    <w:rPr>
      <w:kern w:val="2"/>
      <w:sz w:val="21"/>
      <w:szCs w:val="20"/>
    </w:rPr>
  </w:style>
  <w:style w:type="paragraph" w:customStyle="1" w:styleId="347">
    <w:name w:val="页眉 New New New New New New New New New New New New New New"/>
    <w:basedOn w:val="146"/>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8">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49">
    <w:name w:val="font9"/>
    <w:basedOn w:val="1"/>
    <w:autoRedefine/>
    <w:qFormat/>
    <w:uiPriority w:val="0"/>
    <w:pPr>
      <w:spacing w:before="100" w:beforeAutospacing="1" w:after="100" w:afterAutospacing="1"/>
    </w:pPr>
    <w:rPr>
      <w:rFonts w:ascii="宋体" w:hAnsi="宋体" w:cs="宋体"/>
      <w:sz w:val="18"/>
      <w:szCs w:val="18"/>
    </w:rPr>
  </w:style>
  <w:style w:type="paragraph" w:customStyle="1" w:styleId="350">
    <w:name w:val="font0"/>
    <w:basedOn w:val="1"/>
    <w:autoRedefine/>
    <w:qFormat/>
    <w:uiPriority w:val="0"/>
    <w:pPr>
      <w:spacing w:before="100" w:beforeAutospacing="1" w:after="100" w:afterAutospacing="1"/>
    </w:pPr>
    <w:rPr>
      <w:rFonts w:ascii="宋体" w:hAnsi="宋体" w:cs="宋体"/>
      <w:color w:val="000000"/>
      <w:sz w:val="22"/>
      <w:szCs w:val="22"/>
    </w:rPr>
  </w:style>
  <w:style w:type="paragraph" w:customStyle="1" w:styleId="351">
    <w:name w:val="font5"/>
    <w:basedOn w:val="1"/>
    <w:autoRedefine/>
    <w:qFormat/>
    <w:uiPriority w:val="0"/>
    <w:pPr>
      <w:spacing w:before="100" w:beforeAutospacing="1" w:after="100" w:afterAutospacing="1"/>
    </w:pPr>
    <w:rPr>
      <w:rFonts w:ascii="宋体" w:hAnsi="宋体" w:cs="宋体"/>
      <w:sz w:val="22"/>
      <w:szCs w:val="22"/>
    </w:rPr>
  </w:style>
  <w:style w:type="paragraph" w:customStyle="1" w:styleId="352">
    <w:name w:val="页脚 New New"/>
    <w:basedOn w:val="218"/>
    <w:autoRedefine/>
    <w:qFormat/>
    <w:uiPriority w:val="0"/>
    <w:pPr>
      <w:tabs>
        <w:tab w:val="center" w:pos="4153"/>
        <w:tab w:val="right" w:pos="8306"/>
      </w:tabs>
      <w:snapToGrid w:val="0"/>
      <w:jc w:val="left"/>
    </w:pPr>
    <w:rPr>
      <w:sz w:val="18"/>
      <w:szCs w:val="18"/>
    </w:rPr>
  </w:style>
  <w:style w:type="paragraph" w:customStyle="1" w:styleId="353">
    <w:name w:val="font6"/>
    <w:basedOn w:val="1"/>
    <w:autoRedefine/>
    <w:qFormat/>
    <w:uiPriority w:val="0"/>
    <w:pPr>
      <w:spacing w:before="100" w:beforeAutospacing="1" w:after="100" w:afterAutospacing="1"/>
    </w:pPr>
    <w:rPr>
      <w:rFonts w:ascii="宋体" w:hAnsi="宋体" w:cs="宋体"/>
      <w:sz w:val="18"/>
      <w:szCs w:val="18"/>
    </w:rPr>
  </w:style>
  <w:style w:type="paragraph" w:customStyle="1" w:styleId="354">
    <w:name w:val="正文文本缩进1"/>
    <w:basedOn w:val="1"/>
    <w:autoRedefine/>
    <w:qFormat/>
    <w:uiPriority w:val="0"/>
    <w:pPr>
      <w:ind w:firstLine="630"/>
    </w:pPr>
    <w:rPr>
      <w:sz w:val="32"/>
    </w:rPr>
  </w:style>
  <w:style w:type="paragraph" w:customStyle="1" w:styleId="355">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56">
    <w:name w:val="页脚 New New New New New New New New New"/>
    <w:basedOn w:val="204"/>
    <w:autoRedefine/>
    <w:qFormat/>
    <w:uiPriority w:val="0"/>
    <w:pPr>
      <w:tabs>
        <w:tab w:val="center" w:pos="4153"/>
        <w:tab w:val="right" w:pos="8306"/>
      </w:tabs>
      <w:snapToGrid w:val="0"/>
      <w:jc w:val="left"/>
    </w:pPr>
    <w:rPr>
      <w:sz w:val="18"/>
      <w:szCs w:val="18"/>
    </w:rPr>
  </w:style>
  <w:style w:type="paragraph" w:customStyle="1" w:styleId="357">
    <w:name w:val="正文缩进1"/>
    <w:basedOn w:val="1"/>
    <w:autoRedefine/>
    <w:qFormat/>
    <w:uiPriority w:val="0"/>
    <w:pPr>
      <w:ind w:firstLine="420"/>
      <w:jc w:val="both"/>
    </w:pPr>
    <w:rPr>
      <w:color w:val="000000"/>
      <w:kern w:val="2"/>
      <w:sz w:val="21"/>
      <w:szCs w:val="20"/>
    </w:rPr>
  </w:style>
  <w:style w:type="paragraph" w:customStyle="1" w:styleId="358">
    <w:name w:val="msolistparagraph"/>
    <w:basedOn w:val="1"/>
    <w:autoRedefine/>
    <w:qFormat/>
    <w:uiPriority w:val="0"/>
    <w:pPr>
      <w:widowControl w:val="0"/>
      <w:ind w:firstLine="420" w:firstLineChars="200"/>
      <w:jc w:val="both"/>
    </w:pPr>
    <w:rPr>
      <w:rFonts w:hint="eastAsia" w:ascii="等线" w:hAnsi="等线" w:eastAsia="等线"/>
      <w:kern w:val="2"/>
      <w:sz w:val="21"/>
      <w:szCs w:val="22"/>
    </w:rPr>
  </w:style>
  <w:style w:type="paragraph" w:customStyle="1" w:styleId="359">
    <w:name w:val="BodyText"/>
    <w:basedOn w:val="1"/>
    <w:autoRedefine/>
    <w:qFormat/>
    <w:uiPriority w:val="0"/>
    <w:pPr>
      <w:spacing w:line="360" w:lineRule="auto"/>
      <w:jc w:val="both"/>
      <w:textAlignment w:val="baseline"/>
    </w:pPr>
    <w:rPr>
      <w:rFonts w:ascii="宋体" w:hAnsi="宋体"/>
      <w:kern w:val="2"/>
      <w:szCs w:val="20"/>
    </w:rPr>
  </w:style>
  <w:style w:type="paragraph" w:customStyle="1" w:styleId="360">
    <w:name w:val="TOC 标题1"/>
    <w:basedOn w:val="3"/>
    <w:next w:val="1"/>
    <w:autoRedefine/>
    <w:qFormat/>
    <w:uiPriority w:val="0"/>
    <w:pPr>
      <w:tabs>
        <w:tab w:val="left" w:pos="360"/>
        <w:tab w:val="clear" w:pos="425"/>
      </w:tabs>
      <w:spacing w:before="480" w:line="276" w:lineRule="auto"/>
      <w:ind w:left="0"/>
      <w:jc w:val="left"/>
      <w:outlineLvl w:val="9"/>
    </w:pPr>
    <w:rPr>
      <w:rFonts w:ascii="Cambria" w:hAnsi="Cambria" w:cs="Arial"/>
      <w:b w:val="0"/>
      <w:color w:val="365F91"/>
      <w:sz w:val="28"/>
      <w:szCs w:val="28"/>
    </w:rPr>
  </w:style>
  <w:style w:type="table" w:customStyle="1" w:styleId="361">
    <w:name w:val="Table Normal"/>
    <w:autoRedefine/>
    <w:semiHidden/>
    <w:unhideWhenUsed/>
    <w:qFormat/>
    <w:uiPriority w:val="0"/>
    <w:tblPr>
      <w:tblCellMar>
        <w:top w:w="0" w:type="dxa"/>
        <w:left w:w="0" w:type="dxa"/>
        <w:bottom w:w="0" w:type="dxa"/>
        <w:right w:w="0" w:type="dxa"/>
      </w:tblCellMar>
    </w:tblPr>
  </w:style>
  <w:style w:type="character" w:customStyle="1" w:styleId="362">
    <w:name w:val="font51"/>
    <w:basedOn w:val="47"/>
    <w:autoRedefine/>
    <w:qFormat/>
    <w:uiPriority w:val="0"/>
    <w:rPr>
      <w:rFonts w:ascii="Calibri" w:hAnsi="Calibri" w:cs="Calibri"/>
      <w:color w:val="000000"/>
      <w:sz w:val="22"/>
      <w:szCs w:val="22"/>
      <w:u w:val="none"/>
    </w:rPr>
  </w:style>
  <w:style w:type="table" w:customStyle="1" w:styleId="363">
    <w:name w:val="网格型2"/>
    <w:basedOn w:val="4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4">
    <w:name w:val="font61"/>
    <w:basedOn w:val="47"/>
    <w:autoRedefine/>
    <w:qFormat/>
    <w:uiPriority w:val="0"/>
    <w:rPr>
      <w:rFonts w:hint="default" w:ascii="Times New Roman" w:hAnsi="Times New Roman" w:cs="Times New Roman"/>
      <w:color w:val="000000"/>
      <w:sz w:val="20"/>
      <w:szCs w:val="20"/>
      <w:u w:val="none"/>
    </w:rPr>
  </w:style>
  <w:style w:type="character" w:customStyle="1" w:styleId="365">
    <w:name w:val="font81"/>
    <w:basedOn w:val="47"/>
    <w:autoRedefine/>
    <w:qFormat/>
    <w:uiPriority w:val="0"/>
    <w:rPr>
      <w:rFonts w:hint="default" w:ascii="Times New Roman" w:hAnsi="Times New Roman" w:cs="Times New Roman"/>
      <w:color w:val="000000"/>
      <w:sz w:val="20"/>
      <w:szCs w:val="20"/>
      <w:u w:val="none"/>
      <w:vertAlign w:val="superscript"/>
    </w:rPr>
  </w:style>
  <w:style w:type="paragraph" w:styleId="366">
    <w:name w:val="Intense Quote"/>
    <w:basedOn w:val="1"/>
    <w:next w:val="1"/>
    <w:qFormat/>
    <w:uiPriority w:val="99"/>
    <w:pPr>
      <w:pBdr>
        <w:top w:val="single" w:color="4472C4" w:sz="4" w:space="10"/>
        <w:bottom w:val="single" w:color="4472C4" w:sz="4" w:space="10"/>
      </w:pBdr>
      <w:spacing w:before="360" w:after="360"/>
      <w:ind w:left="864" w:right="864"/>
      <w:jc w:val="center"/>
    </w:pPr>
    <w:rPr>
      <w:i/>
      <w:iCs/>
      <w:color w:val="4472C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86</Pages>
  <Words>12264</Words>
  <Characters>13146</Characters>
  <Lines>269</Lines>
  <Paragraphs>75</Paragraphs>
  <TotalTime>24</TotalTime>
  <ScaleCrop>false</ScaleCrop>
  <LinksUpToDate>false</LinksUpToDate>
  <CharactersWithSpaces>15835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2025-04-24T10:17:00Z</dcterms:created>
  <dc:creator>ffxp</dc:creator>
  <cp:lastModifiedBy>愤怒的老鳥</cp:lastModifiedBy>
  <cp:lastPrinted>2022-09-08T20:03:00Z</cp:lastPrinted>
  <dcterms:modified xsi:type="dcterms:W3CDTF">2026-06-04T09:42:59Z</dcterms:modified>
  <dc:title>成都市猪肉质量安全溯源信息系统专用称重设备采购项目竞争性谈判公告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5892F6456ADD4FE09B988A96B2F03867_13</vt:lpwstr>
  </property>
  <property fmtid="{D5CDD505-2E9C-101B-9397-08002B2CF9AE}" pid="4" name="KSOTemplateDocerSaveRecord">
    <vt:lpwstr>eyJoZGlkIjoiYzE0YjRhZjc0MGIwY2FmYTUyMjY3ZGZlNGQzNWU5ZDEiLCJ1c2VySWQiOiIzNTE5ODQwMzUifQ==</vt:lpwstr>
  </property>
</Properties>
</file>