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58DF4">
      <w:pPr>
        <w:kinsoku/>
        <w:topLinePunct w:val="0"/>
        <w:autoSpaceDE w:val="0"/>
        <w:autoSpaceDN w:val="0"/>
        <w:bidi w:val="0"/>
        <w:adjustRightInd w:val="0"/>
        <w:spacing w:line="360" w:lineRule="auto"/>
        <w:jc w:val="right"/>
        <w:textAlignment w:val="auto"/>
        <w:outlineLvl w:val="9"/>
        <w:rPr>
          <w:rFonts w:hint="eastAsia" w:ascii="仿宋" w:hAnsi="仿宋" w:eastAsia="仿宋" w:cs="仿宋"/>
          <w:kern w:val="0"/>
          <w:sz w:val="24"/>
          <w:highlight w:val="none"/>
        </w:rPr>
      </w:pPr>
      <w:r>
        <w:rPr>
          <w:rFonts w:hint="eastAsia" w:ascii="仿宋" w:hAnsi="仿宋" w:eastAsia="仿宋" w:cs="仿宋"/>
          <w:highlight w:val="none"/>
        </w:rPr>
        <w:drawing>
          <wp:anchor distT="0" distB="0" distL="114300" distR="114300" simplePos="0" relativeHeight="251661312" behindDoc="0" locked="0" layoutInCell="1" allowOverlap="1">
            <wp:simplePos x="0" y="0"/>
            <wp:positionH relativeFrom="column">
              <wp:posOffset>2437130</wp:posOffset>
            </wp:positionH>
            <wp:positionV relativeFrom="paragraph">
              <wp:posOffset>184785</wp:posOffset>
            </wp:positionV>
            <wp:extent cx="523875" cy="271145"/>
            <wp:effectExtent l="0" t="0" r="9525" b="14605"/>
            <wp:wrapSquare wrapText="bothSides"/>
            <wp:docPr id="4" name="图片 4" descr="C:/Users/ASUS/Desktop/中合安建-logo设计方案定稿/头像/中合安建-LOGO设计提案_画板 1.jpg中合安建-LOGO设计提案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SUS/Desktop/中合安建-logo设计方案定稿/头像/中合安建-LOGO设计提案_画板 1.jpg中合安建-LOGO设计提案_画板 1"/>
                    <pic:cNvPicPr>
                      <a:picLocks noChangeAspect="1"/>
                    </pic:cNvPicPr>
                  </pic:nvPicPr>
                  <pic:blipFill>
                    <a:blip r:embed="rId14"/>
                    <a:srcRect l="7793" t="20747" r="5875" b="25258"/>
                    <a:stretch>
                      <a:fillRect/>
                    </a:stretch>
                  </pic:blipFill>
                  <pic:spPr>
                    <a:xfrm>
                      <a:off x="0" y="0"/>
                      <a:ext cx="523875" cy="271145"/>
                    </a:xfrm>
                    <a:prstGeom prst="rect">
                      <a:avLst/>
                    </a:prstGeom>
                    <a:noFill/>
                    <a:ln>
                      <a:noFill/>
                    </a:ln>
                  </pic:spPr>
                </pic:pic>
              </a:graphicData>
            </a:graphic>
          </wp:anchor>
        </w:drawing>
      </w:r>
      <w:r>
        <w:rPr>
          <w:rFonts w:hint="eastAsia" w:ascii="仿宋" w:hAnsi="仿宋" w:eastAsia="仿宋" w:cs="仿宋"/>
          <w:b/>
          <w:color w:val="0000FF"/>
          <w:kern w:val="16"/>
          <w:highlight w:val="none"/>
        </w:rPr>
        <w:pict>
          <v:shape id="_x0000_s1027" o:spid="_x0000_s1027" o:spt="136" alt="water" type="#_x0000_t136" style="position:absolute;left:0pt;margin-left:234.45pt;margin-top:14.2pt;height:19.25pt;width:206.55pt;mso-wrap-distance-left:9pt;mso-wrap-distance-right:9pt;z-index:-251656192;mso-width-relative:page;mso-height-relative:page;" fillcolor="#002060" filled="t" stroked="t" coordsize="21600,21600" wrapcoords="11206 0 4393 62 822 64 827 2325 820 4629 239 4631 244 6840 246 9639 244 12370 239 14375 820 14377 827 18214 822 21502 9399 21504 11242 21600 11258 21600 14928 21504 16396 21502 16435 21342 21142 21340 21180 21136 21213 20889 21240 20599 21262 20267 21279 19892 21290 19473 21296 19013 21297 18509 21297 2708 21353 2160 21234 972 19015 970 18998 356 15256 354 15208 64 11229 62 11222 0 11206 0" adj="10800">
            <v:path/>
            <v:fill type="gradient" on="t" color2="#FFFFFF" colors="0f #012D86;65536f #0E2557" focus="0%" focussize="0f,0f" focusposition="0f,0f" rotate="t">
              <o:fill type="gradientUnscaled" v:ext="backwardCompatible"/>
            </v:fill>
            <v:stroke weight="1.5pt" color="#99CCFF"/>
            <v:imagedata o:title=""/>
            <o:lock v:ext="edit" aspectratio="f"/>
            <v:textpath on="t" fitshape="t" fitpath="t" trim="t" xscale="f" string="中合安建工程管理有限公司" style="font-family:宋体;font-size:36pt;v-text-align:center;"/>
            <v:shadow on="t" obscured="f" color="#990000" offset2="-2pt,-2pt"/>
            <w10:wrap type="tight"/>
          </v:shape>
        </w:pict>
      </w:r>
    </w:p>
    <w:p w14:paraId="0E65CACF">
      <w:pPr>
        <w:kinsoku/>
        <w:topLinePunct w:val="0"/>
        <w:bidi w:val="0"/>
        <w:adjustRightInd w:val="0"/>
        <w:snapToGrid w:val="0"/>
        <w:spacing w:line="360" w:lineRule="auto"/>
        <w:ind w:right="480"/>
        <w:jc w:val="right"/>
        <w:textAlignment w:val="auto"/>
        <w:outlineLvl w:val="9"/>
        <w:rPr>
          <w:rFonts w:hint="eastAsia" w:ascii="仿宋" w:hAnsi="仿宋" w:eastAsia="仿宋" w:cs="仿宋"/>
          <w:color w:val="000000"/>
          <w:sz w:val="24"/>
          <w:highlight w:val="none"/>
        </w:rPr>
      </w:pPr>
    </w:p>
    <w:p w14:paraId="5D2D9B87">
      <w:pPr>
        <w:kinsoku/>
        <w:wordWrap w:val="0"/>
        <w:topLinePunct w:val="0"/>
        <w:bidi w:val="0"/>
        <w:adjustRightInd w:val="0"/>
        <w:snapToGrid w:val="0"/>
        <w:spacing w:line="360" w:lineRule="auto"/>
        <w:ind w:right="480"/>
        <w:jc w:val="right"/>
        <w:textAlignment w:val="auto"/>
        <w:outlineLvl w:val="9"/>
        <w:rPr>
          <w:rFonts w:hint="eastAsia" w:ascii="黑体" w:hAnsi="黑体" w:eastAsia="黑体" w:cs="黑体"/>
          <w:color w:val="000000"/>
          <w:sz w:val="24"/>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黑体" w:hAnsi="黑体" w:eastAsia="黑体" w:cs="黑体"/>
          <w:color w:val="000000"/>
          <w:sz w:val="24"/>
          <w:highlight w:val="none"/>
          <w:lang w:val="en-US" w:eastAsia="zh-CN"/>
        </w:rPr>
        <w:t xml:space="preserve"> </w:t>
      </w:r>
      <w:r>
        <w:rPr>
          <w:rFonts w:hint="eastAsia" w:ascii="黑体" w:hAnsi="黑体" w:eastAsia="黑体" w:cs="黑体"/>
          <w:kern w:val="0"/>
          <w:sz w:val="24"/>
          <w:highlight w:val="none"/>
        </w:rPr>
        <w:t>项目编号：</w:t>
      </w:r>
      <w:r>
        <w:rPr>
          <w:rFonts w:hint="eastAsia" w:ascii="黑体" w:hAnsi="黑体" w:eastAsia="黑体" w:cs="黑体"/>
          <w:kern w:val="0"/>
          <w:sz w:val="24"/>
          <w:highlight w:val="none"/>
          <w:lang w:val="en-US" w:eastAsia="zh-CN"/>
        </w:rPr>
        <w:t>2026ZHAJ—13</w:t>
      </w:r>
      <w:r>
        <w:rPr>
          <w:rFonts w:hint="eastAsia" w:ascii="黑体" w:hAnsi="黑体" w:eastAsia="黑体" w:cs="黑体"/>
          <w:color w:val="000000"/>
          <w:sz w:val="24"/>
          <w:highlight w:val="none"/>
          <w:lang w:val="en-US" w:eastAsia="zh-CN"/>
        </w:rPr>
        <w:t xml:space="preserve">  </w:t>
      </w:r>
    </w:p>
    <w:p w14:paraId="6A64CD01">
      <w:pPr>
        <w:kinsoku/>
        <w:topLinePunct w:val="0"/>
        <w:autoSpaceDE w:val="0"/>
        <w:autoSpaceDN w:val="0"/>
        <w:bidi w:val="0"/>
        <w:adjustRightInd w:val="0"/>
        <w:spacing w:line="360" w:lineRule="auto"/>
        <w:jc w:val="right"/>
        <w:textAlignment w:val="auto"/>
        <w:outlineLvl w:val="9"/>
        <w:rPr>
          <w:rFonts w:hint="eastAsia" w:ascii="黑体" w:hAnsi="黑体" w:eastAsia="黑体" w:cs="黑体"/>
          <w:kern w:val="0"/>
          <w:sz w:val="24"/>
          <w:highlight w:val="none"/>
        </w:rPr>
      </w:pPr>
    </w:p>
    <w:p w14:paraId="6D5FB152">
      <w:pPr>
        <w:kinsoku/>
        <w:topLinePunct w:val="0"/>
        <w:autoSpaceDE w:val="0"/>
        <w:autoSpaceDN w:val="0"/>
        <w:bidi w:val="0"/>
        <w:adjustRightInd w:val="0"/>
        <w:spacing w:line="360" w:lineRule="auto"/>
        <w:jc w:val="right"/>
        <w:textAlignment w:val="auto"/>
        <w:outlineLvl w:val="9"/>
        <w:rPr>
          <w:rFonts w:hint="eastAsia" w:ascii="黑体" w:hAnsi="黑体" w:eastAsia="黑体" w:cs="黑体"/>
          <w:kern w:val="0"/>
          <w:sz w:val="24"/>
          <w:highlight w:val="none"/>
        </w:rPr>
      </w:pPr>
    </w:p>
    <w:p w14:paraId="5C06A0D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黑体" w:hAnsi="黑体" w:eastAsia="黑体" w:cs="黑体"/>
          <w:b/>
          <w:bCs w:val="0"/>
          <w:sz w:val="48"/>
          <w:szCs w:val="48"/>
          <w:highlight w:val="none"/>
          <w:lang w:val="en-US" w:eastAsia="zh-CN"/>
        </w:rPr>
      </w:pPr>
      <w:r>
        <w:rPr>
          <w:rFonts w:hint="eastAsia" w:ascii="黑体" w:hAnsi="黑体" w:eastAsia="黑体" w:cs="黑体"/>
          <w:b/>
          <w:bCs w:val="0"/>
          <w:kern w:val="0"/>
          <w:sz w:val="48"/>
          <w:szCs w:val="48"/>
          <w:highlight w:val="none"/>
          <w:lang w:eastAsia="zh-CN"/>
        </w:rPr>
        <w:t>乌鲁木齐高新区（新市区）铁路局片区老旧街区提升改造项目勘察</w:t>
      </w:r>
    </w:p>
    <w:p w14:paraId="27E56E53">
      <w:pPr>
        <w:kinsoku/>
        <w:topLinePunct w:val="0"/>
        <w:autoSpaceDE w:val="0"/>
        <w:autoSpaceDN w:val="0"/>
        <w:bidi w:val="0"/>
        <w:adjustRightInd w:val="0"/>
        <w:snapToGrid w:val="0"/>
        <w:spacing w:line="360" w:lineRule="auto"/>
        <w:jc w:val="center"/>
        <w:textAlignment w:val="auto"/>
        <w:outlineLvl w:val="9"/>
        <w:rPr>
          <w:rFonts w:hint="eastAsia" w:ascii="黑体" w:hAnsi="黑体" w:eastAsia="黑体" w:cs="黑体"/>
          <w:bCs/>
          <w:kern w:val="0"/>
          <w:sz w:val="48"/>
          <w:szCs w:val="48"/>
          <w:highlight w:val="none"/>
        </w:rPr>
      </w:pPr>
    </w:p>
    <w:p w14:paraId="0F3F2779">
      <w:pPr>
        <w:pStyle w:val="12"/>
        <w:kinsoku/>
        <w:topLinePunct w:val="0"/>
        <w:bidi w:val="0"/>
        <w:textAlignment w:val="auto"/>
        <w:outlineLvl w:val="9"/>
        <w:rPr>
          <w:rFonts w:hint="eastAsia" w:ascii="黑体" w:hAnsi="黑体" w:eastAsia="黑体" w:cs="黑体"/>
          <w:highlight w:val="none"/>
        </w:rPr>
      </w:pPr>
    </w:p>
    <w:p w14:paraId="49C0E754">
      <w:pPr>
        <w:kinsoku/>
        <w:topLinePunct w:val="0"/>
        <w:autoSpaceDE w:val="0"/>
        <w:autoSpaceDN w:val="0"/>
        <w:bidi w:val="0"/>
        <w:adjustRightInd w:val="0"/>
        <w:spacing w:line="360" w:lineRule="auto"/>
        <w:jc w:val="center"/>
        <w:textAlignment w:val="auto"/>
        <w:outlineLvl w:val="9"/>
        <w:rPr>
          <w:rFonts w:hint="eastAsia" w:ascii="黑体" w:hAnsi="黑体" w:eastAsia="黑体" w:cs="黑体"/>
          <w:kern w:val="0"/>
          <w:sz w:val="44"/>
          <w:highlight w:val="none"/>
        </w:rPr>
      </w:pPr>
      <w:r>
        <w:rPr>
          <w:rFonts w:hint="eastAsia" w:ascii="黑体" w:hAnsi="黑体" w:eastAsia="黑体" w:cs="黑体"/>
          <w:kern w:val="0"/>
          <w:sz w:val="78"/>
          <w:highlight w:val="none"/>
        </w:rPr>
        <w:t>竞争性磋商文件</w:t>
      </w:r>
    </w:p>
    <w:p w14:paraId="35747AFD">
      <w:pPr>
        <w:kinsoku/>
        <w:topLinePunct w:val="0"/>
        <w:autoSpaceDE w:val="0"/>
        <w:autoSpaceDN w:val="0"/>
        <w:bidi w:val="0"/>
        <w:adjustRightInd w:val="0"/>
        <w:spacing w:line="360" w:lineRule="auto"/>
        <w:textAlignment w:val="auto"/>
        <w:outlineLvl w:val="9"/>
        <w:rPr>
          <w:rFonts w:hint="eastAsia" w:ascii="黑体" w:hAnsi="黑体" w:eastAsia="黑体" w:cs="黑体"/>
          <w:kern w:val="0"/>
          <w:sz w:val="32"/>
          <w:highlight w:val="none"/>
        </w:rPr>
      </w:pPr>
    </w:p>
    <w:p w14:paraId="50A3C9EE">
      <w:pPr>
        <w:pStyle w:val="12"/>
        <w:kinsoku/>
        <w:topLinePunct w:val="0"/>
        <w:bidi w:val="0"/>
        <w:textAlignment w:val="auto"/>
        <w:outlineLvl w:val="9"/>
        <w:rPr>
          <w:rFonts w:hint="eastAsia" w:ascii="黑体" w:hAnsi="黑体" w:eastAsia="黑体" w:cs="黑体"/>
          <w:highlight w:val="none"/>
        </w:rPr>
      </w:pPr>
    </w:p>
    <w:p w14:paraId="3EFBD1E6">
      <w:pPr>
        <w:kinsoku/>
        <w:topLinePunct w:val="0"/>
        <w:bidi w:val="0"/>
        <w:textAlignment w:val="auto"/>
        <w:outlineLvl w:val="9"/>
        <w:rPr>
          <w:rFonts w:hint="eastAsia" w:ascii="黑体" w:hAnsi="黑体" w:eastAsia="黑体" w:cs="黑体"/>
          <w:highlight w:val="none"/>
        </w:rPr>
      </w:pPr>
    </w:p>
    <w:p w14:paraId="4237BA97">
      <w:pPr>
        <w:pStyle w:val="12"/>
        <w:kinsoku/>
        <w:topLinePunct w:val="0"/>
        <w:bidi w:val="0"/>
        <w:textAlignment w:val="auto"/>
        <w:outlineLvl w:val="9"/>
        <w:rPr>
          <w:rFonts w:hint="eastAsia" w:ascii="黑体" w:hAnsi="黑体" w:eastAsia="黑体" w:cs="黑体"/>
          <w:highlight w:val="none"/>
        </w:rPr>
      </w:pPr>
    </w:p>
    <w:p w14:paraId="456452AC">
      <w:pPr>
        <w:kinsoku/>
        <w:topLinePunct w:val="0"/>
        <w:bidi w:val="0"/>
        <w:textAlignment w:val="auto"/>
        <w:outlineLvl w:val="9"/>
        <w:rPr>
          <w:rFonts w:hint="eastAsia" w:ascii="黑体" w:hAnsi="黑体" w:eastAsia="黑体" w:cs="黑体"/>
          <w:highlight w:val="none"/>
        </w:rPr>
      </w:pPr>
    </w:p>
    <w:p w14:paraId="68816EC1">
      <w:pPr>
        <w:kinsoku/>
        <w:topLinePunct w:val="0"/>
        <w:autoSpaceDE w:val="0"/>
        <w:autoSpaceDN w:val="0"/>
        <w:bidi w:val="0"/>
        <w:adjustRightInd w:val="0"/>
        <w:spacing w:line="360" w:lineRule="auto"/>
        <w:textAlignment w:val="auto"/>
        <w:outlineLvl w:val="9"/>
        <w:rPr>
          <w:rFonts w:hint="eastAsia" w:ascii="黑体" w:hAnsi="黑体" w:eastAsia="黑体" w:cs="黑体"/>
          <w:kern w:val="0"/>
          <w:sz w:val="32"/>
          <w:highlight w:val="none"/>
        </w:rPr>
      </w:pPr>
    </w:p>
    <w:p w14:paraId="2927337A">
      <w:pPr>
        <w:kinsoku/>
        <w:topLinePunct w:val="0"/>
        <w:autoSpaceDE w:val="0"/>
        <w:autoSpaceDN w:val="0"/>
        <w:bidi w:val="0"/>
        <w:adjustRightInd w:val="0"/>
        <w:spacing w:line="360" w:lineRule="auto"/>
        <w:textAlignment w:val="auto"/>
        <w:outlineLvl w:val="9"/>
        <w:rPr>
          <w:rFonts w:hint="eastAsia" w:ascii="黑体" w:hAnsi="黑体" w:eastAsia="黑体" w:cs="黑体"/>
          <w:kern w:val="0"/>
          <w:sz w:val="32"/>
          <w:highlight w:val="none"/>
        </w:rPr>
      </w:pPr>
    </w:p>
    <w:p w14:paraId="4C89A52E">
      <w:pPr>
        <w:kinsoku/>
        <w:overflowPunct/>
        <w:topLinePunct w:val="0"/>
        <w:bidi w:val="0"/>
        <w:adjustRightInd w:val="0"/>
        <w:snapToGrid w:val="0"/>
        <w:spacing w:line="360" w:lineRule="auto"/>
        <w:ind w:left="2878" w:leftChars="304" w:hanging="2240" w:hangingChars="70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采</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val="en-US" w:eastAsia="zh-CN"/>
        </w:rPr>
        <w:t>购</w:t>
      </w:r>
      <w:r>
        <w:rPr>
          <w:rFonts w:hint="eastAsia" w:ascii="黑体" w:hAnsi="黑体" w:eastAsia="黑体" w:cs="黑体"/>
          <w:sz w:val="32"/>
          <w:szCs w:val="32"/>
          <w:highlight w:val="none"/>
        </w:rPr>
        <w:t xml:space="preserve">   人：</w:t>
      </w:r>
      <w:r>
        <w:rPr>
          <w:rFonts w:hint="eastAsia" w:ascii="黑体" w:hAnsi="黑体" w:eastAsia="黑体" w:cs="黑体"/>
          <w:sz w:val="32"/>
          <w:szCs w:val="32"/>
          <w:highlight w:val="none"/>
          <w:lang w:eastAsia="zh-CN"/>
        </w:rPr>
        <w:t>乌鲁木齐高新技术产业开发区</w:t>
      </w:r>
    </w:p>
    <w:p w14:paraId="65A261D3">
      <w:pPr>
        <w:kinsoku/>
        <w:overflowPunct/>
        <w:topLinePunct w:val="0"/>
        <w:bidi w:val="0"/>
        <w:adjustRightInd w:val="0"/>
        <w:snapToGrid w:val="0"/>
        <w:spacing w:line="360" w:lineRule="auto"/>
        <w:ind w:left="2874" w:leftChars="1216" w:hanging="320" w:hangingChars="10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（乌鲁木齐市新市区）市政市容设施管理站</w:t>
      </w:r>
    </w:p>
    <w:p w14:paraId="1CCA467E">
      <w:pPr>
        <w:kinsoku/>
        <w:overflowPunct/>
        <w:topLinePunct w:val="0"/>
        <w:bidi w:val="0"/>
        <w:adjustRightInd w:val="0"/>
        <w:snapToGrid w:val="0"/>
        <w:spacing w:line="360" w:lineRule="auto"/>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采购代理机构</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中合安建工程管理有限公司</w:t>
      </w:r>
    </w:p>
    <w:p w14:paraId="6638369D">
      <w:pPr>
        <w:kinsoku/>
        <w:topLinePunct w:val="0"/>
        <w:bidi w:val="0"/>
        <w:adjustRightInd w:val="0"/>
        <w:snapToGrid w:val="0"/>
        <w:spacing w:line="360" w:lineRule="auto"/>
        <w:ind w:firstLine="640" w:firstLineChars="200"/>
        <w:textAlignment w:val="auto"/>
        <w:outlineLvl w:val="9"/>
        <w:rPr>
          <w:rFonts w:hint="eastAsia" w:ascii="黑体" w:hAnsi="黑体" w:eastAsia="黑体" w:cs="黑体"/>
          <w:color w:val="000000"/>
          <w:sz w:val="32"/>
          <w:szCs w:val="32"/>
          <w:highlight w:val="none"/>
          <w:lang w:eastAsia="zh-CN"/>
        </w:rPr>
      </w:pPr>
      <w:r>
        <w:rPr>
          <w:rFonts w:hint="eastAsia" w:ascii="黑体" w:hAnsi="黑体" w:eastAsia="黑体" w:cs="黑体"/>
          <w:sz w:val="32"/>
          <w:szCs w:val="32"/>
          <w:highlight w:val="none"/>
        </w:rPr>
        <w:t>文件编制日期：202</w:t>
      </w: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年</w:t>
      </w: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月</w:t>
      </w:r>
    </w:p>
    <w:p w14:paraId="3BC3BD91">
      <w:pPr>
        <w:pStyle w:val="24"/>
        <w:kinsoku/>
        <w:topLinePunct w:val="0"/>
        <w:bidi w:val="0"/>
        <w:textAlignment w:val="auto"/>
        <w:outlineLvl w:val="9"/>
        <w:rPr>
          <w:rFonts w:hint="eastAsia" w:ascii="仿宋" w:hAnsi="仿宋" w:eastAsia="仿宋" w:cs="仿宋"/>
          <w:lang w:eastAsia="zh-CN"/>
        </w:rPr>
      </w:pPr>
    </w:p>
    <w:p w14:paraId="47B0DAF3">
      <w:pPr>
        <w:kinsoku/>
        <w:topLinePunct w:val="0"/>
        <w:bidi w:val="0"/>
        <w:adjustRightInd w:val="0"/>
        <w:snapToGrid w:val="0"/>
        <w:spacing w:line="360" w:lineRule="auto"/>
        <w:jc w:val="both"/>
        <w:textAlignment w:val="auto"/>
        <w:outlineLvl w:val="9"/>
        <w:rPr>
          <w:rFonts w:hint="eastAsia" w:ascii="仿宋" w:hAnsi="仿宋" w:eastAsia="仿宋" w:cs="仿宋"/>
          <w:color w:val="000000"/>
          <w:highlight w:val="none"/>
        </w:rPr>
      </w:pPr>
    </w:p>
    <w:p w14:paraId="356A4A85">
      <w:pPr>
        <w:kinsoku/>
        <w:topLinePunct w:val="0"/>
        <w:bidi w:val="0"/>
        <w:adjustRightInd w:val="0"/>
        <w:snapToGrid w:val="0"/>
        <w:spacing w:line="360" w:lineRule="auto"/>
        <w:ind w:firstLine="1436" w:firstLineChars="449"/>
        <w:textAlignment w:val="auto"/>
        <w:outlineLvl w:val="9"/>
        <w:rPr>
          <w:rFonts w:hint="eastAsia" w:ascii="仿宋" w:hAnsi="仿宋" w:eastAsia="仿宋" w:cs="仿宋"/>
          <w:sz w:val="32"/>
          <w:szCs w:val="32"/>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CD26E67">
      <w:pPr>
        <w:pStyle w:val="12"/>
        <w:rPr>
          <w:rFonts w:hint="eastAsia"/>
        </w:rPr>
      </w:pPr>
    </w:p>
    <w:p w14:paraId="5EDA23FD">
      <w:pPr>
        <w:kinsoku/>
        <w:topLinePunct w:val="0"/>
        <w:bidi w:val="0"/>
        <w:adjustRightInd w:val="0"/>
        <w:snapToGrid w:val="0"/>
        <w:spacing w:line="360" w:lineRule="auto"/>
        <w:jc w:val="center"/>
        <w:textAlignment w:val="auto"/>
        <w:outlineLvl w:val="9"/>
        <w:rPr>
          <w:rFonts w:hint="eastAsia" w:ascii="仿宋" w:hAnsi="仿宋" w:eastAsia="仿宋" w:cs="仿宋"/>
          <w:b/>
          <w:bCs/>
          <w:sz w:val="84"/>
          <w:szCs w:val="84"/>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1D122BA">
      <w:pPr>
        <w:kinsoku/>
        <w:topLinePunct w:val="0"/>
        <w:bidi w:val="0"/>
        <w:adjustRightInd w:val="0"/>
        <w:snapToGrid w:val="0"/>
        <w:spacing w:line="360" w:lineRule="auto"/>
        <w:jc w:val="center"/>
        <w:textAlignment w:val="auto"/>
        <w:outlineLvl w:val="9"/>
        <w:rPr>
          <w:rFonts w:hint="eastAsia" w:ascii="仿宋" w:hAnsi="仿宋" w:eastAsia="仿宋" w:cs="仿宋"/>
          <w:b/>
          <w:bCs/>
          <w:sz w:val="84"/>
          <w:szCs w:val="84"/>
          <w:highlight w:val="none"/>
        </w:rPr>
      </w:pPr>
      <w:r>
        <w:rPr>
          <w:rFonts w:hint="eastAsia" w:ascii="仿宋" w:hAnsi="仿宋" w:eastAsia="仿宋" w:cs="仿宋"/>
          <w:b/>
          <w:bCs/>
          <w:sz w:val="84"/>
          <w:szCs w:val="84"/>
          <w:highlight w:val="none"/>
        </w:rPr>
        <w:t>竞争性磋商文件</w:t>
      </w:r>
    </w:p>
    <w:p w14:paraId="3D6FEF24">
      <w:pPr>
        <w:kinsoku/>
        <w:topLinePunct w:val="0"/>
        <w:bidi w:val="0"/>
        <w:adjustRightInd w:val="0"/>
        <w:snapToGrid w:val="0"/>
        <w:spacing w:line="600" w:lineRule="auto"/>
        <w:textAlignment w:val="auto"/>
        <w:outlineLvl w:val="9"/>
        <w:rPr>
          <w:rFonts w:hint="eastAsia" w:ascii="仿宋" w:hAnsi="仿宋" w:eastAsia="仿宋" w:cs="仿宋"/>
          <w:b/>
          <w:bCs/>
          <w:sz w:val="24"/>
          <w:szCs w:val="24"/>
          <w:highlight w:val="none"/>
        </w:rPr>
      </w:pPr>
    </w:p>
    <w:p w14:paraId="291B0A91">
      <w:pPr>
        <w:pStyle w:val="15"/>
        <w:kinsoku/>
        <w:topLinePunct w:val="0"/>
        <w:bidi w:val="0"/>
        <w:textAlignment w:val="auto"/>
        <w:outlineLvl w:val="9"/>
        <w:rPr>
          <w:rFonts w:hint="eastAsia" w:ascii="仿宋" w:hAnsi="仿宋" w:eastAsia="仿宋" w:cs="仿宋"/>
          <w:highlight w:val="none"/>
        </w:rPr>
      </w:pPr>
    </w:p>
    <w:p w14:paraId="75F0CE84">
      <w:pPr>
        <w:keepNext w:val="0"/>
        <w:keepLines w:val="0"/>
        <w:pageBreakBefore w:val="0"/>
        <w:widowControl w:val="0"/>
        <w:kinsoku/>
        <w:wordWrap/>
        <w:overflowPunct/>
        <w:topLinePunct w:val="0"/>
        <w:autoSpaceDE/>
        <w:autoSpaceDN/>
        <w:bidi w:val="0"/>
        <w:adjustRightInd w:val="0"/>
        <w:snapToGrid w:val="0"/>
        <w:spacing w:line="360" w:lineRule="auto"/>
        <w:ind w:left="0" w:hanging="1405" w:hangingChars="500"/>
        <w:textAlignment w:val="auto"/>
        <w:outlineLvl w:val="9"/>
        <w:rPr>
          <w:rFonts w:hint="eastAsia" w:ascii="仿宋" w:hAnsi="仿宋" w:eastAsia="仿宋" w:cs="仿宋"/>
          <w:b/>
          <w:bCs/>
          <w:sz w:val="28"/>
          <w:szCs w:val="28"/>
          <w:highlight w:val="none"/>
          <w:lang w:val="en-US"/>
        </w:rPr>
      </w:pPr>
      <w:r>
        <w:rPr>
          <w:rFonts w:hint="eastAsia" w:ascii="仿宋" w:hAnsi="仿宋" w:eastAsia="仿宋" w:cs="仿宋"/>
          <w:b/>
          <w:bCs/>
          <w:sz w:val="28"/>
          <w:szCs w:val="28"/>
          <w:highlight w:val="none"/>
          <w:lang w:val="en-US" w:eastAsia="zh-CN"/>
        </w:rPr>
        <w:t>项目</w:t>
      </w:r>
      <w:r>
        <w:rPr>
          <w:rFonts w:hint="eastAsia" w:ascii="仿宋" w:hAnsi="仿宋" w:eastAsia="仿宋" w:cs="仿宋"/>
          <w:b/>
          <w:bCs/>
          <w:sz w:val="28"/>
          <w:szCs w:val="28"/>
          <w:highlight w:val="none"/>
        </w:rPr>
        <w:t>名称：</w:t>
      </w:r>
      <w:r>
        <w:rPr>
          <w:rFonts w:hint="eastAsia" w:ascii="仿宋" w:hAnsi="仿宋" w:eastAsia="仿宋" w:cs="仿宋"/>
          <w:b/>
          <w:bCs/>
          <w:sz w:val="28"/>
          <w:szCs w:val="28"/>
          <w:highlight w:val="none"/>
          <w:lang w:val="en-US" w:eastAsia="zh-CN"/>
        </w:rPr>
        <w:t>乌鲁木齐高新区（新市区）铁路局片区老旧街区提升改造项目勘察</w:t>
      </w:r>
    </w:p>
    <w:p w14:paraId="24F2BE35">
      <w:pPr>
        <w:keepNext w:val="0"/>
        <w:keepLines w:val="0"/>
        <w:pageBreakBefore w:val="0"/>
        <w:widowControl w:val="0"/>
        <w:kinsoku/>
        <w:wordWrap/>
        <w:overflowPunct/>
        <w:topLinePunct w:val="0"/>
        <w:autoSpaceDE/>
        <w:autoSpaceDN/>
        <w:bidi w:val="0"/>
        <w:adjustRightInd w:val="0"/>
        <w:snapToGrid w:val="0"/>
        <w:spacing w:line="360" w:lineRule="auto"/>
        <w:ind w:left="2530" w:hanging="2530" w:hangingChars="9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采购人（盖章）：乌鲁木齐高新技术产业开发区（乌鲁木齐市新市区）</w:t>
      </w:r>
    </w:p>
    <w:p w14:paraId="6BB4716A">
      <w:pPr>
        <w:keepNext w:val="0"/>
        <w:keepLines w:val="0"/>
        <w:pageBreakBefore w:val="0"/>
        <w:widowControl w:val="0"/>
        <w:kinsoku/>
        <w:wordWrap/>
        <w:overflowPunct/>
        <w:topLinePunct w:val="0"/>
        <w:autoSpaceDE/>
        <w:autoSpaceDN/>
        <w:bidi w:val="0"/>
        <w:adjustRightInd w:val="0"/>
        <w:snapToGrid w:val="0"/>
        <w:spacing w:line="360" w:lineRule="auto"/>
        <w:ind w:left="2522" w:leftChars="1067" w:hanging="281" w:hangingChars="1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市政市容设施管理站</w:t>
      </w:r>
    </w:p>
    <w:p w14:paraId="334BF59D">
      <w:pPr>
        <w:kinsoku/>
        <w:topLinePunct w:val="0"/>
        <w:bidi w:val="0"/>
        <w:adjustRightInd w:val="0"/>
        <w:snapToGrid w:val="0"/>
        <w:spacing w:line="600" w:lineRule="auto"/>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联 系 人：何龙</w:t>
      </w:r>
    </w:p>
    <w:p w14:paraId="0F8C2FEA">
      <w:pPr>
        <w:kinsoku/>
        <w:topLinePunct w:val="0"/>
        <w:bidi w:val="0"/>
        <w:adjustRightInd w:val="0"/>
        <w:snapToGrid w:val="0"/>
        <w:spacing w:line="600" w:lineRule="auto"/>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电    话：0991-3836435</w:t>
      </w:r>
    </w:p>
    <w:p w14:paraId="4410E048">
      <w:pPr>
        <w:kinsoku/>
        <w:topLinePunct w:val="0"/>
        <w:bidi w:val="0"/>
        <w:adjustRightInd w:val="0"/>
        <w:snapToGrid w:val="0"/>
        <w:spacing w:line="600" w:lineRule="auto"/>
        <w:textAlignment w:val="auto"/>
        <w:outlineLvl w:val="9"/>
        <w:rPr>
          <w:rFonts w:hint="eastAsia" w:ascii="仿宋" w:hAnsi="仿宋" w:eastAsia="仿宋" w:cs="仿宋"/>
          <w:b/>
          <w:bCs/>
          <w:spacing w:val="-20"/>
          <w:sz w:val="28"/>
          <w:szCs w:val="28"/>
          <w:highlight w:val="none"/>
          <w:lang w:eastAsia="zh-CN"/>
        </w:rPr>
      </w:pPr>
      <w:r>
        <w:rPr>
          <w:rFonts w:hint="eastAsia" w:ascii="仿宋" w:hAnsi="仿宋" w:eastAsia="仿宋" w:cs="仿宋"/>
          <w:b/>
          <w:bCs/>
          <w:sz w:val="28"/>
          <w:szCs w:val="28"/>
          <w:highlight w:val="none"/>
          <w:lang w:val="en-US" w:eastAsia="zh-CN"/>
        </w:rPr>
        <w:t>地    址</w:t>
      </w:r>
      <w:r>
        <w:rPr>
          <w:rFonts w:hint="eastAsia" w:ascii="仿宋" w:hAnsi="仿宋" w:eastAsia="仿宋" w:cs="仿宋"/>
          <w:b/>
          <w:bCs/>
          <w:sz w:val="28"/>
          <w:szCs w:val="28"/>
          <w:highlight w:val="none"/>
        </w:rPr>
        <w:t>：乌鲁木齐市苏州西街288号</w:t>
      </w:r>
    </w:p>
    <w:p w14:paraId="3C226364">
      <w:pPr>
        <w:kinsoku/>
        <w:topLinePunct w:val="0"/>
        <w:bidi w:val="0"/>
        <w:adjustRightInd w:val="0"/>
        <w:snapToGrid w:val="0"/>
        <w:spacing w:line="480" w:lineRule="auto"/>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w:t>
      </w:r>
    </w:p>
    <w:p w14:paraId="4CB8A1F6">
      <w:pPr>
        <w:kinsoku/>
        <w:topLinePunct w:val="0"/>
        <w:bidi w:val="0"/>
        <w:adjustRightInd w:val="0"/>
        <w:snapToGrid w:val="0"/>
        <w:spacing w:line="600" w:lineRule="auto"/>
        <w:textAlignment w:val="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采购代理机构</w:t>
      </w:r>
      <w:r>
        <w:rPr>
          <w:rFonts w:hint="eastAsia" w:ascii="仿宋" w:hAnsi="仿宋" w:eastAsia="仿宋" w:cs="仿宋"/>
          <w:b/>
          <w:bCs/>
          <w:sz w:val="28"/>
          <w:szCs w:val="28"/>
          <w:highlight w:val="none"/>
        </w:rPr>
        <w:t>（盖章</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中合安建工程管理有限公司</w:t>
      </w:r>
    </w:p>
    <w:p w14:paraId="0DAD194E">
      <w:pPr>
        <w:kinsoku/>
        <w:topLinePunct w:val="0"/>
        <w:bidi w:val="0"/>
        <w:adjustRightInd w:val="0"/>
        <w:snapToGrid w:val="0"/>
        <w:spacing w:line="600" w:lineRule="auto"/>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法人代表（盖章</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王蕾</w:t>
      </w:r>
    </w:p>
    <w:p w14:paraId="0E7EA8E3">
      <w:pPr>
        <w:kinsoku/>
        <w:topLinePunct w:val="0"/>
        <w:bidi w:val="0"/>
        <w:adjustRightInd w:val="0"/>
        <w:snapToGrid w:val="0"/>
        <w:spacing w:line="600" w:lineRule="auto"/>
        <w:textAlignment w:val="auto"/>
        <w:outlineLvl w:val="9"/>
        <w:rPr>
          <w:rFonts w:hint="eastAsia" w:ascii="仿宋" w:hAnsi="仿宋" w:eastAsia="仿宋" w:cs="仿宋"/>
          <w:b/>
          <w:bCs/>
          <w:sz w:val="28"/>
          <w:szCs w:val="28"/>
          <w:highlight w:val="none"/>
          <w:lang w:val="en-US"/>
        </w:rPr>
      </w:pPr>
      <w:r>
        <w:rPr>
          <w:rFonts w:hint="eastAsia" w:ascii="仿宋" w:hAnsi="仿宋" w:eastAsia="仿宋" w:cs="仿宋"/>
          <w:b/>
          <w:bCs/>
          <w:sz w:val="28"/>
          <w:szCs w:val="28"/>
          <w:highlight w:val="none"/>
          <w:lang w:val="en-US" w:eastAsia="zh-CN"/>
        </w:rPr>
        <w:t>项 目 联 系 人：彭小倬、王迪、赵超</w:t>
      </w:r>
    </w:p>
    <w:p w14:paraId="421158B1">
      <w:pPr>
        <w:kinsoku/>
        <w:topLinePunct w:val="0"/>
        <w:bidi w:val="0"/>
        <w:adjustRightInd w:val="0"/>
        <w:snapToGrid w:val="0"/>
        <w:spacing w:line="600" w:lineRule="auto"/>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联 系 电 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0991-3331780、</w:t>
      </w:r>
      <w:r>
        <w:rPr>
          <w:rFonts w:hint="eastAsia" w:ascii="仿宋" w:hAnsi="仿宋" w:eastAsia="仿宋" w:cs="仿宋"/>
          <w:b/>
          <w:bCs/>
          <w:sz w:val="28"/>
          <w:szCs w:val="28"/>
          <w:highlight w:val="none"/>
          <w:lang w:val="en-US" w:eastAsia="zh-CN"/>
        </w:rPr>
        <w:t>13095188020</w:t>
      </w:r>
      <w:r>
        <w:rPr>
          <w:rFonts w:hint="eastAsia" w:ascii="仿宋" w:hAnsi="仿宋" w:eastAsia="仿宋" w:cs="仿宋"/>
          <w:b/>
          <w:bCs/>
          <w:sz w:val="28"/>
          <w:szCs w:val="28"/>
          <w:highlight w:val="none"/>
          <w:lang w:eastAsia="zh-CN"/>
        </w:rPr>
        <w:t>、13999253263</w:t>
      </w:r>
    </w:p>
    <w:p w14:paraId="1FE821F2">
      <w:pPr>
        <w:kinsoku/>
        <w:topLinePunct w:val="0"/>
        <w:bidi w:val="0"/>
        <w:adjustRightInd w:val="0"/>
        <w:snapToGrid w:val="0"/>
        <w:spacing w:line="600" w:lineRule="auto"/>
        <w:textAlignment w:val="auto"/>
        <w:outlineLvl w:val="9"/>
        <w:rPr>
          <w:rFonts w:hint="eastAsia" w:ascii="仿宋" w:hAnsi="仿宋" w:eastAsia="仿宋" w:cs="仿宋"/>
          <w:b/>
          <w:bCs/>
          <w:spacing w:val="-20"/>
          <w:sz w:val="28"/>
          <w:szCs w:val="28"/>
          <w:highlight w:val="none"/>
          <w:lang w:eastAsia="zh-CN"/>
        </w:rPr>
      </w:pPr>
      <w:r>
        <w:rPr>
          <w:rFonts w:hint="eastAsia" w:ascii="仿宋" w:hAnsi="仿宋" w:eastAsia="仿宋" w:cs="仿宋"/>
          <w:b/>
          <w:bCs/>
          <w:sz w:val="28"/>
          <w:szCs w:val="28"/>
          <w:highlight w:val="none"/>
          <w:lang w:val="en-US" w:eastAsia="zh-CN"/>
        </w:rPr>
        <w:t>地 址</w:t>
      </w:r>
      <w:r>
        <w:rPr>
          <w:rFonts w:hint="eastAsia" w:ascii="仿宋" w:hAnsi="仿宋" w:eastAsia="仿宋" w:cs="仿宋"/>
          <w:b/>
          <w:bCs/>
          <w:sz w:val="28"/>
          <w:szCs w:val="28"/>
          <w:highlight w:val="none"/>
        </w:rPr>
        <w:t>：</w:t>
      </w:r>
      <w:r>
        <w:rPr>
          <w:rFonts w:hint="eastAsia" w:ascii="仿宋" w:hAnsi="仿宋" w:eastAsia="仿宋" w:cs="仿宋"/>
          <w:b/>
          <w:bCs/>
          <w:spacing w:val="-20"/>
          <w:sz w:val="28"/>
          <w:szCs w:val="28"/>
          <w:highlight w:val="none"/>
          <w:lang w:eastAsia="zh-CN"/>
        </w:rPr>
        <w:t>新疆乌鲁木齐高新区（新市区）新医路165号汇文大厦1栋6层A</w:t>
      </w:r>
    </w:p>
    <w:p w14:paraId="2998622E">
      <w:pPr>
        <w:kinsoku/>
        <w:topLinePunct w:val="0"/>
        <w:bidi w:val="0"/>
        <w:spacing w:line="480" w:lineRule="auto"/>
        <w:textAlignment w:val="auto"/>
        <w:outlineLvl w:val="9"/>
        <w:rPr>
          <w:rFonts w:hint="eastAsia" w:ascii="仿宋" w:hAnsi="仿宋" w:eastAsia="仿宋" w:cs="仿宋"/>
          <w:spacing w:val="10"/>
          <w:szCs w:val="21"/>
          <w:highlight w:val="none"/>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8B9BB7C">
      <w:pPr>
        <w:keepNext w:val="0"/>
        <w:keepLines w:val="0"/>
        <w:pageBreakBefore/>
        <w:widowControl w:val="0"/>
        <w:kinsoku/>
        <w:wordWrap/>
        <w:overflowPunct/>
        <w:topLinePunct w:val="0"/>
        <w:autoSpaceDE/>
        <w:autoSpaceDN/>
        <w:bidi w:val="0"/>
        <w:adjustRightInd/>
        <w:snapToGrid/>
        <w:spacing w:line="579" w:lineRule="auto"/>
        <w:jc w:val="center"/>
        <w:textAlignment w:val="auto"/>
        <w:outlineLvl w:val="9"/>
        <w:rPr>
          <w:rFonts w:hint="eastAsia" w:ascii="仿宋" w:hAnsi="仿宋" w:eastAsia="仿宋" w:cs="仿宋"/>
          <w:b/>
          <w:bCs/>
          <w:sz w:val="32"/>
          <w:szCs w:val="36"/>
          <w:highlight w:val="none"/>
        </w:rPr>
      </w:pPr>
      <w:bookmarkStart w:id="0" w:name="_Toc43715820"/>
      <w:bookmarkStart w:id="1" w:name="_Toc17967"/>
    </w:p>
    <w:p w14:paraId="55A7F26A">
      <w:pPr>
        <w:keepNext w:val="0"/>
        <w:keepLines w:val="0"/>
        <w:pageBreakBefore/>
        <w:widowControl w:val="0"/>
        <w:kinsoku/>
        <w:wordWrap/>
        <w:overflowPunct/>
        <w:topLinePunct w:val="0"/>
        <w:autoSpaceDE/>
        <w:autoSpaceDN/>
        <w:bidi w:val="0"/>
        <w:adjustRightInd/>
        <w:snapToGrid/>
        <w:spacing w:line="579" w:lineRule="auto"/>
        <w:jc w:val="center"/>
        <w:textAlignment w:val="auto"/>
        <w:outlineLvl w:val="9"/>
        <w:rPr>
          <w:rFonts w:hint="eastAsia" w:ascii="仿宋" w:hAnsi="仿宋" w:eastAsia="仿宋" w:cs="仿宋"/>
          <w:b/>
          <w:bCs/>
          <w:sz w:val="32"/>
          <w:szCs w:val="36"/>
          <w:highlight w:val="none"/>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BCDE9FB">
      <w:pPr>
        <w:keepNext w:val="0"/>
        <w:keepLines w:val="0"/>
        <w:pageBreakBefore/>
        <w:widowControl w:val="0"/>
        <w:kinsoku/>
        <w:wordWrap/>
        <w:overflowPunct/>
        <w:topLinePunct w:val="0"/>
        <w:autoSpaceDE/>
        <w:autoSpaceDN/>
        <w:bidi w:val="0"/>
        <w:adjustRightInd/>
        <w:snapToGrid/>
        <w:spacing w:line="579" w:lineRule="auto"/>
        <w:jc w:val="center"/>
        <w:textAlignment w:val="auto"/>
        <w:outlineLvl w:val="9"/>
        <w:rPr>
          <w:rFonts w:hint="eastAsia" w:ascii="仿宋" w:hAnsi="仿宋" w:eastAsia="仿宋" w:cs="仿宋"/>
          <w:b/>
          <w:bCs/>
          <w:sz w:val="28"/>
          <w:szCs w:val="32"/>
          <w:highlight w:val="none"/>
        </w:rPr>
      </w:pPr>
      <w:r>
        <w:rPr>
          <w:rFonts w:hint="eastAsia" w:ascii="仿宋" w:hAnsi="仿宋" w:eastAsia="仿宋" w:cs="仿宋"/>
          <w:b/>
          <w:bCs/>
          <w:sz w:val="32"/>
          <w:szCs w:val="36"/>
          <w:highlight w:val="none"/>
        </w:rPr>
        <w:t>目</w:t>
      </w:r>
      <w:r>
        <w:rPr>
          <w:rFonts w:hint="eastAsia" w:ascii="仿宋" w:hAnsi="仿宋" w:eastAsia="仿宋" w:cs="仿宋"/>
          <w:b/>
          <w:bCs/>
          <w:sz w:val="32"/>
          <w:szCs w:val="36"/>
          <w:highlight w:val="none"/>
          <w:lang w:val="en-US" w:eastAsia="zh-CN"/>
        </w:rPr>
        <w:t xml:space="preserve">   </w:t>
      </w:r>
      <w:r>
        <w:rPr>
          <w:rFonts w:hint="eastAsia" w:ascii="仿宋" w:hAnsi="仿宋" w:eastAsia="仿宋" w:cs="仿宋"/>
          <w:b/>
          <w:bCs/>
          <w:sz w:val="32"/>
          <w:szCs w:val="36"/>
          <w:highlight w:val="none"/>
        </w:rPr>
        <w:t>录</w:t>
      </w:r>
      <w:bookmarkEnd w:id="0"/>
      <w:bookmarkEnd w:id="1"/>
    </w:p>
    <w:p w14:paraId="6C7E954A">
      <w:pPr>
        <w:pStyle w:val="22"/>
        <w:tabs>
          <w:tab w:val="right" w:leader="dot" w:pos="9638"/>
        </w:tabs>
        <w:rPr>
          <w:rFonts w:hint="eastAsia" w:ascii="仿宋" w:hAnsi="仿宋" w:eastAsia="仿宋" w:cs="仿宋"/>
          <w:sz w:val="28"/>
          <w:szCs w:val="28"/>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TOC \o "1-3" \h \z \u </w:instrText>
      </w:r>
      <w:r>
        <w:rPr>
          <w:rFonts w:hint="eastAsia" w:ascii="仿宋" w:hAnsi="仿宋" w:eastAsia="仿宋" w:cs="仿宋"/>
          <w:b/>
          <w:bCs/>
          <w:sz w:val="28"/>
          <w:szCs w:val="28"/>
          <w:highlight w:val="none"/>
        </w:rPr>
        <w:fldChar w:fldCharType="separate"/>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_Toc10209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一</w:t>
      </w:r>
      <w:r>
        <w:rPr>
          <w:rFonts w:hint="eastAsia" w:ascii="仿宋" w:hAnsi="仿宋" w:eastAsia="仿宋" w:cs="仿宋"/>
          <w:bCs/>
          <w:sz w:val="28"/>
          <w:szCs w:val="28"/>
          <w:highlight w:val="none"/>
        </w:rPr>
        <w:t>章  竞争性磋商公告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_Toc10209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21282616">
      <w:pPr>
        <w:pStyle w:val="22"/>
        <w:tabs>
          <w:tab w:val="right" w:leader="dot" w:pos="9638"/>
        </w:tabs>
        <w:rPr>
          <w:rFonts w:hint="eastAsia" w:ascii="仿宋" w:hAnsi="仿宋" w:eastAsia="仿宋" w:cs="仿宋"/>
          <w:sz w:val="28"/>
          <w:szCs w:val="28"/>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_Toc3354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lang w:val="en-US" w:eastAsia="zh-CN"/>
        </w:rPr>
        <w:t>第二章  磋商须知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_Toc3354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1ED75E52">
      <w:pPr>
        <w:pStyle w:val="25"/>
        <w:tabs>
          <w:tab w:val="right" w:leader="dot" w:pos="9638"/>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_Toc17477 </w:instrText>
      </w:r>
      <w:r>
        <w:rPr>
          <w:rFonts w:hint="eastAsia" w:ascii="仿宋" w:hAnsi="仿宋" w:eastAsia="仿宋" w:cs="仿宋"/>
          <w:bCs/>
          <w:sz w:val="28"/>
          <w:szCs w:val="28"/>
          <w:highlight w:val="none"/>
        </w:rPr>
        <w:fldChar w:fldCharType="separate"/>
      </w:r>
      <w:r>
        <w:rPr>
          <w:rFonts w:hint="eastAsia" w:ascii="仿宋" w:hAnsi="仿宋" w:eastAsia="仿宋" w:cs="仿宋"/>
          <w:bCs/>
          <w:kern w:val="2"/>
          <w:sz w:val="28"/>
          <w:szCs w:val="28"/>
          <w:highlight w:val="none"/>
          <w:lang w:val="zh-CN" w:eastAsia="zh-CN" w:bidi="ar-SA"/>
        </w:rPr>
        <w:t>资格审查</w:t>
      </w:r>
      <w:r>
        <w:rPr>
          <w:rFonts w:hint="eastAsia" w:ascii="仿宋" w:hAnsi="仿宋" w:eastAsia="仿宋" w:cs="仿宋"/>
          <w:bCs/>
          <w:kern w:val="2"/>
          <w:sz w:val="28"/>
          <w:szCs w:val="28"/>
          <w:highlight w:val="none"/>
          <w:lang w:val="en-US" w:eastAsia="zh-CN" w:bidi="ar-SA"/>
        </w:rPr>
        <w:t>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_Toc17477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136DA02E">
      <w:pPr>
        <w:pStyle w:val="25"/>
        <w:tabs>
          <w:tab w:val="right" w:leader="dot" w:pos="9638"/>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_Toc26992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lang w:val="en-US" w:eastAsia="zh-CN"/>
        </w:rPr>
        <w:t>初步评审－符合性审查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_Toc26992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2C33AC45">
      <w:pPr>
        <w:pStyle w:val="25"/>
        <w:tabs>
          <w:tab w:val="right" w:leader="dot" w:pos="9638"/>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_Toc23638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rPr>
        <w:t>详细评审--商务技术打分表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_Toc23638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30B60C32">
      <w:pPr>
        <w:pStyle w:val="22"/>
        <w:tabs>
          <w:tab w:val="right" w:leader="dot" w:pos="9638"/>
        </w:tabs>
        <w:rPr>
          <w:rFonts w:hint="eastAsia" w:ascii="仿宋" w:hAnsi="仿宋" w:eastAsia="仿宋" w:cs="仿宋"/>
          <w:sz w:val="28"/>
          <w:szCs w:val="28"/>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_Toc21792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lang w:val="en-US" w:eastAsia="zh-CN"/>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_Toc21792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7D60BC80">
      <w:pPr>
        <w:pStyle w:val="22"/>
        <w:tabs>
          <w:tab w:val="right" w:leader="dot" w:pos="9638"/>
        </w:tabs>
        <w:rPr>
          <w:rFonts w:hint="eastAsia" w:ascii="仿宋" w:hAnsi="仿宋" w:eastAsia="仿宋" w:cs="仿宋"/>
          <w:sz w:val="28"/>
          <w:szCs w:val="28"/>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_Toc19517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第四章</w:t>
      </w:r>
      <w:r>
        <w:rPr>
          <w:rFonts w:hint="eastAsia" w:ascii="仿宋" w:hAnsi="仿宋" w:eastAsia="仿宋" w:cs="仿宋"/>
          <w:bCs/>
          <w:sz w:val="28"/>
          <w:szCs w:val="28"/>
          <w:highlight w:val="none"/>
          <w:lang w:val="en-US" w:eastAsia="zh-CN"/>
        </w:rPr>
        <w:t xml:space="preserve">  合同草案条款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_Toc19517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212C5269">
      <w:pPr>
        <w:pStyle w:val="22"/>
        <w:tabs>
          <w:tab w:val="right" w:leader="dot" w:pos="9638"/>
        </w:tabs>
        <w:rPr>
          <w:rFonts w:hint="eastAsia" w:ascii="仿宋" w:hAnsi="仿宋" w:eastAsia="仿宋" w:cs="仿宋"/>
          <w:sz w:val="28"/>
          <w:szCs w:val="28"/>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HYPERLINK \l _Toc8868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五</w:t>
      </w:r>
      <w:r>
        <w:rPr>
          <w:rFonts w:hint="eastAsia" w:ascii="仿宋" w:hAnsi="仿宋" w:eastAsia="仿宋" w:cs="仿宋"/>
          <w:bCs/>
          <w:sz w:val="28"/>
          <w:szCs w:val="28"/>
          <w:highlight w:val="none"/>
        </w:rPr>
        <w:t>章</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响应文件组成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_Toc8868 \h </w:instrText>
      </w:r>
      <w:r>
        <w:rPr>
          <w:rFonts w:hint="eastAsia" w:ascii="仿宋" w:hAnsi="仿宋" w:eastAsia="仿宋" w:cs="仿宋"/>
          <w:sz w:val="28"/>
          <w:szCs w:val="28"/>
        </w:rPr>
        <w:fldChar w:fldCharType="separate"/>
      </w:r>
      <w:r>
        <w:rPr>
          <w:rFonts w:hint="eastAsia" w:ascii="仿宋" w:hAnsi="仿宋" w:eastAsia="仿宋" w:cs="仿宋"/>
          <w:sz w:val="28"/>
          <w:szCs w:val="28"/>
        </w:rPr>
        <w:t>55</w:t>
      </w:r>
      <w:r>
        <w:rPr>
          <w:rFonts w:hint="eastAsia" w:ascii="仿宋" w:hAnsi="仿宋" w:eastAsia="仿宋" w:cs="仿宋"/>
          <w:sz w:val="28"/>
          <w:szCs w:val="28"/>
        </w:rPr>
        <w:fldChar w:fldCharType="end"/>
      </w:r>
      <w:r>
        <w:rPr>
          <w:rFonts w:hint="eastAsia" w:ascii="仿宋" w:hAnsi="仿宋" w:eastAsia="仿宋" w:cs="仿宋"/>
          <w:bCs/>
          <w:sz w:val="28"/>
          <w:szCs w:val="28"/>
          <w:highlight w:val="none"/>
        </w:rPr>
        <w:fldChar w:fldCharType="end"/>
      </w:r>
    </w:p>
    <w:p w14:paraId="2C57B73E">
      <w:pPr>
        <w:kinsoku/>
        <w:topLinePunct w:val="0"/>
        <w:bidi w:val="0"/>
        <w:spacing w:line="480" w:lineRule="auto"/>
        <w:textAlignment w:val="auto"/>
        <w:outlineLvl w:val="9"/>
        <w:rPr>
          <w:rFonts w:hint="eastAsia" w:ascii="仿宋" w:hAnsi="仿宋" w:eastAsia="仿宋" w:cs="仿宋"/>
          <w:b/>
          <w:bCs/>
          <w:sz w:val="28"/>
          <w:szCs w:val="28"/>
          <w:highlight w:val="none"/>
        </w:rPr>
      </w:pPr>
      <w:r>
        <w:rPr>
          <w:rFonts w:hint="eastAsia" w:ascii="仿宋" w:hAnsi="仿宋" w:eastAsia="仿宋" w:cs="仿宋"/>
          <w:bCs/>
          <w:sz w:val="28"/>
          <w:szCs w:val="28"/>
          <w:highlight w:val="none"/>
        </w:rPr>
        <w:fldChar w:fldCharType="end"/>
      </w:r>
    </w:p>
    <w:p w14:paraId="60F81724">
      <w:pPr>
        <w:kinsoku/>
        <w:topLinePunct w:val="0"/>
        <w:bidi w:val="0"/>
        <w:textAlignment w:val="auto"/>
        <w:outlineLvl w:val="9"/>
        <w:rPr>
          <w:rFonts w:hint="eastAsia" w:ascii="仿宋" w:hAnsi="仿宋" w:eastAsia="仿宋" w:cs="仿宋"/>
          <w:highlight w:val="none"/>
        </w:rPr>
      </w:pPr>
    </w:p>
    <w:p w14:paraId="0125C4EB">
      <w:pPr>
        <w:keepNext w:val="0"/>
        <w:kinsoku/>
        <w:topLinePunct w:val="0"/>
        <w:bidi w:val="0"/>
        <w:spacing w:line="450" w:lineRule="atLeast"/>
        <w:textAlignment w:val="auto"/>
        <w:outlineLvl w:val="9"/>
        <w:rPr>
          <w:rFonts w:hint="eastAsia" w:ascii="仿宋" w:hAnsi="仿宋" w:eastAsia="仿宋" w:cs="仿宋"/>
          <w:color w:val="000000"/>
          <w:sz w:val="36"/>
          <w:szCs w:val="36"/>
          <w:highlight w:val="none"/>
          <w:lang w:val="en-US" w:eastAsia="zh-CN"/>
        </w:rPr>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8555"/>
      <w:bookmarkStart w:id="3" w:name="_Toc43715821"/>
    </w:p>
    <w:p w14:paraId="15E932D8">
      <w:pPr>
        <w:keepNext w:val="0"/>
        <w:keepLines w:val="0"/>
        <w:pageBreakBefore/>
        <w:widowControl w:val="0"/>
        <w:kinsoku/>
        <w:wordWrap/>
        <w:overflowPunct/>
        <w:topLinePunct w:val="0"/>
        <w:autoSpaceDE/>
        <w:autoSpaceDN/>
        <w:bidi w:val="0"/>
        <w:adjustRightInd/>
        <w:snapToGrid/>
        <w:spacing w:before="0" w:after="0" w:line="579" w:lineRule="auto"/>
        <w:jc w:val="center"/>
        <w:textAlignment w:val="auto"/>
        <w:outlineLvl w:val="0"/>
        <w:rPr>
          <w:rFonts w:hint="eastAsia" w:ascii="仿宋" w:hAnsi="仿宋" w:eastAsia="仿宋" w:cs="仿宋"/>
          <w:b/>
          <w:bCs/>
          <w:sz w:val="32"/>
          <w:szCs w:val="32"/>
          <w:highlight w:val="none"/>
        </w:rPr>
      </w:pPr>
      <w:bookmarkStart w:id="4" w:name="_Toc10209"/>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章  竞争性磋商公告</w:t>
      </w:r>
      <w:bookmarkEnd w:id="4"/>
    </w:p>
    <w:p w14:paraId="20DBBED2">
      <w:pPr>
        <w:keepNext w:val="0"/>
        <w:keepLines/>
        <w:pageBreakBefore w:val="0"/>
        <w:widowControl w:val="0"/>
        <w:kinsoku/>
        <w:wordWrap/>
        <w:overflowPunct/>
        <w:topLinePunct w:val="0"/>
        <w:autoSpaceDE/>
        <w:autoSpaceDN/>
        <w:bidi w:val="0"/>
        <w:adjustRightInd/>
        <w:snapToGrid/>
        <w:spacing w:line="450" w:lineRule="atLeast"/>
        <w:jc w:val="center"/>
        <w:textAlignment w:val="auto"/>
        <w:outlineLvl w:val="9"/>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乌鲁木齐高新区（新市区）铁路局片区老旧街区提升改造项目勘察</w:t>
      </w:r>
      <w:r>
        <w:rPr>
          <w:rFonts w:hint="eastAsia" w:ascii="仿宋" w:hAnsi="仿宋" w:eastAsia="仿宋" w:cs="仿宋"/>
          <w:b/>
          <w:bCs/>
          <w:color w:val="000000"/>
          <w:sz w:val="32"/>
          <w:szCs w:val="32"/>
          <w:highlight w:val="none"/>
        </w:rPr>
        <w:t>竞争性磋商公告</w:t>
      </w:r>
      <w:bookmarkEnd w:id="2"/>
    </w:p>
    <w:p w14:paraId="457F0939">
      <w:pPr>
        <w:pStyle w:val="27"/>
        <w:kinsoku/>
        <w:topLinePunct w:val="0"/>
        <w:bidi w:val="0"/>
        <w:spacing w:before="75" w:beforeAutospacing="0" w:after="150" w:afterAutospacing="0"/>
        <w:textAlignment w:val="auto"/>
        <w:outlineLvl w:val="9"/>
        <w:rPr>
          <w:rFonts w:hint="eastAsia" w:ascii="仿宋" w:hAnsi="仿宋" w:eastAsia="仿宋" w:cs="仿宋"/>
          <w:color w:val="000000"/>
          <w:sz w:val="27"/>
          <w:szCs w:val="27"/>
          <w:highlight w:val="none"/>
        </w:rPr>
      </w:pPr>
      <w:r>
        <w:rPr>
          <w:rFonts w:hint="eastAsia" w:ascii="仿宋" w:hAnsi="仿宋" w:eastAsia="仿宋" w:cs="仿宋"/>
          <w:sz w:val="27"/>
          <w:highlight w:val="none"/>
        </w:rPr>
        <mc:AlternateContent>
          <mc:Choice Requires="wps">
            <w:drawing>
              <wp:inline distT="0" distB="0" distL="114300" distR="114300">
                <wp:extent cx="5615305" cy="931545"/>
                <wp:effectExtent l="4445" t="4445" r="19050" b="16510"/>
                <wp:docPr id="2" name="文本框 2"/>
                <wp:cNvGraphicFramePr/>
                <a:graphic xmlns:a="http://schemas.openxmlformats.org/drawingml/2006/main">
                  <a:graphicData uri="http://schemas.microsoft.com/office/word/2010/wordprocessingShape">
                    <wps:wsp>
                      <wps:cNvSpPr txBox="1"/>
                      <wps:spPr>
                        <a:xfrm>
                          <a:off x="911225" y="1501775"/>
                          <a:ext cx="5615305" cy="93154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1946D2">
                            <w:pPr>
                              <w:pStyle w:val="27"/>
                              <w:spacing w:before="0" w:beforeAutospacing="0" w:after="0" w:afterAutospacing="0"/>
                              <w:ind w:right="-120" w:rightChars="-57"/>
                              <w:rPr>
                                <w:rFonts w:ascii="仿宋" w:hAnsi="仿宋" w:eastAsia="仿宋" w:cs="仿宋"/>
                                <w:sz w:val="24"/>
                                <w:szCs w:val="24"/>
                                <w:highlight w:val="none"/>
                              </w:rPr>
                            </w:pPr>
                            <w:r>
                              <w:rPr>
                                <w:rFonts w:hint="eastAsia" w:ascii="仿宋" w:hAnsi="仿宋" w:eastAsia="仿宋" w:cs="仿宋"/>
                                <w:color w:val="000000"/>
                                <w:sz w:val="24"/>
                                <w:szCs w:val="24"/>
                                <w:highlight w:val="none"/>
                              </w:rPr>
                              <w:t>项目概况</w:t>
                            </w:r>
                          </w:p>
                          <w:p w14:paraId="3A36F437">
                            <w:pPr>
                              <w:pStyle w:val="27"/>
                              <w:spacing w:before="0" w:beforeAutospacing="0" w:after="0" w:afterAutospacing="0"/>
                              <w:ind w:right="-120" w:rightChars="-57" w:firstLine="480" w:firstLineChars="200"/>
                              <w:rPr>
                                <w:rFonts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乌鲁木齐高新区（新市区）铁路局片区老旧街区提升改造项目勘察的潜在供应商应在政采云平台线上获取采购文件，并于2026年6月15日11:00（北京时间）前提交响应文件。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73.35pt;width:442.15pt;" filled="f" stroked="t" coordsize="21600,21600" o:gfxdata="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EY&#10;m4rXAAAABQEAAA8AAAAAAAAAAQAgAAAAIgAAAGRycy9kb3ducmV2LnhtbFBLAQIUABQAAAAIAIdO&#10;4kBxFLlXXQIAAJkEAAAOAAAAAAAAAAEAIAAAACYBAABkcnMvZTJvRG9jLnhtbFBLBQYAAAAABgAG&#10;AFkBAAD1BQAAAAA=&#10;">
                <v:fill on="f" focussize="0,0"/>
                <v:stroke weight="0.5pt" color="#000000 [3204]" joinstyle="round"/>
                <v:imagedata o:title=""/>
                <o:lock v:ext="edit" aspectratio="f"/>
                <v:textbox>
                  <w:txbxContent>
                    <w:p w14:paraId="331946D2">
                      <w:pPr>
                        <w:pStyle w:val="27"/>
                        <w:spacing w:before="0" w:beforeAutospacing="0" w:after="0" w:afterAutospacing="0"/>
                        <w:ind w:right="-120" w:rightChars="-57"/>
                        <w:rPr>
                          <w:rFonts w:ascii="仿宋" w:hAnsi="仿宋" w:eastAsia="仿宋" w:cs="仿宋"/>
                          <w:sz w:val="24"/>
                          <w:szCs w:val="24"/>
                          <w:highlight w:val="none"/>
                        </w:rPr>
                      </w:pPr>
                      <w:r>
                        <w:rPr>
                          <w:rFonts w:hint="eastAsia" w:ascii="仿宋" w:hAnsi="仿宋" w:eastAsia="仿宋" w:cs="仿宋"/>
                          <w:color w:val="000000"/>
                          <w:sz w:val="24"/>
                          <w:szCs w:val="24"/>
                          <w:highlight w:val="none"/>
                        </w:rPr>
                        <w:t>项目概况</w:t>
                      </w:r>
                    </w:p>
                    <w:p w14:paraId="3A36F437">
                      <w:pPr>
                        <w:pStyle w:val="27"/>
                        <w:spacing w:before="0" w:beforeAutospacing="0" w:after="0" w:afterAutospacing="0"/>
                        <w:ind w:right="-120" w:rightChars="-57" w:firstLine="480" w:firstLineChars="200"/>
                        <w:rPr>
                          <w:rFonts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乌鲁木齐高新区（新市区）铁路局片区老旧街区提升改造项目勘察的潜在供应商应在政采云平台线上获取采购文件，并于2026年6月15日11:00（北京时间）前提交响应文件。</w:t>
                      </w:r>
                    </w:p>
                  </w:txbxContent>
                </v:textbox>
                <w10:wrap type="none"/>
                <w10:anchorlock/>
              </v:shape>
            </w:pict>
          </mc:Fallback>
        </mc:AlternateContent>
      </w:r>
    </w:p>
    <w:p w14:paraId="54773FDA">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sz w:val="24"/>
          <w:szCs w:val="24"/>
          <w:highlight w:val="none"/>
        </w:rPr>
      </w:pPr>
      <w:r>
        <w:rPr>
          <w:rStyle w:val="32"/>
          <w:rFonts w:hint="eastAsia" w:ascii="仿宋" w:hAnsi="仿宋" w:eastAsia="仿宋" w:cs="仿宋"/>
          <w:color w:val="000000"/>
          <w:sz w:val="24"/>
          <w:szCs w:val="24"/>
          <w:highlight w:val="none"/>
        </w:rPr>
        <w:t>一、项目基本情况</w:t>
      </w:r>
    </w:p>
    <w:p w14:paraId="2F70A163">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项目编号：</w:t>
      </w:r>
      <w:r>
        <w:rPr>
          <w:rFonts w:hint="eastAsia" w:ascii="仿宋" w:hAnsi="仿宋" w:eastAsia="仿宋" w:cs="仿宋"/>
          <w:color w:val="000000"/>
          <w:sz w:val="24"/>
          <w:szCs w:val="24"/>
          <w:highlight w:val="none"/>
          <w:lang w:val="en-US" w:eastAsia="zh-CN"/>
        </w:rPr>
        <w:t xml:space="preserve">2026ZHAJ—13  </w:t>
      </w:r>
    </w:p>
    <w:p w14:paraId="12FD8FC1">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项目名称</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乌鲁木齐高新区（新市区）铁路局片区老旧街区提升改造项目勘察</w:t>
      </w:r>
    </w:p>
    <w:p w14:paraId="7CE8A1AF">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采购方式：竞争性磋商</w:t>
      </w:r>
    </w:p>
    <w:p w14:paraId="10C57D76">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rPr>
        <w:t>预算金额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510300元</w:t>
      </w:r>
    </w:p>
    <w:p w14:paraId="690A165C">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rPr>
        <w:t>最高限价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510300元</w:t>
      </w:r>
    </w:p>
    <w:p w14:paraId="5289504B">
      <w:pPr>
        <w:kinsoku/>
        <w:topLinePunct w:val="0"/>
        <w:bidi w:val="0"/>
        <w:spacing w:line="460" w:lineRule="exact"/>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采购需求：</w:t>
      </w:r>
      <w:r>
        <w:rPr>
          <w:rFonts w:hint="eastAsia" w:ascii="仿宋" w:hAnsi="仿宋" w:eastAsia="仿宋" w:cs="仿宋"/>
          <w:b w:val="0"/>
          <w:bCs/>
          <w:sz w:val="24"/>
          <w:szCs w:val="24"/>
          <w:highlight w:val="none"/>
          <w:lang w:val="en-US" w:eastAsia="zh-CN"/>
        </w:rPr>
        <w:t>该建设项目范围内的工程勘察（初勘、详勘），为项目初步设计、施工图设计、场地平整提供依据及后期服务，具体</w:t>
      </w:r>
      <w:r>
        <w:rPr>
          <w:rFonts w:hint="eastAsia" w:ascii="仿宋" w:hAnsi="仿宋" w:eastAsia="仿宋" w:cs="仿宋"/>
          <w:color w:val="000000"/>
          <w:sz w:val="24"/>
          <w:szCs w:val="24"/>
          <w:highlight w:val="none"/>
          <w:lang w:val="en-US" w:eastAsia="zh-CN"/>
        </w:rPr>
        <w:t>详见竞争性磋商文件。</w:t>
      </w:r>
    </w:p>
    <w:p w14:paraId="5CF5E4F7">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标项名称： </w:t>
      </w:r>
      <w:r>
        <w:rPr>
          <w:rFonts w:hint="eastAsia" w:ascii="仿宋" w:hAnsi="仿宋" w:eastAsia="仿宋" w:cs="仿宋"/>
          <w:color w:val="000000"/>
          <w:sz w:val="24"/>
          <w:szCs w:val="24"/>
          <w:highlight w:val="none"/>
          <w:lang w:val="en-US" w:eastAsia="zh-CN"/>
        </w:rPr>
        <w:t>乌鲁木齐高新区（新市区）铁路局片区老旧街区提升改造项目勘察</w:t>
      </w:r>
      <w:r>
        <w:rPr>
          <w:rFonts w:hint="eastAsia" w:ascii="仿宋" w:hAnsi="仿宋" w:eastAsia="仿宋" w:cs="仿宋"/>
          <w:color w:val="000000"/>
          <w:sz w:val="24"/>
          <w:szCs w:val="24"/>
          <w:highlight w:val="none"/>
        </w:rPr>
        <w:t> </w:t>
      </w:r>
    </w:p>
    <w:p w14:paraId="534726CC">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数量：1     </w:t>
      </w:r>
    </w:p>
    <w:p w14:paraId="3D9468BC">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default"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预算金额（元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510300</w:t>
      </w:r>
    </w:p>
    <w:p w14:paraId="1AE207E4">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单位：批 </w:t>
      </w:r>
    </w:p>
    <w:p w14:paraId="65B14B4C">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简要规格描述：</w:t>
      </w:r>
      <w:r>
        <w:rPr>
          <w:rFonts w:hint="eastAsia" w:ascii="仿宋" w:hAnsi="仿宋" w:eastAsia="仿宋" w:cs="仿宋"/>
          <w:b w:val="0"/>
          <w:bCs/>
          <w:sz w:val="24"/>
          <w:szCs w:val="24"/>
          <w:highlight w:val="none"/>
          <w:lang w:val="en-US" w:eastAsia="zh-CN"/>
        </w:rPr>
        <w:t>该建设项目范围内的工程勘察（初勘、详勘），为项目初步设计、施工图设计、场地平整提供依据及后期服务，具体</w:t>
      </w:r>
      <w:r>
        <w:rPr>
          <w:rFonts w:hint="eastAsia" w:ascii="仿宋" w:hAnsi="仿宋" w:eastAsia="仿宋" w:cs="仿宋"/>
          <w:color w:val="000000"/>
          <w:sz w:val="24"/>
          <w:szCs w:val="24"/>
          <w:highlight w:val="none"/>
          <w:lang w:val="en-US" w:eastAsia="zh-CN"/>
        </w:rPr>
        <w:t>详见竞争性磋商文件。</w:t>
      </w:r>
      <w:r>
        <w:rPr>
          <w:rFonts w:hint="eastAsia" w:ascii="仿宋" w:hAnsi="仿宋" w:eastAsia="仿宋" w:cs="仿宋"/>
          <w:color w:val="000000"/>
          <w:sz w:val="24"/>
          <w:szCs w:val="24"/>
          <w:highlight w:val="none"/>
        </w:rPr>
        <w:t> </w:t>
      </w:r>
    </w:p>
    <w:p w14:paraId="6E36CADA">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yellow"/>
          <w:lang w:val="en-US" w:eastAsia="zh-CN"/>
        </w:rPr>
      </w:pPr>
      <w:r>
        <w:rPr>
          <w:rFonts w:hint="eastAsia" w:ascii="仿宋" w:hAnsi="仿宋" w:eastAsia="仿宋" w:cs="仿宋"/>
          <w:color w:val="000000"/>
          <w:sz w:val="24"/>
          <w:szCs w:val="24"/>
          <w:highlight w:val="none"/>
        </w:rPr>
        <w:t>合同履约期限：</w:t>
      </w:r>
      <w:r>
        <w:rPr>
          <w:rFonts w:hint="eastAsia" w:ascii="仿宋" w:hAnsi="仿宋" w:eastAsia="仿宋" w:cs="仿宋"/>
          <w:color w:val="000000"/>
          <w:sz w:val="24"/>
          <w:szCs w:val="24"/>
          <w:highlight w:val="none"/>
          <w:lang w:val="en-US" w:eastAsia="zh-CN"/>
        </w:rPr>
        <w:t>合同签订后10日历日交付勘察报告十二份，电子光盘一份及相关资料。</w:t>
      </w:r>
    </w:p>
    <w:p w14:paraId="4B147774">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本项目</w:t>
      </w:r>
      <w:r>
        <w:rPr>
          <w:rFonts w:hint="eastAsia" w:ascii="仿宋" w:hAnsi="仿宋" w:eastAsia="仿宋" w:cs="仿宋"/>
          <w:b/>
          <w:bCs/>
          <w:color w:val="000000"/>
          <w:sz w:val="24"/>
          <w:szCs w:val="24"/>
          <w:highlight w:val="none"/>
        </w:rPr>
        <w:t>不接受</w:t>
      </w:r>
      <w:r>
        <w:rPr>
          <w:rFonts w:hint="eastAsia" w:ascii="仿宋" w:hAnsi="仿宋" w:eastAsia="仿宋" w:cs="仿宋"/>
          <w:color w:val="000000"/>
          <w:sz w:val="24"/>
          <w:szCs w:val="24"/>
          <w:highlight w:val="none"/>
        </w:rPr>
        <w:t>联合体投标。</w:t>
      </w:r>
    </w:p>
    <w:p w14:paraId="3E2AD2CC">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sz w:val="24"/>
          <w:szCs w:val="24"/>
          <w:highlight w:val="none"/>
        </w:rPr>
      </w:pPr>
      <w:r>
        <w:rPr>
          <w:rStyle w:val="32"/>
          <w:rFonts w:hint="eastAsia" w:ascii="仿宋" w:hAnsi="仿宋" w:eastAsia="仿宋" w:cs="仿宋"/>
          <w:color w:val="000000"/>
          <w:sz w:val="24"/>
          <w:szCs w:val="24"/>
          <w:highlight w:val="none"/>
        </w:rPr>
        <w:t>二、</w:t>
      </w:r>
      <w:r>
        <w:rPr>
          <w:rStyle w:val="32"/>
          <w:rFonts w:hint="eastAsia" w:ascii="仿宋" w:hAnsi="仿宋" w:eastAsia="仿宋" w:cs="仿宋"/>
          <w:color w:val="000000"/>
          <w:sz w:val="24"/>
          <w:szCs w:val="24"/>
          <w:highlight w:val="none"/>
          <w:lang w:val="en-US" w:eastAsia="zh-CN"/>
        </w:rPr>
        <w:t>申请人</w:t>
      </w:r>
      <w:r>
        <w:rPr>
          <w:rStyle w:val="32"/>
          <w:rFonts w:hint="eastAsia" w:ascii="仿宋" w:hAnsi="仿宋" w:eastAsia="仿宋" w:cs="仿宋"/>
          <w:color w:val="000000"/>
          <w:sz w:val="24"/>
          <w:szCs w:val="24"/>
          <w:highlight w:val="none"/>
        </w:rPr>
        <w:t>的资格要求：</w:t>
      </w:r>
    </w:p>
    <w:p w14:paraId="76478C53">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1.满足《中华人民共和国政府采购法》第二十二条规定；</w:t>
      </w:r>
    </w:p>
    <w:p w14:paraId="311C83B9">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2.落实政府采购政策需满足的资格要求：本项目专门面向中小企业采购。</w:t>
      </w:r>
    </w:p>
    <w:p w14:paraId="1AC6ED6D">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3.本项目的特定资格要求：</w:t>
      </w:r>
    </w:p>
    <w:p w14:paraId="4CB72946">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3.1供应商须具备有效的资质证书，且具备（满足其中一条要求即可）：①[勘察]综合资质(综合资质)甲级资质；②[勘察]岩土工程(专业类资质) 乙级及以上资质；③[勘察]岩土工程勘察(专业类资质)乙级及以上资质。</w:t>
      </w:r>
    </w:p>
    <w:p w14:paraId="22EB58A2">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3.2项目负责人要求：[岩土]注册土木工程师，本单位注册。</w:t>
      </w:r>
    </w:p>
    <w:p w14:paraId="7D8353DD">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3.3凡拟参加本次招标项目的供应商须具有良好的信誉：“信用中国”（www.creditchina.gov.cn）未被列入重大税收违法失信主体、“中国执行信息公开网”（http://zxgk.court.gov.cn/）未被列入失信被执行人、“中国政府采购网”（www.ccgp.gov.cn）未被列入政府采购严重违法失信行为记录名单、“国家企业信用信息公示系统”（http://www.gsxt.gov.cn）未被列入经营异常名录、严重违法失信名单（尚在处罚期内的）。</w:t>
      </w:r>
    </w:p>
    <w:p w14:paraId="78FF4BF9">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3.4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CB7C68B">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241" w:firstLineChars="100"/>
        <w:jc w:val="both"/>
        <w:textAlignment w:val="auto"/>
        <w:outlineLvl w:val="9"/>
        <w:rPr>
          <w:rFonts w:hint="eastAsia" w:ascii="仿宋" w:hAnsi="仿宋" w:eastAsia="仿宋" w:cs="仿宋"/>
          <w:color w:val="000000"/>
          <w:sz w:val="24"/>
          <w:szCs w:val="24"/>
          <w:highlight w:val="none"/>
        </w:rPr>
      </w:pPr>
      <w:r>
        <w:rPr>
          <w:rStyle w:val="32"/>
          <w:rFonts w:hint="eastAsia" w:ascii="仿宋" w:hAnsi="仿宋" w:eastAsia="仿宋" w:cs="仿宋"/>
          <w:color w:val="000000"/>
          <w:sz w:val="24"/>
          <w:szCs w:val="24"/>
          <w:highlight w:val="none"/>
        </w:rPr>
        <w:t>三、获取磋商文件</w:t>
      </w:r>
    </w:p>
    <w:p w14:paraId="728FB582">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rPr>
        <w:t>时间：</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6月3</w:t>
      </w:r>
      <w:r>
        <w:rPr>
          <w:rFonts w:hint="eastAsia" w:ascii="仿宋" w:hAnsi="仿宋" w:eastAsia="仿宋" w:cs="仿宋"/>
          <w:color w:val="000000"/>
          <w:sz w:val="24"/>
          <w:szCs w:val="24"/>
          <w:highlight w:val="none"/>
        </w:rPr>
        <w:t>日至202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日，每天上午</w:t>
      </w:r>
      <w:r>
        <w:rPr>
          <w:rFonts w:hint="eastAsia" w:ascii="仿宋" w:hAnsi="仿宋" w:eastAsia="仿宋" w:cs="仿宋"/>
          <w:color w:val="000000"/>
          <w:sz w:val="24"/>
          <w:szCs w:val="24"/>
          <w:highlight w:val="none"/>
          <w:lang w:val="en-US" w:eastAsia="zh-CN"/>
        </w:rPr>
        <w:t>00:00</w:t>
      </w:r>
      <w:r>
        <w:rPr>
          <w:rFonts w:hint="eastAsia" w:ascii="仿宋" w:hAnsi="仿宋" w:eastAsia="仿宋" w:cs="仿宋"/>
          <w:color w:val="000000"/>
          <w:sz w:val="24"/>
          <w:szCs w:val="24"/>
          <w:highlight w:val="none"/>
        </w:rPr>
        <w:t>至1</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0，下午1</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0至</w:t>
      </w:r>
      <w:r>
        <w:rPr>
          <w:rFonts w:hint="eastAsia" w:ascii="仿宋" w:hAnsi="仿宋" w:eastAsia="仿宋" w:cs="仿宋"/>
          <w:color w:val="000000"/>
          <w:sz w:val="24"/>
          <w:szCs w:val="24"/>
          <w:highlight w:val="none"/>
          <w:lang w:val="en-US" w:eastAsia="zh-CN"/>
        </w:rPr>
        <w:t>23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59（</w:t>
      </w:r>
      <w:r>
        <w:rPr>
          <w:rFonts w:hint="eastAsia" w:ascii="仿宋" w:hAnsi="仿宋" w:eastAsia="仿宋" w:cs="仿宋"/>
          <w:color w:val="000000"/>
          <w:sz w:val="24"/>
          <w:szCs w:val="24"/>
          <w:highlight w:val="none"/>
        </w:rPr>
        <w:t>北京时间，法定节假日除外</w:t>
      </w:r>
      <w:r>
        <w:rPr>
          <w:rFonts w:hint="eastAsia" w:ascii="仿宋" w:hAnsi="仿宋" w:eastAsia="仿宋" w:cs="仿宋"/>
          <w:color w:val="000000"/>
          <w:sz w:val="24"/>
          <w:szCs w:val="24"/>
          <w:highlight w:val="none"/>
          <w:lang w:eastAsia="zh-CN"/>
        </w:rPr>
        <w:t>）</w:t>
      </w:r>
    </w:p>
    <w:p w14:paraId="1FE5245F">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rPr>
        <w:t>地点</w:t>
      </w:r>
      <w:r>
        <w:rPr>
          <w:rFonts w:hint="eastAsia" w:ascii="仿宋" w:hAnsi="仿宋" w:eastAsia="仿宋" w:cs="仿宋"/>
          <w:b/>
          <w:bCs/>
          <w:color w:val="000000"/>
          <w:sz w:val="24"/>
          <w:szCs w:val="24"/>
          <w:highlight w:val="none"/>
          <w:lang w:eastAsia="zh-CN"/>
        </w:rPr>
        <w:t>：</w:t>
      </w:r>
      <w:r>
        <w:rPr>
          <w:rFonts w:hint="eastAsia" w:ascii="仿宋" w:hAnsi="仿宋" w:eastAsia="仿宋" w:cs="仿宋"/>
          <w:b w:val="0"/>
          <w:bCs w:val="0"/>
          <w:color w:val="000000"/>
          <w:sz w:val="24"/>
          <w:szCs w:val="24"/>
          <w:highlight w:val="none"/>
        </w:rPr>
        <w:t>政采云平台线上</w:t>
      </w:r>
    </w:p>
    <w:p w14:paraId="2125700A">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rPr>
        <w:t>方式</w:t>
      </w:r>
      <w:r>
        <w:rPr>
          <w:rFonts w:hint="eastAsia" w:ascii="仿宋" w:hAnsi="仿宋" w:eastAsia="仿宋" w:cs="仿宋"/>
          <w:b/>
          <w:bCs/>
          <w:color w:val="000000"/>
          <w:sz w:val="24"/>
          <w:szCs w:val="24"/>
          <w:highlight w:val="none"/>
          <w:lang w:eastAsia="zh-CN"/>
        </w:rPr>
        <w:t>：</w:t>
      </w:r>
      <w:r>
        <w:rPr>
          <w:rFonts w:hint="eastAsia" w:ascii="仿宋" w:hAnsi="仿宋" w:eastAsia="仿宋" w:cs="仿宋"/>
          <w:b w:val="0"/>
          <w:bCs w:val="0"/>
          <w:color w:val="000000"/>
          <w:sz w:val="24"/>
          <w:szCs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1EC3182">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9"/>
        <w:rPr>
          <w:rStyle w:val="32"/>
          <w:rFonts w:hint="eastAsia" w:ascii="仿宋" w:hAnsi="仿宋" w:eastAsia="仿宋" w:cs="仿宋"/>
          <w:color w:val="000000"/>
          <w:sz w:val="24"/>
          <w:szCs w:val="24"/>
          <w:highlight w:val="none"/>
          <w:lang w:val="en-US" w:eastAsia="zh-CN"/>
        </w:rPr>
      </w:pPr>
      <w:r>
        <w:rPr>
          <w:rStyle w:val="32"/>
          <w:rFonts w:hint="eastAsia" w:ascii="仿宋" w:hAnsi="仿宋" w:eastAsia="仿宋" w:cs="仿宋"/>
          <w:color w:val="000000"/>
          <w:sz w:val="24"/>
          <w:szCs w:val="24"/>
          <w:highlight w:val="none"/>
          <w:lang w:val="en-US" w:eastAsia="zh-CN"/>
        </w:rPr>
        <w:t>售价（元）：</w:t>
      </w:r>
      <w:r>
        <w:rPr>
          <w:rStyle w:val="32"/>
          <w:rFonts w:hint="eastAsia" w:ascii="仿宋" w:hAnsi="仿宋" w:eastAsia="仿宋" w:cs="仿宋"/>
          <w:b w:val="0"/>
          <w:bCs/>
          <w:color w:val="000000"/>
          <w:sz w:val="24"/>
          <w:szCs w:val="24"/>
          <w:highlight w:val="none"/>
          <w:lang w:val="en-US" w:eastAsia="zh-CN"/>
        </w:rPr>
        <w:t>0</w:t>
      </w:r>
    </w:p>
    <w:p w14:paraId="325DB405">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sz w:val="24"/>
          <w:szCs w:val="24"/>
          <w:highlight w:val="none"/>
        </w:rPr>
      </w:pPr>
      <w:r>
        <w:rPr>
          <w:rStyle w:val="32"/>
          <w:rFonts w:hint="eastAsia" w:ascii="仿宋" w:hAnsi="仿宋" w:eastAsia="仿宋" w:cs="仿宋"/>
          <w:color w:val="000000"/>
          <w:sz w:val="24"/>
          <w:szCs w:val="24"/>
          <w:highlight w:val="none"/>
        </w:rPr>
        <w:t>四、响应文件提交</w:t>
      </w:r>
    </w:p>
    <w:p w14:paraId="2F2722B6">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截止时间：202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:00（北京时间</w:t>
      </w:r>
      <w:r>
        <w:rPr>
          <w:rFonts w:hint="eastAsia" w:ascii="仿宋" w:hAnsi="仿宋" w:eastAsia="仿宋" w:cs="仿宋"/>
          <w:color w:val="000000"/>
          <w:sz w:val="24"/>
          <w:szCs w:val="24"/>
          <w:highlight w:val="none"/>
          <w:lang w:eastAsia="zh-CN"/>
        </w:rPr>
        <w:t>）</w:t>
      </w:r>
    </w:p>
    <w:p w14:paraId="42C1FA19">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地点：</w:t>
      </w:r>
      <w:r>
        <w:rPr>
          <w:rFonts w:hint="eastAsia" w:ascii="仿宋" w:hAnsi="仿宋" w:eastAsia="仿宋" w:cs="仿宋"/>
          <w:color w:val="000000"/>
          <w:sz w:val="24"/>
          <w:szCs w:val="24"/>
          <w:highlight w:val="none"/>
          <w:lang w:eastAsia="zh-CN"/>
        </w:rPr>
        <w:t>请登录政采云投标客户端投标</w:t>
      </w:r>
    </w:p>
    <w:p w14:paraId="3B3F33EE">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sz w:val="24"/>
          <w:szCs w:val="24"/>
          <w:highlight w:val="none"/>
        </w:rPr>
      </w:pPr>
      <w:r>
        <w:rPr>
          <w:rStyle w:val="32"/>
          <w:rFonts w:hint="eastAsia" w:ascii="仿宋" w:hAnsi="仿宋" w:eastAsia="仿宋" w:cs="仿宋"/>
          <w:color w:val="000000"/>
          <w:sz w:val="24"/>
          <w:szCs w:val="24"/>
          <w:highlight w:val="none"/>
        </w:rPr>
        <w:t>五、响应文件开启</w:t>
      </w:r>
    </w:p>
    <w:p w14:paraId="080DA143">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开启时间：202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:00（北京时间</w:t>
      </w:r>
      <w:r>
        <w:rPr>
          <w:rFonts w:hint="eastAsia" w:ascii="仿宋" w:hAnsi="仿宋" w:eastAsia="仿宋" w:cs="仿宋"/>
          <w:color w:val="000000"/>
          <w:sz w:val="24"/>
          <w:szCs w:val="24"/>
          <w:highlight w:val="none"/>
          <w:lang w:eastAsia="zh-CN"/>
        </w:rPr>
        <w:t>）</w:t>
      </w:r>
    </w:p>
    <w:p w14:paraId="116FA92B">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地点：</w:t>
      </w:r>
      <w:r>
        <w:rPr>
          <w:rFonts w:hint="eastAsia" w:ascii="仿宋" w:hAnsi="仿宋" w:eastAsia="仿宋" w:cs="仿宋"/>
          <w:color w:val="000000"/>
          <w:sz w:val="24"/>
          <w:szCs w:val="24"/>
          <w:highlight w:val="none"/>
          <w:lang w:eastAsia="zh-CN"/>
        </w:rPr>
        <w:t>投标人登录政采云平台https://www.zcygov.cn/，进入“项目采购-开标评标-右边选择对应项目点击“进入项目”进入开标大厅。</w:t>
      </w:r>
    </w:p>
    <w:p w14:paraId="235789B8">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sz w:val="24"/>
          <w:szCs w:val="24"/>
          <w:highlight w:val="none"/>
        </w:rPr>
      </w:pPr>
      <w:r>
        <w:rPr>
          <w:rStyle w:val="32"/>
          <w:rFonts w:hint="eastAsia" w:ascii="仿宋" w:hAnsi="仿宋" w:eastAsia="仿宋" w:cs="仿宋"/>
          <w:color w:val="000000"/>
          <w:sz w:val="24"/>
          <w:szCs w:val="24"/>
          <w:highlight w:val="none"/>
        </w:rPr>
        <w:t>六、公告期限</w:t>
      </w:r>
    </w:p>
    <w:p w14:paraId="4F5E5BFD">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自本公告发布之日起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w:t>
      </w:r>
    </w:p>
    <w:p w14:paraId="53D2A345">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sz w:val="24"/>
          <w:szCs w:val="24"/>
          <w:highlight w:val="none"/>
        </w:rPr>
      </w:pPr>
      <w:r>
        <w:rPr>
          <w:rStyle w:val="32"/>
          <w:rFonts w:hint="eastAsia" w:ascii="仿宋" w:hAnsi="仿宋" w:eastAsia="仿宋" w:cs="仿宋"/>
          <w:color w:val="000000"/>
          <w:sz w:val="24"/>
          <w:szCs w:val="24"/>
          <w:highlight w:val="none"/>
        </w:rPr>
        <w:t>七、其他补充事宜</w:t>
      </w:r>
    </w:p>
    <w:p w14:paraId="23A23635">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left="479" w:leftChars="228" w:firstLine="0" w:firstLineChars="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rPr>
        <w:t>本项目实行网上投标，采用电子投标文件。</w:t>
      </w:r>
    </w:p>
    <w:p w14:paraId="60ECC8A9">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各供应商应在开标前确保成为正式注册入库供应商，并完成CA数字证书</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符合国密标准</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申领。因未注册入库、未办理CA数字证书等原因造成无法投标或投标失败等后果由供应商自行承担。如需咨询，请联系新疆-安信CA服务热线0991-7810912</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翔晟CA服务热线025-66085508</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新疆CA服务热线4000921999。</w:t>
      </w:r>
    </w:p>
    <w:p w14:paraId="73584F94">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供应商将政采云电子交易客户端下载、安装完成后，可通过账号密码或CA登录客户端进行投标文件的制作。在使用政采云投标客户端时，建议使用WIN7及以上操作系统。</w:t>
      </w:r>
    </w:p>
    <w:p w14:paraId="5973FB6B">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其他事项：</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本次采购采用电子交易方式，电子交易平台为“政府采购云平台</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www.zcygov.cn</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”。供应商参与本项目电子交易活动前，应注册成为政府采购云平台供应商。编制电子响应文件前还需申领 CA 证书并绑定帐号。供应商应充分考虑完成平台注册、申领 CA 证书等所需的时间。因未注册入库、未办理 CA 数字证书等原因造成 无法投标或投标失败等后果由供应商自行承担。</w:t>
      </w:r>
    </w:p>
    <w:p w14:paraId="7E338D62">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供应商将政采云电子交易客户端下载、安装完成后，可通过账号密码或 CA 登录客户端进行响应文件制作。在使用政采云投标客户端时，建议使用WIN7及以上操作系统。客户端请至新疆政府采购网</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www.ccgp-xinjiang.gov.cn</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下载专区查看，如有问题可拨打政采云客户服务热线 95763 进行咨询。</w:t>
      </w:r>
    </w:p>
    <w:p w14:paraId="185D234B">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加密的电子响应文件</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.jmbs 格式</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 xml:space="preserve"> 应在响应文件递交截止时间 前通过政采云平台上传完成。</w:t>
      </w:r>
    </w:p>
    <w:p w14:paraId="769DA942">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响应文件开启当日，供应商无需到达开标现场，仅需通过政采云平台“不见面”开标大厅完成远程解密、开标唱标、询标澄清、结果公布等交互环节。供应商必须使用能正确解密响应文件的“CA 锁”在规定的时间内完成远程解密，因供应商原因未能解密、解密失败或解密超时，视为供应商撤销其响应文件。</w:t>
      </w:r>
    </w:p>
    <w:p w14:paraId="79760D89">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逾期上传或者未上传指定地点的响应文件，采购人不予受理。  </w:t>
      </w:r>
    </w:p>
    <w:p w14:paraId="6DC118E9">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b/>
          <w:bCs/>
          <w:color w:val="000000"/>
          <w:highlight w:val="none"/>
        </w:rPr>
      </w:pPr>
      <w:r>
        <w:rPr>
          <w:rFonts w:hint="eastAsia" w:ascii="仿宋" w:hAnsi="仿宋" w:eastAsia="仿宋" w:cs="仿宋"/>
          <w:b/>
          <w:bCs/>
          <w:color w:val="000000"/>
          <w:highlight w:val="none"/>
        </w:rPr>
        <w:t>特别提示：</w:t>
      </w:r>
    </w:p>
    <w:p w14:paraId="4AA0EDBC">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        1、采购限额标准以上，200万元以下的货物和服务采购项目、400万元以下的工程采购项目，适宜由中小企业提供的，采购人应当专门面向中小企业采购。</w:t>
      </w:r>
    </w:p>
    <w:p w14:paraId="54C69388">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        2、超过200万元的货物和服务采购项目，预留该部分采购项目预算总额的30%以上专门面向中小企业采购，其中预留给小微企业的比例不低于60%。</w:t>
      </w:r>
    </w:p>
    <w:p w14:paraId="62C0D39D">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        3、超过400万元的工程采购项目中适宜由中小企业提供的，预留该部分采购项目预算总额的40%以上专门面向中小企业采购，其中预留给小微企业的比例不低于60%。</w:t>
      </w:r>
    </w:p>
    <w:p w14:paraId="2BB3B074">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        4、对于未预留份额专门面向中小企业的采购项目，以及预留份额项目中的非预留部分采购包，采购人、采购代理机构应当对符合规定的小微企业报价给予10%~20%（工程项目为3%~5%</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698806A">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highlight w:val="none"/>
        </w:rPr>
      </w:pPr>
      <w:r>
        <w:rPr>
          <w:rFonts w:hint="eastAsia" w:ascii="仿宋" w:hAnsi="仿宋" w:eastAsia="仿宋" w:cs="仿宋"/>
          <w:color w:val="000000"/>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7C253E0">
      <w:pPr>
        <w:pStyle w:val="27"/>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highlight w:val="none"/>
        </w:rPr>
        <w:t xml:space="preserve"> </w:t>
      </w:r>
      <w:r>
        <w:rPr>
          <w:rStyle w:val="32"/>
          <w:rFonts w:hint="eastAsia" w:ascii="仿宋" w:hAnsi="仿宋" w:eastAsia="仿宋" w:cs="仿宋"/>
          <w:color w:val="000000"/>
          <w:sz w:val="24"/>
          <w:szCs w:val="24"/>
          <w:highlight w:val="none"/>
        </w:rPr>
        <w:t>八、凡对本次</w:t>
      </w:r>
      <w:r>
        <w:rPr>
          <w:rStyle w:val="32"/>
          <w:rFonts w:hint="eastAsia" w:ascii="仿宋" w:hAnsi="仿宋" w:eastAsia="仿宋" w:cs="仿宋"/>
          <w:color w:val="000000"/>
          <w:sz w:val="24"/>
          <w:szCs w:val="24"/>
          <w:highlight w:val="none"/>
          <w:lang w:val="en-US" w:eastAsia="zh-CN"/>
        </w:rPr>
        <w:t>采购</w:t>
      </w:r>
      <w:r>
        <w:rPr>
          <w:rStyle w:val="32"/>
          <w:rFonts w:hint="eastAsia" w:ascii="仿宋" w:hAnsi="仿宋" w:eastAsia="仿宋" w:cs="仿宋"/>
          <w:color w:val="000000"/>
          <w:sz w:val="24"/>
          <w:szCs w:val="24"/>
          <w:highlight w:val="none"/>
        </w:rPr>
        <w:t>提出询问，请按以下方式联系</w:t>
      </w:r>
    </w:p>
    <w:p w14:paraId="5E941376">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1.采购人信息</w:t>
      </w:r>
    </w:p>
    <w:p w14:paraId="00AFE9EB">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名称：乌鲁木齐高新技术产业开发区（乌鲁木齐市新市区）市政市容设施管理站</w:t>
      </w:r>
    </w:p>
    <w:p w14:paraId="076DC378">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地址：乌鲁木齐市苏州西街288号</w:t>
      </w:r>
    </w:p>
    <w:p w14:paraId="42BBFC81">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联系方式：0991-3836435</w:t>
      </w:r>
    </w:p>
    <w:p w14:paraId="7DA934AF">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2.采购代理机构信息</w:t>
      </w:r>
    </w:p>
    <w:p w14:paraId="2987D136">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名称：中合安建工程管理有限公司</w:t>
      </w:r>
    </w:p>
    <w:p w14:paraId="33F684EA">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地址：新疆乌鲁木齐高新区（新市区）新医路165号汇文大厦1栋6层A</w:t>
      </w:r>
    </w:p>
    <w:p w14:paraId="5B36751C">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联系方式：0991-3331780、13095188020</w:t>
      </w:r>
    </w:p>
    <w:p w14:paraId="66ED7359">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3.项目联系方式</w:t>
      </w:r>
    </w:p>
    <w:p w14:paraId="33622EEC">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项目联系人：彭小倬、王迪、赵超</w:t>
      </w:r>
    </w:p>
    <w:p w14:paraId="34E9D65B">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电话：0991-3331780、13095188020</w:t>
      </w:r>
      <w:bookmarkEnd w:id="3"/>
    </w:p>
    <w:p w14:paraId="0C0363B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sz w:val="32"/>
          <w:szCs w:val="32"/>
          <w:highlight w:val="none"/>
        </w:rPr>
      </w:pPr>
      <w:bookmarkStart w:id="5" w:name="_Toc43715822"/>
    </w:p>
    <w:p w14:paraId="511BC23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sz w:val="32"/>
          <w:szCs w:val="32"/>
          <w:highlight w:val="none"/>
        </w:rPr>
      </w:pPr>
    </w:p>
    <w:p w14:paraId="7A55450C">
      <w:pPr>
        <w:keepNext w:val="0"/>
        <w:keepLines w:val="0"/>
        <w:pageBreakBefore/>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0"/>
        <w:rPr>
          <w:rFonts w:hint="eastAsia" w:ascii="仿宋" w:hAnsi="仿宋" w:eastAsia="仿宋" w:cs="仿宋"/>
          <w:b/>
          <w:bCs/>
          <w:sz w:val="32"/>
          <w:szCs w:val="32"/>
          <w:highlight w:val="none"/>
        </w:rPr>
      </w:pPr>
      <w:bookmarkStart w:id="6" w:name="_Toc3354"/>
      <w:r>
        <w:rPr>
          <w:rFonts w:hint="eastAsia" w:ascii="仿宋" w:hAnsi="仿宋" w:eastAsia="仿宋" w:cs="仿宋"/>
          <w:b/>
          <w:bCs/>
          <w:sz w:val="32"/>
          <w:szCs w:val="32"/>
          <w:highlight w:val="none"/>
          <w:lang w:val="en-US" w:eastAsia="zh-CN"/>
        </w:rPr>
        <w:t>第二章</w:t>
      </w:r>
      <w:bookmarkEnd w:id="5"/>
      <w:bookmarkStart w:id="7" w:name="_Toc45033358"/>
      <w:r>
        <w:rPr>
          <w:rFonts w:hint="eastAsia" w:ascii="仿宋" w:hAnsi="仿宋" w:eastAsia="仿宋" w:cs="仿宋"/>
          <w:b/>
          <w:bCs/>
          <w:sz w:val="32"/>
          <w:szCs w:val="32"/>
          <w:highlight w:val="none"/>
          <w:lang w:val="en-US" w:eastAsia="zh-CN"/>
        </w:rPr>
        <w:t xml:space="preserve">  磋商须知</w:t>
      </w:r>
      <w:bookmarkEnd w:id="6"/>
    </w:p>
    <w:p w14:paraId="120940A6">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val="zh-CN"/>
        </w:rPr>
        <w:t>供应商须知</w:t>
      </w:r>
      <w:bookmarkEnd w:id="7"/>
      <w:r>
        <w:rPr>
          <w:rFonts w:hint="eastAsia" w:ascii="仿宋" w:hAnsi="仿宋" w:eastAsia="仿宋" w:cs="仿宋"/>
          <w:sz w:val="32"/>
          <w:szCs w:val="32"/>
          <w:highlight w:val="none"/>
        </w:rPr>
        <w:t>前</w:t>
      </w:r>
      <w:r>
        <w:rPr>
          <w:rFonts w:hint="eastAsia" w:ascii="仿宋" w:hAnsi="仿宋" w:eastAsia="仿宋" w:cs="仿宋"/>
          <w:sz w:val="32"/>
          <w:szCs w:val="32"/>
          <w:highlight w:val="none"/>
          <w:lang w:val="zh-CN"/>
        </w:rPr>
        <w:t>附表</w:t>
      </w:r>
    </w:p>
    <w:tbl>
      <w:tblPr>
        <w:tblStyle w:val="2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27"/>
        <w:gridCol w:w="7345"/>
      </w:tblGrid>
      <w:tr w14:paraId="63E6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FD73BA6">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527" w:type="dxa"/>
            <w:vAlign w:val="center"/>
          </w:tcPr>
          <w:p w14:paraId="500FDD16">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7345" w:type="dxa"/>
            <w:vAlign w:val="center"/>
          </w:tcPr>
          <w:p w14:paraId="3B18AB31">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具体内容和要求</w:t>
            </w:r>
          </w:p>
        </w:tc>
      </w:tr>
      <w:tr w14:paraId="3427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15AD942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527" w:type="dxa"/>
            <w:vAlign w:val="center"/>
          </w:tcPr>
          <w:p w14:paraId="505B6776">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采购项目</w:t>
            </w:r>
          </w:p>
        </w:tc>
        <w:tc>
          <w:tcPr>
            <w:tcW w:w="7345" w:type="dxa"/>
            <w:vAlign w:val="center"/>
          </w:tcPr>
          <w:p w14:paraId="0FB5F24E">
            <w:pPr>
              <w:keepNext w:val="0"/>
              <w:keepLines w:val="0"/>
              <w:pageBreakBefore w:val="0"/>
              <w:kinsoku/>
              <w:wordWrap/>
              <w:overflowPunct/>
              <w:topLinePunct w:val="0"/>
              <w:bidi w:val="0"/>
              <w:adjustRightInd w:val="0"/>
              <w:snapToGrid w:val="0"/>
              <w:spacing w:line="240" w:lineRule="auto"/>
              <w:textAlignment w:val="auto"/>
              <w:outlineLvl w:val="9"/>
              <w:rPr>
                <w:rFonts w:hint="eastAsia" w:ascii="仿宋" w:hAnsi="仿宋" w:eastAsia="仿宋" w:cs="仿宋"/>
                <w:sz w:val="21"/>
                <w:szCs w:val="21"/>
                <w:highlight w:val="none"/>
                <w:u w:val="single"/>
                <w:lang w:val="en-US" w:eastAsia="zh-CN"/>
              </w:rPr>
            </w:pP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val="en-US" w:eastAsia="zh-CN"/>
              </w:rPr>
              <w:t>乌鲁木齐高新区（新市区）铁路局片区老旧街区提升改造项目勘察</w:t>
            </w:r>
          </w:p>
        </w:tc>
      </w:tr>
      <w:tr w14:paraId="02C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52E79FB4">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p>
        </w:tc>
        <w:tc>
          <w:tcPr>
            <w:tcW w:w="1527" w:type="dxa"/>
            <w:vAlign w:val="center"/>
          </w:tcPr>
          <w:p w14:paraId="3BABDFB0">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项</w:t>
            </w:r>
            <w:r>
              <w:rPr>
                <w:rFonts w:hint="eastAsia" w:ascii="仿宋" w:hAnsi="仿宋" w:eastAsia="仿宋" w:cs="仿宋"/>
                <w:sz w:val="21"/>
                <w:szCs w:val="21"/>
                <w:highlight w:val="none"/>
              </w:rPr>
              <w:t>目编号</w:t>
            </w:r>
          </w:p>
        </w:tc>
        <w:tc>
          <w:tcPr>
            <w:tcW w:w="7345" w:type="dxa"/>
            <w:vAlign w:val="center"/>
          </w:tcPr>
          <w:p w14:paraId="4FB2732F">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2026ZHAJ—13</w:t>
            </w:r>
          </w:p>
        </w:tc>
      </w:tr>
      <w:tr w14:paraId="77AA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6D30B20">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p>
        </w:tc>
        <w:tc>
          <w:tcPr>
            <w:tcW w:w="1527" w:type="dxa"/>
            <w:vAlign w:val="center"/>
          </w:tcPr>
          <w:p w14:paraId="178D6AD9">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采购预算</w:t>
            </w:r>
          </w:p>
        </w:tc>
        <w:tc>
          <w:tcPr>
            <w:tcW w:w="7345" w:type="dxa"/>
            <w:vAlign w:val="center"/>
          </w:tcPr>
          <w:p w14:paraId="1DA70AD4">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510300元</w:t>
            </w:r>
          </w:p>
        </w:tc>
      </w:tr>
      <w:tr w14:paraId="3A08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1260812">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p>
        </w:tc>
        <w:tc>
          <w:tcPr>
            <w:tcW w:w="1527" w:type="dxa"/>
            <w:vAlign w:val="center"/>
          </w:tcPr>
          <w:p w14:paraId="626BBB92">
            <w:pPr>
              <w:pStyle w:val="1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最高限价</w:t>
            </w:r>
          </w:p>
        </w:tc>
        <w:tc>
          <w:tcPr>
            <w:tcW w:w="7345" w:type="dxa"/>
            <w:vAlign w:val="center"/>
          </w:tcPr>
          <w:p w14:paraId="2E1CCB4D">
            <w:pPr>
              <w:pStyle w:val="18"/>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510300元</w:t>
            </w:r>
          </w:p>
        </w:tc>
      </w:tr>
      <w:tr w14:paraId="33F1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7CE717E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527" w:type="dxa"/>
            <w:vAlign w:val="center"/>
          </w:tcPr>
          <w:p w14:paraId="40AB5DAC">
            <w:pPr>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项目地点</w:t>
            </w:r>
          </w:p>
        </w:tc>
        <w:tc>
          <w:tcPr>
            <w:tcW w:w="7345" w:type="dxa"/>
            <w:vAlign w:val="center"/>
          </w:tcPr>
          <w:p w14:paraId="5393AED3">
            <w:pPr>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乌鲁木齐高新区（新市区）铁路局-科学院片区</w:t>
            </w:r>
          </w:p>
        </w:tc>
      </w:tr>
      <w:tr w14:paraId="48F0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66E40F7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p>
        </w:tc>
        <w:tc>
          <w:tcPr>
            <w:tcW w:w="1527" w:type="dxa"/>
            <w:vAlign w:val="center"/>
          </w:tcPr>
          <w:p w14:paraId="7BF9EBA6">
            <w:pPr>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项目规模</w:t>
            </w:r>
          </w:p>
        </w:tc>
        <w:tc>
          <w:tcPr>
            <w:tcW w:w="7345" w:type="dxa"/>
            <w:vAlign w:val="center"/>
          </w:tcPr>
          <w:p w14:paraId="41F389F0">
            <w:pPr>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对机动车道及人行道实施更新改造，包括铺设道路结构层和面层、更换人行道砖及路缘石，并对路灯线缆、公共消防设施等进行更新更换，同步建设慢行步道;2、新建雨水管网，对部分道路进行海绵化改造，提升城市防洪排涝保障水平;3、新购置并安装电子信息指示牌、果皮箱、休闲座椅、阻车石、智慧控制器（路灯上）等市政配套基础设施;4、深化铁路局-科学院片区完整社区建设，如增设口袋公园、健身器材、无障碍设施、充电设施等;5、对人行天桥进行品质提升，如完善标识指引、增设无障碍设施;6、对2座公交站台进行智慧化提升改造;7、完善铁路公园功能设施，如购置并安装建设器材、监控、导览标识等。</w:t>
            </w:r>
          </w:p>
        </w:tc>
      </w:tr>
      <w:tr w14:paraId="299E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411EF810">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p>
        </w:tc>
        <w:tc>
          <w:tcPr>
            <w:tcW w:w="1527" w:type="dxa"/>
            <w:vAlign w:val="center"/>
          </w:tcPr>
          <w:p w14:paraId="62DDACAA">
            <w:pPr>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资金来源</w:t>
            </w:r>
          </w:p>
        </w:tc>
        <w:tc>
          <w:tcPr>
            <w:tcW w:w="7345" w:type="dxa"/>
            <w:vAlign w:val="center"/>
          </w:tcPr>
          <w:p w14:paraId="24F6200C">
            <w:pPr>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中央财政支持实施城市更新行动专项资金及区县配套资金</w:t>
            </w:r>
          </w:p>
        </w:tc>
      </w:tr>
      <w:tr w14:paraId="2A8A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7B144A21">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p>
        </w:tc>
        <w:tc>
          <w:tcPr>
            <w:tcW w:w="1527" w:type="dxa"/>
            <w:vAlign w:val="center"/>
          </w:tcPr>
          <w:p w14:paraId="403CEEF9">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采购内容</w:t>
            </w:r>
          </w:p>
        </w:tc>
        <w:tc>
          <w:tcPr>
            <w:tcW w:w="7345" w:type="dxa"/>
            <w:vAlign w:val="center"/>
          </w:tcPr>
          <w:p w14:paraId="2CF03295">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yellow"/>
                <w:lang w:val="en-US" w:eastAsia="zh-CN"/>
              </w:rPr>
            </w:pPr>
            <w:r>
              <w:rPr>
                <w:rFonts w:hint="eastAsia" w:ascii="仿宋" w:hAnsi="仿宋" w:eastAsia="仿宋" w:cs="仿宋"/>
                <w:sz w:val="21"/>
                <w:szCs w:val="21"/>
                <w:highlight w:val="none"/>
                <w:lang w:val="en-US" w:eastAsia="zh-CN"/>
              </w:rPr>
              <w:t>该建设项目范围内的工程勘察（初勘、详勘），为项目初步设计、施工图设计、场地平整提供依据及后期服务，具体详见竞争性磋商文件。</w:t>
            </w:r>
          </w:p>
        </w:tc>
      </w:tr>
      <w:tr w14:paraId="5100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1895F5E">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527" w:type="dxa"/>
            <w:vAlign w:val="center"/>
          </w:tcPr>
          <w:p w14:paraId="0ADDAD8A">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采购人</w:t>
            </w:r>
          </w:p>
        </w:tc>
        <w:tc>
          <w:tcPr>
            <w:tcW w:w="7345" w:type="dxa"/>
            <w:vAlign w:val="center"/>
          </w:tcPr>
          <w:p w14:paraId="0FC49968">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lang w:val="en-US" w:eastAsia="zh-CN"/>
              </w:rPr>
              <w:t>名称：</w:t>
            </w:r>
            <w:r>
              <w:rPr>
                <w:rFonts w:hint="eastAsia" w:ascii="仿宋" w:hAnsi="仿宋" w:eastAsia="仿宋" w:cs="仿宋"/>
                <w:highlight w:val="none"/>
              </w:rPr>
              <w:t>乌鲁木齐高新技术产业开发区（乌鲁木齐市新市区</w:t>
            </w:r>
            <w:r>
              <w:rPr>
                <w:rFonts w:hint="eastAsia" w:ascii="仿宋" w:hAnsi="仿宋" w:eastAsia="仿宋" w:cs="仿宋"/>
                <w:highlight w:val="none"/>
                <w:lang w:eastAsia="zh-CN"/>
              </w:rPr>
              <w:t>）</w:t>
            </w:r>
            <w:r>
              <w:rPr>
                <w:rFonts w:hint="eastAsia" w:ascii="仿宋" w:hAnsi="仿宋" w:eastAsia="仿宋" w:cs="仿宋"/>
                <w:highlight w:val="none"/>
              </w:rPr>
              <w:t>市政市容设施管理站</w:t>
            </w:r>
          </w:p>
          <w:p w14:paraId="121671C6">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lang w:val="en-US" w:eastAsia="zh-CN"/>
              </w:rPr>
              <w:t>地址：乌鲁木齐市苏州西街288号</w:t>
            </w:r>
          </w:p>
          <w:p w14:paraId="08C7CDC3">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lang w:val="en-US" w:eastAsia="zh-CN"/>
              </w:rPr>
              <w:t xml:space="preserve">联系人：何龙 </w:t>
            </w:r>
          </w:p>
          <w:p w14:paraId="57E8C62F">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u w:val="none"/>
                <w:lang w:val="en-US" w:eastAsia="zh-CN"/>
              </w:rPr>
              <w:t>电话；0991-3836435</w:t>
            </w:r>
          </w:p>
        </w:tc>
      </w:tr>
      <w:tr w14:paraId="1484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DC70852">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527" w:type="dxa"/>
            <w:vAlign w:val="center"/>
          </w:tcPr>
          <w:p w14:paraId="79ED7BFF">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采购代理机构</w:t>
            </w:r>
          </w:p>
        </w:tc>
        <w:tc>
          <w:tcPr>
            <w:tcW w:w="7345" w:type="dxa"/>
            <w:vAlign w:val="center"/>
          </w:tcPr>
          <w:p w14:paraId="7461721D">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rPr>
              <w:t>名称：</w:t>
            </w:r>
            <w:r>
              <w:rPr>
                <w:rFonts w:hint="eastAsia" w:ascii="仿宋" w:hAnsi="仿宋" w:eastAsia="仿宋" w:cs="仿宋"/>
                <w:sz w:val="21"/>
                <w:szCs w:val="21"/>
                <w:highlight w:val="none"/>
                <w:u w:val="none"/>
                <w:lang w:val="en-US" w:eastAsia="zh-CN"/>
              </w:rPr>
              <w:t>中合安建工程管理有限公司</w:t>
            </w:r>
          </w:p>
          <w:p w14:paraId="0B3D4AE7">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rPr>
              <w:t>地址：</w:t>
            </w:r>
            <w:r>
              <w:rPr>
                <w:rFonts w:hint="eastAsia" w:ascii="仿宋" w:hAnsi="仿宋" w:eastAsia="仿宋" w:cs="仿宋"/>
                <w:sz w:val="21"/>
                <w:szCs w:val="21"/>
                <w:highlight w:val="none"/>
                <w:lang w:eastAsia="zh-CN"/>
              </w:rPr>
              <w:t>新疆乌鲁木齐高新区（新市区）新医路165号汇文大厦1栋6层A</w:t>
            </w:r>
          </w:p>
          <w:p w14:paraId="16C46E73">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rPr>
              <w:t>联系人：</w:t>
            </w:r>
            <w:r>
              <w:rPr>
                <w:rFonts w:hint="eastAsia" w:ascii="仿宋" w:hAnsi="仿宋" w:eastAsia="仿宋" w:cs="仿宋"/>
                <w:sz w:val="21"/>
                <w:szCs w:val="21"/>
                <w:highlight w:val="none"/>
                <w:u w:val="none"/>
                <w:lang w:val="en-US" w:eastAsia="zh-CN"/>
              </w:rPr>
              <w:t>彭小倬、王迪、赵超</w:t>
            </w:r>
          </w:p>
          <w:p w14:paraId="02A94FE2">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u w:val="single"/>
                <w:lang w:val="en-US" w:eastAsia="zh-CN"/>
              </w:rPr>
            </w:pPr>
            <w:r>
              <w:rPr>
                <w:rFonts w:hint="eastAsia" w:ascii="仿宋" w:hAnsi="仿宋" w:eastAsia="仿宋" w:cs="仿宋"/>
                <w:sz w:val="21"/>
                <w:szCs w:val="21"/>
                <w:highlight w:val="none"/>
                <w:u w:val="none"/>
              </w:rPr>
              <w:t>电话：</w:t>
            </w:r>
            <w:r>
              <w:rPr>
                <w:rFonts w:hint="eastAsia" w:ascii="仿宋" w:hAnsi="仿宋" w:eastAsia="仿宋" w:cs="仿宋"/>
                <w:sz w:val="21"/>
                <w:szCs w:val="21"/>
                <w:highlight w:val="none"/>
                <w:u w:val="none"/>
                <w:lang w:val="en-US" w:eastAsia="zh-CN"/>
              </w:rPr>
              <w:t>0991-3331780、13095188020、13999253263</w:t>
            </w:r>
          </w:p>
        </w:tc>
      </w:tr>
      <w:tr w14:paraId="58BD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4E20A11">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527" w:type="dxa"/>
            <w:vAlign w:val="center"/>
          </w:tcPr>
          <w:p w14:paraId="405634A5">
            <w:pPr>
              <w:kinsoku/>
              <w:overflowPunct w:val="0"/>
              <w:topLinePunct w:val="0"/>
              <w:bidi w:val="0"/>
              <w:adjustRightInd w:val="0"/>
              <w:snapToGrid w:val="0"/>
              <w:ind w:right="136" w:rightChars="65"/>
              <w:jc w:val="center"/>
              <w:textAlignment w:val="auto"/>
              <w:outlineLvl w:val="9"/>
              <w:rPr>
                <w:rFonts w:hint="eastAsia" w:ascii="仿宋" w:hAnsi="仿宋" w:eastAsia="仿宋" w:cs="仿宋"/>
                <w:sz w:val="21"/>
                <w:szCs w:val="21"/>
                <w:highlight w:val="none"/>
              </w:rPr>
            </w:pPr>
            <w:r>
              <w:rPr>
                <w:rFonts w:hint="eastAsia" w:ascii="仿宋" w:hAnsi="仿宋" w:eastAsia="仿宋" w:cs="仿宋"/>
                <w:szCs w:val="21"/>
              </w:rPr>
              <w:t>采购方式</w:t>
            </w:r>
          </w:p>
        </w:tc>
        <w:tc>
          <w:tcPr>
            <w:tcW w:w="7345" w:type="dxa"/>
            <w:vAlign w:val="center"/>
          </w:tcPr>
          <w:p w14:paraId="5ED4F99A">
            <w:pPr>
              <w:kinsoku/>
              <w:overflowPunct w:val="0"/>
              <w:topLinePunct w:val="0"/>
              <w:bidi w:val="0"/>
              <w:adjustRightInd w:val="0"/>
              <w:snapToGrid w:val="0"/>
              <w:ind w:right="136" w:rightChars="65"/>
              <w:textAlignment w:val="auto"/>
              <w:outlineLvl w:val="9"/>
              <w:rPr>
                <w:rFonts w:hint="eastAsia" w:ascii="仿宋" w:hAnsi="仿宋" w:eastAsia="仿宋" w:cs="仿宋"/>
                <w:sz w:val="21"/>
                <w:szCs w:val="21"/>
                <w:highlight w:val="none"/>
              </w:rPr>
            </w:pPr>
            <w:r>
              <w:rPr>
                <w:rFonts w:hint="eastAsia" w:ascii="仿宋" w:hAnsi="仿宋" w:eastAsia="仿宋" w:cs="仿宋"/>
                <w:szCs w:val="21"/>
              </w:rPr>
              <w:t>竞争性磋商</w:t>
            </w:r>
          </w:p>
        </w:tc>
      </w:tr>
      <w:tr w14:paraId="29B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879AB29">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1527" w:type="dxa"/>
            <w:shd w:val="clear" w:color="auto" w:fill="auto"/>
            <w:vAlign w:val="center"/>
          </w:tcPr>
          <w:p w14:paraId="097E8736">
            <w:pPr>
              <w:kinsoku/>
              <w:overflowPunct w:val="0"/>
              <w:topLinePunct w:val="0"/>
              <w:bidi w:val="0"/>
              <w:adjustRightInd w:val="0"/>
              <w:snapToGrid w:val="0"/>
              <w:ind w:right="136" w:rightChars="65"/>
              <w:jc w:val="center"/>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公告媒体</w:t>
            </w:r>
          </w:p>
        </w:tc>
        <w:tc>
          <w:tcPr>
            <w:tcW w:w="7345" w:type="dxa"/>
            <w:shd w:val="clear" w:color="auto" w:fill="auto"/>
            <w:vAlign w:val="center"/>
          </w:tcPr>
          <w:p w14:paraId="2F3AFE3B">
            <w:pPr>
              <w:kinsoku/>
              <w:overflowPunct w:val="0"/>
              <w:topLinePunct w:val="0"/>
              <w:bidi w:val="0"/>
              <w:adjustRightInd w:val="0"/>
              <w:snapToGrid w:val="0"/>
              <w:ind w:right="136" w:rightChars="65"/>
              <w:jc w:val="left"/>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新疆政府采购网</w:t>
            </w:r>
          </w:p>
        </w:tc>
      </w:tr>
      <w:tr w14:paraId="10D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7A6747D0">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527" w:type="dxa"/>
            <w:vAlign w:val="center"/>
          </w:tcPr>
          <w:p w14:paraId="72958E30">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供应商</w:t>
            </w:r>
          </w:p>
          <w:p w14:paraId="105CEEE1">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资格条件</w:t>
            </w:r>
          </w:p>
        </w:tc>
        <w:tc>
          <w:tcPr>
            <w:tcW w:w="7345" w:type="dxa"/>
            <w:vAlign w:val="center"/>
          </w:tcPr>
          <w:p w14:paraId="696B2479">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1.满足《中华人民共和国政府采购法》第二十二条规定；</w:t>
            </w:r>
          </w:p>
          <w:p w14:paraId="1BBAD30A">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2.落实政府采购政策需满足的资格要求：本项目专门面向中小企业采购。</w:t>
            </w:r>
          </w:p>
          <w:p w14:paraId="14F89A34">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3.本项目的特定资格要求：</w:t>
            </w:r>
          </w:p>
          <w:p w14:paraId="331C8B71">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3.1供应商须具备有效的资质证书，且具备（满足其中一条要求即可）：①[勘察]综合资质(综合资质)甲级资质；②[勘察]岩土工程(专业类资质) 乙级及以上资质；③[勘察]岩土工程勘察(专业类资质)乙级及以上资质。</w:t>
            </w:r>
          </w:p>
          <w:p w14:paraId="2DE17CAA">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3.2项目负责人要求：[岩土]注册土木工程师，本单位注册。</w:t>
            </w:r>
          </w:p>
          <w:p w14:paraId="4086287A">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3.3凡拟参加本次招标项目的供应商须具有良好的信誉：“信用中国”（www.creditchina.gov.cn）未被列入重大税收违法失信主体、“中国执行信息公开网”（http://zxgk.court.gov.cn/）未被列入失信被执行人、“中国政府采购网”（www.ccgp.gov.cn）未被列入政府采购严重违法失信行为记录名单、“国家企业信用信息公示系统”（http://www.gsxt.gov.cn）未被列入经营异常名录、严重违法失信名单（尚在处罚期内的）。</w:t>
            </w:r>
          </w:p>
          <w:p w14:paraId="6EB1DA5C">
            <w:pPr>
              <w:pStyle w:val="2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3.4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4941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41B7260D">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p>
        </w:tc>
        <w:tc>
          <w:tcPr>
            <w:tcW w:w="1527" w:type="dxa"/>
            <w:shd w:val="clear" w:color="auto" w:fill="auto"/>
            <w:vAlign w:val="center"/>
          </w:tcPr>
          <w:p w14:paraId="41384F97">
            <w:pPr>
              <w:kinsoku/>
              <w:topLinePunct w:val="0"/>
              <w:bidi w:val="0"/>
              <w:adjustRightInd w:val="0"/>
              <w:snapToGrid w:val="0"/>
              <w:jc w:val="center"/>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b/>
                <w:bCs/>
                <w:szCs w:val="21"/>
              </w:rPr>
              <w:t>资格审查内容</w:t>
            </w:r>
          </w:p>
        </w:tc>
        <w:tc>
          <w:tcPr>
            <w:tcW w:w="7345" w:type="dxa"/>
            <w:shd w:val="clear" w:color="auto" w:fill="auto"/>
            <w:vAlign w:val="center"/>
          </w:tcPr>
          <w:p w14:paraId="5840ED76">
            <w:pPr>
              <w:kinsoku/>
              <w:overflowPunct w:val="0"/>
              <w:topLinePunct w:val="0"/>
              <w:bidi w:val="0"/>
              <w:adjustRightInd w:val="0"/>
              <w:snapToGrid w:val="0"/>
              <w:ind w:right="136" w:rightChars="65"/>
              <w:textAlignment w:val="auto"/>
              <w:outlineLvl w:val="9"/>
              <w:rPr>
                <w:rFonts w:hint="eastAsia" w:ascii="仿宋" w:hAnsi="仿宋" w:eastAsia="仿宋" w:cs="仿宋"/>
                <w:b/>
                <w:bCs/>
                <w:szCs w:val="21"/>
              </w:rPr>
            </w:pPr>
            <w:r>
              <w:rPr>
                <w:rFonts w:hint="eastAsia" w:ascii="仿宋" w:hAnsi="仿宋" w:eastAsia="仿宋" w:cs="仿宋"/>
                <w:b/>
                <w:bCs/>
                <w:szCs w:val="21"/>
              </w:rPr>
              <w:t>供应商必须按照采购文件要求提交资格证明材料。</w:t>
            </w:r>
          </w:p>
          <w:p w14:paraId="0AE23989">
            <w:pPr>
              <w:kinsoku/>
              <w:overflowPunct w:val="0"/>
              <w:topLinePunct w:val="0"/>
              <w:bidi w:val="0"/>
              <w:adjustRightInd w:val="0"/>
              <w:snapToGrid w:val="0"/>
              <w:ind w:right="136" w:rightChars="65"/>
              <w:textAlignment w:val="auto"/>
              <w:outlineLvl w:val="9"/>
              <w:rPr>
                <w:rFonts w:hint="eastAsia" w:ascii="仿宋" w:hAnsi="仿宋" w:eastAsia="仿宋" w:cs="仿宋"/>
                <w:b/>
                <w:bCs/>
                <w:kern w:val="2"/>
                <w:sz w:val="21"/>
                <w:szCs w:val="21"/>
                <w:lang w:val="en-US" w:eastAsia="zh-CN" w:bidi="ar-SA"/>
              </w:rPr>
            </w:pPr>
            <w:r>
              <w:rPr>
                <w:rFonts w:hint="eastAsia" w:ascii="仿宋" w:hAnsi="仿宋" w:eastAsia="仿宋" w:cs="仿宋"/>
                <w:b/>
                <w:bCs/>
                <w:szCs w:val="21"/>
              </w:rPr>
              <w:t>由于供应商自身原因导致提交的电子文件无法识别的后果自负。</w:t>
            </w:r>
          </w:p>
        </w:tc>
      </w:tr>
      <w:tr w14:paraId="74E8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A91BCBE">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527" w:type="dxa"/>
            <w:vAlign w:val="center"/>
          </w:tcPr>
          <w:p w14:paraId="34D6D65B">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联合体</w:t>
            </w:r>
          </w:p>
        </w:tc>
        <w:tc>
          <w:tcPr>
            <w:tcW w:w="7345" w:type="dxa"/>
            <w:vAlign w:val="center"/>
          </w:tcPr>
          <w:p w14:paraId="3B66B0BC">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eq \o\ac(</w:instrText>
            </w:r>
            <w:r>
              <w:rPr>
                <w:rFonts w:hint="eastAsia" w:ascii="仿宋" w:hAnsi="仿宋" w:eastAsia="仿宋" w:cs="仿宋"/>
                <w:position w:val="-4"/>
                <w:sz w:val="31"/>
                <w:szCs w:val="21"/>
                <w:highlight w:val="none"/>
              </w:rPr>
              <w:instrText xml:space="preserve">□</w:instrText>
            </w:r>
            <w:r>
              <w:rPr>
                <w:rFonts w:hint="eastAsia" w:ascii="仿宋" w:hAnsi="仿宋" w:eastAsia="仿宋" w:cs="仿宋"/>
                <w:position w:val="0"/>
                <w:sz w:val="21"/>
                <w:szCs w:val="21"/>
                <w:highlight w:val="none"/>
              </w:rPr>
              <w:instrText xml:space="preserve">,√)</w:instrText>
            </w:r>
            <w:r>
              <w:rPr>
                <w:rFonts w:hint="eastAsia" w:ascii="仿宋" w:hAnsi="仿宋" w:eastAsia="仿宋" w:cs="仿宋"/>
                <w:sz w:val="21"/>
                <w:szCs w:val="21"/>
                <w:highlight w:val="none"/>
              </w:rPr>
              <w:fldChar w:fldCharType="end"/>
            </w:r>
            <w:r>
              <w:rPr>
                <w:rFonts w:hint="eastAsia" w:ascii="仿宋" w:hAnsi="仿宋" w:eastAsia="仿宋" w:cs="仿宋"/>
                <w:sz w:val="21"/>
                <w:szCs w:val="21"/>
                <w:highlight w:val="none"/>
              </w:rPr>
              <w:t>不接受</w:t>
            </w:r>
          </w:p>
          <w:p w14:paraId="03863CB2">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□接受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w:t>
            </w:r>
          </w:p>
        </w:tc>
      </w:tr>
      <w:tr w14:paraId="199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BF27121">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1527" w:type="dxa"/>
            <w:vAlign w:val="center"/>
          </w:tcPr>
          <w:p w14:paraId="23F1068B">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Cs w:val="21"/>
                <w:highlight w:val="none"/>
              </w:rPr>
              <w:t>合同履约期限</w:t>
            </w:r>
          </w:p>
        </w:tc>
        <w:tc>
          <w:tcPr>
            <w:tcW w:w="7345" w:type="dxa"/>
            <w:vAlign w:val="center"/>
          </w:tcPr>
          <w:p w14:paraId="14A9A3EE">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合同签订后10日历日交付勘察报告十二份，电子光盘一份及相关资料。</w:t>
            </w:r>
          </w:p>
        </w:tc>
      </w:tr>
      <w:tr w14:paraId="4D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660F5A5">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w:t>
            </w:r>
          </w:p>
        </w:tc>
        <w:tc>
          <w:tcPr>
            <w:tcW w:w="1527" w:type="dxa"/>
            <w:shd w:val="clear" w:color="auto" w:fill="auto"/>
            <w:vAlign w:val="center"/>
          </w:tcPr>
          <w:p w14:paraId="42876FB8">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Cs w:val="21"/>
                <w:highlight w:val="none"/>
                <w:lang w:val="en-US" w:eastAsia="zh-CN"/>
              </w:rPr>
            </w:pPr>
            <w:r>
              <w:rPr>
                <w:rFonts w:hint="eastAsia" w:ascii="仿宋" w:hAnsi="仿宋" w:eastAsia="仿宋" w:cs="仿宋"/>
                <w:szCs w:val="21"/>
                <w:highlight w:val="none"/>
              </w:rPr>
              <w:t>付款方式</w:t>
            </w:r>
            <w:r>
              <w:rPr>
                <w:rFonts w:hint="eastAsia" w:ascii="仿宋" w:hAnsi="仿宋" w:eastAsia="仿宋" w:cs="仿宋"/>
                <w:szCs w:val="21"/>
                <w:highlight w:val="none"/>
                <w:lang w:val="en-US" w:eastAsia="zh-CN"/>
              </w:rPr>
              <w:t>及</w:t>
            </w:r>
          </w:p>
          <w:p w14:paraId="007FE1C8">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币种</w:t>
            </w:r>
          </w:p>
        </w:tc>
        <w:tc>
          <w:tcPr>
            <w:tcW w:w="7345" w:type="dxa"/>
            <w:shd w:val="clear" w:color="auto" w:fill="auto"/>
            <w:vAlign w:val="center"/>
          </w:tcPr>
          <w:p w14:paraId="5D7EF299">
            <w:pPr>
              <w:keepNext w:val="0"/>
              <w:keepLines w:val="0"/>
              <w:pageBreakBefore w:val="0"/>
              <w:tabs>
                <w:tab w:val="left" w:pos="420"/>
                <w:tab w:val="left" w:pos="720"/>
                <w:tab w:val="left" w:pos="900"/>
              </w:tabs>
              <w:kinsoku/>
              <w:wordWrap/>
              <w:overflowPunct/>
              <w:topLinePunct w:val="0"/>
              <w:bidi w:val="0"/>
              <w:adjustRightInd w:val="0"/>
              <w:snapToGrid w:val="0"/>
              <w:spacing w:line="240" w:lineRule="auto"/>
              <w:jc w:val="both"/>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1.付款币种 </w:t>
            </w:r>
          </w:p>
          <w:p w14:paraId="17AB85C4">
            <w:pPr>
              <w:keepNext w:val="0"/>
              <w:keepLines w:val="0"/>
              <w:pageBreakBefore w:val="0"/>
              <w:tabs>
                <w:tab w:val="left" w:pos="420"/>
                <w:tab w:val="left" w:pos="720"/>
                <w:tab w:val="left" w:pos="900"/>
              </w:tabs>
              <w:kinsoku/>
              <w:wordWrap/>
              <w:overflowPunct/>
              <w:topLinePunct w:val="0"/>
              <w:bidi w:val="0"/>
              <w:adjustRightInd w:val="0"/>
              <w:snapToGrid w:val="0"/>
              <w:spacing w:line="240" w:lineRule="auto"/>
              <w:jc w:val="both"/>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本次招标所述的项目资金均以人民币支付。 </w:t>
            </w:r>
          </w:p>
          <w:p w14:paraId="14070E70">
            <w:pPr>
              <w:keepNext w:val="0"/>
              <w:keepLines w:val="0"/>
              <w:pageBreakBefore w:val="0"/>
              <w:tabs>
                <w:tab w:val="left" w:pos="420"/>
                <w:tab w:val="left" w:pos="720"/>
                <w:tab w:val="left" w:pos="900"/>
              </w:tabs>
              <w:kinsoku/>
              <w:wordWrap/>
              <w:overflowPunct/>
              <w:topLinePunct w:val="0"/>
              <w:bidi w:val="0"/>
              <w:adjustRightInd w:val="0"/>
              <w:snapToGrid w:val="0"/>
              <w:spacing w:line="240" w:lineRule="auto"/>
              <w:jc w:val="both"/>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 xml:space="preserve">2.付款方式： </w:t>
            </w:r>
          </w:p>
          <w:p w14:paraId="1D725BB9">
            <w:pPr>
              <w:keepNext w:val="0"/>
              <w:keepLines w:val="0"/>
              <w:pageBreakBefore w:val="0"/>
              <w:tabs>
                <w:tab w:val="left" w:pos="420"/>
                <w:tab w:val="left" w:pos="720"/>
                <w:tab w:val="left" w:pos="900"/>
              </w:tabs>
              <w:kinsoku/>
              <w:wordWrap/>
              <w:overflowPunct/>
              <w:topLinePunct w:val="0"/>
              <w:bidi w:val="0"/>
              <w:adjustRightInd w:val="0"/>
              <w:snapToGrid w:val="0"/>
              <w:spacing w:line="240" w:lineRule="auto"/>
              <w:jc w:val="both"/>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最终付款方式以和甲方单位签订合同为准。</w:t>
            </w:r>
          </w:p>
        </w:tc>
      </w:tr>
      <w:tr w14:paraId="582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CF773C1">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1527" w:type="dxa"/>
            <w:shd w:val="clear" w:color="auto" w:fill="auto"/>
            <w:vAlign w:val="center"/>
          </w:tcPr>
          <w:p w14:paraId="10CFE712">
            <w:pPr>
              <w:kinsoku/>
              <w:topLinePunct w:val="0"/>
              <w:bidi w:val="0"/>
              <w:adjustRightInd w:val="0"/>
              <w:snapToGrid w:val="0"/>
              <w:jc w:val="center"/>
              <w:textAlignment w:val="auto"/>
              <w:outlineLvl w:val="9"/>
              <w:rPr>
                <w:rFonts w:hint="eastAsia" w:ascii="仿宋" w:hAnsi="仿宋" w:eastAsia="仿宋" w:cs="仿宋"/>
                <w:snapToGrid w:val="0"/>
                <w:kern w:val="2"/>
                <w:sz w:val="21"/>
                <w:szCs w:val="21"/>
                <w:lang w:val="en-US" w:eastAsia="zh-CN" w:bidi="ar-SA"/>
              </w:rPr>
            </w:pPr>
            <w:r>
              <w:rPr>
                <w:rFonts w:hint="eastAsia" w:ascii="仿宋" w:hAnsi="仿宋" w:eastAsia="仿宋" w:cs="仿宋"/>
                <w:snapToGrid w:val="0"/>
                <w:szCs w:val="21"/>
                <w:lang w:eastAsia="en-US"/>
              </w:rPr>
              <w:t>信用查询</w:t>
            </w:r>
            <w:r>
              <w:rPr>
                <w:rFonts w:hint="eastAsia" w:ascii="仿宋" w:hAnsi="仿宋" w:eastAsia="仿宋" w:cs="仿宋"/>
                <w:snapToGrid w:val="0"/>
                <w:szCs w:val="21"/>
              </w:rPr>
              <w:t>方法</w:t>
            </w:r>
          </w:p>
        </w:tc>
        <w:tc>
          <w:tcPr>
            <w:tcW w:w="7345" w:type="dxa"/>
            <w:shd w:val="clear" w:color="auto" w:fill="auto"/>
            <w:vAlign w:val="center"/>
          </w:tcPr>
          <w:p w14:paraId="58C9EDDC">
            <w:pPr>
              <w:tabs>
                <w:tab w:val="left" w:pos="3303"/>
              </w:tabs>
              <w:kinsoku/>
              <w:topLinePunct w:val="0"/>
              <w:bidi w:val="0"/>
              <w:adjustRightInd w:val="0"/>
              <w:snapToGrid w:val="0"/>
              <w:ind w:firstLine="422" w:firstLineChars="200"/>
              <w:textAlignment w:val="auto"/>
              <w:outlineLvl w:val="9"/>
              <w:rPr>
                <w:rFonts w:hint="eastAsia" w:ascii="仿宋" w:hAnsi="仿宋" w:eastAsia="仿宋" w:cs="仿宋"/>
                <w:snapToGrid w:val="0"/>
                <w:szCs w:val="21"/>
              </w:rPr>
            </w:pPr>
            <w:r>
              <w:rPr>
                <w:rFonts w:hint="eastAsia" w:ascii="仿宋" w:hAnsi="仿宋" w:eastAsia="仿宋" w:cs="仿宋"/>
                <w:b/>
                <w:bCs/>
                <w:snapToGrid w:val="0"/>
                <w:szCs w:val="21"/>
                <w:lang w:eastAsia="zh-CN"/>
              </w:rPr>
              <w:t>（</w:t>
            </w:r>
            <w:r>
              <w:rPr>
                <w:rFonts w:hint="eastAsia" w:ascii="仿宋" w:hAnsi="仿宋" w:eastAsia="仿宋" w:cs="仿宋"/>
                <w:b/>
                <w:bCs/>
                <w:snapToGrid w:val="0"/>
                <w:szCs w:val="21"/>
              </w:rPr>
              <w:t>供应商自行查询上述记录，如实提供无不良信用记录并加盖供应商公章。本项目信用记录查询截止时点为</w:t>
            </w:r>
            <w:r>
              <w:rPr>
                <w:rFonts w:hint="eastAsia" w:ascii="仿宋" w:hAnsi="仿宋" w:eastAsia="仿宋" w:cs="仿宋"/>
                <w:b/>
                <w:bCs/>
                <w:snapToGrid w:val="0"/>
                <w:szCs w:val="21"/>
                <w:u w:val="single"/>
              </w:rPr>
              <w:t>响应文件开启时间。</w:t>
            </w:r>
          </w:p>
          <w:p w14:paraId="5DE11786">
            <w:pPr>
              <w:kinsoku/>
              <w:topLinePunct w:val="0"/>
              <w:bidi w:val="0"/>
              <w:adjustRightInd w:val="0"/>
              <w:snapToGrid w:val="0"/>
              <w:ind w:firstLine="420" w:firstLineChars="200"/>
              <w:textAlignment w:val="auto"/>
              <w:outlineLvl w:val="9"/>
              <w:rPr>
                <w:rFonts w:hint="eastAsia" w:ascii="仿宋" w:hAnsi="仿宋" w:eastAsia="仿宋" w:cs="仿宋"/>
                <w:snapToGrid w:val="0"/>
                <w:szCs w:val="21"/>
              </w:rPr>
            </w:pPr>
            <w:r>
              <w:rPr>
                <w:rFonts w:hint="eastAsia" w:ascii="仿宋" w:hAnsi="仿宋" w:eastAsia="仿宋" w:cs="仿宋"/>
                <w:snapToGrid w:val="0"/>
                <w:szCs w:val="21"/>
                <w:lang w:eastAsia="zh-CN"/>
              </w:rPr>
              <w:t>（</w:t>
            </w:r>
            <w:r>
              <w:rPr>
                <w:rFonts w:hint="eastAsia" w:ascii="仿宋" w:hAnsi="仿宋" w:eastAsia="仿宋" w:cs="仿宋"/>
                <w:snapToGrid w:val="0"/>
                <w:szCs w:val="21"/>
              </w:rPr>
              <w:t>由采购人代表或者采购代理机构在通过“政采云”平台→信用情况→“信用中国”网站</w:t>
            </w:r>
            <w:r>
              <w:rPr>
                <w:rFonts w:hint="eastAsia" w:ascii="仿宋" w:hAnsi="仿宋" w:eastAsia="仿宋" w:cs="仿宋"/>
                <w:snapToGrid w:val="0"/>
                <w:szCs w:val="21"/>
                <w:lang w:eastAsia="zh-CN"/>
              </w:rPr>
              <w:t>（</w:t>
            </w:r>
            <w:r>
              <w:rPr>
                <w:rFonts w:hint="eastAsia" w:ascii="仿宋" w:hAnsi="仿宋" w:eastAsia="仿宋" w:cs="仿宋"/>
                <w:snapToGrid w:val="0"/>
                <w:szCs w:val="21"/>
              </w:rPr>
              <w:t>www.creditchina.gov.cn</w:t>
            </w:r>
            <w:r>
              <w:rPr>
                <w:rFonts w:hint="eastAsia" w:ascii="仿宋" w:hAnsi="仿宋" w:eastAsia="仿宋" w:cs="仿宋"/>
                <w:snapToGrid w:val="0"/>
                <w:szCs w:val="21"/>
                <w:lang w:eastAsia="zh-CN"/>
              </w:rPr>
              <w:t>）</w:t>
            </w:r>
            <w:r>
              <w:rPr>
                <w:rFonts w:hint="eastAsia" w:ascii="仿宋" w:hAnsi="仿宋" w:eastAsia="仿宋" w:cs="仿宋"/>
                <w:snapToGrid w:val="0"/>
                <w:szCs w:val="21"/>
              </w:rPr>
              <w:t>、中国政府采购网</w:t>
            </w:r>
            <w:r>
              <w:rPr>
                <w:rFonts w:hint="eastAsia" w:ascii="仿宋" w:hAnsi="仿宋" w:eastAsia="仿宋" w:cs="仿宋"/>
                <w:snapToGrid w:val="0"/>
                <w:szCs w:val="21"/>
                <w:lang w:eastAsia="zh-CN"/>
              </w:rPr>
              <w:t>（</w:t>
            </w:r>
            <w:r>
              <w:rPr>
                <w:rFonts w:hint="eastAsia" w:ascii="仿宋" w:hAnsi="仿宋" w:eastAsia="仿宋" w:cs="仿宋"/>
                <w:snapToGrid w:val="0"/>
                <w:szCs w:val="21"/>
              </w:rPr>
              <w:t>www.ccgp.gov.cn</w:t>
            </w:r>
            <w:r>
              <w:rPr>
                <w:rFonts w:hint="eastAsia" w:ascii="仿宋" w:hAnsi="仿宋" w:eastAsia="仿宋" w:cs="仿宋"/>
                <w:snapToGrid w:val="0"/>
                <w:szCs w:val="21"/>
                <w:lang w:eastAsia="zh-CN"/>
              </w:rPr>
              <w:t>）</w:t>
            </w:r>
            <w:r>
              <w:rPr>
                <w:rFonts w:hint="eastAsia" w:ascii="仿宋" w:hAnsi="仿宋" w:eastAsia="仿宋" w:cs="仿宋"/>
                <w:snapToGrid w:val="0"/>
                <w:szCs w:val="21"/>
              </w:rPr>
              <w:t>链接入口进行精确查询。</w:t>
            </w:r>
          </w:p>
          <w:p w14:paraId="6CDE709F">
            <w:pPr>
              <w:kinsoku/>
              <w:topLinePunct w:val="0"/>
              <w:bidi w:val="0"/>
              <w:adjustRightInd w:val="0"/>
              <w:snapToGrid w:val="0"/>
              <w:ind w:firstLine="420" w:firstLineChars="200"/>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napToGrid w:val="0"/>
                <w:szCs w:val="21"/>
                <w:lang w:val="en-US" w:eastAsia="zh-CN"/>
              </w:rPr>
              <w:t>浏览器中查询</w:t>
            </w:r>
            <w:r>
              <w:rPr>
                <w:rFonts w:hint="eastAsia" w:ascii="仿宋" w:hAnsi="仿宋" w:eastAsia="仿宋" w:cs="仿宋"/>
                <w:sz w:val="21"/>
                <w:szCs w:val="21"/>
                <w:highlight w:val="none"/>
                <w:lang w:val="en-US" w:eastAsia="zh-CN"/>
              </w:rPr>
              <w:t>“中国执行信息公开网”（http://zxgk.court.gov.cn/）、“国家企业信用信息公示系统”（http://www.gsxt.gov.cn）。</w:t>
            </w:r>
          </w:p>
          <w:p w14:paraId="3CA62317">
            <w:pPr>
              <w:kinsoku/>
              <w:topLinePunct w:val="0"/>
              <w:bidi w:val="0"/>
              <w:adjustRightInd w:val="0"/>
              <w:snapToGrid w:val="0"/>
              <w:ind w:firstLine="420" w:firstLineChars="200"/>
              <w:textAlignment w:val="auto"/>
              <w:outlineLvl w:val="9"/>
              <w:rPr>
                <w:rFonts w:hint="eastAsia" w:ascii="仿宋" w:hAnsi="仿宋" w:eastAsia="仿宋" w:cs="仿宋"/>
                <w:snapToGrid w:val="0"/>
                <w:szCs w:val="21"/>
              </w:rPr>
            </w:pPr>
            <w:r>
              <w:rPr>
                <w:rFonts w:hint="eastAsia" w:ascii="仿宋" w:hAnsi="仿宋" w:eastAsia="仿宋" w:cs="仿宋"/>
                <w:snapToGrid w:val="0"/>
                <w:szCs w:val="21"/>
              </w:rPr>
              <w:t>在查询网站中直接打印查询记录，截图另存为电子文档作为评审资料保存。</w:t>
            </w:r>
          </w:p>
          <w:p w14:paraId="586D5C5B">
            <w:pPr>
              <w:kinsoku/>
              <w:topLinePunct w:val="0"/>
              <w:bidi w:val="0"/>
              <w:adjustRightInd w:val="0"/>
              <w:snapToGrid w:val="0"/>
              <w:ind w:firstLine="420" w:firstLineChars="200"/>
              <w:textAlignment w:val="auto"/>
              <w:outlineLvl w:val="9"/>
              <w:rPr>
                <w:rFonts w:hint="eastAsia" w:ascii="仿宋" w:hAnsi="仿宋" w:eastAsia="仿宋" w:cs="仿宋"/>
                <w:snapToGrid w:val="0"/>
                <w:kern w:val="2"/>
                <w:sz w:val="21"/>
                <w:szCs w:val="21"/>
                <w:lang w:val="en-US" w:eastAsia="zh-CN" w:bidi="ar-SA"/>
              </w:rPr>
            </w:pPr>
            <w:r>
              <w:rPr>
                <w:rFonts w:hint="eastAsia" w:ascii="仿宋" w:hAnsi="仿宋" w:eastAsia="仿宋" w:cs="仿宋"/>
                <w:snapToGrid w:val="0"/>
                <w:szCs w:val="21"/>
              </w:rPr>
              <w:t>对在</w:t>
            </w:r>
            <w:r>
              <w:rPr>
                <w:rFonts w:hint="eastAsia" w:ascii="仿宋" w:hAnsi="仿宋" w:eastAsia="仿宋" w:cs="仿宋"/>
                <w:sz w:val="21"/>
                <w:szCs w:val="21"/>
                <w:highlight w:val="none"/>
                <w:lang w:val="en-US" w:eastAsia="zh-CN"/>
              </w:rPr>
              <w:t>“信用中国”（www.creditchina.gov.cn）被列入重大税收违法失信主体、“中国执行信息公开网”（http://zxgk.court.gov.cn/）被列入失信被执行人、“中国政府采购网”（www.ccgp.gov.cn）被列入政府采购严重违法失信行为记录名单、“国家企业信用信息公示系统”（http://www.gsxt.gov.cn）被列入经营异常名录、严重违法失信名单（尚在处罚期内的）</w:t>
            </w:r>
            <w:r>
              <w:rPr>
                <w:rFonts w:hint="eastAsia" w:ascii="仿宋" w:hAnsi="仿宋" w:eastAsia="仿宋" w:cs="仿宋"/>
                <w:snapToGrid w:val="0"/>
                <w:szCs w:val="21"/>
              </w:rPr>
              <w:t>及其他不符合《中华人民共和国政府采购法》第二十二条规定条件的供应商，资格审查不通过，不得参与政府采购活动。</w:t>
            </w:r>
          </w:p>
        </w:tc>
      </w:tr>
      <w:tr w14:paraId="3706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A87D05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w:t>
            </w:r>
          </w:p>
        </w:tc>
        <w:tc>
          <w:tcPr>
            <w:tcW w:w="1527" w:type="dxa"/>
            <w:vAlign w:val="center"/>
          </w:tcPr>
          <w:p w14:paraId="40833631">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响应文件编制须知</w:t>
            </w:r>
          </w:p>
        </w:tc>
        <w:tc>
          <w:tcPr>
            <w:tcW w:w="7345" w:type="dxa"/>
            <w:vAlign w:val="center"/>
          </w:tcPr>
          <w:p w14:paraId="62CB0716">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1.在磋商文件领取截止时间前，使用办理的CA数字证书，通过政采云平台（https://www.zcygov.cn/</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窗口下载所投项目的磋商文件。</w:t>
            </w:r>
          </w:p>
          <w:p w14:paraId="5605B579">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2.供应商需在新疆政府采购网（http://www.ccgp-xinjiang.gov.cn/</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下载专区自行下载政采云电子投标客户端。在电子投标客户端内制作对应的响应文件。响应文件制作完成后在响应截止时间前上传至政采云平台对应项目即可。</w:t>
            </w:r>
          </w:p>
          <w:p w14:paraId="2769166A">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3.磋商文件规定：不接受响应文件中出现的可选择或可调整的投标方案和报价，任何有选择的或可调整的投标方案和报价将被视为不响应磋商文件，将被拒绝。</w:t>
            </w:r>
          </w:p>
        </w:tc>
      </w:tr>
      <w:tr w14:paraId="5A30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7040CE0C">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w:t>
            </w:r>
          </w:p>
        </w:tc>
        <w:tc>
          <w:tcPr>
            <w:tcW w:w="1527" w:type="dxa"/>
            <w:vAlign w:val="center"/>
          </w:tcPr>
          <w:p w14:paraId="6A66A9E4">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磋商文件售价</w:t>
            </w:r>
          </w:p>
        </w:tc>
        <w:tc>
          <w:tcPr>
            <w:tcW w:w="7345" w:type="dxa"/>
            <w:vAlign w:val="center"/>
          </w:tcPr>
          <w:p w14:paraId="50642563">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每套人民币0元</w:t>
            </w:r>
          </w:p>
          <w:p w14:paraId="794176EE">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磋商响应资格不能转让。</w:t>
            </w:r>
          </w:p>
        </w:tc>
      </w:tr>
      <w:tr w14:paraId="0E7D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781338E2">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p>
        </w:tc>
        <w:tc>
          <w:tcPr>
            <w:tcW w:w="1527" w:type="dxa"/>
            <w:vAlign w:val="center"/>
          </w:tcPr>
          <w:p w14:paraId="3F7AAC4B">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澄清或者修改时间</w:t>
            </w:r>
          </w:p>
        </w:tc>
        <w:tc>
          <w:tcPr>
            <w:tcW w:w="7345" w:type="dxa"/>
            <w:vAlign w:val="center"/>
          </w:tcPr>
          <w:p w14:paraId="0307D027">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不足5日的，采购人、采购代理机构应当顺延提交首次响应文件截止时间。</w:t>
            </w:r>
          </w:p>
        </w:tc>
      </w:tr>
      <w:tr w14:paraId="4F1B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CA0545B">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6</w:t>
            </w:r>
          </w:p>
        </w:tc>
        <w:tc>
          <w:tcPr>
            <w:tcW w:w="1527" w:type="dxa"/>
            <w:vAlign w:val="center"/>
          </w:tcPr>
          <w:p w14:paraId="78B3611C">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递交磋商响应文件的截止时间和地点</w:t>
            </w:r>
          </w:p>
        </w:tc>
        <w:tc>
          <w:tcPr>
            <w:tcW w:w="7345" w:type="dxa"/>
            <w:vAlign w:val="center"/>
          </w:tcPr>
          <w:p w14:paraId="61976A9E">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1）递交时间：2026年</w:t>
            </w:r>
            <w:r>
              <w:rPr>
                <w:rFonts w:hint="eastAsia" w:ascii="仿宋" w:hAnsi="仿宋" w:eastAsia="仿宋" w:cs="仿宋"/>
                <w:sz w:val="21"/>
                <w:szCs w:val="21"/>
                <w:highlight w:val="none"/>
                <w:lang w:val="en-US" w:eastAsia="zh-CN"/>
              </w:rPr>
              <w:t>6月15</w:t>
            </w:r>
            <w:r>
              <w:rPr>
                <w:rFonts w:hint="eastAsia" w:ascii="仿宋" w:hAnsi="仿宋" w:eastAsia="仿宋" w:cs="仿宋"/>
                <w:sz w:val="21"/>
                <w:szCs w:val="21"/>
                <w:highlight w:val="none"/>
                <w:lang w:eastAsia="zh-CN"/>
              </w:rPr>
              <w:t>日11:00（北京时间）</w:t>
            </w:r>
          </w:p>
          <w:p w14:paraId="780ED6BA">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2）递交地点：请登录政采云投标客户端投标</w:t>
            </w:r>
          </w:p>
        </w:tc>
      </w:tr>
      <w:tr w14:paraId="19A5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BEBA68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7</w:t>
            </w:r>
          </w:p>
        </w:tc>
        <w:tc>
          <w:tcPr>
            <w:tcW w:w="1527" w:type="dxa"/>
            <w:vAlign w:val="center"/>
          </w:tcPr>
          <w:p w14:paraId="0B45455E">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磋商响应文件开启时间</w:t>
            </w:r>
          </w:p>
          <w:p w14:paraId="65F0DF3F">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和地点</w:t>
            </w:r>
          </w:p>
        </w:tc>
        <w:tc>
          <w:tcPr>
            <w:tcW w:w="7345" w:type="dxa"/>
            <w:vAlign w:val="center"/>
          </w:tcPr>
          <w:p w14:paraId="2745EA45">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1）开标时间：2026年</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月</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lang w:eastAsia="zh-CN"/>
              </w:rPr>
              <w:t>日11:00（北京时间）</w:t>
            </w:r>
          </w:p>
          <w:p w14:paraId="614E95C5">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2）开标地点：供应商登录政采云平台https://www.zcygov.cn/，进入“项目采购-开标评标-右边选择对应项目点击“进入项目”进入开标大厅。</w:t>
            </w:r>
          </w:p>
          <w:p w14:paraId="137F7825">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响应文件开启当日，供应商无需到达开标现场，仅需通过政采云平台“不见面”开标大厅完成远程解密。大厅操作提示：</w:t>
            </w:r>
          </w:p>
          <w:p w14:paraId="2A5C7842">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①开标前一小时在系统进行在线签到；</w:t>
            </w:r>
          </w:p>
          <w:p w14:paraId="511855EE">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②30分钟内完成在线解密；</w:t>
            </w:r>
          </w:p>
          <w:p w14:paraId="27ABF13A">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eastAsia="zh-CN"/>
              </w:rPr>
              <w:t>③开标结束后30分钟内完成“开标一览表”在线签章。</w:t>
            </w:r>
          </w:p>
          <w:p w14:paraId="3F1491CF">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eastAsia="zh-CN"/>
              </w:rPr>
            </w:pPr>
            <w:r>
              <w:rPr>
                <w:rFonts w:hint="eastAsia" w:ascii="仿宋" w:hAnsi="仿宋" w:eastAsia="仿宋" w:cs="仿宋"/>
                <w:b/>
                <w:bCs/>
                <w:sz w:val="21"/>
                <w:szCs w:val="21"/>
                <w:highlight w:val="none"/>
                <w:lang w:eastAsia="zh-CN"/>
              </w:rPr>
              <w:t>注意：如未在规定时间进行以上操作，将导致投标（响应）无效。</w:t>
            </w:r>
          </w:p>
        </w:tc>
      </w:tr>
      <w:tr w14:paraId="1A9F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C7F4944">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18</w:t>
            </w:r>
          </w:p>
        </w:tc>
        <w:tc>
          <w:tcPr>
            <w:tcW w:w="1527" w:type="dxa"/>
            <w:shd w:val="clear" w:color="auto" w:fill="auto"/>
            <w:vAlign w:val="center"/>
          </w:tcPr>
          <w:p w14:paraId="086BC194">
            <w:pPr>
              <w:kinsoku/>
              <w:topLinePunct w:val="0"/>
              <w:bidi w:val="0"/>
              <w:adjustRightInd w:val="0"/>
              <w:snapToGrid w:val="0"/>
              <w:jc w:val="center"/>
              <w:textAlignment w:val="auto"/>
              <w:outlineLvl w:val="9"/>
              <w:rPr>
                <w:rFonts w:hint="eastAsia" w:ascii="仿宋" w:hAnsi="仿宋" w:eastAsia="仿宋" w:cs="仿宋"/>
                <w:snapToGrid w:val="0"/>
                <w:kern w:val="2"/>
                <w:sz w:val="21"/>
                <w:szCs w:val="21"/>
                <w:lang w:val="en-US" w:eastAsia="zh-CN" w:bidi="ar-SA"/>
              </w:rPr>
            </w:pPr>
            <w:r>
              <w:rPr>
                <w:rFonts w:hint="eastAsia" w:ascii="仿宋" w:hAnsi="仿宋" w:eastAsia="仿宋" w:cs="仿宋"/>
                <w:snapToGrid w:val="0"/>
                <w:szCs w:val="21"/>
              </w:rPr>
              <w:t>磋商小组的组建及确定方式</w:t>
            </w:r>
          </w:p>
        </w:tc>
        <w:tc>
          <w:tcPr>
            <w:tcW w:w="7345" w:type="dxa"/>
            <w:shd w:val="clear" w:color="auto" w:fill="auto"/>
            <w:vAlign w:val="center"/>
          </w:tcPr>
          <w:p w14:paraId="2123730B">
            <w:pPr>
              <w:kinsoku/>
              <w:topLinePunct w:val="0"/>
              <w:bidi w:val="0"/>
              <w:adjustRightInd w:val="0"/>
              <w:snapToGrid w:val="0"/>
              <w:jc w:val="left"/>
              <w:textAlignment w:val="auto"/>
              <w:outlineLvl w:val="9"/>
              <w:rPr>
                <w:rFonts w:hint="eastAsia" w:ascii="仿宋" w:hAnsi="仿宋" w:eastAsia="仿宋" w:cs="仿宋"/>
                <w:snapToGrid w:val="0"/>
                <w:szCs w:val="21"/>
              </w:rPr>
            </w:pPr>
            <w:r>
              <w:rPr>
                <w:rFonts w:hint="eastAsia" w:ascii="仿宋" w:hAnsi="仿宋" w:eastAsia="仿宋" w:cs="仿宋"/>
                <w:snapToGrid w:val="0"/>
                <w:szCs w:val="21"/>
              </w:rPr>
              <w:t>磋商小组人员组成：由采购人代表和评审专家共3人以上单数组成，其中评审专家人数不得少于磋商小组成员总数的2/3。</w:t>
            </w:r>
          </w:p>
          <w:p w14:paraId="26EE0649">
            <w:pPr>
              <w:kinsoku/>
              <w:topLinePunct w:val="0"/>
              <w:bidi w:val="0"/>
              <w:adjustRightInd w:val="0"/>
              <w:snapToGrid w:val="0"/>
              <w:jc w:val="left"/>
              <w:textAlignment w:val="auto"/>
              <w:outlineLvl w:val="9"/>
              <w:rPr>
                <w:rFonts w:hint="eastAsia" w:ascii="仿宋" w:hAnsi="仿宋" w:eastAsia="仿宋" w:cs="仿宋"/>
                <w:snapToGrid w:val="0"/>
                <w:kern w:val="2"/>
                <w:sz w:val="21"/>
                <w:szCs w:val="21"/>
                <w:lang w:val="zh-CN" w:eastAsia="zh-CN" w:bidi="ar-SA"/>
              </w:rPr>
            </w:pPr>
            <w:r>
              <w:rPr>
                <w:rFonts w:hint="eastAsia" w:ascii="仿宋" w:hAnsi="仿宋" w:eastAsia="仿宋" w:cs="仿宋"/>
                <w:snapToGrid w:val="0"/>
                <w:szCs w:val="21"/>
              </w:rPr>
              <w:t>评审专家确定方式：政采云专家库随机抽取</w:t>
            </w:r>
          </w:p>
        </w:tc>
      </w:tr>
      <w:tr w14:paraId="1F68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403A38F">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19</w:t>
            </w:r>
          </w:p>
        </w:tc>
        <w:tc>
          <w:tcPr>
            <w:tcW w:w="1527" w:type="dxa"/>
            <w:vAlign w:val="center"/>
          </w:tcPr>
          <w:p w14:paraId="695502B8">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磋商保证金</w:t>
            </w:r>
          </w:p>
        </w:tc>
        <w:tc>
          <w:tcPr>
            <w:tcW w:w="7345" w:type="dxa"/>
            <w:vAlign w:val="center"/>
          </w:tcPr>
          <w:p w14:paraId="150EDD3F">
            <w:pPr>
              <w:pStyle w:val="18"/>
              <w:kinsoku/>
              <w:topLinePunct w:val="0"/>
              <w:bidi w:val="0"/>
              <w:adjustRightInd w:val="0"/>
              <w:snapToGrid w:val="0"/>
              <w:jc w:val="left"/>
              <w:textAlignment w:val="auto"/>
              <w:outlineLvl w:val="9"/>
              <w:rPr>
                <w:rFonts w:hint="eastAsia" w:ascii="仿宋" w:hAnsi="仿宋" w:eastAsia="仿宋" w:cs="仿宋"/>
                <w:bCs/>
                <w:szCs w:val="21"/>
              </w:rPr>
            </w:pPr>
            <w:r>
              <w:rPr>
                <w:rFonts w:hint="eastAsia" w:ascii="仿宋" w:hAnsi="仿宋" w:eastAsia="仿宋" w:cs="仿宋"/>
                <w:snapToGrid w:val="0"/>
                <w:szCs w:val="21"/>
              </w:rPr>
              <w:t>□</w:t>
            </w:r>
            <w:r>
              <w:rPr>
                <w:rFonts w:hint="eastAsia" w:ascii="仿宋" w:hAnsi="仿宋" w:eastAsia="仿宋" w:cs="仿宋"/>
                <w:bCs/>
                <w:szCs w:val="21"/>
              </w:rPr>
              <w:t>不提供。</w:t>
            </w:r>
          </w:p>
          <w:p w14:paraId="764A7B5F">
            <w:pPr>
              <w:pStyle w:val="18"/>
              <w:kinsoku/>
              <w:topLinePunct w:val="0"/>
              <w:bidi w:val="0"/>
              <w:adjustRightInd w:val="0"/>
              <w:snapToGrid w:val="0"/>
              <w:jc w:val="left"/>
              <w:textAlignment w:val="auto"/>
              <w:outlineLvl w:val="9"/>
              <w:rPr>
                <w:rFonts w:hint="eastAsia" w:ascii="仿宋" w:hAnsi="仿宋" w:eastAsia="仿宋" w:cs="仿宋"/>
                <w:bCs/>
                <w:szCs w:val="21"/>
                <w:lang w:val="zh-CN"/>
              </w:rPr>
            </w:pPr>
            <w:r>
              <w:rPr>
                <w:rFonts w:hint="eastAsia" w:ascii="仿宋" w:hAnsi="仿宋" w:eastAsia="仿宋" w:cs="仿宋"/>
                <w:snapToGrid w:val="0"/>
                <w:szCs w:val="21"/>
              </w:rPr>
              <w:t>☑</w:t>
            </w:r>
            <w:r>
              <w:rPr>
                <w:rFonts w:hint="eastAsia" w:ascii="仿宋" w:hAnsi="仿宋" w:eastAsia="仿宋" w:cs="仿宋"/>
                <w:bCs/>
                <w:szCs w:val="21"/>
                <w:lang w:val="zh-CN"/>
              </w:rPr>
              <w:t>提供。</w:t>
            </w:r>
            <w:r>
              <w:rPr>
                <w:rFonts w:hint="eastAsia" w:ascii="仿宋" w:hAnsi="仿宋" w:eastAsia="仿宋" w:cs="仿宋"/>
                <w:bCs/>
                <w:szCs w:val="21"/>
              </w:rPr>
              <w:t>保证金</w:t>
            </w:r>
            <w:r>
              <w:rPr>
                <w:rFonts w:hint="eastAsia" w:ascii="仿宋" w:hAnsi="仿宋" w:eastAsia="仿宋" w:cs="仿宋"/>
                <w:bCs/>
                <w:szCs w:val="21"/>
                <w:lang w:val="zh-CN"/>
              </w:rPr>
              <w:t>数额不得超过采购项目预算金额的</w:t>
            </w:r>
            <w:r>
              <w:rPr>
                <w:rFonts w:hint="eastAsia" w:ascii="仿宋" w:hAnsi="仿宋" w:eastAsia="仿宋" w:cs="仿宋"/>
                <w:bCs/>
                <w:szCs w:val="21"/>
              </w:rPr>
              <w:t>1</w:t>
            </w:r>
            <w:r>
              <w:rPr>
                <w:rFonts w:hint="eastAsia" w:ascii="仿宋" w:hAnsi="仿宋" w:eastAsia="仿宋" w:cs="仿宋"/>
                <w:bCs/>
                <w:szCs w:val="21"/>
                <w:lang w:val="zh-CN"/>
              </w:rPr>
              <w:t>%。</w:t>
            </w:r>
          </w:p>
          <w:p w14:paraId="226BE246">
            <w:pPr>
              <w:pStyle w:val="18"/>
              <w:kinsoku/>
              <w:topLinePunct w:val="0"/>
              <w:bidi w:val="0"/>
              <w:adjustRightInd w:val="0"/>
              <w:snapToGrid w:val="0"/>
              <w:ind w:firstLine="420" w:firstLineChars="200"/>
              <w:jc w:val="left"/>
              <w:textAlignment w:val="auto"/>
              <w:outlineLvl w:val="9"/>
              <w:rPr>
                <w:rFonts w:hint="eastAsia" w:ascii="仿宋" w:hAnsi="仿宋" w:eastAsia="仿宋" w:cs="仿宋"/>
                <w:bCs/>
                <w:szCs w:val="21"/>
                <w:lang w:val="zh-CN"/>
              </w:rPr>
            </w:pPr>
            <w:r>
              <w:rPr>
                <w:rFonts w:hint="eastAsia" w:ascii="仿宋" w:hAnsi="仿宋" w:eastAsia="仿宋" w:cs="仿宋"/>
                <w:bCs/>
                <w:szCs w:val="21"/>
                <w:lang w:val="zh-CN"/>
              </w:rPr>
              <w:t>磋商保证金金额：</w:t>
            </w:r>
            <w:r>
              <w:rPr>
                <w:rFonts w:hint="eastAsia" w:ascii="仿宋" w:hAnsi="仿宋" w:eastAsia="仿宋" w:cs="仿宋"/>
                <w:bCs/>
                <w:szCs w:val="21"/>
                <w:lang w:val="en-US" w:eastAsia="zh-CN"/>
              </w:rPr>
              <w:t>5100</w:t>
            </w:r>
            <w:r>
              <w:rPr>
                <w:rFonts w:hint="eastAsia" w:ascii="仿宋" w:hAnsi="仿宋" w:eastAsia="仿宋" w:cs="仿宋"/>
                <w:bCs/>
                <w:szCs w:val="21"/>
                <w:lang w:val="zh-CN"/>
              </w:rPr>
              <w:t>元（</w:t>
            </w:r>
            <w:r>
              <w:rPr>
                <w:rFonts w:hint="eastAsia" w:ascii="仿宋" w:hAnsi="仿宋" w:eastAsia="仿宋" w:cs="仿宋"/>
                <w:bCs/>
                <w:szCs w:val="21"/>
                <w:lang w:val="en-US" w:eastAsia="zh-CN"/>
              </w:rPr>
              <w:t>伍仟壹佰</w:t>
            </w:r>
            <w:r>
              <w:rPr>
                <w:rFonts w:hint="eastAsia" w:ascii="仿宋" w:hAnsi="仿宋" w:eastAsia="仿宋" w:cs="仿宋"/>
                <w:bCs/>
                <w:szCs w:val="21"/>
              </w:rPr>
              <w:t>元整</w:t>
            </w:r>
            <w:r>
              <w:rPr>
                <w:rFonts w:hint="eastAsia" w:ascii="仿宋" w:hAnsi="仿宋" w:eastAsia="仿宋" w:cs="仿宋"/>
                <w:bCs/>
                <w:szCs w:val="21"/>
                <w:lang w:val="zh-CN"/>
              </w:rPr>
              <w:t>）</w:t>
            </w:r>
          </w:p>
          <w:p w14:paraId="1FD46D86">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代理机构名称：中合安建工程管理有限公司新疆分公司</w:t>
            </w:r>
          </w:p>
          <w:p w14:paraId="337A7C35">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开户行：交通银行股份有限公司乌鲁木齐新医路支行</w:t>
            </w:r>
          </w:p>
          <w:p w14:paraId="7CFBBE83">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开户行行号：301881000139</w:t>
            </w:r>
          </w:p>
          <w:p w14:paraId="60C8AFCF">
            <w:pPr>
              <w:kinsoku/>
              <w:topLinePunct w:val="0"/>
              <w:bidi w:val="0"/>
              <w:adjustRightInd w:val="0"/>
              <w:snapToGrid w:val="0"/>
              <w:ind w:left="479" w:leftChars="228"/>
              <w:textAlignment w:val="auto"/>
              <w:outlineLvl w:val="9"/>
              <w:rPr>
                <w:rFonts w:hint="eastAsia" w:ascii="仿宋" w:hAnsi="仿宋" w:eastAsia="仿宋" w:cs="仿宋"/>
                <w:szCs w:val="21"/>
              </w:rPr>
            </w:pPr>
            <w:r>
              <w:rPr>
                <w:rFonts w:hint="eastAsia" w:ascii="仿宋" w:hAnsi="仿宋" w:eastAsia="仿宋" w:cs="仿宋"/>
                <w:szCs w:val="21"/>
              </w:rPr>
              <w:t>账号：651651005015003167990</w:t>
            </w:r>
            <w:r>
              <w:rPr>
                <w:rFonts w:hint="eastAsia" w:ascii="仿宋" w:hAnsi="仿宋" w:eastAsia="仿宋" w:cs="仿宋"/>
                <w:szCs w:val="21"/>
              </w:rPr>
              <w:br w:type="textWrapping"/>
            </w:r>
            <w:r>
              <w:rPr>
                <w:rFonts w:hint="eastAsia" w:ascii="仿宋" w:hAnsi="仿宋" w:eastAsia="仿宋" w:cs="仿宋"/>
                <w:szCs w:val="21"/>
              </w:rPr>
              <w:t>地址：</w:t>
            </w:r>
            <w:r>
              <w:rPr>
                <w:rFonts w:hint="eastAsia" w:ascii="仿宋" w:hAnsi="仿宋" w:eastAsia="仿宋" w:cs="仿宋"/>
                <w:szCs w:val="21"/>
                <w:lang w:val="en-US" w:eastAsia="zh-CN"/>
              </w:rPr>
              <w:t>新疆乌鲁木齐高新区（新市区）新医路165号汇文大厦1栋6层A</w:t>
            </w:r>
          </w:p>
          <w:p w14:paraId="0E0D7ABC">
            <w:pPr>
              <w:pStyle w:val="18"/>
              <w:kinsoku/>
              <w:topLinePunct w:val="0"/>
              <w:bidi w:val="0"/>
              <w:adjustRightInd w:val="0"/>
              <w:snapToGrid w:val="0"/>
              <w:ind w:firstLine="420" w:firstLineChars="200"/>
              <w:jc w:val="left"/>
              <w:textAlignment w:val="auto"/>
              <w:outlineLvl w:val="9"/>
              <w:rPr>
                <w:rFonts w:hint="eastAsia" w:ascii="仿宋" w:hAnsi="仿宋" w:eastAsia="仿宋" w:cs="仿宋"/>
                <w:szCs w:val="21"/>
                <w:lang w:val="zh-CN"/>
              </w:rPr>
            </w:pPr>
            <w:r>
              <w:rPr>
                <w:rFonts w:hint="eastAsia" w:ascii="仿宋" w:hAnsi="仿宋" w:eastAsia="仿宋" w:cs="仿宋"/>
                <w:bCs/>
                <w:szCs w:val="21"/>
                <w:lang w:val="zh-CN"/>
              </w:rPr>
              <w:t>磋商保证金缴纳形式：</w:t>
            </w:r>
            <w:r>
              <w:rPr>
                <w:rFonts w:hint="eastAsia" w:ascii="仿宋" w:hAnsi="仿宋" w:eastAsia="仿宋" w:cs="仿宋"/>
                <w:szCs w:val="21"/>
              </w:rPr>
              <w:t>支票、汇票、本票或者金融机构、担保机构出具的保函等非现金形式提交</w:t>
            </w:r>
            <w:r>
              <w:rPr>
                <w:rFonts w:hint="eastAsia" w:ascii="仿宋" w:hAnsi="仿宋" w:eastAsia="仿宋" w:cs="仿宋"/>
                <w:szCs w:val="21"/>
                <w:lang w:val="zh-CN"/>
              </w:rPr>
              <w:t>。</w:t>
            </w:r>
          </w:p>
          <w:p w14:paraId="737F83D4">
            <w:pPr>
              <w:keepNext w:val="0"/>
              <w:keepLines w:val="0"/>
              <w:pageBreakBefore w:val="0"/>
              <w:kinsoku/>
              <w:wordWrap/>
              <w:overflowPunct/>
              <w:topLinePunct w:val="0"/>
              <w:autoSpaceDE w:val="0"/>
              <w:autoSpaceDN w:val="0"/>
              <w:bidi w:val="0"/>
              <w:adjustRightInd w:val="0"/>
              <w:snapToGrid w:val="0"/>
              <w:spacing w:line="240" w:lineRule="auto"/>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b/>
                <w:szCs w:val="21"/>
                <w:lang w:val="zh-CN"/>
              </w:rPr>
              <w:t>各供应商缴纳投标保证金时需在附加信息及用途栏内注明磋商保证金、项目名称</w:t>
            </w:r>
            <w:r>
              <w:rPr>
                <w:rFonts w:hint="eastAsia" w:ascii="仿宋" w:hAnsi="仿宋" w:eastAsia="仿宋" w:cs="仿宋"/>
                <w:b/>
                <w:bCs/>
                <w:kern w:val="2"/>
                <w:sz w:val="21"/>
                <w:szCs w:val="21"/>
                <w:highlight w:val="none"/>
                <w:lang w:val="en-US" w:eastAsia="zh-CN" w:bidi="ar-SA"/>
              </w:rPr>
              <w:t>（可简写为：</w:t>
            </w:r>
            <w:r>
              <w:rPr>
                <w:rFonts w:hint="eastAsia" w:ascii="仿宋" w:hAnsi="仿宋" w:eastAsia="仿宋" w:cs="仿宋"/>
                <w:b/>
                <w:bCs/>
                <w:sz w:val="21"/>
                <w:szCs w:val="21"/>
                <w:highlight w:val="none"/>
                <w:lang w:val="en-US" w:eastAsia="zh-CN"/>
              </w:rPr>
              <w:t>铁路局勘察</w:t>
            </w:r>
            <w:r>
              <w:rPr>
                <w:rFonts w:hint="eastAsia" w:ascii="仿宋" w:hAnsi="仿宋" w:eastAsia="仿宋" w:cs="仿宋"/>
                <w:b/>
                <w:bCs/>
                <w:kern w:val="2"/>
                <w:sz w:val="21"/>
                <w:szCs w:val="21"/>
                <w:highlight w:val="none"/>
                <w:lang w:val="en-US" w:eastAsia="zh-CN" w:bidi="ar-SA"/>
              </w:rPr>
              <w:t>）</w:t>
            </w:r>
            <w:r>
              <w:rPr>
                <w:rFonts w:hint="eastAsia" w:ascii="仿宋" w:hAnsi="仿宋" w:eastAsia="仿宋" w:cs="仿宋"/>
                <w:b/>
                <w:szCs w:val="21"/>
                <w:lang w:val="zh-CN"/>
              </w:rPr>
              <w:t>；磋商保证金于磋商截止时间前确认到账，若供应商未按照上述规定缴纳磋商保证金，</w:t>
            </w:r>
            <w:r>
              <w:rPr>
                <w:rFonts w:hint="eastAsia" w:ascii="仿宋" w:hAnsi="仿宋" w:eastAsia="仿宋" w:cs="仿宋"/>
                <w:b/>
                <w:szCs w:val="21"/>
              </w:rPr>
              <w:t>磋商</w:t>
            </w:r>
            <w:r>
              <w:rPr>
                <w:rFonts w:hint="eastAsia" w:ascii="仿宋" w:hAnsi="仿宋" w:eastAsia="仿宋" w:cs="仿宋"/>
                <w:b/>
                <w:szCs w:val="21"/>
                <w:lang w:val="zh-CN"/>
              </w:rPr>
              <w:t>文件将被拒绝评审。</w:t>
            </w:r>
          </w:p>
          <w:p w14:paraId="62B507FA">
            <w:pPr>
              <w:pStyle w:val="18"/>
              <w:keepNext w:val="0"/>
              <w:keepLines w:val="0"/>
              <w:pageBreakBefore w:val="0"/>
              <w:kinsoku/>
              <w:wordWrap/>
              <w:overflowPunct/>
              <w:topLinePunct w:val="0"/>
              <w:bidi w:val="0"/>
              <w:adjustRightInd w:val="0"/>
              <w:snapToGrid w:val="0"/>
              <w:spacing w:line="240" w:lineRule="auto"/>
              <w:textAlignment w:val="auto"/>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如供应商保证金的缴纳形式为保函，则保函有效期不小于磋商有效期60天，须将有效期内的保函扫描件加盖单位公章附入响应文件中，如保函的有效期少于磋商有效期60天的，其保函无效且响应文件作废标处理。</w:t>
            </w:r>
          </w:p>
        </w:tc>
      </w:tr>
      <w:tr w14:paraId="296F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B1B564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p>
        </w:tc>
        <w:tc>
          <w:tcPr>
            <w:tcW w:w="1527" w:type="dxa"/>
            <w:vAlign w:val="center"/>
          </w:tcPr>
          <w:p w14:paraId="788416AF">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磋商有效期</w:t>
            </w:r>
          </w:p>
        </w:tc>
        <w:tc>
          <w:tcPr>
            <w:tcW w:w="7345" w:type="dxa"/>
            <w:vAlign w:val="center"/>
          </w:tcPr>
          <w:p w14:paraId="7FB18BD3">
            <w:pPr>
              <w:keepNext w:val="0"/>
              <w:keepLines w:val="0"/>
              <w:pageBreakBefore w:val="0"/>
              <w:kinsoku/>
              <w:wordWrap/>
              <w:overflowPunct/>
              <w:topLinePunct w:val="0"/>
              <w:autoSpaceDE w:val="0"/>
              <w:autoSpaceDN w:val="0"/>
              <w:bidi w:val="0"/>
              <w:adjustRightInd w:val="0"/>
              <w:snapToGrid w:val="0"/>
              <w:spacing w:line="240" w:lineRule="auto"/>
              <w:textAlignment w:val="auto"/>
              <w:outlineLvl w:val="9"/>
              <w:rPr>
                <w:rFonts w:hint="eastAsia" w:ascii="仿宋" w:hAnsi="仿宋" w:eastAsia="仿宋" w:cs="仿宋"/>
                <w:sz w:val="21"/>
                <w:szCs w:val="21"/>
                <w:highlight w:val="none"/>
              </w:rPr>
            </w:pPr>
            <w:r>
              <w:rPr>
                <w:rFonts w:hint="eastAsia" w:ascii="仿宋" w:hAnsi="仿宋" w:eastAsia="仿宋" w:cs="仿宋"/>
                <w:b w:val="0"/>
                <w:bCs w:val="0"/>
                <w:sz w:val="21"/>
                <w:szCs w:val="21"/>
                <w:highlight w:val="none"/>
              </w:rPr>
              <w:t>自响应文件截止时间起</w:t>
            </w:r>
            <w:r>
              <w:rPr>
                <w:rFonts w:hint="eastAsia" w:ascii="仿宋" w:hAnsi="仿宋" w:eastAsia="仿宋" w:cs="仿宋"/>
                <w:b w:val="0"/>
                <w:bCs w:val="0"/>
                <w:sz w:val="21"/>
                <w:szCs w:val="21"/>
                <w:highlight w:val="none"/>
                <w:lang w:val="en-US" w:eastAsia="zh-CN"/>
              </w:rPr>
              <w:t>60</w:t>
            </w:r>
            <w:r>
              <w:rPr>
                <w:rFonts w:hint="eastAsia" w:ascii="仿宋" w:hAnsi="仿宋" w:eastAsia="仿宋" w:cs="仿宋"/>
                <w:b w:val="0"/>
                <w:bCs w:val="0"/>
                <w:sz w:val="21"/>
                <w:szCs w:val="21"/>
                <w:highlight w:val="none"/>
              </w:rPr>
              <w:t>日历日</w:t>
            </w:r>
          </w:p>
        </w:tc>
      </w:tr>
      <w:tr w14:paraId="4C11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662A124">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w:t>
            </w:r>
          </w:p>
        </w:tc>
        <w:tc>
          <w:tcPr>
            <w:tcW w:w="1527" w:type="dxa"/>
            <w:shd w:val="clear" w:color="auto" w:fill="auto"/>
            <w:vAlign w:val="center"/>
          </w:tcPr>
          <w:p w14:paraId="5E8E07DF">
            <w:pPr>
              <w:kinsoku/>
              <w:topLinePunct w:val="0"/>
              <w:bidi w:val="0"/>
              <w:adjustRightInd w:val="0"/>
              <w:snapToGrid w:val="0"/>
              <w:jc w:val="center"/>
              <w:textAlignment w:val="auto"/>
              <w:outlineLvl w:val="9"/>
              <w:rPr>
                <w:rFonts w:hint="eastAsia" w:ascii="仿宋" w:hAnsi="仿宋" w:eastAsia="仿宋" w:cs="仿宋"/>
                <w:snapToGrid w:val="0"/>
                <w:szCs w:val="21"/>
              </w:rPr>
            </w:pPr>
            <w:r>
              <w:rPr>
                <w:rFonts w:hint="eastAsia" w:ascii="仿宋" w:hAnsi="仿宋" w:eastAsia="仿宋" w:cs="仿宋"/>
                <w:snapToGrid w:val="0"/>
                <w:szCs w:val="21"/>
              </w:rPr>
              <w:t>响应文件的</w:t>
            </w:r>
          </w:p>
          <w:p w14:paraId="411E7D61">
            <w:pPr>
              <w:kinsoku/>
              <w:topLinePunct w:val="0"/>
              <w:bidi w:val="0"/>
              <w:adjustRightInd w:val="0"/>
              <w:snapToGrid w:val="0"/>
              <w:jc w:val="center"/>
              <w:textAlignment w:val="auto"/>
              <w:outlineLvl w:val="9"/>
              <w:rPr>
                <w:rFonts w:hint="eastAsia" w:ascii="仿宋" w:hAnsi="仿宋" w:eastAsia="仿宋" w:cs="仿宋"/>
                <w:snapToGrid w:val="0"/>
                <w:kern w:val="2"/>
                <w:sz w:val="21"/>
                <w:szCs w:val="21"/>
                <w:lang w:val="en-US" w:eastAsia="zh-CN" w:bidi="ar-SA"/>
              </w:rPr>
            </w:pPr>
            <w:r>
              <w:rPr>
                <w:rFonts w:hint="eastAsia" w:ascii="仿宋" w:hAnsi="仿宋" w:eastAsia="仿宋" w:cs="仿宋"/>
                <w:snapToGrid w:val="0"/>
                <w:szCs w:val="21"/>
              </w:rPr>
              <w:t>现场解密</w:t>
            </w:r>
          </w:p>
        </w:tc>
        <w:tc>
          <w:tcPr>
            <w:tcW w:w="7345" w:type="dxa"/>
            <w:shd w:val="clear" w:color="auto" w:fill="auto"/>
            <w:vAlign w:val="center"/>
          </w:tcPr>
          <w:p w14:paraId="1E4F9884">
            <w:pPr>
              <w:kinsoku/>
              <w:topLinePunct w:val="0"/>
              <w:bidi w:val="0"/>
              <w:adjustRightInd w:val="0"/>
              <w:snapToGrid w:val="0"/>
              <w:ind w:firstLine="420" w:firstLineChars="200"/>
              <w:textAlignment w:val="auto"/>
              <w:outlineLvl w:val="9"/>
              <w:rPr>
                <w:rFonts w:hint="eastAsia" w:ascii="仿宋" w:hAnsi="仿宋" w:eastAsia="仿宋" w:cs="仿宋"/>
                <w:snapToGrid w:val="0"/>
                <w:szCs w:val="21"/>
              </w:rPr>
            </w:pPr>
            <w:r>
              <w:rPr>
                <w:rFonts w:hint="eastAsia" w:ascii="仿宋" w:hAnsi="仿宋" w:eastAsia="仿宋" w:cs="仿宋"/>
                <w:snapToGrid w:val="0"/>
                <w:szCs w:val="21"/>
              </w:rPr>
              <w:t>响应文件解密时长：30分钟（过时未进行解密的响应文件，开标现场不进行解密时间延长</w:t>
            </w:r>
            <w:r>
              <w:rPr>
                <w:rFonts w:hint="eastAsia" w:ascii="仿宋" w:hAnsi="仿宋" w:eastAsia="仿宋" w:cs="仿宋"/>
                <w:snapToGrid w:val="0"/>
                <w:szCs w:val="21"/>
                <w:lang w:eastAsia="zh-CN"/>
              </w:rPr>
              <w:t>）</w:t>
            </w:r>
            <w:r>
              <w:rPr>
                <w:rFonts w:hint="eastAsia" w:ascii="仿宋" w:hAnsi="仿宋" w:eastAsia="仿宋" w:cs="仿宋"/>
                <w:snapToGrid w:val="0"/>
                <w:szCs w:val="21"/>
              </w:rPr>
              <w:t>。</w:t>
            </w:r>
          </w:p>
          <w:p w14:paraId="7D3AABAE">
            <w:pPr>
              <w:kinsoku/>
              <w:topLinePunct w:val="0"/>
              <w:bidi w:val="0"/>
              <w:adjustRightInd w:val="0"/>
              <w:snapToGrid w:val="0"/>
              <w:ind w:firstLine="420" w:firstLineChars="200"/>
              <w:textAlignment w:val="auto"/>
              <w:outlineLvl w:val="9"/>
              <w:rPr>
                <w:rFonts w:hint="eastAsia" w:ascii="仿宋" w:hAnsi="仿宋" w:eastAsia="仿宋" w:cs="仿宋"/>
                <w:snapToGrid w:val="0"/>
                <w:kern w:val="2"/>
                <w:sz w:val="21"/>
                <w:szCs w:val="21"/>
                <w:lang w:val="zh-CN" w:eastAsia="zh-CN" w:bidi="ar-SA"/>
              </w:rPr>
            </w:pPr>
            <w:r>
              <w:rPr>
                <w:rFonts w:hint="eastAsia" w:ascii="仿宋" w:hAnsi="仿宋" w:eastAsia="仿宋" w:cs="仿宋"/>
                <w:snapToGrid w:val="0"/>
                <w:szCs w:val="21"/>
              </w:rPr>
              <w:t>开标当日仅需在任意地点通过政采云平台不见面开标系统（登录地址详见网站操作手册</w:t>
            </w:r>
            <w:r>
              <w:rPr>
                <w:rFonts w:hint="eastAsia" w:ascii="仿宋" w:hAnsi="仿宋" w:eastAsia="仿宋" w:cs="仿宋"/>
                <w:snapToGrid w:val="0"/>
                <w:szCs w:val="21"/>
                <w:lang w:eastAsia="zh-CN"/>
              </w:rPr>
              <w:t>）</w:t>
            </w:r>
            <w:r>
              <w:rPr>
                <w:rFonts w:hint="eastAsia" w:ascii="仿宋" w:hAnsi="仿宋" w:eastAsia="仿宋" w:cs="仿宋"/>
                <w:snapToGrid w:val="0"/>
                <w:szCs w:val="21"/>
              </w:rPr>
              <w:t>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w:t>
            </w:r>
            <w:r>
              <w:rPr>
                <w:rFonts w:hint="eastAsia" w:ascii="仿宋" w:hAnsi="仿宋" w:eastAsia="仿宋" w:cs="仿宋"/>
                <w:snapToGrid w:val="0"/>
                <w:szCs w:val="21"/>
                <w:lang w:eastAsia="zh-CN"/>
              </w:rPr>
              <w:t>；</w:t>
            </w:r>
            <w:r>
              <w:rPr>
                <w:rFonts w:hint="eastAsia" w:ascii="仿宋" w:hAnsi="仿宋" w:eastAsia="仿宋" w:cs="仿宋"/>
                <w:snapToGrid w:val="0"/>
                <w:szCs w:val="21"/>
              </w:rPr>
              <w:t>因网上招投标平台发生故障，导致无法按时完成响应文件解密或开、评标工作无法进行的，可根据实际情况相应延迟解密时间或调整开、评标时间。</w:t>
            </w:r>
          </w:p>
        </w:tc>
      </w:tr>
      <w:tr w14:paraId="51A5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50978AD">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w:t>
            </w:r>
          </w:p>
        </w:tc>
        <w:tc>
          <w:tcPr>
            <w:tcW w:w="1527" w:type="dxa"/>
            <w:shd w:val="clear" w:color="auto" w:fill="auto"/>
            <w:vAlign w:val="center"/>
          </w:tcPr>
          <w:p w14:paraId="0215E850">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sz w:val="21"/>
                <w:szCs w:val="21"/>
                <w:highlight w:val="none"/>
                <w:lang w:val="en-US" w:eastAsia="zh-CN"/>
              </w:rPr>
              <w:t>代理服务费</w:t>
            </w:r>
          </w:p>
        </w:tc>
        <w:tc>
          <w:tcPr>
            <w:tcW w:w="7345" w:type="dxa"/>
            <w:shd w:val="clear" w:color="auto" w:fill="auto"/>
            <w:vAlign w:val="center"/>
          </w:tcPr>
          <w:p w14:paraId="40305C07">
            <w:pPr>
              <w:keepNext w:val="0"/>
              <w:keepLines w:val="0"/>
              <w:pageBreakBefore w:val="0"/>
              <w:widowControl w:val="0"/>
              <w:kinsoku/>
              <w:wordWrap/>
              <w:overflowPunct/>
              <w:topLinePunct w:val="0"/>
              <w:autoSpaceDE/>
              <w:autoSpaceDN/>
              <w:bidi w:val="0"/>
              <w:adjustRightInd w:val="0"/>
              <w:snapToGrid w:val="0"/>
              <w:spacing w:line="240" w:lineRule="auto"/>
              <w:ind w:right="-19" w:rightChars="-9"/>
              <w:textAlignment w:val="auto"/>
              <w:outlineLvl w:val="9"/>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sz w:val="21"/>
                <w:szCs w:val="21"/>
                <w:highlight w:val="none"/>
                <w:lang w:val="en-US" w:eastAsia="zh-CN"/>
              </w:rPr>
              <w:t>1.参照原国家计委《招标代理服务收费管理暂行办法的通知》（计价格［2002］1980号）文件中规定的收费标准，以中标价格为计算基数招标代理服务收费标准下浮30%。</w:t>
            </w:r>
            <w:r>
              <w:rPr>
                <w:rFonts w:hint="eastAsia" w:ascii="仿宋" w:hAnsi="仿宋" w:eastAsia="仿宋" w:cs="仿宋"/>
                <w:b w:val="0"/>
                <w:bCs w:val="0"/>
                <w:sz w:val="21"/>
                <w:szCs w:val="21"/>
                <w:highlight w:val="none"/>
                <w:lang w:val="en-US" w:eastAsia="zh-CN"/>
              </w:rPr>
              <w:br w:type="textWrapping"/>
            </w:r>
            <w:r>
              <w:rPr>
                <w:rFonts w:hint="eastAsia" w:ascii="仿宋" w:hAnsi="仿宋" w:eastAsia="仿宋" w:cs="仿宋"/>
                <w:b w:val="0"/>
                <w:bCs w:val="0"/>
                <w:sz w:val="21"/>
                <w:szCs w:val="21"/>
                <w:highlight w:val="none"/>
                <w:lang w:val="en-US" w:eastAsia="zh-CN"/>
              </w:rPr>
              <w:t>2.由中标人领取中标通知书时一次性支付。</w:t>
            </w:r>
          </w:p>
        </w:tc>
      </w:tr>
      <w:tr w14:paraId="05D8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7F12B76D">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23</w:t>
            </w:r>
          </w:p>
        </w:tc>
        <w:tc>
          <w:tcPr>
            <w:tcW w:w="1527" w:type="dxa"/>
            <w:shd w:val="clear" w:color="auto" w:fill="auto"/>
            <w:vAlign w:val="center"/>
          </w:tcPr>
          <w:p w14:paraId="1C44FF7A">
            <w:pPr>
              <w:kinsoku/>
              <w:overflowPunct w:val="0"/>
              <w:topLinePunct w:val="0"/>
              <w:bidi w:val="0"/>
              <w:adjustRightInd w:val="0"/>
              <w:snapToGrid w:val="0"/>
              <w:jc w:val="center"/>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磋商程序/磋商报价次数/评审原则</w:t>
            </w:r>
          </w:p>
        </w:tc>
        <w:tc>
          <w:tcPr>
            <w:tcW w:w="7345" w:type="dxa"/>
            <w:shd w:val="clear" w:color="auto" w:fill="auto"/>
            <w:vAlign w:val="center"/>
          </w:tcPr>
          <w:p w14:paraId="26587088">
            <w:pPr>
              <w:kinsoku/>
              <w:overflowPunct w:val="0"/>
              <w:topLinePunct w:val="0"/>
              <w:bidi w:val="0"/>
              <w:adjustRightInd w:val="0"/>
              <w:snapToGrid w:val="0"/>
              <w:ind w:firstLine="420" w:firstLineChars="200"/>
              <w:textAlignment w:val="auto"/>
              <w:outlineLvl w:val="9"/>
              <w:rPr>
                <w:rFonts w:hint="eastAsia" w:ascii="仿宋" w:hAnsi="仿宋" w:eastAsia="仿宋" w:cs="仿宋"/>
                <w:szCs w:val="21"/>
                <w:lang w:eastAsia="zh-CN"/>
              </w:rPr>
            </w:pPr>
            <w:r>
              <w:rPr>
                <w:rFonts w:hint="eastAsia" w:ascii="仿宋" w:hAnsi="仿宋" w:eastAsia="仿宋" w:cs="仿宋"/>
                <w:szCs w:val="21"/>
              </w:rPr>
              <w:t>磋商程序：磋商小组对所有提交的响应文件进行评审</w:t>
            </w:r>
            <w:r>
              <w:rPr>
                <w:rFonts w:hint="eastAsia" w:ascii="仿宋" w:hAnsi="仿宋" w:eastAsia="仿宋" w:cs="仿宋"/>
                <w:szCs w:val="21"/>
                <w:lang w:eastAsia="zh-CN"/>
              </w:rPr>
              <w:t>；</w:t>
            </w:r>
          </w:p>
          <w:p w14:paraId="5A97B568">
            <w:pPr>
              <w:kinsoku/>
              <w:overflowPunct w:val="0"/>
              <w:topLinePunct w:val="0"/>
              <w:bidi w:val="0"/>
              <w:adjustRightInd w:val="0"/>
              <w:snapToGrid w:val="0"/>
              <w:ind w:firstLine="420" w:firstLineChars="200"/>
              <w:textAlignment w:val="auto"/>
              <w:outlineLvl w:val="9"/>
              <w:rPr>
                <w:rFonts w:hint="eastAsia" w:ascii="仿宋" w:hAnsi="仿宋" w:eastAsia="仿宋" w:cs="仿宋"/>
                <w:szCs w:val="21"/>
                <w:lang w:eastAsia="zh-CN"/>
              </w:rPr>
            </w:pPr>
            <w:r>
              <w:rPr>
                <w:rFonts w:hint="eastAsia" w:ascii="仿宋" w:hAnsi="仿宋" w:eastAsia="仿宋" w:cs="仿宋"/>
                <w:szCs w:val="21"/>
              </w:rPr>
              <w:t>磋商小组所有成员集中与单一供应商分别进行磋商</w:t>
            </w:r>
            <w:r>
              <w:rPr>
                <w:rFonts w:hint="eastAsia" w:ascii="仿宋" w:hAnsi="仿宋" w:eastAsia="仿宋" w:cs="仿宋"/>
                <w:szCs w:val="21"/>
                <w:lang w:eastAsia="zh-CN"/>
              </w:rPr>
              <w:t>；</w:t>
            </w:r>
          </w:p>
          <w:p w14:paraId="5A4D1797">
            <w:pPr>
              <w:kinsoku/>
              <w:overflowPunct w:val="0"/>
              <w:topLinePunct w:val="0"/>
              <w:bidi w:val="0"/>
              <w:adjustRightInd w:val="0"/>
              <w:snapToGrid w:val="0"/>
              <w:ind w:firstLine="422" w:firstLineChars="200"/>
              <w:textAlignment w:val="auto"/>
              <w:outlineLvl w:val="9"/>
              <w:rPr>
                <w:rFonts w:hint="eastAsia" w:ascii="仿宋" w:hAnsi="仿宋" w:eastAsia="仿宋" w:cs="仿宋"/>
                <w:szCs w:val="21"/>
              </w:rPr>
            </w:pPr>
            <w:r>
              <w:rPr>
                <w:rFonts w:hint="eastAsia" w:ascii="仿宋" w:hAnsi="仿宋" w:eastAsia="仿宋" w:cs="仿宋"/>
                <w:b/>
                <w:bCs/>
                <w:szCs w:val="21"/>
              </w:rPr>
              <w:t>报价次数：供应商按照要求提交二次报价为最后报价</w:t>
            </w:r>
          </w:p>
          <w:p w14:paraId="512F5035">
            <w:pPr>
              <w:kinsoku/>
              <w:overflowPunct w:val="0"/>
              <w:topLinePunct w:val="0"/>
              <w:bidi w:val="0"/>
              <w:adjustRightInd w:val="0"/>
              <w:snapToGrid w:val="0"/>
              <w:ind w:firstLine="420" w:firstLineChars="200"/>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评审原则：经磋商小组综合评审后按照综合得分由高到低的顺序推荐3名成交候选人。</w:t>
            </w:r>
          </w:p>
        </w:tc>
      </w:tr>
      <w:tr w14:paraId="1BE5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1F11A2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24</w:t>
            </w:r>
          </w:p>
        </w:tc>
        <w:tc>
          <w:tcPr>
            <w:tcW w:w="1527" w:type="dxa"/>
            <w:vAlign w:val="center"/>
          </w:tcPr>
          <w:p w14:paraId="60BCE6C3">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7345" w:type="dxa"/>
            <w:vAlign w:val="center"/>
          </w:tcPr>
          <w:p w14:paraId="3307996E">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eq \o\ac(</w:instrText>
            </w:r>
            <w:r>
              <w:rPr>
                <w:rFonts w:hint="eastAsia" w:ascii="仿宋" w:hAnsi="仿宋" w:eastAsia="仿宋" w:cs="仿宋"/>
                <w:position w:val="-4"/>
                <w:sz w:val="31"/>
                <w:szCs w:val="21"/>
                <w:highlight w:val="none"/>
              </w:rPr>
              <w:instrText xml:space="preserve">□</w:instrText>
            </w:r>
            <w:r>
              <w:rPr>
                <w:rFonts w:hint="eastAsia" w:ascii="仿宋" w:hAnsi="仿宋" w:eastAsia="仿宋" w:cs="仿宋"/>
                <w:position w:val="0"/>
                <w:sz w:val="21"/>
                <w:szCs w:val="21"/>
                <w:highlight w:val="none"/>
              </w:rPr>
              <w:instrText xml:space="preserve">)</w:instrText>
            </w:r>
            <w:r>
              <w:rPr>
                <w:rFonts w:hint="eastAsia" w:ascii="仿宋" w:hAnsi="仿宋" w:eastAsia="仿宋" w:cs="仿宋"/>
                <w:sz w:val="21"/>
                <w:szCs w:val="21"/>
                <w:highlight w:val="none"/>
              </w:rPr>
              <w:fldChar w:fldCharType="end"/>
            </w:r>
            <w:r>
              <w:rPr>
                <w:rFonts w:hint="eastAsia" w:ascii="仿宋" w:hAnsi="仿宋" w:eastAsia="仿宋" w:cs="仿宋"/>
                <w:sz w:val="21"/>
                <w:szCs w:val="21"/>
                <w:highlight w:val="none"/>
              </w:rPr>
              <w:t>要求提供</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eq \o\ac(</w:instrText>
            </w:r>
            <w:r>
              <w:rPr>
                <w:rFonts w:hint="eastAsia" w:ascii="仿宋" w:hAnsi="仿宋" w:eastAsia="仿宋" w:cs="仿宋"/>
                <w:position w:val="-4"/>
                <w:sz w:val="31"/>
                <w:szCs w:val="21"/>
                <w:highlight w:val="none"/>
              </w:rPr>
              <w:instrText xml:space="preserve">□</w:instrText>
            </w:r>
            <w:r>
              <w:rPr>
                <w:rFonts w:hint="eastAsia" w:ascii="仿宋" w:hAnsi="仿宋" w:eastAsia="仿宋" w:cs="仿宋"/>
                <w:position w:val="-4"/>
                <w:sz w:val="31"/>
                <w:szCs w:val="21"/>
                <w:highlight w:val="none"/>
                <w:lang w:eastAsia="zh-CN"/>
              </w:rPr>
              <w:instrText xml:space="preserve">,</w:instrText>
            </w:r>
            <w:r>
              <w:rPr>
                <w:rFonts w:hint="eastAsia" w:ascii="仿宋" w:hAnsi="仿宋" w:eastAsia="仿宋" w:cs="仿宋"/>
                <w:position w:val="0"/>
                <w:sz w:val="21"/>
                <w:szCs w:val="21"/>
                <w:highlight w:val="none"/>
                <w:lang w:eastAsia="zh-CN"/>
              </w:rPr>
              <w:instrText xml:space="preserve">√</w:instrText>
            </w:r>
            <w:r>
              <w:rPr>
                <w:rFonts w:hint="eastAsia" w:ascii="仿宋" w:hAnsi="仿宋" w:eastAsia="仿宋" w:cs="仿宋"/>
                <w:position w:val="0"/>
                <w:sz w:val="21"/>
                <w:szCs w:val="21"/>
                <w:highlight w:val="none"/>
              </w:rPr>
              <w:instrText xml:space="preserve">)</w:instrText>
            </w:r>
            <w:r>
              <w:rPr>
                <w:rFonts w:hint="eastAsia" w:ascii="仿宋" w:hAnsi="仿宋" w:eastAsia="仿宋" w:cs="仿宋"/>
                <w:sz w:val="21"/>
                <w:szCs w:val="21"/>
                <w:highlight w:val="none"/>
              </w:rPr>
              <w:fldChar w:fldCharType="end"/>
            </w:r>
            <w:r>
              <w:rPr>
                <w:rFonts w:hint="eastAsia" w:ascii="仿宋" w:hAnsi="仿宋" w:eastAsia="仿宋" w:cs="仿宋"/>
                <w:sz w:val="21"/>
                <w:szCs w:val="21"/>
                <w:highlight w:val="none"/>
              </w:rPr>
              <w:t>不要求提供</w:t>
            </w:r>
          </w:p>
        </w:tc>
      </w:tr>
      <w:tr w14:paraId="3A22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BA476A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25</w:t>
            </w:r>
          </w:p>
        </w:tc>
        <w:tc>
          <w:tcPr>
            <w:tcW w:w="1527" w:type="dxa"/>
            <w:shd w:val="clear" w:color="auto" w:fill="auto"/>
            <w:vAlign w:val="center"/>
          </w:tcPr>
          <w:p w14:paraId="1EE2D647">
            <w:pPr>
              <w:kinsoku/>
              <w:overflowPunct w:val="0"/>
              <w:topLinePunct w:val="0"/>
              <w:bidi w:val="0"/>
              <w:adjustRightInd w:val="0"/>
              <w:snapToGrid w:val="0"/>
              <w:jc w:val="center"/>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特别声明</w:t>
            </w:r>
          </w:p>
        </w:tc>
        <w:tc>
          <w:tcPr>
            <w:tcW w:w="7345" w:type="dxa"/>
            <w:shd w:val="clear" w:color="auto" w:fill="auto"/>
            <w:vAlign w:val="center"/>
          </w:tcPr>
          <w:p w14:paraId="494336ED">
            <w:pPr>
              <w:kinsoku/>
              <w:topLinePunct w:val="0"/>
              <w:bidi w:val="0"/>
              <w:adjustRightInd w:val="0"/>
              <w:snapToGrid w:val="0"/>
              <w:ind w:firstLine="420" w:firstLineChars="200"/>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供应商在制作响应文件时，不得弄虚作假，不伪造和变造本不属于供应商本身的响应材料。（如假证书、假业绩、假合同、假授权、故意隐瞒不良行为记录、夸大荣誉、使用非供应商在职员工的相关证件及其他不符合《中华人民共和国政府采购法》《政府采购竞争性磋商采购方式管理暂行办法》等规定的条款</w:t>
            </w:r>
            <w:r>
              <w:rPr>
                <w:rFonts w:hint="eastAsia" w:ascii="仿宋" w:hAnsi="仿宋" w:eastAsia="仿宋" w:cs="仿宋"/>
                <w:szCs w:val="21"/>
                <w:lang w:eastAsia="zh-CN"/>
              </w:rPr>
              <w:t>）；</w:t>
            </w:r>
            <w:r>
              <w:rPr>
                <w:rFonts w:hint="eastAsia" w:ascii="仿宋" w:hAnsi="仿宋" w:eastAsia="仿宋" w:cs="仿宋"/>
                <w:szCs w:val="21"/>
              </w:rPr>
              <w:t>如在采购过程中发现有供应商出现此类问题，将按照政府采购相关法律法规规定进行处理，并将其列入政府采购黑名单库。</w:t>
            </w:r>
          </w:p>
        </w:tc>
      </w:tr>
      <w:tr w14:paraId="2290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4BB71B73">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26</w:t>
            </w:r>
          </w:p>
        </w:tc>
        <w:tc>
          <w:tcPr>
            <w:tcW w:w="1527" w:type="dxa"/>
            <w:shd w:val="clear" w:color="auto" w:fill="auto"/>
            <w:vAlign w:val="center"/>
          </w:tcPr>
          <w:p w14:paraId="540FB130">
            <w:pPr>
              <w:kinsoku/>
              <w:overflowPunct w:val="0"/>
              <w:topLinePunct w:val="0"/>
              <w:bidi w:val="0"/>
              <w:adjustRightInd w:val="0"/>
              <w:snapToGrid w:val="0"/>
              <w:jc w:val="center"/>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特别提示</w:t>
            </w:r>
          </w:p>
        </w:tc>
        <w:tc>
          <w:tcPr>
            <w:tcW w:w="7345" w:type="dxa"/>
            <w:shd w:val="clear" w:color="auto" w:fill="auto"/>
            <w:vAlign w:val="center"/>
          </w:tcPr>
          <w:p w14:paraId="68E64036">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1.各供应商必须针对项目特点制作响应文件并报价，响应文件均必须满足磋商文件制作等要求，否则将导致磋商被拒绝。</w:t>
            </w:r>
          </w:p>
          <w:p w14:paraId="731F8F53">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2.当出现下列情形之一，响应文件将予以退回：</w:t>
            </w:r>
          </w:p>
          <w:p w14:paraId="13D29942">
            <w:pPr>
              <w:kinsoku/>
              <w:topLinePunct w:val="0"/>
              <w:bidi w:val="0"/>
              <w:adjustRightInd w:val="0"/>
              <w:snapToGrid w:val="0"/>
              <w:textAlignment w:val="auto"/>
              <w:outlineLvl w:val="9"/>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供应商在磋商文件递交截止时间前未成功上传加密电子响应文件</w:t>
            </w:r>
            <w:r>
              <w:rPr>
                <w:rFonts w:hint="eastAsia" w:ascii="仿宋" w:hAnsi="仿宋" w:eastAsia="仿宋" w:cs="仿宋"/>
                <w:szCs w:val="21"/>
                <w:lang w:eastAsia="zh-CN"/>
              </w:rPr>
              <w:t>；</w:t>
            </w:r>
          </w:p>
          <w:p w14:paraId="30664F7D">
            <w:pPr>
              <w:kinsoku/>
              <w:topLinePunct w:val="0"/>
              <w:bidi w:val="0"/>
              <w:adjustRightInd w:val="0"/>
              <w:snapToGrid w:val="0"/>
              <w:textAlignment w:val="auto"/>
              <w:outlineLvl w:val="9"/>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rPr>
              <w:t>供应商使用解密的CA数字证书与上传加密响应文件使用的CA数字证书不一致</w:t>
            </w:r>
            <w:r>
              <w:rPr>
                <w:rFonts w:hint="eastAsia" w:ascii="仿宋" w:hAnsi="仿宋" w:eastAsia="仿宋" w:cs="仿宋"/>
                <w:szCs w:val="21"/>
                <w:lang w:eastAsia="zh-CN"/>
              </w:rPr>
              <w:t>；</w:t>
            </w:r>
          </w:p>
          <w:p w14:paraId="291868A4">
            <w:pPr>
              <w:kinsoku/>
              <w:topLinePunct w:val="0"/>
              <w:bidi w:val="0"/>
              <w:adjustRightInd w:val="0"/>
              <w:snapToGrid w:val="0"/>
              <w:textAlignment w:val="auto"/>
              <w:outlineLvl w:val="9"/>
              <w:rPr>
                <w:rFonts w:hint="eastAsia" w:ascii="仿宋" w:hAnsi="仿宋" w:eastAsia="仿宋" w:cs="仿宋"/>
                <w:szCs w:val="21"/>
                <w:lang w:eastAsia="zh-CN"/>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供应商解密时CA数字证书已过期，导致无法正常解密</w:t>
            </w:r>
            <w:r>
              <w:rPr>
                <w:rFonts w:hint="eastAsia" w:ascii="仿宋" w:hAnsi="仿宋" w:eastAsia="仿宋" w:cs="仿宋"/>
                <w:szCs w:val="21"/>
                <w:lang w:eastAsia="zh-CN"/>
              </w:rPr>
              <w:t>；</w:t>
            </w:r>
          </w:p>
          <w:p w14:paraId="722F0686">
            <w:pPr>
              <w:kinsoku/>
              <w:topLinePunct w:val="0"/>
              <w:bidi w:val="0"/>
              <w:adjustRightInd w:val="0"/>
              <w:snapToGrid w:val="0"/>
              <w:textAlignment w:val="auto"/>
              <w:outlineLvl w:val="9"/>
              <w:rPr>
                <w:rFonts w:hint="eastAsia" w:ascii="仿宋" w:hAnsi="仿宋" w:eastAsia="仿宋" w:cs="仿宋"/>
                <w:szCs w:val="21"/>
                <w:lang w:eastAsia="zh-CN"/>
              </w:rPr>
            </w:pPr>
            <w:r>
              <w:rPr>
                <w:rFonts w:hint="eastAsia" w:ascii="仿宋" w:hAnsi="仿宋" w:eastAsia="仿宋" w:cs="仿宋"/>
                <w:szCs w:val="21"/>
              </w:rPr>
              <w:t>（4</w:t>
            </w:r>
            <w:r>
              <w:rPr>
                <w:rFonts w:hint="eastAsia" w:ascii="仿宋" w:hAnsi="仿宋" w:eastAsia="仿宋" w:cs="仿宋"/>
                <w:szCs w:val="21"/>
                <w:lang w:eastAsia="zh-CN"/>
              </w:rPr>
              <w:t>）</w:t>
            </w:r>
            <w:r>
              <w:rPr>
                <w:rFonts w:hint="eastAsia" w:ascii="仿宋" w:hAnsi="仿宋" w:eastAsia="仿宋" w:cs="仿宋"/>
                <w:szCs w:val="21"/>
              </w:rPr>
              <w:t>加密响应文件时，CA数字证书未过期，解密时，显示CA数字证书已过期，导致无法正常解密</w:t>
            </w:r>
            <w:r>
              <w:rPr>
                <w:rFonts w:hint="eastAsia" w:ascii="仿宋" w:hAnsi="仿宋" w:eastAsia="仿宋" w:cs="仿宋"/>
                <w:szCs w:val="21"/>
                <w:lang w:eastAsia="zh-CN"/>
              </w:rPr>
              <w:t>；</w:t>
            </w:r>
          </w:p>
          <w:p w14:paraId="75084E26">
            <w:pPr>
              <w:kinsoku/>
              <w:topLinePunct w:val="0"/>
              <w:bidi w:val="0"/>
              <w:adjustRightInd w:val="0"/>
              <w:snapToGrid w:val="0"/>
              <w:textAlignment w:val="auto"/>
              <w:outlineLvl w:val="9"/>
              <w:rPr>
                <w:rFonts w:hint="eastAsia" w:ascii="仿宋" w:hAnsi="仿宋" w:eastAsia="仿宋" w:cs="仿宋"/>
                <w:szCs w:val="21"/>
                <w:lang w:eastAsia="zh-CN"/>
              </w:rPr>
            </w:pPr>
            <w:r>
              <w:rPr>
                <w:rFonts w:hint="eastAsia" w:ascii="仿宋" w:hAnsi="仿宋" w:eastAsia="仿宋" w:cs="仿宋"/>
                <w:szCs w:val="21"/>
              </w:rPr>
              <w:t>（5</w:t>
            </w:r>
            <w:r>
              <w:rPr>
                <w:rFonts w:hint="eastAsia" w:ascii="仿宋" w:hAnsi="仿宋" w:eastAsia="仿宋" w:cs="仿宋"/>
                <w:szCs w:val="21"/>
                <w:lang w:eastAsia="zh-CN"/>
              </w:rPr>
              <w:t>）</w:t>
            </w:r>
            <w:r>
              <w:rPr>
                <w:rFonts w:hint="eastAsia" w:ascii="仿宋" w:hAnsi="仿宋" w:eastAsia="仿宋" w:cs="仿宋"/>
                <w:szCs w:val="21"/>
              </w:rPr>
              <w:t>未在规定的响应文件解密时间内进行解密的</w:t>
            </w:r>
            <w:r>
              <w:rPr>
                <w:rFonts w:hint="eastAsia" w:ascii="仿宋" w:hAnsi="仿宋" w:eastAsia="仿宋" w:cs="仿宋"/>
                <w:szCs w:val="21"/>
                <w:lang w:eastAsia="zh-CN"/>
              </w:rPr>
              <w:t>；</w:t>
            </w:r>
          </w:p>
          <w:p w14:paraId="4CBB424D">
            <w:pPr>
              <w:kinsoku/>
              <w:topLinePunct w:val="0"/>
              <w:bidi w:val="0"/>
              <w:adjustRightInd w:val="0"/>
              <w:snapToGrid w:val="0"/>
              <w:textAlignment w:val="auto"/>
              <w:outlineLvl w:val="9"/>
              <w:rPr>
                <w:rFonts w:hint="eastAsia" w:ascii="仿宋" w:hAnsi="仿宋" w:eastAsia="仿宋" w:cs="仿宋"/>
                <w:szCs w:val="21"/>
              </w:rPr>
            </w:pPr>
            <w:r>
              <w:rPr>
                <w:rFonts w:hint="eastAsia" w:ascii="仿宋" w:hAnsi="仿宋" w:eastAsia="仿宋" w:cs="仿宋"/>
                <w:szCs w:val="21"/>
              </w:rPr>
              <w:t>（6</w:t>
            </w:r>
            <w:r>
              <w:rPr>
                <w:rFonts w:hint="eastAsia" w:ascii="仿宋" w:hAnsi="仿宋" w:eastAsia="仿宋" w:cs="仿宋"/>
                <w:szCs w:val="21"/>
                <w:lang w:eastAsia="zh-CN"/>
              </w:rPr>
              <w:t>）</w:t>
            </w:r>
            <w:r>
              <w:rPr>
                <w:rFonts w:hint="eastAsia" w:ascii="仿宋" w:hAnsi="仿宋" w:eastAsia="仿宋" w:cs="仿宋"/>
                <w:szCs w:val="21"/>
              </w:rPr>
              <w:t xml:space="preserve">供应商个人原因导致无法解密的其他情形。 </w:t>
            </w:r>
          </w:p>
          <w:p w14:paraId="3EB7D3FA">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3.供应商应在磋商截止时间前将响应时使用的计算机安装相关的浏览器（推荐使用谷歌浏览器</w:t>
            </w:r>
            <w:r>
              <w:rPr>
                <w:rFonts w:hint="eastAsia" w:ascii="仿宋" w:hAnsi="仿宋" w:eastAsia="仿宋" w:cs="仿宋"/>
                <w:szCs w:val="21"/>
                <w:lang w:eastAsia="zh-CN"/>
              </w:rPr>
              <w:t>）</w:t>
            </w:r>
            <w:r>
              <w:rPr>
                <w:rFonts w:hint="eastAsia" w:ascii="仿宋" w:hAnsi="仿宋" w:eastAsia="仿宋" w:cs="仿宋"/>
                <w:szCs w:val="21"/>
              </w:rPr>
              <w:t>、CA驱动等软件，方便响应文件解密时能够正常解密。</w:t>
            </w:r>
          </w:p>
          <w:p w14:paraId="48C86AD0">
            <w:pPr>
              <w:kinsoku/>
              <w:topLinePunct w:val="0"/>
              <w:bidi w:val="0"/>
              <w:adjustRightInd w:val="0"/>
              <w:snapToGrid w:val="0"/>
              <w:ind w:firstLine="420" w:firstLineChars="200"/>
              <w:textAlignment w:val="auto"/>
              <w:outlineLvl w:val="9"/>
              <w:rPr>
                <w:rFonts w:hint="eastAsia" w:ascii="仿宋" w:hAnsi="仿宋" w:eastAsia="仿宋" w:cs="仿宋"/>
                <w:kern w:val="2"/>
                <w:sz w:val="21"/>
                <w:szCs w:val="21"/>
                <w:lang w:val="en-US" w:eastAsia="zh-CN" w:bidi="ar-SA"/>
              </w:rPr>
            </w:pPr>
            <w:r>
              <w:rPr>
                <w:rFonts w:hint="eastAsia" w:ascii="仿宋" w:hAnsi="仿宋" w:eastAsia="仿宋" w:cs="仿宋"/>
                <w:szCs w:val="21"/>
              </w:rPr>
              <w:t>4.供应商需在磋商截止时间前自行测试开标时使用的计算机，如因供应商自身原因导致响应文件解密失败的，由供应商自行承担相应后果。</w:t>
            </w:r>
          </w:p>
        </w:tc>
      </w:tr>
      <w:tr w14:paraId="3A5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9C012E8">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27</w:t>
            </w:r>
          </w:p>
        </w:tc>
        <w:tc>
          <w:tcPr>
            <w:tcW w:w="1527" w:type="dxa"/>
            <w:shd w:val="clear" w:color="auto" w:fill="auto"/>
            <w:vAlign w:val="center"/>
          </w:tcPr>
          <w:p w14:paraId="1CBA3488">
            <w:pPr>
              <w:kinsoku/>
              <w:topLinePunct w:val="0"/>
              <w:bidi w:val="0"/>
              <w:adjustRightInd w:val="0"/>
              <w:snapToGrid w:val="0"/>
              <w:jc w:val="center"/>
              <w:textAlignment w:val="auto"/>
              <w:outlineLvl w:val="9"/>
              <w:rPr>
                <w:rFonts w:hint="eastAsia" w:ascii="仿宋" w:hAnsi="仿宋" w:eastAsia="仿宋" w:cs="仿宋"/>
                <w:snapToGrid w:val="0"/>
                <w:kern w:val="2"/>
                <w:sz w:val="21"/>
                <w:szCs w:val="21"/>
                <w:lang w:val="en-US" w:eastAsia="zh-CN" w:bidi="ar-SA"/>
              </w:rPr>
            </w:pPr>
            <w:r>
              <w:rPr>
                <w:rFonts w:hint="eastAsia" w:ascii="仿宋" w:hAnsi="仿宋" w:eastAsia="仿宋" w:cs="仿宋"/>
                <w:snapToGrid w:val="0"/>
                <w:szCs w:val="21"/>
              </w:rPr>
              <w:t>注意事项</w:t>
            </w:r>
          </w:p>
        </w:tc>
        <w:tc>
          <w:tcPr>
            <w:tcW w:w="7345" w:type="dxa"/>
            <w:shd w:val="clear" w:color="auto" w:fill="auto"/>
            <w:vAlign w:val="center"/>
          </w:tcPr>
          <w:p w14:paraId="7BE70D0B">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1.无论何种原因，在响应文件中未提供相应材料的，磋商小组将视同其未提供。</w:t>
            </w:r>
          </w:p>
          <w:p w14:paraId="297C4CB1">
            <w:pPr>
              <w:kinsoku/>
              <w:topLinePunct w:val="0"/>
              <w:bidi w:val="0"/>
              <w:adjustRightInd w:val="0"/>
              <w:snapToGrid w:val="0"/>
              <w:ind w:firstLine="420" w:firstLineChars="200"/>
              <w:textAlignment w:val="auto"/>
              <w:outlineLvl w:val="9"/>
              <w:rPr>
                <w:rFonts w:hint="eastAsia" w:ascii="仿宋" w:hAnsi="仿宋" w:eastAsia="仿宋" w:cs="仿宋"/>
                <w:szCs w:val="21"/>
                <w:lang w:eastAsia="zh-CN"/>
              </w:rPr>
            </w:pPr>
            <w:r>
              <w:rPr>
                <w:rFonts w:hint="eastAsia" w:ascii="仿宋" w:hAnsi="仿宋" w:eastAsia="仿宋" w:cs="仿宋"/>
                <w:szCs w:val="21"/>
              </w:rPr>
              <w:t>2.各供应商应在开标前应确保成为新疆政府采购网正式注册入库供应商，并完成CA数字证书（符合国密标准</w:t>
            </w:r>
            <w:r>
              <w:rPr>
                <w:rFonts w:hint="eastAsia" w:ascii="仿宋" w:hAnsi="仿宋" w:eastAsia="仿宋" w:cs="仿宋"/>
                <w:szCs w:val="21"/>
                <w:lang w:eastAsia="zh-CN"/>
              </w:rPr>
              <w:t>）</w:t>
            </w:r>
            <w:r>
              <w:rPr>
                <w:rFonts w:hint="eastAsia" w:ascii="仿宋" w:hAnsi="仿宋" w:eastAsia="仿宋" w:cs="仿宋"/>
                <w:szCs w:val="21"/>
              </w:rPr>
              <w:t>申领。如需咨询，请联系新疆CA服务热线0991-2819290</w:t>
            </w:r>
            <w:r>
              <w:rPr>
                <w:rFonts w:hint="eastAsia" w:ascii="仿宋" w:hAnsi="仿宋" w:eastAsia="仿宋" w:cs="仿宋"/>
                <w:szCs w:val="21"/>
                <w:lang w:eastAsia="zh-CN"/>
              </w:rPr>
              <w:t>；</w:t>
            </w:r>
          </w:p>
          <w:p w14:paraId="34360E7A">
            <w:pPr>
              <w:kinsoku/>
              <w:topLinePunct w:val="0"/>
              <w:bidi w:val="0"/>
              <w:adjustRightInd w:val="0"/>
              <w:snapToGrid w:val="0"/>
              <w:ind w:firstLine="420" w:firstLineChars="200"/>
              <w:textAlignment w:val="auto"/>
              <w:outlineLvl w:val="9"/>
              <w:rPr>
                <w:rFonts w:hint="eastAsia" w:ascii="仿宋" w:hAnsi="仿宋" w:eastAsia="仿宋" w:cs="仿宋"/>
                <w:szCs w:val="21"/>
              </w:rPr>
            </w:pPr>
            <w:r>
              <w:rPr>
                <w:rFonts w:hint="eastAsia" w:ascii="仿宋" w:hAnsi="仿宋" w:eastAsia="仿宋" w:cs="仿宋"/>
                <w:szCs w:val="21"/>
              </w:rPr>
              <w:t>3.供应商将政采云电子交易客户端下载、安装完成后，可通过账号密码或CA登录客户端进行响应文件的制作。在使用政采云投标客户端时，建议使用WIN7及以上操作系统。客户端请至新疆政府采购网（http://www.ccgp-xinjiang.gov.cn/</w:t>
            </w:r>
            <w:r>
              <w:rPr>
                <w:rFonts w:hint="eastAsia" w:ascii="仿宋" w:hAnsi="仿宋" w:eastAsia="仿宋" w:cs="仿宋"/>
                <w:szCs w:val="21"/>
                <w:lang w:eastAsia="zh-CN"/>
              </w:rPr>
              <w:t>）</w:t>
            </w:r>
            <w:r>
              <w:rPr>
                <w:rFonts w:hint="eastAsia" w:ascii="仿宋" w:hAnsi="仿宋" w:eastAsia="仿宋" w:cs="仿宋"/>
                <w:szCs w:val="21"/>
              </w:rPr>
              <w:t>下载专区查看，如有问题可拨打政采云客户服务热线95763进行咨询。</w:t>
            </w:r>
          </w:p>
          <w:p w14:paraId="2E7DBBFC">
            <w:pPr>
              <w:kinsoku/>
              <w:topLinePunct w:val="0"/>
              <w:bidi w:val="0"/>
              <w:adjustRightInd w:val="0"/>
              <w:snapToGrid w:val="0"/>
              <w:ind w:firstLine="420" w:firstLineChars="200"/>
              <w:textAlignment w:val="auto"/>
              <w:outlineLvl w:val="9"/>
              <w:rPr>
                <w:rFonts w:hint="eastAsia" w:ascii="仿宋" w:hAnsi="仿宋" w:eastAsia="仿宋" w:cs="仿宋"/>
                <w:snapToGrid w:val="0"/>
                <w:kern w:val="2"/>
                <w:sz w:val="21"/>
                <w:szCs w:val="21"/>
                <w:lang w:val="en-US" w:eastAsia="zh-CN" w:bidi="ar-SA"/>
              </w:rPr>
            </w:pPr>
            <w:r>
              <w:rPr>
                <w:rFonts w:hint="eastAsia" w:ascii="仿宋" w:hAnsi="仿宋" w:eastAsia="仿宋" w:cs="仿宋"/>
                <w:szCs w:val="21"/>
              </w:rPr>
              <w:t>4.供应商首次参加政府采购活动的，可前往新疆政府采购网（ http://www.ccgp-xinjiang.gov.cn/</w:t>
            </w:r>
            <w:r>
              <w:rPr>
                <w:rFonts w:hint="eastAsia" w:ascii="仿宋" w:hAnsi="仿宋" w:eastAsia="仿宋" w:cs="仿宋"/>
                <w:szCs w:val="21"/>
                <w:lang w:eastAsia="zh-CN"/>
              </w:rPr>
              <w:t>）</w:t>
            </w:r>
            <w:r>
              <w:rPr>
                <w:rFonts w:hint="eastAsia" w:ascii="仿宋" w:hAnsi="仿宋" w:eastAsia="仿宋" w:cs="仿宋"/>
                <w:szCs w:val="21"/>
              </w:rPr>
              <w:t>下载操作指南。（步骤：进入新疆政府采购网</w:t>
            </w:r>
            <w:r>
              <w:rPr>
                <w:rFonts w:hint="eastAsia" w:ascii="仿宋" w:hAnsi="仿宋" w:eastAsia="仿宋" w:cs="仿宋"/>
                <w:w w:val="80"/>
                <w:szCs w:val="21"/>
              </w:rPr>
              <w:t>（http://www.ccgp-xinjiang.gov.cn/</w:t>
            </w:r>
            <w:r>
              <w:rPr>
                <w:rFonts w:hint="eastAsia" w:ascii="仿宋" w:hAnsi="仿宋" w:eastAsia="仿宋" w:cs="仿宋"/>
                <w:w w:val="80"/>
                <w:szCs w:val="21"/>
                <w:lang w:eastAsia="zh-CN"/>
              </w:rPr>
              <w:t>）</w:t>
            </w:r>
            <w:r>
              <w:rPr>
                <w:rFonts w:hint="eastAsia" w:ascii="仿宋" w:hAnsi="仿宋" w:eastAsia="仿宋" w:cs="仿宋"/>
                <w:szCs w:val="21"/>
              </w:rPr>
              <w:t>点击主页面的办事指南—选择并下载供应商政采云平台操作指南</w:t>
            </w:r>
            <w:r>
              <w:rPr>
                <w:rFonts w:hint="eastAsia" w:ascii="仿宋" w:hAnsi="仿宋" w:eastAsia="仿宋" w:cs="仿宋"/>
                <w:szCs w:val="21"/>
                <w:lang w:eastAsia="zh-CN"/>
              </w:rPr>
              <w:t>）</w:t>
            </w:r>
            <w:r>
              <w:rPr>
                <w:rFonts w:hint="eastAsia" w:ascii="仿宋" w:hAnsi="仿宋" w:eastAsia="仿宋" w:cs="仿宋"/>
                <w:szCs w:val="21"/>
              </w:rPr>
              <w:t>。</w:t>
            </w:r>
          </w:p>
        </w:tc>
      </w:tr>
      <w:tr w14:paraId="6393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EB8A892">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8</w:t>
            </w:r>
          </w:p>
        </w:tc>
        <w:tc>
          <w:tcPr>
            <w:tcW w:w="1527" w:type="dxa"/>
            <w:vAlign w:val="center"/>
          </w:tcPr>
          <w:p w14:paraId="52DF0CF2">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政府采购政策支持</w:t>
            </w:r>
          </w:p>
        </w:tc>
        <w:tc>
          <w:tcPr>
            <w:tcW w:w="7345" w:type="dxa"/>
            <w:vAlign w:val="center"/>
          </w:tcPr>
          <w:p w14:paraId="53017080">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1.本项目为专门面向中小企业（含中型、小型、微型企业）采购项目。监狱企业、残疾人福利性单位视同为小微企业。本项目采购标的对应的中小企业划分标准所属行业为</w:t>
            </w:r>
            <w:r>
              <w:rPr>
                <w:rFonts w:hint="eastAsia" w:ascii="仿宋" w:hAnsi="仿宋" w:eastAsia="仿宋" w:cs="仿宋"/>
                <w:b/>
                <w:bCs w:val="0"/>
                <w:color w:val="000000"/>
                <w:sz w:val="21"/>
                <w:szCs w:val="21"/>
                <w:highlight w:val="none"/>
                <w:u w:val="single"/>
                <w:lang w:val="en-US" w:eastAsia="zh-CN"/>
              </w:rPr>
              <w:t>其他未列明行业</w:t>
            </w:r>
            <w:r>
              <w:rPr>
                <w:rFonts w:hint="eastAsia" w:ascii="仿宋" w:hAnsi="仿宋" w:eastAsia="仿宋" w:cs="仿宋"/>
                <w:bCs/>
                <w:color w:val="000000"/>
                <w:sz w:val="21"/>
                <w:szCs w:val="21"/>
                <w:highlight w:val="none"/>
                <w:lang w:val="en-US" w:eastAsia="zh-CN"/>
              </w:rPr>
              <w:t xml:space="preserve">。从业人员300 人以下的为中小微型企业。其中，从业人员 100 人及以上的为中型企业；从业人员 10 人及以上的为小型企业；从业人员10人以下的为微型企业。 </w:t>
            </w:r>
          </w:p>
          <w:p w14:paraId="77E4065A">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（1）符合中小企业政府采购政策的证明材料：供应商《中小企业声明函》或残疾人福利性单位声明函或监狱企业证明文件； </w:t>
            </w:r>
          </w:p>
          <w:p w14:paraId="2DB4AF0D">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 </w:t>
            </w:r>
          </w:p>
          <w:p w14:paraId="66468FAA">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2.据《政府采购促进中小企业展暂行办法》（财库【2020】46号文）、关于转发《政府采购促进中小企业发展管理办法》的通知（兵财库〔2021〕7 号文）规定执行； </w:t>
            </w:r>
          </w:p>
          <w:p w14:paraId="763D98A4">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3.根据工信部等部委发布的《关于印发中小企业划型标准规定的通知》（工信部联企业[2011]300 号）规定执行； </w:t>
            </w:r>
          </w:p>
          <w:p w14:paraId="303B32F6">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4.价格扣除幅度：对于非专门面向中小企业的项目，小型和微型企业给与价格 10%的扣除； </w:t>
            </w:r>
          </w:p>
          <w:p w14:paraId="77D6D446">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5.小型和微型企业适用价格扣除办法时应提供的相关资料。 </w:t>
            </w:r>
          </w:p>
          <w:p w14:paraId="4E622EFE">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说明：在政府采购活动中，供应商提供的货物、工程或者服务符合下列情形的，享受本办法规定的中小企业扶持政策：</w:t>
            </w:r>
          </w:p>
          <w:p w14:paraId="01EDEC27">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14:paraId="1D632BE5">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1.在货物采购项目中，货物由中小企业制造，即货物由中小企业生产且使用该中小企业商号或者注册商标； </w:t>
            </w:r>
          </w:p>
          <w:p w14:paraId="63E2F20B">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2.在工程采购项目中，工程由中小企业承建，即工程施工单位为中小企业； </w:t>
            </w:r>
          </w:p>
          <w:p w14:paraId="5A8200B4">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3.在服务采购项目中，服务由中小企业承接，即提供服务的人员为中小企业依照《中华人民共和国劳动合同法》订立劳动合同的从业人员。 </w:t>
            </w:r>
          </w:p>
          <w:p w14:paraId="7159BE17">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4.在货物采购项目中，供应商提供的货物既有中小企业制造货物，也有大型企业制造货物的，不享受本办法规定的中小企业扶持政策。 </w:t>
            </w:r>
          </w:p>
          <w:p w14:paraId="6AD77B62">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注：中小微企业证明： </w:t>
            </w:r>
          </w:p>
          <w:p w14:paraId="3FC92BB4">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1.投标单位须出具“中小企业声明函”具体详见磋商文件格式内容。 </w:t>
            </w:r>
          </w:p>
          <w:p w14:paraId="1543FE27">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 xml:space="preserve">2.提供由省级以上监狱管理局、戒毒管理局（含新疆生产建设兵团）出具的属于监狱企业证明文件的，视同为小型和微型企业。 </w:t>
            </w:r>
          </w:p>
          <w:p w14:paraId="07608396">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Cs/>
                <w:color w:val="000000"/>
                <w:sz w:val="21"/>
                <w:szCs w:val="21"/>
                <w:highlight w:val="none"/>
                <w:lang w:val="en-US" w:eastAsia="zh-CN"/>
              </w:rPr>
            </w:pPr>
            <w:r>
              <w:rPr>
                <w:rFonts w:hint="eastAsia" w:ascii="仿宋" w:hAnsi="仿宋" w:eastAsia="仿宋" w:cs="仿宋"/>
                <w:bCs/>
                <w:color w:val="000000"/>
                <w:sz w:val="21"/>
                <w:szCs w:val="21"/>
                <w:highlight w:val="none"/>
                <w:lang w:val="en-US" w:eastAsia="zh-CN"/>
              </w:rPr>
              <w:t>3.符合享受政府采购支持政策的残疾人福利性单位条件且提供《残疾人福利性单位声明函》的，视同为小型和微型企业。</w:t>
            </w:r>
          </w:p>
        </w:tc>
      </w:tr>
      <w:tr w14:paraId="58E2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EAF1885">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29</w:t>
            </w:r>
          </w:p>
        </w:tc>
        <w:tc>
          <w:tcPr>
            <w:tcW w:w="1527" w:type="dxa"/>
            <w:vAlign w:val="center"/>
          </w:tcPr>
          <w:p w14:paraId="0868BBA7">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color w:val="auto"/>
                <w:sz w:val="24"/>
                <w:szCs w:val="24"/>
                <w:highlight w:val="none"/>
              </w:rPr>
              <w:t>政府采购异常低价问题</w:t>
            </w:r>
            <w:r>
              <w:rPr>
                <w:rFonts w:hint="eastAsia" w:ascii="仿宋" w:hAnsi="仿宋" w:eastAsia="仿宋" w:cs="仿宋"/>
                <w:color w:val="auto"/>
                <w:sz w:val="24"/>
                <w:szCs w:val="24"/>
                <w:highlight w:val="none"/>
                <w:lang w:val="en-US" w:eastAsia="zh-CN"/>
              </w:rPr>
              <w:t>处理</w:t>
            </w:r>
          </w:p>
        </w:tc>
        <w:tc>
          <w:tcPr>
            <w:tcW w:w="7345" w:type="dxa"/>
            <w:vAlign w:val="center"/>
          </w:tcPr>
          <w:p w14:paraId="64579732">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依据《关于推动解决政府采购异常低价问题的通知》（财库〔2026〕2号）政府采购评审中出现下列情形之一的，评审委员会应当启动异常低价投标（响应）审查程序：</w:t>
            </w:r>
          </w:p>
          <w:p w14:paraId="75C96841">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（1）投标（响应）报价低于全部通过符合性审查供应商投标（响应）报价平均值50%的，即投标（响应）报价＜全部通过符合性审查供应商投标（响应）报价平均值×50%；</w:t>
            </w:r>
          </w:p>
          <w:p w14:paraId="40AB65AF">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（2）投标（响应）报价低于通过符合性审查的次低报价供应商投标（响应）报价50%的，即投标（响应）报价＜通过符合性审查的次低报价供应商投标（响应）报价×50%；</w:t>
            </w:r>
          </w:p>
          <w:p w14:paraId="33B53340">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（3）投标（响应）报价低于采购项目最高限价45%的，即投标（响应）报价＜采购项目最高限价×45%；</w:t>
            </w:r>
          </w:p>
          <w:p w14:paraId="76B28DCC">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（4）评审委员会基于专业判断，认为供应商报价过低，有可能影响产品质量或者不能诚信履约的其他情形。</w:t>
            </w:r>
          </w:p>
          <w:p w14:paraId="0E280F97">
            <w:pPr>
              <w:pStyle w:val="18"/>
              <w:keepNext w:val="0"/>
              <w:keepLines w:val="0"/>
              <w:pageBreakBefore w:val="0"/>
              <w:kinsoku/>
              <w:wordWrap/>
              <w:overflowPunct/>
              <w:topLinePunct w:val="0"/>
              <w:bidi w:val="0"/>
              <w:adjustRightInd w:val="0"/>
              <w:snapToGrid w:val="0"/>
              <w:spacing w:line="240" w:lineRule="auto"/>
              <w:jc w:val="left"/>
              <w:textAlignment w:val="auto"/>
              <w:outlineLvl w:val="9"/>
              <w:rPr>
                <w:rFonts w:hint="eastAsia" w:ascii="仿宋" w:hAnsi="仿宋" w:eastAsia="仿宋" w:cs="仿宋"/>
                <w:b/>
                <w:bCs/>
                <w:sz w:val="21"/>
                <w:szCs w:val="21"/>
                <w:highlight w:val="none"/>
                <w:lang w:val="en-US" w:eastAsia="zh-CN"/>
              </w:rPr>
            </w:pPr>
            <w:r>
              <w:rPr>
                <w:rFonts w:hint="eastAsia" w:ascii="仿宋" w:hAnsi="仿宋" w:eastAsia="仿宋" w:cs="仿宋"/>
                <w:b w:val="0"/>
                <w:bCs w:val="0"/>
                <w:sz w:val="21"/>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F3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DB5EB46">
            <w:pPr>
              <w:pStyle w:val="18"/>
              <w:keepNext w:val="0"/>
              <w:keepLines w:val="0"/>
              <w:pageBreakBefore w:val="0"/>
              <w:kinsoku/>
              <w:wordWrap/>
              <w:overflowPunct/>
              <w:topLinePunct w:val="0"/>
              <w:bidi w:val="0"/>
              <w:adjustRightInd w:val="0"/>
              <w:snapToGrid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8872" w:type="dxa"/>
            <w:gridSpan w:val="2"/>
            <w:vAlign w:val="center"/>
          </w:tcPr>
          <w:p w14:paraId="5A89346D">
            <w:pPr>
              <w:kinsoku/>
              <w:topLinePunct w:val="0"/>
              <w:autoSpaceDE w:val="0"/>
              <w:autoSpaceDN w:val="0"/>
              <w:bidi w:val="0"/>
              <w:adjustRightInd w:val="0"/>
              <w:snapToGrid w:val="0"/>
              <w:jc w:val="left"/>
              <w:textAlignment w:val="auto"/>
              <w:outlineLvl w:val="9"/>
              <w:rPr>
                <w:rFonts w:hint="eastAsia" w:ascii="仿宋" w:hAnsi="仿宋" w:eastAsia="仿宋" w:cs="仿宋"/>
                <w:b/>
                <w:bCs/>
                <w:szCs w:val="21"/>
              </w:rPr>
            </w:pPr>
            <w:r>
              <w:rPr>
                <w:rFonts w:hint="eastAsia" w:ascii="仿宋" w:hAnsi="仿宋" w:eastAsia="仿宋" w:cs="仿宋"/>
                <w:b/>
                <w:bCs/>
                <w:szCs w:val="21"/>
              </w:rPr>
              <w:t>1、采购公告的招标范围与投标须知前附表的招标范围不一致的，以投标须知前附表的招标范围为准。</w:t>
            </w:r>
          </w:p>
          <w:p w14:paraId="5CAD1AEE">
            <w:pPr>
              <w:kinsoku/>
              <w:topLinePunct w:val="0"/>
              <w:autoSpaceDE w:val="0"/>
              <w:autoSpaceDN w:val="0"/>
              <w:bidi w:val="0"/>
              <w:adjustRightInd w:val="0"/>
              <w:snapToGrid w:val="0"/>
              <w:jc w:val="left"/>
              <w:textAlignment w:val="auto"/>
              <w:outlineLvl w:val="9"/>
              <w:rPr>
                <w:rFonts w:hint="eastAsia" w:ascii="仿宋" w:hAnsi="仿宋" w:eastAsia="仿宋" w:cs="仿宋"/>
                <w:b/>
                <w:bCs/>
                <w:szCs w:val="21"/>
              </w:rPr>
            </w:pPr>
            <w:r>
              <w:rPr>
                <w:rFonts w:hint="eastAsia" w:ascii="仿宋" w:hAnsi="仿宋" w:eastAsia="仿宋" w:cs="仿宋"/>
                <w:b/>
                <w:bCs/>
                <w:szCs w:val="21"/>
              </w:rPr>
              <w:t>2、投标须知前附表与投标须知正文部分内容不一致的，以投标须知前附表为准。</w:t>
            </w:r>
          </w:p>
          <w:p w14:paraId="4D666A18">
            <w:pPr>
              <w:kinsoku/>
              <w:topLinePunct w:val="0"/>
              <w:autoSpaceDE w:val="0"/>
              <w:autoSpaceDN w:val="0"/>
              <w:bidi w:val="0"/>
              <w:adjustRightInd w:val="0"/>
              <w:snapToGrid w:val="0"/>
              <w:jc w:val="left"/>
              <w:textAlignment w:val="auto"/>
              <w:outlineLvl w:val="9"/>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szCs w:val="21"/>
              </w:rPr>
              <w:t>3、项目名称与项目编号出现不一致时，以《磋商文件》封面的项目名称和项目编号为准。</w:t>
            </w:r>
          </w:p>
        </w:tc>
      </w:tr>
    </w:tbl>
    <w:p w14:paraId="59AF6C84">
      <w:pPr>
        <w:kinsoku/>
        <w:topLinePunct w:val="0"/>
        <w:bidi w:val="0"/>
        <w:spacing w:line="440" w:lineRule="exact"/>
        <w:textAlignment w:val="auto"/>
        <w:outlineLvl w:val="9"/>
        <w:rPr>
          <w:rFonts w:hint="eastAsia" w:ascii="仿宋" w:hAnsi="仿宋" w:eastAsia="仿宋" w:cs="仿宋"/>
          <w:b/>
          <w:highlight w:val="none"/>
        </w:rPr>
      </w:pPr>
      <w:r>
        <w:rPr>
          <w:rFonts w:hint="eastAsia" w:ascii="仿宋" w:hAnsi="仿宋" w:eastAsia="仿宋" w:cs="仿宋"/>
          <w:b/>
          <w:highlight w:val="none"/>
        </w:rPr>
        <w:t>注：本表内容与</w:t>
      </w:r>
      <w:r>
        <w:rPr>
          <w:rFonts w:hint="eastAsia" w:ascii="仿宋" w:hAnsi="仿宋" w:eastAsia="仿宋" w:cs="仿宋"/>
          <w:b/>
          <w:highlight w:val="none"/>
          <w:lang w:val="en-US" w:eastAsia="zh-CN"/>
        </w:rPr>
        <w:t>磋商</w:t>
      </w:r>
      <w:r>
        <w:rPr>
          <w:rFonts w:hint="eastAsia" w:ascii="仿宋" w:hAnsi="仿宋" w:eastAsia="仿宋" w:cs="仿宋"/>
          <w:b/>
          <w:highlight w:val="none"/>
        </w:rPr>
        <w:t>文件其它内容不一致的，应当以本表内容为准。</w:t>
      </w:r>
    </w:p>
    <w:p w14:paraId="2A3A6654">
      <w:pPr>
        <w:kinsoku/>
        <w:topLinePunct w:val="0"/>
        <w:bidi w:val="0"/>
        <w:spacing w:line="360" w:lineRule="auto"/>
        <w:jc w:val="both"/>
        <w:textAlignment w:val="auto"/>
        <w:outlineLvl w:val="9"/>
        <w:rPr>
          <w:rFonts w:hint="eastAsia" w:ascii="仿宋" w:hAnsi="仿宋" w:eastAsia="仿宋" w:cs="仿宋"/>
          <w:b/>
          <w:bCs/>
          <w:kern w:val="2"/>
          <w:highlight w:val="none"/>
        </w:rPr>
      </w:pPr>
      <w:r>
        <w:rPr>
          <w:rFonts w:hint="eastAsia" w:ascii="仿宋" w:hAnsi="仿宋" w:eastAsia="仿宋" w:cs="仿宋"/>
          <w:b/>
          <w:highlight w:val="none"/>
        </w:rPr>
        <w:t>本表中“</w:t>
      </w:r>
      <w:r>
        <w:rPr>
          <w:rFonts w:hint="eastAsia" w:ascii="仿宋" w:hAnsi="仿宋" w:eastAsia="仿宋" w:cs="仿宋"/>
          <w:b/>
          <w:highlight w:val="none"/>
        </w:rPr>
        <w:fldChar w:fldCharType="begin"/>
      </w:r>
      <w:r>
        <w:rPr>
          <w:rFonts w:hint="eastAsia" w:ascii="仿宋" w:hAnsi="仿宋" w:eastAsia="仿宋" w:cs="仿宋"/>
          <w:b/>
          <w:highlight w:val="none"/>
        </w:rPr>
        <w:instrText xml:space="preserve"> eq \o\ac(□,√)</w:instrText>
      </w:r>
      <w:r>
        <w:rPr>
          <w:rFonts w:hint="eastAsia" w:ascii="仿宋" w:hAnsi="仿宋" w:eastAsia="仿宋" w:cs="仿宋"/>
          <w:b/>
          <w:highlight w:val="none"/>
        </w:rPr>
        <w:fldChar w:fldCharType="end"/>
      </w:r>
      <w:r>
        <w:rPr>
          <w:rFonts w:hint="eastAsia" w:ascii="仿宋" w:hAnsi="仿宋" w:eastAsia="仿宋" w:cs="仿宋"/>
          <w:b/>
          <w:highlight w:val="none"/>
        </w:rPr>
        <w:t>”标示选择使用该项，“□”标示不选择使用该项。</w:t>
      </w:r>
    </w:p>
    <w:p w14:paraId="6C558EB7">
      <w:pPr>
        <w:keepNext w:val="0"/>
        <w:keepLines w:val="0"/>
        <w:pageBreakBefore/>
        <w:widowControl w:val="0"/>
        <w:kinsoku/>
        <w:wordWrap/>
        <w:overflowPunct/>
        <w:topLinePunct w:val="0"/>
        <w:autoSpaceDE/>
        <w:autoSpaceDN/>
        <w:bidi w:val="0"/>
        <w:adjustRightInd/>
        <w:snapToGrid/>
        <w:spacing w:line="360" w:lineRule="auto"/>
        <w:ind w:firstLine="261" w:firstLineChars="0"/>
        <w:jc w:val="center"/>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二、总则</w:t>
      </w:r>
    </w:p>
    <w:p w14:paraId="2140DA9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1.适用范围</w:t>
      </w:r>
    </w:p>
    <w:p w14:paraId="3742E8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1.1本磋商文件仅适用于本次采购活动。</w:t>
      </w:r>
    </w:p>
    <w:p w14:paraId="5C37F7E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2.磋商资格</w:t>
      </w:r>
    </w:p>
    <w:p w14:paraId="5ADF6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2.1具有承担本项目能力以及符合供应商须知前附表中申请人资格条件的服务机构均为合格的供应商。</w:t>
      </w:r>
    </w:p>
    <w:p w14:paraId="55593E2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3.定义</w:t>
      </w:r>
    </w:p>
    <w:p w14:paraId="26AB90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下列术语和缩写的定义为：</w:t>
      </w:r>
    </w:p>
    <w:p w14:paraId="36F560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3.1“采购人”系指乌鲁木齐高新技术产业开发区（乌鲁木齐市新市区）市政市容设施管理站。</w:t>
      </w:r>
    </w:p>
    <w:p w14:paraId="63221A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3.2“招标代理机构”系指中合安建工程管理有限公司。</w:t>
      </w:r>
    </w:p>
    <w:p w14:paraId="0A566A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3.3“招标方”系指采购人和招标代理机构的统称。</w:t>
      </w:r>
    </w:p>
    <w:p w14:paraId="16B890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3.4“供应商”系指有资格的供应商。</w:t>
      </w:r>
    </w:p>
    <w:p w14:paraId="1EF77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3.5“成交供应商”系指经磋商小组评定后综合得分第一的供应商。</w:t>
      </w:r>
    </w:p>
    <w:p w14:paraId="44D850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3.6“响应”系指供应商、根据招标代理机构发布的磋商文件，编制响应文件并按规定磋商的行为。</w:t>
      </w:r>
    </w:p>
    <w:p w14:paraId="110565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3.7“服务”系指磋商文件规定供应商须承担的合同期限内的相关工作任务、服务项目及其他类似的责任。</w:t>
      </w:r>
    </w:p>
    <w:p w14:paraId="7529BF1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4.磋商费用</w:t>
      </w:r>
    </w:p>
    <w:p w14:paraId="55327B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4.1无论磋商结果如何，凡参与招标、磋商活动有关的所有费用将由供应商自行承担。</w:t>
      </w:r>
    </w:p>
    <w:p w14:paraId="58EA6B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4.2供应商被视为熟悉本招标项目的各种情况以及与履行合同有关的一切情况。</w:t>
      </w:r>
    </w:p>
    <w:p w14:paraId="31399EA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5.磋商文件的构成</w:t>
      </w:r>
    </w:p>
    <w:p w14:paraId="42A3B0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5.1磋商文件由下述部分组成：</w:t>
      </w:r>
    </w:p>
    <w:p w14:paraId="12F797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一、磋商公告</w:t>
      </w:r>
    </w:p>
    <w:p w14:paraId="354DF3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二、供应商须知</w:t>
      </w:r>
    </w:p>
    <w:p w14:paraId="313AC7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三、采购需求</w:t>
      </w:r>
    </w:p>
    <w:p w14:paraId="7658F8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四、合同</w:t>
      </w:r>
    </w:p>
    <w:p w14:paraId="3F04F8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五、响应文件格式及附件</w:t>
      </w:r>
    </w:p>
    <w:p w14:paraId="2931F69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6.磋商文件的澄清</w:t>
      </w:r>
    </w:p>
    <w:p w14:paraId="4DC44E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供应商对磋商文件如有异议，可在磋商截止期的五日前按磋商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供应商。</w:t>
      </w:r>
    </w:p>
    <w:p w14:paraId="5612804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7.磋商文件的修改或补充</w:t>
      </w:r>
    </w:p>
    <w:p w14:paraId="12EEAD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在磋商截止期五日前的任何时间，招标方可主动或依据供应商要求澄清的问题而修改或补充磋商文件，并以书面形式或网上公告通知所有供应商，供应商不需要确认。澄清文件在采购公告发布的同一媒介上发布之日起，视为供应商已收到该澄清。供应商未及时关注采购人在网站上发布的澄清文件造成的损失，由供应商自行负责。</w:t>
      </w:r>
    </w:p>
    <w:p w14:paraId="4FFEBA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7.2为使供应商在准备磋商时有适当的时间考虑响应文件的修改，招标方有权决定推迟磋商截止时间和开标日期，并将此变更通知所有的供应商。</w:t>
      </w:r>
    </w:p>
    <w:p w14:paraId="424DC8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7.3磋商文件的修改和补充文件将构成磋商文件的一部分，并且对供应商具有优先约束力。</w:t>
      </w:r>
    </w:p>
    <w:p w14:paraId="0213472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8.对供应商的资质要求</w:t>
      </w:r>
    </w:p>
    <w:p w14:paraId="32809F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8.1供应商必须提交能够证明其具有履行本项目合同能力的资格证明文件，作为响应文件的一部分，资格审查及符合性审查以响应文件要求为准进行查验。</w:t>
      </w:r>
    </w:p>
    <w:p w14:paraId="0B576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8.2所有在响应文件中提交的资格证明文件必须加盖公章。</w:t>
      </w:r>
    </w:p>
    <w:p w14:paraId="2E6E71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8.3所有资格证明文件必须满足磋商文件的要求，否则将视为无效响应。</w:t>
      </w:r>
    </w:p>
    <w:p w14:paraId="3560CF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8.4供应商违反国家有关法律法规的强制性规定的，其投标按无效标处理。</w:t>
      </w:r>
    </w:p>
    <w:p w14:paraId="0DFD93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响应文件</w:t>
      </w:r>
    </w:p>
    <w:p w14:paraId="23CDE1A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9.响应文件的编写</w:t>
      </w:r>
    </w:p>
    <w:p w14:paraId="1E129F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9.1要求</w:t>
      </w:r>
    </w:p>
    <w:p w14:paraId="24E638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供应商应详细阅读磋商文件中的条款、规范、表示、条件和格式等所有内容，按磋商文件的要进行响应，并保证所提供的全部材料的真实性，使其响应对磋商文件做出实质性响应。否则，其磋商将视为无效。</w:t>
      </w:r>
    </w:p>
    <w:p w14:paraId="200098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9.2响应文件语言和度量单位</w:t>
      </w:r>
    </w:p>
    <w:p w14:paraId="126D5B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除在磋商文件的技术规格中另有规定外，计量单位应使用中华人民共和国法定计量单位。</w:t>
      </w:r>
    </w:p>
    <w:p w14:paraId="0E2E8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9.3响应文件的组成</w:t>
      </w:r>
    </w:p>
    <w:p w14:paraId="241BDDCF">
      <w:pPr>
        <w:pStyle w:val="18"/>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（1）商务部分</w:t>
      </w:r>
    </w:p>
    <w:p w14:paraId="29608885">
      <w:pPr>
        <w:pStyle w:val="18"/>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磋商响应声明</w:t>
      </w:r>
    </w:p>
    <w:p w14:paraId="26277792">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附件1－1法定代表人身份证明扫描件(法定代表人参加磋商) </w:t>
      </w:r>
    </w:p>
    <w:p w14:paraId="64FB012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附件1－2法定代表人授权书(授权代表参加磋商)</w:t>
      </w:r>
    </w:p>
    <w:p w14:paraId="6884DBB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附件1－3授权委托书(适用于自然人委托磋商)</w:t>
      </w:r>
    </w:p>
    <w:p w14:paraId="3E299C5A">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报价一览表及分项价格表</w:t>
      </w:r>
    </w:p>
    <w:p w14:paraId="5F091F5C">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－1报价一览表</w:t>
      </w:r>
    </w:p>
    <w:p w14:paraId="764B085A">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附件2－2分项报价表</w:t>
      </w:r>
    </w:p>
    <w:p w14:paraId="222F156F">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商务条款偏离表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格式附后</w:t>
      </w:r>
      <w:r>
        <w:rPr>
          <w:rFonts w:hint="eastAsia" w:ascii="仿宋" w:hAnsi="仿宋" w:eastAsia="仿宋" w:cs="仿宋"/>
          <w:sz w:val="24"/>
          <w:szCs w:val="24"/>
          <w:highlight w:val="none"/>
          <w:lang w:eastAsia="zh-CN"/>
        </w:rPr>
        <w:t>）</w:t>
      </w:r>
    </w:p>
    <w:p w14:paraId="3C9E9473">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磋商保证金</w:t>
      </w:r>
    </w:p>
    <w:p w14:paraId="4B396EB2">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5）供应商</w:t>
      </w:r>
      <w:r>
        <w:rPr>
          <w:rFonts w:hint="eastAsia" w:ascii="仿宋" w:hAnsi="仿宋" w:eastAsia="仿宋" w:cs="仿宋"/>
          <w:sz w:val="24"/>
          <w:szCs w:val="24"/>
          <w:highlight w:val="none"/>
        </w:rPr>
        <w:t>类似业绩</w:t>
      </w:r>
    </w:p>
    <w:p w14:paraId="73C92A42">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的资格证明材料</w:t>
      </w:r>
    </w:p>
    <w:p w14:paraId="18D97C93">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 xml:space="preserve">6-1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基本情况表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格式附后</w:t>
      </w:r>
      <w:r>
        <w:rPr>
          <w:rFonts w:hint="eastAsia" w:ascii="仿宋" w:hAnsi="仿宋" w:eastAsia="仿宋" w:cs="仿宋"/>
          <w:sz w:val="24"/>
          <w:szCs w:val="24"/>
          <w:highlight w:val="none"/>
          <w:lang w:eastAsia="zh-CN"/>
        </w:rPr>
        <w:t>）</w:t>
      </w:r>
    </w:p>
    <w:p w14:paraId="3A29601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6-2  参加政府采购活动近三年内在经营活动中没有重大违法记录的书面声明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格式附后</w:t>
      </w:r>
      <w:r>
        <w:rPr>
          <w:rFonts w:hint="eastAsia" w:ascii="仿宋" w:hAnsi="仿宋" w:eastAsia="仿宋" w:cs="仿宋"/>
          <w:sz w:val="24"/>
          <w:szCs w:val="24"/>
          <w:highlight w:val="none"/>
          <w:lang w:eastAsia="zh-CN"/>
        </w:rPr>
        <w:t>）</w:t>
      </w:r>
    </w:p>
    <w:p w14:paraId="36CEB54E">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6-3  无不良信用记录承诺函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格式附后</w:t>
      </w:r>
      <w:r>
        <w:rPr>
          <w:rFonts w:hint="eastAsia" w:ascii="仿宋" w:hAnsi="仿宋" w:eastAsia="仿宋" w:cs="仿宋"/>
          <w:sz w:val="24"/>
          <w:szCs w:val="24"/>
          <w:highlight w:val="none"/>
          <w:lang w:eastAsia="zh-CN"/>
        </w:rPr>
        <w:t>）</w:t>
      </w:r>
    </w:p>
    <w:p w14:paraId="3DF95186">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认为需提供的其他资料</w:t>
      </w:r>
    </w:p>
    <w:p w14:paraId="4F2FE746">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7-1  项目负责人</w:t>
      </w:r>
    </w:p>
    <w:p w14:paraId="34DB92CE">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7-2  其他人员汇总表</w:t>
      </w:r>
    </w:p>
    <w:p w14:paraId="4BFCE748">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符合政府采购政策的证明材料</w:t>
      </w:r>
      <w:r>
        <w:rPr>
          <w:rFonts w:hint="eastAsia" w:ascii="仿宋" w:hAnsi="仿宋" w:eastAsia="仿宋" w:cs="仿宋"/>
          <w:sz w:val="24"/>
          <w:szCs w:val="24"/>
          <w:highlight w:val="none"/>
          <w:lang w:eastAsia="zh-CN"/>
        </w:rPr>
        <w:t>（供应商根据自身情况自行选择）</w:t>
      </w:r>
    </w:p>
    <w:p w14:paraId="57144141">
      <w:pPr>
        <w:pStyle w:val="18"/>
        <w:kinsoku/>
        <w:topLinePunct w:val="0"/>
        <w:bidi w:val="0"/>
        <w:spacing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　中小企业声明函</w:t>
      </w:r>
    </w:p>
    <w:p w14:paraId="771E7B53">
      <w:pPr>
        <w:pStyle w:val="18"/>
        <w:kinsoku/>
        <w:topLinePunct w:val="0"/>
        <w:bidi w:val="0"/>
        <w:spacing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－2　监狱企业声明函</w:t>
      </w:r>
    </w:p>
    <w:p w14:paraId="0A9E0C8D">
      <w:pPr>
        <w:pStyle w:val="18"/>
        <w:kinsoku/>
        <w:topLinePunct w:val="0"/>
        <w:bidi w:val="0"/>
        <w:spacing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－3  残疾人福利性单位声明函</w:t>
      </w:r>
    </w:p>
    <w:p w14:paraId="4E0003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（2）技术部分</w:t>
      </w:r>
    </w:p>
    <w:p w14:paraId="7E727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1）技术响应与偏离表</w:t>
      </w:r>
    </w:p>
    <w:p w14:paraId="07BF7F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2）供应商认为有必要提供的声明及其他资料</w:t>
      </w:r>
    </w:p>
    <w:p w14:paraId="020F8D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9.4响应文件格式</w:t>
      </w:r>
    </w:p>
    <w:p w14:paraId="0DC37E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供应商应按磋商文件的范本格式认真填写。</w:t>
      </w:r>
    </w:p>
    <w:p w14:paraId="4985E2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9.5报价及货币单位</w:t>
      </w:r>
    </w:p>
    <w:p w14:paraId="5804D1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9.5.1供应商应在报价表中标明其提供的所有服务及其完成本项目相关工作范围内所有费用的总价，采购人不接受有任何选择性报价。</w:t>
      </w:r>
    </w:p>
    <w:p w14:paraId="1E9781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9.5.2报价应包括以下内容：</w:t>
      </w:r>
    </w:p>
    <w:p w14:paraId="7B6ADA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（1）所有报价应包括国家规定的增值税税金，除磋商须知前附表另有规定外，增值税税金按一般计税方法计算。</w:t>
      </w:r>
    </w:p>
    <w:p w14:paraId="6A30A1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（2）报价按磋商文件中报价一览表的格式填写，以人民币报价。</w:t>
      </w:r>
    </w:p>
    <w:p w14:paraId="7AC5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（3）供应商的价格必须保证在磋商有效期及合同履约期限内固定不变。</w:t>
      </w:r>
    </w:p>
    <w:p w14:paraId="629F45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（4）不接受任何变通或有任何选择性的报价。报价必须唯一、确定、严格。当在单价和总价之间出现任何差异时，以单价为准，除非单价有明显的小数点错误，则以合计价格修正单价。</w:t>
      </w:r>
    </w:p>
    <w:p w14:paraId="7386B3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（5）供应商不得以低于成本的报价竞标，也不得以其他方式弄虚作假，骗取中标。</w:t>
      </w:r>
    </w:p>
    <w:p w14:paraId="723E38D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10.磋商有效期</w:t>
      </w:r>
    </w:p>
    <w:p w14:paraId="4D023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10.1从递交响应文件截止时间起计算，磋商有效期为60日历日（如不满足将导致废标）。</w:t>
      </w:r>
    </w:p>
    <w:p w14:paraId="212D2B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10.2在特殊情况下，采购方可与供应商协商延长响应文件的有效期。</w:t>
      </w:r>
    </w:p>
    <w:p w14:paraId="74547A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11. 磋商保证金 </w:t>
      </w:r>
    </w:p>
    <w:p w14:paraId="4D8984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供应商在递交响应文件的同时，应按磋商须知前附表规定的金额、形式、时间递交磋商保证金，并作为其响应文件的组成部分。供应商不按磋商须知前附表规定的金额、形式、时间提交磋商保证金的，其响应文件将被视为无效。</w:t>
      </w:r>
    </w:p>
    <w:p w14:paraId="6E3014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11.2有下列情形之一的，磋商保证金将不予退还：</w:t>
      </w:r>
    </w:p>
    <w:p w14:paraId="370FDB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（1）供应商在提交响应文件截止时间后撤回响应文件的；</w:t>
      </w:r>
    </w:p>
    <w:p w14:paraId="2EA087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（2）供应商在响应文件中提供虚假材料的；</w:t>
      </w:r>
    </w:p>
    <w:p w14:paraId="53982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（3）供应商在收到成交通知书后，无正当理由不与采购人订立合同，在签订合同时向采购人提出附加条件；</w:t>
      </w:r>
    </w:p>
    <w:p w14:paraId="5001CA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（4）供应商与采购人、其他供应商或者采购代理机构恶意串通的。</w:t>
      </w:r>
    </w:p>
    <w:p w14:paraId="469869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（5）存在法律法规和本磋商文件规定的磋商保证金不予退还的其它情形。</w:t>
      </w:r>
    </w:p>
    <w:p w14:paraId="3FD237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11.3成交供应商按磋商文件的要求签订合同后，将政府采购合同原件扫描为PDF格式发送至1049891224@qq.com邮箱，采购代理机构将在自政府采购合同签订之日起5个工作日内退还成交供应商的磋商保证金。未中标的供应商的磋商保证金将在成交通知书发出之日起5个工作日内退还（无需提供任何资料，原账户退还）。</w:t>
      </w:r>
    </w:p>
    <w:p w14:paraId="349E80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12.响应文件的签署规定</w:t>
      </w:r>
    </w:p>
    <w:p w14:paraId="1DB1B4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12.1响应文件应清楚工整，不允许修改。</w:t>
      </w:r>
    </w:p>
    <w:p w14:paraId="1BC5AE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12.2响应文件应由法人代表或法人授权代表在规定的签章处逐一签署或加盖单位公章，响应文件方为有效。</w:t>
      </w:r>
    </w:p>
    <w:p w14:paraId="529BDD4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13.响应文件的递交</w:t>
      </w:r>
    </w:p>
    <w:p w14:paraId="59EF9C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13.1加密的电子响应文件应在递交截止时间前通过政采云平台上传完成。 </w:t>
      </w:r>
    </w:p>
    <w:p w14:paraId="41671A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响应文件开启当日，供应商无需到达开标现场，仅需通过政采云平台“不见面”开标大厅完成远程解密。大厅操作提示：①在开标前一小时在系统进行在线签到；②在30分钟内完成在线解密；③在开标结束后30分钟内完成“开标一览表”在线签章。注意：如未在规定时间进行以上操作，将导致投标（响应）无效。</w:t>
      </w:r>
    </w:p>
    <w:p w14:paraId="7BB9FBC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14.磋商截止时间</w:t>
      </w:r>
    </w:p>
    <w:p w14:paraId="19534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14.1响应文件的递交截止日期为磋商公告所规定的时间。</w:t>
      </w:r>
    </w:p>
    <w:p w14:paraId="2230F3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14.2加密的电子响应文件应在递交截止时间前通过政采云平台上传完成，在此之后上传的响应文件为无效磋商，响应文件将一律被拒绝。</w:t>
      </w:r>
    </w:p>
    <w:p w14:paraId="1DE925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14.3出现因磋商文件的修改而推迟磋商截止时间的情况时，供应商则须按采购人的变更公告通知重新规定的磋商时间递交。</w:t>
      </w:r>
    </w:p>
    <w:p w14:paraId="4718AC2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15.响应文件的修改和撤销</w:t>
      </w:r>
    </w:p>
    <w:p w14:paraId="717B47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15.1响应文件上传成功后，在磋商截止时间前，供应商可撤回响应文件，修改内容。</w:t>
      </w:r>
    </w:p>
    <w:p w14:paraId="47D705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操作路径：登录政采云平台-【项目采购】-【响应文件上传】</w:t>
      </w:r>
    </w:p>
    <w:p w14:paraId="6A5161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具体操作：在进行中标签页下，选择状态为已上传，在操作栏点击[撤回]按钮进行撤回；也可点击[查看]按钮，点击页面右上角的[撤回]按钮进行撤回。</w:t>
      </w:r>
    </w:p>
    <w:p w14:paraId="5DEF6F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15.2供应商不得在开标后至磋商有效期期满前撤销响应文件。否则采购人将没收其磋商保证金。</w:t>
      </w:r>
    </w:p>
    <w:p w14:paraId="492B6B2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16.磋商时间及地点</w:t>
      </w:r>
    </w:p>
    <w:p w14:paraId="2C63869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本次采购按磋商文件中约定的时间和地点进行。</w:t>
      </w:r>
    </w:p>
    <w:p w14:paraId="37A665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17.磋商文件解密</w:t>
      </w:r>
    </w:p>
    <w:p w14:paraId="2096268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lang w:val="en-US" w:eastAsia="zh-CN"/>
        </w:rPr>
      </w:pPr>
      <w:r>
        <w:rPr>
          <w:rFonts w:hint="eastAsia" w:ascii="仿宋" w:hAnsi="仿宋" w:eastAsia="仿宋" w:cs="仿宋"/>
          <w:b/>
          <w:bCs/>
          <w:sz w:val="24"/>
          <w:szCs w:val="24"/>
          <w:lang w:val="en-US" w:eastAsia="zh-CN"/>
        </w:rPr>
        <w:t>开标时将通过政采云平台“不见面”开标大厅对响应文件完成远程解密。</w:t>
      </w:r>
    </w:p>
    <w:p w14:paraId="0A29A0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lang w:val="en-US" w:eastAsia="zh-CN"/>
        </w:rPr>
        <w:t>18.供应商</w:t>
      </w:r>
      <w:r>
        <w:rPr>
          <w:rFonts w:hint="eastAsia" w:ascii="仿宋" w:hAnsi="仿宋" w:eastAsia="仿宋" w:cs="仿宋"/>
          <w:b/>
          <w:bCs/>
          <w:sz w:val="24"/>
          <w:szCs w:val="24"/>
          <w:highlight w:val="none"/>
          <w:lang w:val="en-US" w:eastAsia="zh-CN"/>
        </w:rPr>
        <w:t xml:space="preserve">存在下列情形之一的，拒绝其参加本次磋商（已参加磋商的按无效标处理）： </w:t>
      </w:r>
    </w:p>
    <w:p w14:paraId="7EB83C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18.1不具有独立法人资格的附属机构（单位）；</w:t>
      </w:r>
    </w:p>
    <w:p w14:paraId="4E60FB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18.2为本标段前期准备提供设计或咨询服务的；</w:t>
      </w:r>
    </w:p>
    <w:p w14:paraId="27B772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18.3为本标段提供招标代理服务的；</w:t>
      </w:r>
    </w:p>
    <w:p w14:paraId="448FE4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18.4单位负责人为同一人或者存在直接控股、管理关系的不同供应商（服务商），不得参加同一合同项下的政府采购活动；</w:t>
      </w:r>
    </w:p>
    <w:p w14:paraId="496B3C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18.5除单一来源采购项目外，为采购项目提供整体设计、规范编制或者项目管理、监理、检测等服务的供应商，不得再参加该采购项目的其他采购活动。</w:t>
      </w:r>
    </w:p>
    <w:p w14:paraId="1C8906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18.6以联合体形式参加政府采购活动的，联合体各方不得再单独参加或者与其他供应商另外组成联合体参加同一合同项下的政府采购活动。</w:t>
      </w:r>
    </w:p>
    <w:p w14:paraId="49CAD3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18.7供应商未在政采云平台针对本项目于规定时间内下载电子采购文件。</w:t>
      </w:r>
    </w:p>
    <w:p w14:paraId="4B4651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18.8被责令停业的；</w:t>
      </w:r>
    </w:p>
    <w:p w14:paraId="03A0B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18.9被暂停或取消投标资格的；</w:t>
      </w:r>
    </w:p>
    <w:p w14:paraId="1EDDE3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18.10财产被接管或冻结的；</w:t>
      </w:r>
    </w:p>
    <w:p w14:paraId="45531B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18.11在最近三年内有骗取中标或严重违约或重大质量问题的，受到行政处罚的。</w:t>
      </w:r>
    </w:p>
    <w:p w14:paraId="1E0A303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19.</w:t>
      </w:r>
      <w:r>
        <w:rPr>
          <w:rFonts w:hint="default" w:ascii="仿宋" w:hAnsi="仿宋" w:eastAsia="仿宋" w:cs="仿宋"/>
          <w:b/>
          <w:bCs/>
          <w:sz w:val="24"/>
          <w:szCs w:val="24"/>
          <w:highlight w:val="none"/>
          <w:lang w:val="en-US" w:eastAsia="zh-CN"/>
        </w:rPr>
        <w:t>有下列情形之一的，视为投标人串通投标，其投标无效：</w:t>
      </w:r>
      <w:r>
        <w:rPr>
          <w:rFonts w:hint="default" w:ascii="仿宋" w:hAnsi="仿宋" w:eastAsia="仿宋" w:cs="仿宋"/>
          <w:sz w:val="24"/>
          <w:szCs w:val="24"/>
          <w:highlight w:val="none"/>
          <w:lang w:val="en-US" w:eastAsia="zh-CN"/>
        </w:rPr>
        <w:t xml:space="preserve"> </w:t>
      </w:r>
    </w:p>
    <w:p w14:paraId="65F856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r>
        <w:rPr>
          <w:rFonts w:hint="default" w:ascii="仿宋" w:hAnsi="仿宋" w:eastAsia="仿宋" w:cs="仿宋"/>
          <w:sz w:val="24"/>
          <w:szCs w:val="24"/>
          <w:highlight w:val="none"/>
          <w:lang w:val="en-US" w:eastAsia="zh-CN"/>
        </w:rPr>
        <w:t xml:space="preserve">.1不同投标人的投标文件由同一单位或者个人编制。 </w:t>
      </w:r>
    </w:p>
    <w:p w14:paraId="30C336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r>
        <w:rPr>
          <w:rFonts w:hint="default" w:ascii="仿宋" w:hAnsi="仿宋" w:eastAsia="仿宋" w:cs="仿宋"/>
          <w:sz w:val="24"/>
          <w:szCs w:val="24"/>
          <w:highlight w:val="none"/>
          <w:lang w:val="en-US" w:eastAsia="zh-CN"/>
        </w:rPr>
        <w:t xml:space="preserve">.2不同投标人委托同一单位或者个人办理投标事宜。 </w:t>
      </w:r>
    </w:p>
    <w:p w14:paraId="10554C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r>
        <w:rPr>
          <w:rFonts w:hint="default" w:ascii="仿宋" w:hAnsi="仿宋" w:eastAsia="仿宋" w:cs="仿宋"/>
          <w:sz w:val="24"/>
          <w:szCs w:val="24"/>
          <w:highlight w:val="none"/>
          <w:lang w:val="en-US" w:eastAsia="zh-CN"/>
        </w:rPr>
        <w:t xml:space="preserve">.3不同投标人的投标文件载明的项目管理成员或者联系人员为同一人。 </w:t>
      </w:r>
    </w:p>
    <w:p w14:paraId="70F2C5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r>
        <w:rPr>
          <w:rFonts w:hint="default" w:ascii="仿宋" w:hAnsi="仿宋" w:eastAsia="仿宋" w:cs="仿宋"/>
          <w:sz w:val="24"/>
          <w:szCs w:val="24"/>
          <w:highlight w:val="none"/>
          <w:lang w:val="en-US" w:eastAsia="zh-CN"/>
        </w:rPr>
        <w:t xml:space="preserve">.4不同投标人的投标文件异常一致或者投标报价呈规律性差异。 </w:t>
      </w:r>
    </w:p>
    <w:p w14:paraId="31652E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r>
        <w:rPr>
          <w:rFonts w:hint="default" w:ascii="仿宋" w:hAnsi="仿宋" w:eastAsia="仿宋" w:cs="仿宋"/>
          <w:sz w:val="24"/>
          <w:szCs w:val="24"/>
          <w:highlight w:val="none"/>
          <w:lang w:val="en-US" w:eastAsia="zh-CN"/>
        </w:rPr>
        <w:t>.5不同投标人的投标文件相互混装。</w:t>
      </w:r>
    </w:p>
    <w:p w14:paraId="1B573B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r>
        <w:rPr>
          <w:rFonts w:hint="default" w:ascii="仿宋" w:hAnsi="仿宋" w:eastAsia="仿宋" w:cs="仿宋"/>
          <w:sz w:val="24"/>
          <w:szCs w:val="24"/>
          <w:highlight w:val="none"/>
          <w:lang w:val="en-US" w:eastAsia="zh-CN"/>
        </w:rPr>
        <w:t>.6不同投标人的投标保证金从同一单位或者个人的账户转出。</w:t>
      </w:r>
    </w:p>
    <w:p w14:paraId="0F0ECF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r>
        <w:rPr>
          <w:rFonts w:hint="default" w:ascii="仿宋" w:hAnsi="仿宋" w:eastAsia="仿宋" w:cs="仿宋"/>
          <w:sz w:val="24"/>
          <w:szCs w:val="24"/>
          <w:highlight w:val="none"/>
          <w:lang w:val="en-US" w:eastAsia="zh-CN"/>
        </w:rPr>
        <w:t>.7不同投标人委托同一单位或者个人办理投标事宜，或制作响应性文件电子标书的文件制作机器码（mac地址）一致，或制作响应性文件电子标书的文件创建标识码一致；</w:t>
      </w:r>
    </w:p>
    <w:p w14:paraId="324313E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20</w:t>
      </w:r>
      <w:r>
        <w:rPr>
          <w:rFonts w:hint="default" w:ascii="仿宋" w:hAnsi="仿宋" w:eastAsia="仿宋" w:cs="仿宋"/>
          <w:b/>
          <w:bCs/>
          <w:sz w:val="24"/>
          <w:szCs w:val="24"/>
          <w:highlight w:val="none"/>
          <w:lang w:val="en-US" w:eastAsia="zh-CN"/>
        </w:rPr>
        <w:t>.有下列情形之一的，其投标作无效处理：</w:t>
      </w:r>
    </w:p>
    <w:p w14:paraId="333524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r>
        <w:rPr>
          <w:rFonts w:hint="default" w:ascii="仿宋" w:hAnsi="仿宋" w:eastAsia="仿宋" w:cs="仿宋"/>
          <w:sz w:val="24"/>
          <w:szCs w:val="24"/>
          <w:highlight w:val="none"/>
          <w:lang w:val="en-US" w:eastAsia="zh-CN"/>
        </w:rPr>
        <w:t>.1投标文件技术规格中的响应与事实不符或虚假投标的；</w:t>
      </w:r>
    </w:p>
    <w:p w14:paraId="76C31C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r>
        <w:rPr>
          <w:rFonts w:hint="default" w:ascii="仿宋" w:hAnsi="仿宋" w:eastAsia="仿宋" w:cs="仿宋"/>
          <w:sz w:val="24"/>
          <w:szCs w:val="24"/>
          <w:highlight w:val="none"/>
          <w:lang w:val="en-US" w:eastAsia="zh-CN"/>
        </w:rPr>
        <w:t>.2投标人拒绝修正错误的；</w:t>
      </w:r>
    </w:p>
    <w:p w14:paraId="7D28BC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r>
        <w:rPr>
          <w:rFonts w:hint="default" w:ascii="仿宋" w:hAnsi="仿宋" w:eastAsia="仿宋" w:cs="仿宋"/>
          <w:sz w:val="24"/>
          <w:szCs w:val="24"/>
          <w:highlight w:val="none"/>
          <w:lang w:val="en-US" w:eastAsia="zh-CN"/>
        </w:rPr>
        <w:t>.3投标人递交的电子投标文件（加密标书及备份标书）均无法满足正常开标、评标使用功能的；</w:t>
      </w:r>
    </w:p>
    <w:p w14:paraId="632058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r>
        <w:rPr>
          <w:rFonts w:hint="default" w:ascii="仿宋" w:hAnsi="仿宋" w:eastAsia="仿宋" w:cs="仿宋"/>
          <w:sz w:val="24"/>
          <w:szCs w:val="24"/>
          <w:highlight w:val="none"/>
          <w:lang w:val="en-US" w:eastAsia="zh-CN"/>
        </w:rPr>
        <w:t>.4投标人名称或组织结构与领取采购文件时不一致且无有效变更证明的；</w:t>
      </w:r>
    </w:p>
    <w:p w14:paraId="6F2F45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r>
        <w:rPr>
          <w:rFonts w:hint="default" w:ascii="仿宋" w:hAnsi="仿宋" w:eastAsia="仿宋" w:cs="仿宋"/>
          <w:sz w:val="24"/>
          <w:szCs w:val="24"/>
          <w:highlight w:val="none"/>
          <w:lang w:val="en-US" w:eastAsia="zh-CN"/>
        </w:rPr>
        <w:t>.5不符合招标文件中规定的其他实质性要求。</w:t>
      </w:r>
    </w:p>
    <w:p w14:paraId="33AF81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r>
        <w:rPr>
          <w:rFonts w:hint="default" w:ascii="仿宋" w:hAnsi="仿宋" w:eastAsia="仿宋" w:cs="仿宋"/>
          <w:sz w:val="24"/>
          <w:szCs w:val="24"/>
          <w:highlight w:val="none"/>
          <w:lang w:val="en-US" w:eastAsia="zh-CN"/>
        </w:rPr>
        <w:t>.6其他违反相关法律法规规定的行为的；</w:t>
      </w:r>
    </w:p>
    <w:p w14:paraId="1FD6B9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20</w:t>
      </w:r>
      <w:r>
        <w:rPr>
          <w:rFonts w:hint="default" w:ascii="仿宋" w:hAnsi="仿宋" w:eastAsia="仿宋" w:cs="仿宋"/>
          <w:sz w:val="24"/>
          <w:szCs w:val="24"/>
          <w:highlight w:val="none"/>
          <w:lang w:val="en-US" w:eastAsia="zh-CN"/>
        </w:rPr>
        <w:t>.7评标委员会认为是其他应当否决的投标。</w:t>
      </w:r>
    </w:p>
    <w:p w14:paraId="7205A5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21.评审过程的保密性</w:t>
      </w:r>
    </w:p>
    <w:p w14:paraId="1C53E9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开标后直到授予供应商签订合同为止，凡是属于审查、澄清、评价和比较的有关资料以及授标建议等内容，磋商小组成员或参与评审的有关工作人员均不得向供应商或其他无关的人员透露，违者给予警告、取消担任磋商小组成员的资格。</w:t>
      </w:r>
    </w:p>
    <w:p w14:paraId="2B1953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21.2供应商在评审过程中，所进行的力图影响评审结果的以及不符合《中华人民共和国政府采购法》以及本次招标的有关规定的活动，将被取消其中标资格。</w:t>
      </w:r>
    </w:p>
    <w:p w14:paraId="798CF76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22.磋商小组</w:t>
      </w:r>
    </w:p>
    <w:p w14:paraId="15A4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22.1采购人将根据《中华人民共和国政府采购法》的规定，依法组建本次招标的磋商小组，负责本次采购项目的评审活动。磋商小组负责向采购人推荐成交候选人或者根据采购人的授权直接确定成交供应商。</w:t>
      </w:r>
    </w:p>
    <w:p w14:paraId="2C3BB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22.2磋商小组成员名单于开标前确定。磋商小组成员名单在成交结果确定前保密。</w:t>
      </w:r>
    </w:p>
    <w:p w14:paraId="60B46F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22.3磋商小组由采购人或熟悉相关业务的代表以及有关技术、经济等方面的人员组成，成员为三人及以上的单数，其中技术、经济等方面的成员不少于成员总数的三分之二。</w:t>
      </w:r>
    </w:p>
    <w:p w14:paraId="3C1AF5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22.4按前款规定，磋商小组的成员，由采购人采取随机抽取的方式确定或者直接确定的方式。</w:t>
      </w:r>
    </w:p>
    <w:p w14:paraId="33D01B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22.5评审专家（磋商小组专家成员）应符合下列条件：</w:t>
      </w:r>
    </w:p>
    <w:p w14:paraId="11E0FB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（1）具有良好的职业道德，廉洁自律，遵纪守法，无行贿、受贿、欺诈等不良信用记录；</w:t>
      </w:r>
    </w:p>
    <w:p w14:paraId="17211A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（2）具有中级专业技术职称或同等专业水平且从事相关领域工作满8年，或者具有高级专业技术职称或同等专业水平；</w:t>
      </w:r>
    </w:p>
    <w:p w14:paraId="4D8F4E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（3）熟悉政府采购相关政策法规；</w:t>
      </w:r>
    </w:p>
    <w:p w14:paraId="6A1002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（4）承诺以独立身份参加评审工作，依法履行评审专家工作职责并承担相应法律责任的中国公民；</w:t>
      </w:r>
    </w:p>
    <w:p w14:paraId="479661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（5）身体健康，能够承担评审工作；</w:t>
      </w:r>
    </w:p>
    <w:p w14:paraId="6AFE39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（6）申请成为评审专家前三年内，无《政府采购评审专家管理办法》中规定的不良行为记录。</w:t>
      </w:r>
    </w:p>
    <w:p w14:paraId="0F54E9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22.6有下列情形之一的，不得担任磋商小组成员：</w:t>
      </w:r>
    </w:p>
    <w:p w14:paraId="52DF34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（1）参加采购活动前三年内，与供应商存在劳动关系，或者担任过供应商的董事、监事，或者是供应商的控股股东或实际控制人；</w:t>
      </w:r>
    </w:p>
    <w:p w14:paraId="105CFA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（2）与供应商的法定代表人或者负责人有夫妻、直系血亲、三代以内旁系血亲或者近姻亲关系；</w:t>
      </w:r>
    </w:p>
    <w:p w14:paraId="251AC4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（3）与供应商有其他可能影响政府采购活动公平、公正进行的关系。</w:t>
      </w:r>
    </w:p>
    <w:p w14:paraId="30EAD4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22.7磋商小组成员应当客观、公正地履行职责，遵守职业道德，并对所提出的评审意见承担个人责任。磋商小组成员不得与任何供应商或者与招标结果有利害关系的人员进行私下接触，不得收受供应商、中介人、其他有利害关系人的财物或者其他好处。 </w:t>
      </w:r>
    </w:p>
    <w:p w14:paraId="1D823C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22.8磋商小组成员和与本次评审活动有关的工作人员，不得透露对响应文件的评审和比较、成交候选人的推荐情况以及与评审有关的其他情况。与评审活动有关的工作人员，是指磋商小组成员以外的、因参与评审监督工作或者事务性工作而知悉有关评审情况的所有人员。</w:t>
      </w:r>
    </w:p>
    <w:p w14:paraId="3DAF3B3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23.评审的准备</w:t>
      </w:r>
    </w:p>
    <w:p w14:paraId="1BD79F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23.1磋商小组的成员应当熟悉并认真研究磋商文件，至少应了解和熟悉以下内容：</w:t>
      </w:r>
    </w:p>
    <w:p w14:paraId="34D1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（1）招标目的。</w:t>
      </w:r>
    </w:p>
    <w:p w14:paraId="4970BB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（2）招标项目的范围、性质。</w:t>
      </w:r>
    </w:p>
    <w:p w14:paraId="2B6CC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（3）磋商文件中规定的主要技术要求、标准和商务条款。</w:t>
      </w:r>
    </w:p>
    <w:p w14:paraId="08588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（4）磋商文件规定的评审标准、评审方法和在评审过程中应考虑的相关因素。</w:t>
      </w:r>
    </w:p>
    <w:p w14:paraId="7E43F2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23.2采购人应当向磋商小组提供评审所需的重要信息和数据。</w:t>
      </w:r>
    </w:p>
    <w:p w14:paraId="45AE78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23.3磋商小组应当根据磋商文件规定的评审标准和方法，对响应文件进行系统地评审和比较。磋商文件中没有规定的标准和方法不得作为评审的依据。</w:t>
      </w:r>
    </w:p>
    <w:p w14:paraId="59027FD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24.评审依据及评审办法</w:t>
      </w:r>
    </w:p>
    <w:p w14:paraId="5F101A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24.1评审依据为磋商文件。</w:t>
      </w:r>
    </w:p>
    <w:p w14:paraId="15518D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24.2本次采购项目采用综合评分法。</w:t>
      </w:r>
    </w:p>
    <w:p w14:paraId="6CDB28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24.3采购人不接受不符合国家有关部门相关规定的磋商报价或优惠方案。</w:t>
      </w:r>
    </w:p>
    <w:p w14:paraId="04A56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25.评审程序及评审因素</w:t>
      </w:r>
    </w:p>
    <w:p w14:paraId="2B8FFC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25.1评审程序</w:t>
      </w:r>
    </w:p>
    <w:p w14:paraId="2D0598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成立磋商小组→资格审查→初步评审（符合性审查表）→详细评审（商务、技术部分评审及报价得分计算）→推荐成交候选人→完成评审报告。</w:t>
      </w:r>
    </w:p>
    <w:p w14:paraId="052AAE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25.2对响应文件的评估和比较</w:t>
      </w:r>
    </w:p>
    <w:p w14:paraId="0CE205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对实质性响应的响应文件进行评估和比较。</w:t>
      </w:r>
    </w:p>
    <w:p w14:paraId="3D359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 初步评审</w:t>
      </w:r>
    </w:p>
    <w:p w14:paraId="3D836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25.3.1资格审查未通过的，其响应文件无效。磋商小组对响应文件的有效性、完整性和响应程度进行审查时，可以书面方式要求供应商对响应文件中含义不明确、对同类问题表述不一致或者有明显文字和计算错误的内容作必要的澄清、说明或补正。供应商的澄清、说明或补正应以书面方式进行，并不得超出响应文件的范围或者改变响应文件的实质性内容。响应文件中的大写金额和小写金额不一致的以大写金额为准。</w:t>
      </w:r>
    </w:p>
    <w:p w14:paraId="12B3C6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25.3.2采购方不接受不符合国家有关部门相关规定的磋商报价或优惠方案。</w:t>
      </w:r>
    </w:p>
    <w:p w14:paraId="655FF8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25.3.3在评审过程中，磋商小组发现供应商以他人名义投标、串通投标、以行贿手段谋取中标或者以其他弄虚作假方式磋商的，该供应商的磋商将被否决。</w:t>
      </w:r>
    </w:p>
    <w:p w14:paraId="05BB23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25.3.4供应商的资格条件不符合国家有关规定和磋商文件要求的，或者拒不按照要求对响应文件进行澄清、说明或补正的，磋商小组可以否决其磋商。</w:t>
      </w:r>
    </w:p>
    <w:p w14:paraId="2A3C9C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25.3.5磋商小组应当审查每一个响应文件是否对磋商文件提出的所有实质性要求和条件做出响应。未能在实质上响应的磋商，其磋商将被否决。</w:t>
      </w:r>
    </w:p>
    <w:p w14:paraId="68AF3A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25.3.6供应商不得误导、干扰采购方的评审活动，否则将废除其磋商。</w:t>
      </w:r>
    </w:p>
    <w:p w14:paraId="04B13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25.3.7磋商小组根据上述规定否决不合格磋商，因有效磋商不足本次评标办法规定数量而使得磋商明显缺乏竞争性时，根据《中华人民共和国政府采购法》的相关，将作流标处理。</w:t>
      </w:r>
    </w:p>
    <w:p w14:paraId="768F12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25.3.8响应文件的澄清</w:t>
      </w:r>
    </w:p>
    <w:p w14:paraId="304E3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25.3.8.1为有助于对响应文件进行审查、评估和比较，采购方组建的磋商小组将对认为需要（不是每一个）的供应商进行询标，请供应商澄清其磋商内容，供应商有责任按照采购方通知的时间、地点指派专人进行答疑和澄清。询标时供应商代表应作书面记录，所有澄清的答复必须是书面形式。</w:t>
      </w:r>
    </w:p>
    <w:p w14:paraId="6E21D9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25.3.8.2重要澄清的答复应是书面的，但不得对磋商的价格、技术指标和参数等内容进行实质性修改。澄清文件须由供应商法定代表人或法人授权代表签章和加盖供应商公章并作为响应文件的组成部分。</w:t>
      </w:r>
    </w:p>
    <w:p w14:paraId="2EB236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25.3.8.3供应商的澄清不得对磋商内容进行实质性修改。</w:t>
      </w:r>
    </w:p>
    <w:p w14:paraId="35B0F24B">
      <w:pPr>
        <w:kinsoku/>
        <w:topLinePunct w:val="0"/>
        <w:bidi w:val="0"/>
        <w:ind w:firstLine="262" w:firstLineChars="0"/>
        <w:jc w:val="left"/>
        <w:textAlignment w:val="auto"/>
        <w:outlineLvl w:val="9"/>
        <w:rPr>
          <w:rFonts w:hint="eastAsia" w:ascii="仿宋" w:hAnsi="仿宋" w:eastAsia="仿宋" w:cs="仿宋"/>
          <w:lang w:val="en-US" w:eastAsia="zh-CN"/>
        </w:rPr>
      </w:pPr>
    </w:p>
    <w:p w14:paraId="46A702E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kern w:val="2"/>
          <w:sz w:val="24"/>
          <w:szCs w:val="24"/>
          <w:highlight w:val="none"/>
          <w:lang w:val="en-US" w:eastAsia="zh-CN" w:bidi="ar-SA"/>
        </w:rPr>
      </w:pPr>
      <w:bookmarkStart w:id="8" w:name="_Toc17477"/>
      <w:bookmarkStart w:id="9" w:name="_Toc43715824"/>
      <w:r>
        <w:rPr>
          <w:rFonts w:hint="eastAsia" w:ascii="仿宋" w:hAnsi="仿宋" w:eastAsia="仿宋" w:cs="仿宋"/>
          <w:b/>
          <w:bCs/>
          <w:kern w:val="2"/>
          <w:sz w:val="24"/>
          <w:szCs w:val="24"/>
          <w:highlight w:val="none"/>
          <w:lang w:val="zh-CN" w:eastAsia="zh-CN" w:bidi="ar-SA"/>
        </w:rPr>
        <w:t>资格审查</w:t>
      </w:r>
      <w:r>
        <w:rPr>
          <w:rFonts w:hint="eastAsia" w:ascii="仿宋" w:hAnsi="仿宋" w:eastAsia="仿宋" w:cs="仿宋"/>
          <w:b/>
          <w:bCs/>
          <w:kern w:val="2"/>
          <w:sz w:val="24"/>
          <w:szCs w:val="24"/>
          <w:highlight w:val="none"/>
          <w:lang w:val="en-US" w:eastAsia="zh-CN" w:bidi="ar-SA"/>
        </w:rPr>
        <w:t>标准</w:t>
      </w:r>
      <w:bookmarkEnd w:id="8"/>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990"/>
        <w:gridCol w:w="5099"/>
      </w:tblGrid>
      <w:tr w14:paraId="7B10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0" w:type="pct"/>
            <w:vAlign w:val="center"/>
          </w:tcPr>
          <w:p w14:paraId="22B590E6">
            <w:pPr>
              <w:widowControl/>
              <w:kinsoku/>
              <w:topLinePunct w:val="0"/>
              <w:bidi w:val="0"/>
              <w:spacing w:line="240" w:lineRule="auto"/>
              <w:jc w:val="left"/>
              <w:textAlignment w:val="auto"/>
              <w:outlineLvl w:val="9"/>
              <w:rPr>
                <w:rFonts w:hint="eastAsia" w:ascii="仿宋" w:hAnsi="仿宋" w:eastAsia="仿宋" w:cs="仿宋"/>
                <w:bCs/>
                <w:sz w:val="21"/>
                <w:szCs w:val="21"/>
              </w:rPr>
            </w:pPr>
            <w:r>
              <w:rPr>
                <w:rFonts w:hint="eastAsia" w:ascii="仿宋" w:hAnsi="仿宋" w:eastAsia="仿宋" w:cs="仿宋"/>
                <w:b/>
                <w:sz w:val="21"/>
                <w:szCs w:val="21"/>
                <w:highlight w:val="none"/>
              </w:rPr>
              <w:br w:type="page"/>
            </w:r>
            <w:r>
              <w:rPr>
                <w:rFonts w:hint="eastAsia" w:ascii="仿宋" w:hAnsi="仿宋" w:eastAsia="仿宋" w:cs="仿宋"/>
                <w:b/>
                <w:sz w:val="21"/>
                <w:szCs w:val="21"/>
              </w:rPr>
              <w:t>序号</w:t>
            </w:r>
          </w:p>
        </w:tc>
        <w:tc>
          <w:tcPr>
            <w:tcW w:w="1756" w:type="pct"/>
            <w:vAlign w:val="center"/>
          </w:tcPr>
          <w:p w14:paraId="2A849136">
            <w:pPr>
              <w:pStyle w:val="64"/>
              <w:kinsoku/>
              <w:topLinePunct w:val="0"/>
              <w:bidi w:val="0"/>
              <w:adjustRightInd w:val="0"/>
              <w:snapToGrid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审查要求</w:t>
            </w:r>
          </w:p>
        </w:tc>
        <w:tc>
          <w:tcPr>
            <w:tcW w:w="2992" w:type="pct"/>
            <w:vAlign w:val="center"/>
          </w:tcPr>
          <w:p w14:paraId="3AC38D4C">
            <w:pPr>
              <w:pStyle w:val="64"/>
              <w:kinsoku/>
              <w:topLinePunct w:val="0"/>
              <w:bidi w:val="0"/>
              <w:adjustRightInd w:val="0"/>
              <w:snapToGrid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审查内容和审查标准</w:t>
            </w:r>
          </w:p>
        </w:tc>
      </w:tr>
      <w:tr w14:paraId="4EEB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0" w:type="pct"/>
            <w:vAlign w:val="center"/>
          </w:tcPr>
          <w:p w14:paraId="42B69EC7">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w:t>
            </w:r>
          </w:p>
        </w:tc>
        <w:tc>
          <w:tcPr>
            <w:tcW w:w="1756" w:type="pct"/>
            <w:vAlign w:val="center"/>
          </w:tcPr>
          <w:p w14:paraId="72F5FD73">
            <w:pPr>
              <w:pStyle w:val="64"/>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具有独立承担民事责任的能力</w:t>
            </w:r>
          </w:p>
        </w:tc>
        <w:tc>
          <w:tcPr>
            <w:tcW w:w="2992" w:type="pct"/>
            <w:vAlign w:val="center"/>
          </w:tcPr>
          <w:p w14:paraId="620917B7">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供应商为企业（包括合伙企业</w:t>
            </w:r>
            <w:r>
              <w:rPr>
                <w:rFonts w:hint="eastAsia" w:ascii="仿宋" w:hAnsi="仿宋" w:eastAsia="仿宋" w:cs="仿宋"/>
                <w:sz w:val="21"/>
                <w:szCs w:val="21"/>
                <w:lang w:eastAsia="zh-CN"/>
              </w:rPr>
              <w:t>）</w:t>
            </w:r>
            <w:r>
              <w:rPr>
                <w:rFonts w:hint="eastAsia" w:ascii="仿宋" w:hAnsi="仿宋" w:eastAsia="仿宋" w:cs="仿宋"/>
                <w:sz w:val="21"/>
                <w:szCs w:val="21"/>
              </w:rPr>
              <w:t>的，应提供有效的“营业执照”</w:t>
            </w:r>
            <w:r>
              <w:rPr>
                <w:rFonts w:hint="eastAsia" w:ascii="仿宋" w:hAnsi="仿宋" w:eastAsia="仿宋" w:cs="仿宋"/>
                <w:sz w:val="21"/>
                <w:szCs w:val="21"/>
                <w:lang w:eastAsia="zh-CN"/>
              </w:rPr>
              <w:t>；</w:t>
            </w:r>
            <w:r>
              <w:rPr>
                <w:rFonts w:hint="eastAsia" w:ascii="仿宋" w:hAnsi="仿宋" w:eastAsia="仿宋" w:cs="仿宋"/>
                <w:sz w:val="21"/>
                <w:szCs w:val="21"/>
              </w:rPr>
              <w:t>供应商是非企业机构的，应提供有效的“执业许可证”、“登记证书”等证明文件;供应商是个体工商户的，应提供有效的“个体工商户营业执照”</w:t>
            </w:r>
            <w:r>
              <w:rPr>
                <w:rFonts w:hint="eastAsia" w:ascii="仿宋" w:hAnsi="仿宋" w:eastAsia="仿宋" w:cs="仿宋"/>
                <w:sz w:val="21"/>
                <w:szCs w:val="21"/>
                <w:lang w:eastAsia="zh-CN"/>
              </w:rPr>
              <w:t>；</w:t>
            </w:r>
            <w:r>
              <w:rPr>
                <w:rFonts w:hint="eastAsia" w:ascii="仿宋" w:hAnsi="仿宋" w:eastAsia="仿宋" w:cs="仿宋"/>
                <w:sz w:val="21"/>
                <w:szCs w:val="21"/>
              </w:rPr>
              <w:t>供应商是自然人的，应提供有效的自然人身份证明。”（上述资料须复印件加盖印章</w:t>
            </w:r>
            <w:r>
              <w:rPr>
                <w:rFonts w:hint="eastAsia" w:ascii="仿宋" w:hAnsi="仿宋" w:eastAsia="仿宋" w:cs="仿宋"/>
                <w:sz w:val="21"/>
                <w:szCs w:val="21"/>
                <w:lang w:eastAsia="zh-CN"/>
              </w:rPr>
              <w:t>）</w:t>
            </w:r>
          </w:p>
          <w:p w14:paraId="11DFB9E6">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rPr>
            </w:pPr>
            <w:r>
              <w:rPr>
                <w:rFonts w:hint="eastAsia" w:ascii="仿宋" w:hAnsi="仿宋" w:eastAsia="仿宋" w:cs="仿宋"/>
                <w:sz w:val="21"/>
                <w:szCs w:val="21"/>
              </w:rPr>
              <w:t>分支机构参加投标的，应提供该分支机构或其所属法人/其他组织的相应证明文件</w:t>
            </w:r>
            <w:r>
              <w:rPr>
                <w:rFonts w:hint="eastAsia" w:ascii="仿宋" w:hAnsi="仿宋" w:eastAsia="仿宋" w:cs="仿宋"/>
                <w:sz w:val="21"/>
                <w:szCs w:val="21"/>
                <w:lang w:eastAsia="zh-CN"/>
              </w:rPr>
              <w:t>；</w:t>
            </w:r>
            <w:r>
              <w:rPr>
                <w:rFonts w:hint="eastAsia" w:ascii="仿宋" w:hAnsi="仿宋" w:eastAsia="仿宋" w:cs="仿宋"/>
                <w:sz w:val="21"/>
                <w:szCs w:val="21"/>
              </w:rPr>
              <w:t>同时还应提供其所属法人/其他组织出具的授权其参与本项目的授权书（格式自拟，须加盖其所属法人/其他组织的印章</w:t>
            </w:r>
            <w:r>
              <w:rPr>
                <w:rFonts w:hint="eastAsia" w:ascii="仿宋" w:hAnsi="仿宋" w:eastAsia="仿宋" w:cs="仿宋"/>
                <w:sz w:val="21"/>
                <w:szCs w:val="21"/>
                <w:lang w:eastAsia="zh-CN"/>
              </w:rPr>
              <w:t>）；</w:t>
            </w:r>
            <w:r>
              <w:rPr>
                <w:rFonts w:hint="eastAsia" w:ascii="仿宋" w:hAnsi="仿宋" w:eastAsia="仿宋" w:cs="仿宋"/>
                <w:sz w:val="21"/>
                <w:szCs w:val="21"/>
              </w:rPr>
              <w:t>对于银行、保险、石油石化、电力、电信等行业的分支机构，可以提供上述授权，也可以提供其所属法人/其他组织的有关文件或制度等能够证明授权其独立开展业务的证明材料。</w:t>
            </w:r>
          </w:p>
        </w:tc>
      </w:tr>
      <w:tr w14:paraId="5E9E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0" w:type="pct"/>
            <w:vAlign w:val="center"/>
          </w:tcPr>
          <w:p w14:paraId="38E96C65">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2</w:t>
            </w:r>
          </w:p>
        </w:tc>
        <w:tc>
          <w:tcPr>
            <w:tcW w:w="1756" w:type="pct"/>
            <w:vAlign w:val="center"/>
          </w:tcPr>
          <w:p w14:paraId="6DF034B5">
            <w:pPr>
              <w:pStyle w:val="64"/>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具有良好的商业信誉和健全的财务会计制度</w:t>
            </w:r>
          </w:p>
        </w:tc>
        <w:tc>
          <w:tcPr>
            <w:tcW w:w="2992" w:type="pct"/>
            <w:vAlign w:val="center"/>
          </w:tcPr>
          <w:p w14:paraId="3322F1AD">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须提供本单位2024年度或2025年度的财务审计报告或财务报表或提供开标日前三个月内银行出具的资信证明</w:t>
            </w:r>
            <w:r>
              <w:rPr>
                <w:rFonts w:hint="eastAsia" w:ascii="仿宋" w:hAnsi="仿宋" w:eastAsia="仿宋" w:cs="仿宋"/>
                <w:sz w:val="21"/>
                <w:szCs w:val="21"/>
                <w:lang w:eastAsia="zh-CN"/>
              </w:rPr>
              <w:t>；</w:t>
            </w:r>
            <w:r>
              <w:rPr>
                <w:rFonts w:hint="eastAsia" w:ascii="仿宋" w:hAnsi="仿宋" w:eastAsia="仿宋" w:cs="仿宋"/>
                <w:sz w:val="21"/>
                <w:szCs w:val="21"/>
              </w:rPr>
              <w:t>（供应商成立不足一年的提供截止开标前近3个月任意一个月的财务报表和截止开标前近1个月基本开户银行出具的资信证明</w:t>
            </w:r>
            <w:r>
              <w:rPr>
                <w:rFonts w:hint="eastAsia" w:ascii="仿宋" w:hAnsi="仿宋" w:eastAsia="仿宋" w:cs="仿宋"/>
                <w:sz w:val="21"/>
                <w:szCs w:val="21"/>
                <w:lang w:eastAsia="zh-CN"/>
              </w:rPr>
              <w:t>）</w:t>
            </w:r>
          </w:p>
        </w:tc>
      </w:tr>
      <w:tr w14:paraId="5660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50" w:type="pct"/>
            <w:vAlign w:val="center"/>
          </w:tcPr>
          <w:p w14:paraId="77EF7BC8">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3</w:t>
            </w:r>
          </w:p>
        </w:tc>
        <w:tc>
          <w:tcPr>
            <w:tcW w:w="1756" w:type="pct"/>
            <w:vAlign w:val="center"/>
          </w:tcPr>
          <w:p w14:paraId="396CAFCD">
            <w:pPr>
              <w:pStyle w:val="64"/>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具有履行合同所必需的设备和专业技术能力</w:t>
            </w:r>
          </w:p>
        </w:tc>
        <w:tc>
          <w:tcPr>
            <w:tcW w:w="2992" w:type="pct"/>
            <w:vAlign w:val="center"/>
          </w:tcPr>
          <w:p w14:paraId="19A126F6">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须提供具备履行合同所必需的设备和专业技术能力的证明材料或承诺书</w:t>
            </w:r>
            <w:r>
              <w:rPr>
                <w:rFonts w:hint="eastAsia" w:ascii="仿宋" w:hAnsi="仿宋" w:eastAsia="仿宋" w:cs="仿宋"/>
                <w:sz w:val="21"/>
                <w:szCs w:val="21"/>
                <w:lang w:eastAsia="zh-CN"/>
              </w:rPr>
              <w:t>；</w:t>
            </w:r>
          </w:p>
        </w:tc>
      </w:tr>
      <w:tr w14:paraId="541C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50" w:type="pct"/>
            <w:vAlign w:val="center"/>
          </w:tcPr>
          <w:p w14:paraId="4EA40248">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4</w:t>
            </w:r>
          </w:p>
        </w:tc>
        <w:tc>
          <w:tcPr>
            <w:tcW w:w="1756" w:type="pct"/>
            <w:vAlign w:val="center"/>
          </w:tcPr>
          <w:p w14:paraId="04F85AA1">
            <w:pPr>
              <w:pStyle w:val="27"/>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有依法缴纳税收和依法缴纳社会保障资金的记录</w:t>
            </w:r>
          </w:p>
        </w:tc>
        <w:tc>
          <w:tcPr>
            <w:tcW w:w="2992" w:type="pct"/>
            <w:vAlign w:val="center"/>
          </w:tcPr>
          <w:p w14:paraId="46B97721">
            <w:pPr>
              <w:pStyle w:val="27"/>
              <w:kinsoku/>
              <w:topLinePunct w:val="0"/>
              <w:bidi w:val="0"/>
              <w:adjustRightInd w:val="0"/>
              <w:snapToGrid w:val="0"/>
              <w:spacing w:line="240" w:lineRule="auto"/>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须提供响应文件递交截止日期之前6个月内任意一个月的完税证明及缴纳社保记录</w:t>
            </w:r>
            <w:r>
              <w:rPr>
                <w:rFonts w:hint="eastAsia" w:ascii="仿宋" w:hAnsi="仿宋" w:eastAsia="仿宋" w:cs="仿宋"/>
                <w:sz w:val="21"/>
                <w:szCs w:val="21"/>
                <w:lang w:eastAsia="zh-CN"/>
              </w:rPr>
              <w:t>；</w:t>
            </w:r>
            <w:r>
              <w:rPr>
                <w:rFonts w:hint="eastAsia" w:ascii="仿宋" w:hAnsi="仿宋" w:eastAsia="仿宋" w:cs="仿宋"/>
                <w:sz w:val="21"/>
                <w:szCs w:val="21"/>
              </w:rPr>
              <w:t>（依法免税、依法不需要缴纳社会保障资金的应提供相应文件说明</w:t>
            </w:r>
            <w:r>
              <w:rPr>
                <w:rFonts w:hint="eastAsia" w:ascii="仿宋" w:hAnsi="仿宋" w:eastAsia="仿宋" w:cs="仿宋"/>
                <w:sz w:val="21"/>
                <w:szCs w:val="21"/>
                <w:lang w:eastAsia="zh-CN"/>
              </w:rPr>
              <w:t>）</w:t>
            </w:r>
          </w:p>
        </w:tc>
      </w:tr>
      <w:tr w14:paraId="5B48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0" w:type="pct"/>
            <w:vAlign w:val="center"/>
          </w:tcPr>
          <w:p w14:paraId="51393075">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5</w:t>
            </w:r>
          </w:p>
        </w:tc>
        <w:tc>
          <w:tcPr>
            <w:tcW w:w="1756" w:type="pct"/>
            <w:vAlign w:val="center"/>
          </w:tcPr>
          <w:p w14:paraId="1A04C947">
            <w:pPr>
              <w:pStyle w:val="27"/>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参加政府采购活动前三年内，在经营活动中没有重大违法记录</w:t>
            </w:r>
          </w:p>
        </w:tc>
        <w:tc>
          <w:tcPr>
            <w:tcW w:w="2992" w:type="pct"/>
            <w:vAlign w:val="center"/>
          </w:tcPr>
          <w:p w14:paraId="44AA7B4A">
            <w:pPr>
              <w:pStyle w:val="27"/>
              <w:kinsoku/>
              <w:topLinePunct w:val="0"/>
              <w:bidi w:val="0"/>
              <w:adjustRightInd w:val="0"/>
              <w:snapToGrid w:val="0"/>
              <w:spacing w:line="240" w:lineRule="auto"/>
              <w:jc w:val="both"/>
              <w:textAlignment w:val="auto"/>
              <w:outlineLvl w:val="9"/>
              <w:rPr>
                <w:rFonts w:hint="eastAsia" w:ascii="仿宋" w:hAnsi="仿宋" w:eastAsia="仿宋" w:cs="仿宋"/>
                <w:color w:val="000000"/>
                <w:sz w:val="21"/>
                <w:szCs w:val="21"/>
              </w:rPr>
            </w:pPr>
            <w:r>
              <w:rPr>
                <w:rFonts w:hint="eastAsia" w:ascii="仿宋" w:hAnsi="仿宋" w:eastAsia="仿宋" w:cs="仿宋"/>
                <w:sz w:val="21"/>
                <w:szCs w:val="21"/>
              </w:rPr>
              <w:t>须提供供应商声明函原件扫描件</w:t>
            </w:r>
          </w:p>
        </w:tc>
      </w:tr>
      <w:tr w14:paraId="5C1C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0" w:type="pct"/>
            <w:vAlign w:val="center"/>
          </w:tcPr>
          <w:p w14:paraId="0C102ECA">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6</w:t>
            </w:r>
          </w:p>
        </w:tc>
        <w:tc>
          <w:tcPr>
            <w:tcW w:w="1756" w:type="pct"/>
            <w:vAlign w:val="center"/>
          </w:tcPr>
          <w:p w14:paraId="63DFA4E4">
            <w:pPr>
              <w:pStyle w:val="64"/>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color w:val="000000"/>
                <w:sz w:val="21"/>
                <w:szCs w:val="21"/>
              </w:rPr>
              <w:t>法律、行政法规规定的其他条件</w:t>
            </w:r>
          </w:p>
        </w:tc>
        <w:tc>
          <w:tcPr>
            <w:tcW w:w="2992" w:type="pct"/>
            <w:vAlign w:val="center"/>
          </w:tcPr>
          <w:p w14:paraId="15C5B0CC">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rPr>
            </w:pPr>
            <w:r>
              <w:rPr>
                <w:rFonts w:hint="eastAsia" w:ascii="仿宋" w:hAnsi="仿宋" w:eastAsia="仿宋" w:cs="仿宋"/>
                <w:color w:val="000000"/>
                <w:sz w:val="21"/>
                <w:szCs w:val="21"/>
              </w:rPr>
              <w:t>提供承诺函</w:t>
            </w:r>
          </w:p>
        </w:tc>
      </w:tr>
      <w:tr w14:paraId="6142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0" w:type="pct"/>
            <w:vAlign w:val="center"/>
          </w:tcPr>
          <w:p w14:paraId="42D5DAEE">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7</w:t>
            </w:r>
          </w:p>
        </w:tc>
        <w:tc>
          <w:tcPr>
            <w:tcW w:w="1756" w:type="pct"/>
            <w:vAlign w:val="center"/>
          </w:tcPr>
          <w:p w14:paraId="213CB03C">
            <w:pPr>
              <w:pStyle w:val="64"/>
              <w:kinsoku/>
              <w:wordWrap w:val="0"/>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在信用中国”（www.creditchina.gov.cn</w:t>
            </w:r>
            <w:r>
              <w:rPr>
                <w:rFonts w:hint="eastAsia" w:ascii="仿宋" w:hAnsi="仿宋" w:eastAsia="仿宋" w:cs="仿宋"/>
                <w:sz w:val="21"/>
                <w:szCs w:val="21"/>
                <w:lang w:eastAsia="zh-CN"/>
              </w:rPr>
              <w:t>）</w:t>
            </w:r>
            <w:r>
              <w:rPr>
                <w:rFonts w:hint="eastAsia" w:ascii="仿宋" w:hAnsi="仿宋" w:eastAsia="仿宋" w:cs="仿宋"/>
                <w:sz w:val="21"/>
                <w:szCs w:val="21"/>
              </w:rPr>
              <w:t>未被列入重大税收违法失信主体、“中国执行信息公开网”（http://zxgk.court.gov.cn/</w:t>
            </w:r>
            <w:r>
              <w:rPr>
                <w:rFonts w:hint="eastAsia" w:ascii="仿宋" w:hAnsi="仿宋" w:eastAsia="仿宋" w:cs="仿宋"/>
                <w:sz w:val="21"/>
                <w:szCs w:val="21"/>
                <w:lang w:eastAsia="zh-CN"/>
              </w:rPr>
              <w:t>）</w:t>
            </w:r>
            <w:r>
              <w:rPr>
                <w:rFonts w:hint="eastAsia" w:ascii="仿宋" w:hAnsi="仿宋" w:eastAsia="仿宋" w:cs="仿宋"/>
                <w:sz w:val="21"/>
                <w:szCs w:val="21"/>
              </w:rPr>
              <w:t>未被列入失信被执行人、“中国政府采购网”（www.ccgp.gov.cn</w:t>
            </w:r>
            <w:r>
              <w:rPr>
                <w:rFonts w:hint="eastAsia" w:ascii="仿宋" w:hAnsi="仿宋" w:eastAsia="仿宋" w:cs="仿宋"/>
                <w:sz w:val="21"/>
                <w:szCs w:val="21"/>
                <w:lang w:eastAsia="zh-CN"/>
              </w:rPr>
              <w:t>）</w:t>
            </w:r>
            <w:r>
              <w:rPr>
                <w:rFonts w:hint="eastAsia" w:ascii="仿宋" w:hAnsi="仿宋" w:eastAsia="仿宋" w:cs="仿宋"/>
                <w:sz w:val="21"/>
                <w:szCs w:val="21"/>
              </w:rPr>
              <w:t>未被列入政府采购严重违法失信行为记录名单</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“国家企业信用信息公示系统”（http://www.gsxt.gov.cn）未被列入经营异常名录、严重违法失信名单（尚在处罚期内的）</w:t>
            </w:r>
            <w:r>
              <w:rPr>
                <w:rFonts w:hint="eastAsia" w:ascii="仿宋" w:hAnsi="仿宋" w:eastAsia="仿宋" w:cs="仿宋"/>
                <w:sz w:val="21"/>
                <w:szCs w:val="21"/>
              </w:rPr>
              <w:t>。</w:t>
            </w:r>
          </w:p>
        </w:tc>
        <w:tc>
          <w:tcPr>
            <w:tcW w:w="2992" w:type="pct"/>
            <w:vAlign w:val="center"/>
          </w:tcPr>
          <w:p w14:paraId="3041A41F">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rPr>
            </w:pPr>
            <w:r>
              <w:rPr>
                <w:rFonts w:hint="eastAsia" w:ascii="仿宋" w:hAnsi="仿宋" w:eastAsia="仿宋" w:cs="仿宋"/>
                <w:sz w:val="21"/>
                <w:szCs w:val="21"/>
              </w:rPr>
              <w:t>提供查询结果的网页打印页作为查询记录和证据，放入响应文件中。查询结果以采购人或采购代理机构查询结果为准。</w:t>
            </w:r>
          </w:p>
        </w:tc>
      </w:tr>
      <w:tr w14:paraId="5F4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Align w:val="center"/>
          </w:tcPr>
          <w:p w14:paraId="3D1A92AE">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8</w:t>
            </w:r>
          </w:p>
        </w:tc>
        <w:tc>
          <w:tcPr>
            <w:tcW w:w="1756" w:type="pct"/>
            <w:vAlign w:val="center"/>
          </w:tcPr>
          <w:p w14:paraId="3F79F9AC">
            <w:pPr>
              <w:pStyle w:val="64"/>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其他说明：（A</w:t>
            </w:r>
            <w:r>
              <w:rPr>
                <w:rFonts w:hint="eastAsia" w:ascii="仿宋" w:hAnsi="仿宋" w:eastAsia="仿宋" w:cs="仿宋"/>
                <w:sz w:val="21"/>
                <w:szCs w:val="21"/>
                <w:lang w:eastAsia="zh-CN"/>
              </w:rPr>
              <w:t>）</w:t>
            </w:r>
            <w:r>
              <w:rPr>
                <w:rFonts w:hint="eastAsia" w:ascii="仿宋" w:hAnsi="仿宋" w:eastAsia="仿宋" w:cs="仿宋"/>
                <w:sz w:val="21"/>
                <w:szCs w:val="21"/>
              </w:rPr>
              <w:t>与采购人存在利害关系可能影响采购公正性的法人、其他组织或者个人，不得参加本次采购活动。（B</w:t>
            </w:r>
            <w:r>
              <w:rPr>
                <w:rFonts w:hint="eastAsia" w:ascii="仿宋" w:hAnsi="仿宋" w:eastAsia="仿宋" w:cs="仿宋"/>
                <w:sz w:val="21"/>
                <w:szCs w:val="21"/>
                <w:lang w:eastAsia="zh-CN"/>
              </w:rPr>
              <w:t>）</w:t>
            </w:r>
            <w:r>
              <w:rPr>
                <w:rFonts w:hint="eastAsia" w:ascii="仿宋" w:hAnsi="仿宋" w:eastAsia="仿宋" w:cs="仿宋"/>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92" w:type="pct"/>
            <w:vAlign w:val="center"/>
          </w:tcPr>
          <w:p w14:paraId="456C1ADE">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须提供供应商声明函原件扫描件</w:t>
            </w:r>
            <w:r>
              <w:rPr>
                <w:rFonts w:hint="eastAsia" w:ascii="仿宋" w:hAnsi="仿宋" w:eastAsia="仿宋" w:cs="仿宋"/>
                <w:sz w:val="21"/>
                <w:szCs w:val="21"/>
                <w:lang w:eastAsia="zh-CN"/>
              </w:rPr>
              <w:t>。</w:t>
            </w:r>
          </w:p>
        </w:tc>
      </w:tr>
      <w:tr w14:paraId="010D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0" w:type="pct"/>
            <w:vAlign w:val="center"/>
          </w:tcPr>
          <w:p w14:paraId="0BB72DF4">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9</w:t>
            </w:r>
          </w:p>
        </w:tc>
        <w:tc>
          <w:tcPr>
            <w:tcW w:w="1756" w:type="pct"/>
            <w:vAlign w:val="center"/>
          </w:tcPr>
          <w:p w14:paraId="0D6AAD3B">
            <w:pPr>
              <w:pStyle w:val="64"/>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落实政府采购政策需满足的资格要求</w:t>
            </w:r>
          </w:p>
        </w:tc>
        <w:tc>
          <w:tcPr>
            <w:tcW w:w="2992" w:type="pct"/>
            <w:vAlign w:val="center"/>
          </w:tcPr>
          <w:p w14:paraId="50845DC4">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提供有效的《中小企业声明函》原件扫描件</w:t>
            </w:r>
            <w:r>
              <w:rPr>
                <w:rFonts w:hint="eastAsia" w:ascii="仿宋" w:hAnsi="仿宋" w:eastAsia="仿宋" w:cs="仿宋"/>
                <w:sz w:val="21"/>
                <w:szCs w:val="21"/>
                <w:lang w:eastAsia="zh-CN"/>
              </w:rPr>
              <w:t>。</w:t>
            </w:r>
          </w:p>
        </w:tc>
      </w:tr>
      <w:tr w14:paraId="0F8E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0" w:type="pct"/>
            <w:vAlign w:val="center"/>
          </w:tcPr>
          <w:p w14:paraId="739B2BF6">
            <w:pPr>
              <w:kinsoku/>
              <w:topLinePunct w:val="0"/>
              <w:bidi w:val="0"/>
              <w:snapToGrid w:val="0"/>
              <w:spacing w:line="240" w:lineRule="auto"/>
              <w:jc w:val="center"/>
              <w:textAlignment w:val="auto"/>
              <w:outlineLvl w:val="9"/>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56" w:type="pct"/>
            <w:vAlign w:val="center"/>
          </w:tcPr>
          <w:p w14:paraId="0316428F">
            <w:pPr>
              <w:pStyle w:val="64"/>
              <w:kinsoku/>
              <w:topLinePunct w:val="0"/>
              <w:bidi w:val="0"/>
              <w:adjustRightInd w:val="0"/>
              <w:snapToGrid w:val="0"/>
              <w:spacing w:line="240" w:lineRule="auto"/>
              <w:jc w:val="center"/>
              <w:textAlignment w:val="auto"/>
              <w:outlineLvl w:val="9"/>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供应商资格要求</w:t>
            </w:r>
          </w:p>
        </w:tc>
        <w:tc>
          <w:tcPr>
            <w:tcW w:w="2992" w:type="pct"/>
            <w:vAlign w:val="center"/>
          </w:tcPr>
          <w:p w14:paraId="22C68DDD">
            <w:pPr>
              <w:pStyle w:val="64"/>
              <w:kinsoku/>
              <w:topLinePunct w:val="0"/>
              <w:bidi w:val="0"/>
              <w:adjustRightInd w:val="0"/>
              <w:snapToGrid w:val="0"/>
              <w:spacing w:line="240" w:lineRule="auto"/>
              <w:textAlignment w:val="auto"/>
              <w:outlineLvl w:val="9"/>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供应商须具备有效的资质证书，且具备（满足其中一条要求即可）：①[勘察]综合资质(综合资质)甲级资质；②[勘察]岩土工程(专业类资质) 乙级及以上资质；③[勘察]岩土工程勘察(专业类资质)乙级及以上资质，提供上述资质证书原件扫描件。</w:t>
            </w:r>
          </w:p>
        </w:tc>
      </w:tr>
      <w:tr w14:paraId="573A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0" w:type="pct"/>
            <w:vAlign w:val="center"/>
          </w:tcPr>
          <w:p w14:paraId="44E7A9AD">
            <w:pPr>
              <w:kinsoku/>
              <w:topLinePunct w:val="0"/>
              <w:bidi w:val="0"/>
              <w:snapToGrid w:val="0"/>
              <w:spacing w:line="240" w:lineRule="auto"/>
              <w:jc w:val="center"/>
              <w:textAlignment w:val="auto"/>
              <w:outlineLvl w:val="9"/>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1756" w:type="pct"/>
            <w:vAlign w:val="center"/>
          </w:tcPr>
          <w:p w14:paraId="1A80CF5E">
            <w:pPr>
              <w:pStyle w:val="64"/>
              <w:kinsoku/>
              <w:topLinePunct w:val="0"/>
              <w:bidi w:val="0"/>
              <w:adjustRightInd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项目负责人资格要求</w:t>
            </w:r>
          </w:p>
        </w:tc>
        <w:tc>
          <w:tcPr>
            <w:tcW w:w="2992" w:type="pct"/>
            <w:vAlign w:val="center"/>
          </w:tcPr>
          <w:p w14:paraId="11E368A9">
            <w:pPr>
              <w:pStyle w:val="64"/>
              <w:kinsoku/>
              <w:topLinePunct w:val="0"/>
              <w:bidi w:val="0"/>
              <w:adjustRightInd w:val="0"/>
              <w:snapToGrid w:val="0"/>
              <w:spacing w:line="240" w:lineRule="auto"/>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[岩土]注册土木工程师，本单位注册，提供注册证书原件扫描件。</w:t>
            </w:r>
          </w:p>
        </w:tc>
      </w:tr>
      <w:tr w14:paraId="0D6A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5000" w:type="pct"/>
            <w:gridSpan w:val="3"/>
            <w:vAlign w:val="center"/>
          </w:tcPr>
          <w:p w14:paraId="10D318C9">
            <w:pPr>
              <w:kinsoku/>
              <w:topLinePunct w:val="0"/>
              <w:bidi w:val="0"/>
              <w:snapToGrid w:val="0"/>
              <w:spacing w:line="240" w:lineRule="auto"/>
              <w:textAlignment w:val="auto"/>
              <w:outlineLvl w:val="9"/>
              <w:rPr>
                <w:rFonts w:hint="eastAsia" w:ascii="仿宋" w:hAnsi="仿宋" w:eastAsia="仿宋" w:cs="仿宋"/>
                <w:sz w:val="21"/>
                <w:szCs w:val="21"/>
              </w:rPr>
            </w:pPr>
            <w:r>
              <w:rPr>
                <w:rFonts w:hint="eastAsia" w:ascii="仿宋" w:hAnsi="仿宋" w:eastAsia="仿宋" w:cs="仿宋"/>
                <w:sz w:val="21"/>
                <w:szCs w:val="21"/>
              </w:rPr>
              <w:t>注：以上审查资料必须按要求提供，未按要求提供资料的供应商以及资格评审中有一项不满足审查标准的，</w:t>
            </w:r>
            <w:r>
              <w:rPr>
                <w:rFonts w:hint="eastAsia" w:ascii="仿宋" w:hAnsi="仿宋" w:eastAsia="仿宋" w:cs="仿宋"/>
                <w:color w:val="000000"/>
                <w:sz w:val="21"/>
                <w:szCs w:val="21"/>
              </w:rPr>
              <w:t>采购人或者采购代理机构应当</w:t>
            </w:r>
            <w:r>
              <w:rPr>
                <w:rFonts w:hint="eastAsia" w:ascii="仿宋" w:hAnsi="仿宋" w:eastAsia="仿宋" w:cs="仿宋"/>
                <w:sz w:val="21"/>
                <w:szCs w:val="21"/>
              </w:rPr>
              <w:t>认定该供应商不通过资格审查，不得进入下一阶段评审。如果造成供应商不足三个的，则认定本次招标的供应商数量没有竞争力，宣布本次招标失败。采购人将重新组织招标活动。</w:t>
            </w:r>
          </w:p>
        </w:tc>
      </w:tr>
    </w:tbl>
    <w:p w14:paraId="1F77D767">
      <w:pPr>
        <w:widowControl/>
        <w:kinsoku/>
        <w:topLinePunct w:val="0"/>
        <w:bidi w:val="0"/>
        <w:jc w:val="left"/>
        <w:textAlignment w:val="auto"/>
        <w:outlineLvl w:val="9"/>
        <w:rPr>
          <w:rFonts w:hint="eastAsia" w:ascii="仿宋" w:hAnsi="仿宋" w:eastAsia="仿宋" w:cs="仿宋"/>
          <w:sz w:val="24"/>
          <w:highlight w:val="none"/>
        </w:rPr>
      </w:pPr>
    </w:p>
    <w:bookmarkEnd w:id="9"/>
    <w:p w14:paraId="1AE92AF0">
      <w:pPr>
        <w:keepNext w:val="0"/>
        <w:keepLines w:val="0"/>
        <w:pageBreakBefore/>
        <w:widowControl w:val="0"/>
        <w:numPr>
          <w:ilvl w:val="0"/>
          <w:numId w:val="0"/>
        </w:numPr>
        <w:kinsoku/>
        <w:wordWrap/>
        <w:overflowPunct/>
        <w:topLinePunct w:val="0"/>
        <w:autoSpaceDE/>
        <w:autoSpaceDN/>
        <w:bidi w:val="0"/>
        <w:adjustRightInd/>
        <w:snapToGrid/>
        <w:spacing w:before="0" w:after="0" w:line="413" w:lineRule="auto"/>
        <w:ind w:leftChars="0"/>
        <w:jc w:val="center"/>
        <w:textAlignment w:val="auto"/>
        <w:outlineLvl w:val="1"/>
        <w:rPr>
          <w:rFonts w:hint="eastAsia" w:ascii="仿宋" w:hAnsi="仿宋" w:eastAsia="仿宋" w:cs="仿宋"/>
          <w:b/>
          <w:bCs/>
          <w:sz w:val="24"/>
          <w:highlight w:val="none"/>
          <w:lang w:val="en-US"/>
        </w:rPr>
      </w:pPr>
      <w:bookmarkStart w:id="10" w:name="_Toc26992"/>
      <w:r>
        <w:rPr>
          <w:rFonts w:hint="eastAsia" w:ascii="仿宋" w:hAnsi="仿宋" w:eastAsia="仿宋" w:cs="仿宋"/>
          <w:b/>
          <w:bCs/>
          <w:sz w:val="24"/>
          <w:highlight w:val="none"/>
          <w:lang w:val="en-US" w:eastAsia="zh-CN"/>
        </w:rPr>
        <w:t>初步评审－符合性审查</w:t>
      </w:r>
      <w:bookmarkEnd w:id="10"/>
    </w:p>
    <w:tbl>
      <w:tblPr>
        <w:tblStyle w:val="2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625"/>
        <w:gridCol w:w="1421"/>
        <w:gridCol w:w="5536"/>
        <w:gridCol w:w="696"/>
        <w:gridCol w:w="717"/>
      </w:tblGrid>
      <w:tr w14:paraId="5C8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6" w:type="dxa"/>
            <w:gridSpan w:val="2"/>
            <w:vMerge w:val="restart"/>
            <w:vAlign w:val="center"/>
          </w:tcPr>
          <w:p w14:paraId="445C8A04">
            <w:pPr>
              <w:widowControl/>
              <w:kinsoku/>
              <w:topLinePunct w:val="0"/>
              <w:bidi w:val="0"/>
              <w:spacing w:line="240" w:lineRule="auto"/>
              <w:jc w:val="left"/>
              <w:textAlignment w:val="auto"/>
              <w:outlineLvl w:val="9"/>
              <w:rPr>
                <w:rFonts w:hint="eastAsia" w:ascii="仿宋" w:hAnsi="仿宋" w:eastAsia="仿宋" w:cs="仿宋"/>
                <w:b/>
                <w:bCs/>
                <w:sz w:val="21"/>
                <w:szCs w:val="21"/>
              </w:rPr>
            </w:pPr>
            <w:r>
              <w:rPr>
                <w:rFonts w:hint="eastAsia" w:ascii="仿宋" w:hAnsi="仿宋" w:eastAsia="仿宋" w:cs="仿宋"/>
                <w:sz w:val="21"/>
                <w:szCs w:val="21"/>
                <w:highlight w:val="none"/>
              </w:rPr>
              <w:br w:type="page"/>
            </w:r>
            <w:bookmarkStart w:id="11" w:name="EBf97f626d7f2349dc98726a51f37130cf"/>
            <w:r>
              <w:rPr>
                <w:rFonts w:hint="eastAsia" w:ascii="仿宋" w:hAnsi="仿宋" w:eastAsia="仿宋" w:cs="仿宋"/>
                <w:b/>
                <w:bCs/>
                <w:sz w:val="21"/>
                <w:szCs w:val="21"/>
              </w:rPr>
              <w:t>评分因素</w:t>
            </w:r>
          </w:p>
        </w:tc>
        <w:tc>
          <w:tcPr>
            <w:tcW w:w="1421" w:type="dxa"/>
            <w:vMerge w:val="restart"/>
            <w:vAlign w:val="center"/>
          </w:tcPr>
          <w:p w14:paraId="2D2784BC">
            <w:pPr>
              <w:kinsoku/>
              <w:topLinePunct w:val="0"/>
              <w:bidi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评分点</w:t>
            </w:r>
          </w:p>
        </w:tc>
        <w:tc>
          <w:tcPr>
            <w:tcW w:w="5536" w:type="dxa"/>
            <w:vMerge w:val="restart"/>
            <w:vAlign w:val="center"/>
          </w:tcPr>
          <w:p w14:paraId="601BEC7F">
            <w:pPr>
              <w:kinsoku/>
              <w:topLinePunct w:val="0"/>
              <w:bidi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1413" w:type="dxa"/>
            <w:gridSpan w:val="2"/>
            <w:vAlign w:val="center"/>
          </w:tcPr>
          <w:p w14:paraId="2A4CB9ED">
            <w:pPr>
              <w:kinsoku/>
              <w:topLinePunct w:val="0"/>
              <w:bidi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评审意见</w:t>
            </w:r>
          </w:p>
        </w:tc>
      </w:tr>
      <w:tr w14:paraId="01D2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6" w:hRule="atLeast"/>
          <w:jc w:val="center"/>
        </w:trPr>
        <w:tc>
          <w:tcPr>
            <w:tcW w:w="1096" w:type="dxa"/>
            <w:gridSpan w:val="2"/>
            <w:vMerge w:val="continue"/>
            <w:vAlign w:val="center"/>
          </w:tcPr>
          <w:p w14:paraId="08BC7162">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Merge w:val="continue"/>
            <w:vAlign w:val="center"/>
          </w:tcPr>
          <w:p w14:paraId="40567D1D">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5536" w:type="dxa"/>
            <w:vMerge w:val="continue"/>
            <w:vAlign w:val="center"/>
          </w:tcPr>
          <w:p w14:paraId="510AAA6F">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96" w:type="dxa"/>
            <w:vAlign w:val="center"/>
          </w:tcPr>
          <w:p w14:paraId="2139498E">
            <w:pPr>
              <w:kinsoku/>
              <w:topLinePunct w:val="0"/>
              <w:bidi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是</w:t>
            </w:r>
          </w:p>
          <w:p w14:paraId="2DC78F46">
            <w:pPr>
              <w:kinsoku/>
              <w:topLinePunct w:val="0"/>
              <w:bidi w:val="0"/>
              <w:spacing w:line="240" w:lineRule="auto"/>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rPr>
              <w:t>（√</w:t>
            </w:r>
            <w:r>
              <w:rPr>
                <w:rFonts w:hint="eastAsia" w:ascii="仿宋" w:hAnsi="仿宋" w:eastAsia="仿宋" w:cs="仿宋"/>
                <w:b/>
                <w:bCs/>
                <w:sz w:val="21"/>
                <w:szCs w:val="21"/>
                <w:lang w:eastAsia="zh-CN"/>
              </w:rPr>
              <w:t>）</w:t>
            </w:r>
          </w:p>
        </w:tc>
        <w:tc>
          <w:tcPr>
            <w:tcW w:w="717" w:type="dxa"/>
            <w:vAlign w:val="center"/>
          </w:tcPr>
          <w:p w14:paraId="5BD03D3B">
            <w:pPr>
              <w:kinsoku/>
              <w:topLinePunct w:val="0"/>
              <w:bidi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否</w:t>
            </w:r>
          </w:p>
          <w:p w14:paraId="5EC9E13D">
            <w:pPr>
              <w:kinsoku/>
              <w:topLinePunct w:val="0"/>
              <w:bidi w:val="0"/>
              <w:spacing w:line="240" w:lineRule="auto"/>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rPr>
              <w:t>（×</w:t>
            </w:r>
            <w:r>
              <w:rPr>
                <w:rFonts w:hint="eastAsia" w:ascii="仿宋" w:hAnsi="仿宋" w:eastAsia="仿宋" w:cs="仿宋"/>
                <w:b/>
                <w:bCs/>
                <w:sz w:val="21"/>
                <w:szCs w:val="21"/>
                <w:lang w:eastAsia="zh-CN"/>
              </w:rPr>
              <w:t>）</w:t>
            </w:r>
          </w:p>
        </w:tc>
      </w:tr>
      <w:tr w14:paraId="041F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471" w:type="dxa"/>
            <w:vMerge w:val="restart"/>
            <w:vAlign w:val="center"/>
          </w:tcPr>
          <w:p w14:paraId="104513AB">
            <w:pPr>
              <w:kinsoku/>
              <w:topLinePunct w:val="0"/>
              <w:bidi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初步评审</w:t>
            </w:r>
          </w:p>
        </w:tc>
        <w:tc>
          <w:tcPr>
            <w:tcW w:w="625" w:type="dxa"/>
            <w:vMerge w:val="restart"/>
            <w:vAlign w:val="center"/>
          </w:tcPr>
          <w:p w14:paraId="451051D4">
            <w:pPr>
              <w:kinsoku/>
              <w:topLinePunct w:val="0"/>
              <w:bidi w:val="0"/>
              <w:spacing w:line="240" w:lineRule="auto"/>
              <w:jc w:val="center"/>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符合性检查</w:t>
            </w:r>
          </w:p>
        </w:tc>
        <w:tc>
          <w:tcPr>
            <w:tcW w:w="1421" w:type="dxa"/>
            <w:vAlign w:val="center"/>
          </w:tcPr>
          <w:p w14:paraId="1E20002B">
            <w:pPr>
              <w:kinsoku/>
              <w:topLinePunct w:val="0"/>
              <w:bidi w:val="0"/>
              <w:spacing w:line="240" w:lineRule="auto"/>
              <w:jc w:val="center"/>
              <w:textAlignment w:val="auto"/>
              <w:outlineLvl w:val="9"/>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供应商名称</w:t>
            </w:r>
          </w:p>
        </w:tc>
        <w:tc>
          <w:tcPr>
            <w:tcW w:w="5536" w:type="dxa"/>
            <w:vAlign w:val="center"/>
          </w:tcPr>
          <w:p w14:paraId="4CB33668">
            <w:pPr>
              <w:kinsoku/>
              <w:topLinePunct w:val="0"/>
              <w:bidi w:val="0"/>
              <w:spacing w:line="240" w:lineRule="auto"/>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供应商名称必须与营业执照、资质证书中的企业名称保持一致。</w:t>
            </w:r>
          </w:p>
        </w:tc>
        <w:tc>
          <w:tcPr>
            <w:tcW w:w="696" w:type="dxa"/>
          </w:tcPr>
          <w:p w14:paraId="123B03E2">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7D10AF3E">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1AC8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471" w:type="dxa"/>
            <w:vMerge w:val="continue"/>
            <w:vAlign w:val="center"/>
          </w:tcPr>
          <w:p w14:paraId="3DBB1932">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4F8C00B9">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4C038529">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磋商保证金</w:t>
            </w:r>
          </w:p>
        </w:tc>
        <w:tc>
          <w:tcPr>
            <w:tcW w:w="5536" w:type="dxa"/>
            <w:vAlign w:val="center"/>
          </w:tcPr>
          <w:p w14:paraId="29884EDA">
            <w:pPr>
              <w:kinsoku/>
              <w:topLinePunct w:val="0"/>
              <w:bidi w:val="0"/>
              <w:spacing w:line="240" w:lineRule="auto"/>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rPr>
              <w:t>按照磋商文件的规定提交磋商保证金的</w:t>
            </w:r>
            <w:r>
              <w:rPr>
                <w:rFonts w:hint="eastAsia" w:ascii="仿宋" w:hAnsi="仿宋" w:eastAsia="仿宋" w:cs="仿宋"/>
                <w:sz w:val="21"/>
                <w:szCs w:val="21"/>
                <w:lang w:eastAsia="zh-CN"/>
              </w:rPr>
              <w:t>。</w:t>
            </w:r>
          </w:p>
        </w:tc>
        <w:tc>
          <w:tcPr>
            <w:tcW w:w="696" w:type="dxa"/>
          </w:tcPr>
          <w:p w14:paraId="19050CB2">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48AB3F05">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1E96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471" w:type="dxa"/>
            <w:vMerge w:val="continue"/>
          </w:tcPr>
          <w:p w14:paraId="23DCB2C3">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52BAE868">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6772C541">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磋商有效期</w:t>
            </w:r>
          </w:p>
        </w:tc>
        <w:tc>
          <w:tcPr>
            <w:tcW w:w="5536" w:type="dxa"/>
            <w:vAlign w:val="center"/>
          </w:tcPr>
          <w:p w14:paraId="390648E6">
            <w:pPr>
              <w:kinsoku/>
              <w:topLinePunct w:val="0"/>
              <w:bidi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响应文件中承诺的磋商有效期满足竞争性磋商文件中的规定</w:t>
            </w:r>
            <w:r>
              <w:rPr>
                <w:rFonts w:hint="eastAsia" w:ascii="仿宋" w:hAnsi="仿宋" w:eastAsia="仿宋" w:cs="仿宋"/>
                <w:sz w:val="21"/>
                <w:szCs w:val="21"/>
                <w:lang w:eastAsia="zh-CN"/>
              </w:rPr>
              <w:t>。</w:t>
            </w:r>
          </w:p>
        </w:tc>
        <w:tc>
          <w:tcPr>
            <w:tcW w:w="696" w:type="dxa"/>
          </w:tcPr>
          <w:p w14:paraId="412763D1">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1F2D0E9D">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5749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471" w:type="dxa"/>
            <w:vMerge w:val="continue"/>
          </w:tcPr>
          <w:p w14:paraId="072E482E">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1593C2E3">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60A83E74">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合同履约期限</w:t>
            </w:r>
          </w:p>
        </w:tc>
        <w:tc>
          <w:tcPr>
            <w:tcW w:w="5536" w:type="dxa"/>
            <w:vAlign w:val="center"/>
          </w:tcPr>
          <w:p w14:paraId="3170C6A0">
            <w:pPr>
              <w:kinsoku/>
              <w:topLinePunct w:val="0"/>
              <w:bidi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响应文件中承诺的合同履约期限满足竞争性磋商文件中的规定</w:t>
            </w:r>
            <w:r>
              <w:rPr>
                <w:rFonts w:hint="eastAsia" w:ascii="仿宋" w:hAnsi="仿宋" w:eastAsia="仿宋" w:cs="仿宋"/>
                <w:sz w:val="21"/>
                <w:szCs w:val="21"/>
                <w:lang w:eastAsia="zh-CN"/>
              </w:rPr>
              <w:t>。</w:t>
            </w:r>
          </w:p>
        </w:tc>
        <w:tc>
          <w:tcPr>
            <w:tcW w:w="696" w:type="dxa"/>
          </w:tcPr>
          <w:p w14:paraId="4E80C3D6">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3CE5CF2B">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447B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jc w:val="center"/>
        </w:trPr>
        <w:tc>
          <w:tcPr>
            <w:tcW w:w="471" w:type="dxa"/>
            <w:vMerge w:val="continue"/>
          </w:tcPr>
          <w:p w14:paraId="3B42D27E">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0D921294">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37DF7356">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响应文件签署、盖章</w:t>
            </w:r>
          </w:p>
        </w:tc>
        <w:tc>
          <w:tcPr>
            <w:tcW w:w="5536" w:type="dxa"/>
            <w:vAlign w:val="center"/>
          </w:tcPr>
          <w:p w14:paraId="12586D3B">
            <w:pPr>
              <w:kinsoku/>
              <w:topLinePunct w:val="0"/>
              <w:bidi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响应文件是否按照竞争性磋商文件规定的要求签署、盖章</w:t>
            </w:r>
            <w:r>
              <w:rPr>
                <w:rFonts w:hint="eastAsia" w:ascii="仿宋" w:hAnsi="仿宋" w:eastAsia="仿宋" w:cs="仿宋"/>
                <w:sz w:val="21"/>
                <w:szCs w:val="21"/>
                <w:lang w:eastAsia="zh-CN"/>
              </w:rPr>
              <w:t>。</w:t>
            </w:r>
          </w:p>
        </w:tc>
        <w:tc>
          <w:tcPr>
            <w:tcW w:w="696" w:type="dxa"/>
          </w:tcPr>
          <w:p w14:paraId="656332BE">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299E99B6">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239C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403BA35C">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33BDF1FC">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18F90F31">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磋商报价</w:t>
            </w:r>
          </w:p>
        </w:tc>
        <w:tc>
          <w:tcPr>
            <w:tcW w:w="5536" w:type="dxa"/>
            <w:vAlign w:val="center"/>
          </w:tcPr>
          <w:p w14:paraId="25C87895">
            <w:pPr>
              <w:kinsoku/>
              <w:topLinePunct w:val="0"/>
              <w:bidi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报价未超过磋商文件中规定的预算金额或者最高限价</w:t>
            </w:r>
            <w:r>
              <w:rPr>
                <w:rFonts w:hint="eastAsia" w:ascii="仿宋" w:hAnsi="仿宋" w:eastAsia="仿宋" w:cs="仿宋"/>
                <w:sz w:val="21"/>
                <w:szCs w:val="21"/>
                <w:lang w:eastAsia="zh-CN"/>
              </w:rPr>
              <w:t>。</w:t>
            </w:r>
          </w:p>
        </w:tc>
        <w:tc>
          <w:tcPr>
            <w:tcW w:w="696" w:type="dxa"/>
          </w:tcPr>
          <w:p w14:paraId="16C6C54C">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628BADEE">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46F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2D1324D0">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719B23D8">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67BB0170">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实质性响应</w:t>
            </w:r>
          </w:p>
        </w:tc>
        <w:tc>
          <w:tcPr>
            <w:tcW w:w="5536" w:type="dxa"/>
            <w:vAlign w:val="center"/>
          </w:tcPr>
          <w:p w14:paraId="0C331C27">
            <w:pPr>
              <w:kinsoku/>
              <w:topLinePunct w:val="0"/>
              <w:bidi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响应文件满足竞争性磋商文件中实质性条款的要求和商务要求</w:t>
            </w:r>
            <w:r>
              <w:rPr>
                <w:rFonts w:hint="eastAsia" w:ascii="仿宋" w:hAnsi="仿宋" w:eastAsia="仿宋" w:cs="仿宋"/>
                <w:sz w:val="21"/>
                <w:szCs w:val="21"/>
                <w:lang w:eastAsia="zh-CN"/>
              </w:rPr>
              <w:t>。</w:t>
            </w:r>
          </w:p>
        </w:tc>
        <w:tc>
          <w:tcPr>
            <w:tcW w:w="696" w:type="dxa"/>
          </w:tcPr>
          <w:p w14:paraId="1FCBBE51">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6650DB1A">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7DE4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8" w:hRule="atLeast"/>
          <w:jc w:val="center"/>
        </w:trPr>
        <w:tc>
          <w:tcPr>
            <w:tcW w:w="471" w:type="dxa"/>
            <w:vMerge w:val="continue"/>
          </w:tcPr>
          <w:p w14:paraId="5B279BDE">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19937F40">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4A85676E">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其他条件</w:t>
            </w:r>
          </w:p>
        </w:tc>
        <w:tc>
          <w:tcPr>
            <w:tcW w:w="5536" w:type="dxa"/>
            <w:vAlign w:val="center"/>
          </w:tcPr>
          <w:p w14:paraId="7ADDD51A">
            <w:pPr>
              <w:kinsoku/>
              <w:topLinePunct w:val="0"/>
              <w:bidi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响应文件是否含有采购人不能接受的附加条件</w:t>
            </w:r>
            <w:r>
              <w:rPr>
                <w:rFonts w:hint="eastAsia" w:ascii="仿宋" w:hAnsi="仿宋" w:eastAsia="仿宋" w:cs="仿宋"/>
                <w:sz w:val="21"/>
                <w:szCs w:val="21"/>
                <w:lang w:eastAsia="zh-CN"/>
              </w:rPr>
              <w:t>。</w:t>
            </w:r>
          </w:p>
        </w:tc>
        <w:tc>
          <w:tcPr>
            <w:tcW w:w="696" w:type="dxa"/>
          </w:tcPr>
          <w:p w14:paraId="2B454719">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1BC55F47">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247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471" w:type="dxa"/>
            <w:vMerge w:val="continue"/>
          </w:tcPr>
          <w:p w14:paraId="529B97F3">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625" w:type="dxa"/>
            <w:vMerge w:val="continue"/>
            <w:vAlign w:val="center"/>
          </w:tcPr>
          <w:p w14:paraId="362122B7">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1421" w:type="dxa"/>
            <w:vAlign w:val="center"/>
          </w:tcPr>
          <w:p w14:paraId="303D8D5D">
            <w:pPr>
              <w:kinsoku/>
              <w:topLinePunct w:val="0"/>
              <w:bidi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无效情形</w:t>
            </w:r>
          </w:p>
        </w:tc>
        <w:tc>
          <w:tcPr>
            <w:tcW w:w="5536" w:type="dxa"/>
            <w:vAlign w:val="center"/>
          </w:tcPr>
          <w:p w14:paraId="4464FC2E">
            <w:pPr>
              <w:kinsoku/>
              <w:topLinePunct w:val="0"/>
              <w:bidi w:val="0"/>
              <w:spacing w:line="240" w:lineRule="auto"/>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法律、法规和磋商文件规定的其他无效情形</w:t>
            </w:r>
            <w:r>
              <w:rPr>
                <w:rFonts w:hint="eastAsia" w:ascii="仿宋" w:hAnsi="仿宋" w:eastAsia="仿宋" w:cs="仿宋"/>
                <w:sz w:val="21"/>
                <w:szCs w:val="21"/>
                <w:lang w:eastAsia="zh-CN"/>
              </w:rPr>
              <w:t>。</w:t>
            </w:r>
          </w:p>
        </w:tc>
        <w:tc>
          <w:tcPr>
            <w:tcW w:w="696" w:type="dxa"/>
          </w:tcPr>
          <w:p w14:paraId="712B50EB">
            <w:pPr>
              <w:kinsoku/>
              <w:topLinePunct w:val="0"/>
              <w:bidi w:val="0"/>
              <w:spacing w:line="240" w:lineRule="auto"/>
              <w:jc w:val="center"/>
              <w:textAlignment w:val="auto"/>
              <w:outlineLvl w:val="9"/>
              <w:rPr>
                <w:rFonts w:hint="eastAsia" w:ascii="仿宋" w:hAnsi="仿宋" w:eastAsia="仿宋" w:cs="仿宋"/>
                <w:b/>
                <w:bCs/>
                <w:sz w:val="21"/>
                <w:szCs w:val="21"/>
              </w:rPr>
            </w:pPr>
          </w:p>
        </w:tc>
        <w:tc>
          <w:tcPr>
            <w:tcW w:w="717" w:type="dxa"/>
            <w:vAlign w:val="center"/>
          </w:tcPr>
          <w:p w14:paraId="25CC29E7">
            <w:pPr>
              <w:kinsoku/>
              <w:topLinePunct w:val="0"/>
              <w:bidi w:val="0"/>
              <w:spacing w:line="240" w:lineRule="auto"/>
              <w:jc w:val="center"/>
              <w:textAlignment w:val="auto"/>
              <w:outlineLvl w:val="9"/>
              <w:rPr>
                <w:rFonts w:hint="eastAsia" w:ascii="仿宋" w:hAnsi="仿宋" w:eastAsia="仿宋" w:cs="仿宋"/>
                <w:b/>
                <w:bCs/>
                <w:sz w:val="21"/>
                <w:szCs w:val="21"/>
              </w:rPr>
            </w:pPr>
          </w:p>
        </w:tc>
      </w:tr>
      <w:tr w14:paraId="6178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jc w:val="center"/>
        </w:trPr>
        <w:tc>
          <w:tcPr>
            <w:tcW w:w="9466" w:type="dxa"/>
            <w:gridSpan w:val="6"/>
            <w:vAlign w:val="center"/>
          </w:tcPr>
          <w:p w14:paraId="04D45977">
            <w:pPr>
              <w:kinsoku/>
              <w:topLinePunct w:val="0"/>
              <w:bidi w:val="0"/>
              <w:spacing w:line="240" w:lineRule="auto"/>
              <w:jc w:val="left"/>
              <w:textAlignment w:val="auto"/>
              <w:outlineLvl w:val="9"/>
              <w:rPr>
                <w:rFonts w:hint="eastAsia" w:ascii="仿宋" w:hAnsi="仿宋" w:eastAsia="仿宋" w:cs="仿宋"/>
                <w:b/>
                <w:bCs/>
                <w:sz w:val="21"/>
                <w:szCs w:val="21"/>
              </w:rPr>
            </w:pPr>
            <w:r>
              <w:rPr>
                <w:rFonts w:hint="eastAsia" w:ascii="仿宋" w:hAnsi="仿宋" w:eastAsia="仿宋" w:cs="仿宋"/>
                <w:b/>
                <w:bCs/>
                <w:sz w:val="21"/>
                <w:szCs w:val="21"/>
              </w:rPr>
              <w:t>注：以上检查内容必须全部符合检查标准，否则为无效标。</w:t>
            </w:r>
          </w:p>
        </w:tc>
      </w:tr>
      <w:bookmarkEnd w:id="11"/>
    </w:tbl>
    <w:p w14:paraId="73460CCA">
      <w:pPr>
        <w:kinsoku/>
        <w:topLinePunct w:val="0"/>
        <w:bidi w:val="0"/>
        <w:adjustRightInd w:val="0"/>
        <w:snapToGrid w:val="0"/>
        <w:spacing w:line="360" w:lineRule="auto"/>
        <w:ind w:firstLine="482" w:firstLineChars="200"/>
        <w:textAlignment w:val="auto"/>
        <w:outlineLvl w:val="9"/>
        <w:rPr>
          <w:rFonts w:hint="eastAsia" w:ascii="仿宋" w:hAnsi="仿宋" w:eastAsia="仿宋" w:cs="仿宋"/>
          <w:b/>
          <w:sz w:val="24"/>
          <w:szCs w:val="24"/>
        </w:rPr>
      </w:pPr>
      <w:r>
        <w:rPr>
          <w:rFonts w:hint="eastAsia" w:ascii="仿宋" w:hAnsi="仿宋" w:eastAsia="仿宋" w:cs="仿宋"/>
          <w:b/>
          <w:bCs/>
          <w:sz w:val="24"/>
          <w:szCs w:val="24"/>
        </w:rPr>
        <w:t>注：提交的图表、影印件、查询记录等文件须清晰完整，因文字模糊专家辨识造成审查不合格的由响应人自行承担相应责任。</w:t>
      </w:r>
    </w:p>
    <w:p w14:paraId="61658483">
      <w:pPr>
        <w:pStyle w:val="65"/>
        <w:kinsoku/>
        <w:topLinePunct w:val="0"/>
        <w:bidi w:val="0"/>
        <w:snapToGrid w:val="0"/>
        <w:spacing w:line="360" w:lineRule="auto"/>
        <w:ind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2</w:t>
      </w: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 xml:space="preserve">详细评审 </w:t>
      </w:r>
    </w:p>
    <w:p w14:paraId="0E997B6C">
      <w:pPr>
        <w:kinsoku/>
        <w:topLinePunct w:val="0"/>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.1</w:t>
      </w:r>
      <w:r>
        <w:rPr>
          <w:rFonts w:hint="eastAsia" w:ascii="仿宋" w:hAnsi="仿宋" w:eastAsia="仿宋" w:cs="仿宋"/>
          <w:spacing w:val="-2"/>
          <w:sz w:val="24"/>
          <w:szCs w:val="24"/>
        </w:rPr>
        <w:t>经初步评审合格的响应文件，磋商小组当根据磋商文件确定的评审标准和方法，对其技术和商务部分作进一步详细评审和比较。</w:t>
      </w:r>
    </w:p>
    <w:p w14:paraId="31208BF1">
      <w:pPr>
        <w:kinsoku/>
        <w:topLinePunct w:val="0"/>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磋商小组将采用综合评分法对响应文件所载明的供应商的响应报价、技术、商务响应文件的编制质量等内容进行打分，依据得分从高到低的顺序最终确定成交候选人，</w:t>
      </w:r>
      <w:r>
        <w:rPr>
          <w:rFonts w:hint="eastAsia" w:ascii="仿宋" w:hAnsi="仿宋" w:eastAsia="仿宋" w:cs="仿宋"/>
          <w:b/>
          <w:sz w:val="24"/>
          <w:szCs w:val="24"/>
        </w:rPr>
        <w:t>最低报价不作为成交的唯一依据。</w:t>
      </w:r>
    </w:p>
    <w:p w14:paraId="48A56EBF">
      <w:pPr>
        <w:kinsoku/>
        <w:topLinePunct w:val="0"/>
        <w:bidi w:val="0"/>
        <w:adjustRightInd w:val="0"/>
        <w:snapToGrid w:val="0"/>
        <w:spacing w:line="360" w:lineRule="auto"/>
        <w:ind w:firstLine="474" w:firstLineChars="200"/>
        <w:textAlignment w:val="auto"/>
        <w:outlineLvl w:val="9"/>
        <w:rPr>
          <w:rFonts w:hint="eastAsia" w:ascii="仿宋" w:hAnsi="仿宋" w:eastAsia="仿宋" w:cs="仿宋"/>
          <w:b/>
          <w:spacing w:val="-2"/>
          <w:sz w:val="24"/>
          <w:szCs w:val="24"/>
          <w:lang w:eastAsia="zh-CN"/>
        </w:rPr>
      </w:pPr>
      <w:r>
        <w:rPr>
          <w:rFonts w:hint="eastAsia" w:ascii="仿宋" w:hAnsi="仿宋" w:eastAsia="仿宋" w:cs="仿宋"/>
          <w:b/>
          <w:spacing w:val="-2"/>
          <w:sz w:val="24"/>
          <w:szCs w:val="24"/>
        </w:rPr>
        <w:t>2</w:t>
      </w:r>
      <w:r>
        <w:rPr>
          <w:rFonts w:hint="eastAsia" w:ascii="仿宋" w:hAnsi="仿宋" w:eastAsia="仿宋" w:cs="仿宋"/>
          <w:b/>
          <w:spacing w:val="-2"/>
          <w:sz w:val="24"/>
          <w:szCs w:val="24"/>
          <w:lang w:val="en-US" w:eastAsia="zh-CN"/>
        </w:rPr>
        <w:t>8</w:t>
      </w:r>
      <w:r>
        <w:rPr>
          <w:rFonts w:hint="eastAsia" w:ascii="仿宋" w:hAnsi="仿宋" w:eastAsia="仿宋" w:cs="仿宋"/>
          <w:b/>
          <w:spacing w:val="-2"/>
          <w:sz w:val="24"/>
          <w:szCs w:val="24"/>
        </w:rPr>
        <w:t>.2评审因素及标准</w:t>
      </w:r>
      <w:r>
        <w:rPr>
          <w:rFonts w:hint="eastAsia" w:ascii="仿宋" w:hAnsi="仿宋" w:eastAsia="仿宋" w:cs="仿宋"/>
          <w:b/>
          <w:spacing w:val="-2"/>
          <w:sz w:val="24"/>
          <w:szCs w:val="24"/>
          <w:lang w:eastAsia="zh-CN"/>
        </w:rPr>
        <w:t>（</w:t>
      </w:r>
      <w:r>
        <w:rPr>
          <w:rFonts w:hint="eastAsia" w:ascii="仿宋" w:hAnsi="仿宋" w:eastAsia="仿宋" w:cs="仿宋"/>
          <w:b/>
          <w:spacing w:val="-2"/>
          <w:sz w:val="24"/>
          <w:szCs w:val="24"/>
        </w:rPr>
        <w:t>详见评分细则</w:t>
      </w:r>
      <w:r>
        <w:rPr>
          <w:rFonts w:hint="eastAsia" w:ascii="仿宋" w:hAnsi="仿宋" w:eastAsia="仿宋" w:cs="仿宋"/>
          <w:b/>
          <w:spacing w:val="-2"/>
          <w:sz w:val="24"/>
          <w:szCs w:val="24"/>
          <w:lang w:eastAsia="zh-CN"/>
        </w:rPr>
        <w:t>）</w:t>
      </w:r>
    </w:p>
    <w:p w14:paraId="0D967932">
      <w:pPr>
        <w:pStyle w:val="65"/>
        <w:kinsoku/>
        <w:topLinePunct w:val="0"/>
        <w:bidi w:val="0"/>
        <w:snapToGrid w:val="0"/>
        <w:spacing w:line="360" w:lineRule="auto"/>
        <w:ind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报价评分标准：</w:t>
      </w:r>
    </w:p>
    <w:p w14:paraId="60B4248A">
      <w:pPr>
        <w:pStyle w:val="65"/>
        <w:kinsoku/>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.3综合评分法中的价格分统一采用低价优先法计算，即满足磋商文件要求且最后报价</w:t>
      </w:r>
      <w:r>
        <w:rPr>
          <w:rFonts w:hint="eastAsia" w:ascii="仿宋" w:hAnsi="仿宋" w:eastAsia="仿宋" w:cs="仿宋"/>
          <w:color w:val="auto"/>
          <w:sz w:val="24"/>
          <w:szCs w:val="24"/>
          <w:highlight w:val="none"/>
        </w:rPr>
        <w:t>最低的供应商的价格为磋商基准价，其价格分为满分。</w:t>
      </w:r>
    </w:p>
    <w:p w14:paraId="79EAB6DE">
      <w:pPr>
        <w:pStyle w:val="65"/>
        <w:kinsoku/>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价格分占</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%权重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商务技术占</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0%权重</w:t>
      </w:r>
    </w:p>
    <w:p w14:paraId="3C7662B4">
      <w:pPr>
        <w:pStyle w:val="65"/>
        <w:kinsoku/>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.4详细评审：评标基准价=有效</w:t>
      </w:r>
      <w:r>
        <w:rPr>
          <w:rFonts w:hint="eastAsia" w:ascii="仿宋" w:hAnsi="仿宋" w:eastAsia="仿宋" w:cs="仿宋"/>
          <w:color w:val="auto"/>
          <w:sz w:val="24"/>
          <w:szCs w:val="24"/>
        </w:rPr>
        <w:t>磋商报价的最低值，有效磋商报价等于基准值的得满分</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0分，磋商报价得分=（评标基准价/磋商报价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×价格权重×100。</w:t>
      </w:r>
    </w:p>
    <w:p w14:paraId="24B55734">
      <w:pPr>
        <w:pStyle w:val="65"/>
        <w:kinsoku/>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.5供应商在磋商过程中，所进行的力图影响磋商结果的不符合磋商规则的活动，可能导致其被取消成交资格。</w:t>
      </w:r>
    </w:p>
    <w:p w14:paraId="5BDF2820">
      <w:pPr>
        <w:pStyle w:val="65"/>
        <w:kinsoku/>
        <w:topLinePunct w:val="0"/>
        <w:bidi w:val="0"/>
        <w:snapToGrid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.6与磋商文件有重大偏离的响应文件将被拒绝。</w:t>
      </w:r>
    </w:p>
    <w:p w14:paraId="10870529">
      <w:pPr>
        <w:pStyle w:val="65"/>
        <w:kinsoku/>
        <w:topLinePunct w:val="0"/>
        <w:bidi w:val="0"/>
        <w:snapToGrid w:val="0"/>
        <w:spacing w:line="360" w:lineRule="auto"/>
        <w:jc w:val="center"/>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详细评审--商务技术打分表</w:t>
      </w:r>
    </w:p>
    <w:tbl>
      <w:tblPr>
        <w:tblStyle w:val="67"/>
        <w:tblW w:w="50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8"/>
        <w:gridCol w:w="1110"/>
        <w:gridCol w:w="640"/>
        <w:gridCol w:w="6094"/>
      </w:tblGrid>
      <w:tr w14:paraId="412C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321" w:type="pct"/>
            <w:vAlign w:val="center"/>
          </w:tcPr>
          <w:p w14:paraId="7AF3322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eastAsia="en-US"/>
              </w:rPr>
            </w:pPr>
            <w:bookmarkStart w:id="12" w:name="_Toc23638"/>
            <w:r>
              <w:rPr>
                <w:rFonts w:hint="eastAsia" w:ascii="仿宋" w:hAnsi="仿宋" w:eastAsia="仿宋" w:cs="仿宋"/>
                <w:kern w:val="0"/>
                <w:sz w:val="21"/>
                <w:szCs w:val="21"/>
                <w:highlight w:val="none"/>
                <w:lang w:eastAsia="en-US"/>
              </w:rPr>
              <w:t>序号</w:t>
            </w:r>
          </w:p>
        </w:tc>
        <w:tc>
          <w:tcPr>
            <w:tcW w:w="661" w:type="pct"/>
            <w:vAlign w:val="center"/>
          </w:tcPr>
          <w:p w14:paraId="422EC53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eastAsia="en-US"/>
              </w:rPr>
              <w:t>评审内容</w:t>
            </w:r>
          </w:p>
        </w:tc>
        <w:tc>
          <w:tcPr>
            <w:tcW w:w="382" w:type="pct"/>
            <w:vAlign w:val="center"/>
          </w:tcPr>
          <w:p w14:paraId="530D4F0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hanging="134" w:hangingChars="64"/>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eastAsia="en-US"/>
              </w:rPr>
              <w:t>单项</w:t>
            </w:r>
          </w:p>
          <w:p w14:paraId="3664CE3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hanging="10" w:hangingChars="5"/>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eastAsia="en-US"/>
              </w:rPr>
              <w:t>分值</w:t>
            </w:r>
          </w:p>
        </w:tc>
        <w:tc>
          <w:tcPr>
            <w:tcW w:w="3634" w:type="pct"/>
            <w:vAlign w:val="center"/>
          </w:tcPr>
          <w:p w14:paraId="0596F85D">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eastAsia="en-US"/>
              </w:rPr>
              <w:t>评分范围</w:t>
            </w:r>
          </w:p>
        </w:tc>
      </w:tr>
      <w:tr w14:paraId="7590B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21" w:type="pct"/>
            <w:vAlign w:val="center"/>
          </w:tcPr>
          <w:p w14:paraId="1A1B11A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sz w:val="21"/>
                <w:szCs w:val="21"/>
                <w:highlight w:val="none"/>
                <w:lang w:eastAsia="en-US"/>
              </w:rPr>
            </w:pPr>
            <w:r>
              <w:rPr>
                <w:rFonts w:hint="eastAsia" w:ascii="仿宋" w:hAnsi="仿宋" w:eastAsia="仿宋" w:cs="仿宋"/>
                <w:sz w:val="21"/>
                <w:szCs w:val="21"/>
                <w:highlight w:val="none"/>
                <w:lang w:eastAsia="en-US"/>
              </w:rPr>
              <w:t>1</w:t>
            </w:r>
          </w:p>
        </w:tc>
        <w:tc>
          <w:tcPr>
            <w:tcW w:w="661" w:type="pct"/>
            <w:vAlign w:val="center"/>
          </w:tcPr>
          <w:p w14:paraId="0782A9D7">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eastAsia="en-US"/>
              </w:rPr>
              <w:t>企业业绩</w:t>
            </w:r>
          </w:p>
        </w:tc>
        <w:tc>
          <w:tcPr>
            <w:tcW w:w="382" w:type="pct"/>
            <w:vAlign w:val="center"/>
          </w:tcPr>
          <w:p w14:paraId="5DF58D5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eastAsia" w:ascii="仿宋" w:hAnsi="仿宋" w:eastAsia="仿宋" w:cs="仿宋"/>
                <w:kern w:val="2"/>
                <w:sz w:val="21"/>
                <w:szCs w:val="21"/>
                <w:highlight w:val="none"/>
                <w:lang w:val="en-US" w:eastAsia="en-US" w:bidi="ar-SA"/>
              </w:rPr>
            </w:pPr>
            <w:r>
              <w:rPr>
                <w:rFonts w:hint="eastAsia" w:ascii="仿宋" w:hAnsi="仿宋" w:eastAsia="仿宋" w:cs="仿宋"/>
                <w:kern w:val="2"/>
                <w:sz w:val="21"/>
                <w:szCs w:val="21"/>
                <w:highlight w:val="none"/>
                <w:lang w:val="en-US" w:eastAsia="zh-CN" w:bidi="ar-SA"/>
              </w:rPr>
              <w:t>12</w:t>
            </w:r>
            <w:r>
              <w:rPr>
                <w:rFonts w:hint="eastAsia" w:ascii="仿宋" w:hAnsi="仿宋" w:eastAsia="仿宋" w:cs="仿宋"/>
                <w:kern w:val="2"/>
                <w:sz w:val="21"/>
                <w:szCs w:val="21"/>
                <w:highlight w:val="none"/>
                <w:lang w:val="en-US" w:eastAsia="en-US" w:bidi="ar-SA"/>
              </w:rPr>
              <w:t>分</w:t>
            </w:r>
          </w:p>
        </w:tc>
        <w:tc>
          <w:tcPr>
            <w:tcW w:w="3634" w:type="pct"/>
            <w:vAlign w:val="center"/>
          </w:tcPr>
          <w:p w14:paraId="34AE43EA">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eastAsia="en-US"/>
              </w:rPr>
              <w:t>投标截止日前</w:t>
            </w:r>
            <w:r>
              <w:rPr>
                <w:rFonts w:hint="eastAsia" w:ascii="仿宋" w:hAnsi="仿宋" w:eastAsia="仿宋" w:cs="仿宋"/>
                <w:kern w:val="0"/>
                <w:sz w:val="21"/>
                <w:szCs w:val="21"/>
                <w:highlight w:val="none"/>
                <w:lang w:val="en-US" w:eastAsia="zh-CN"/>
              </w:rPr>
              <w:t>3年（2023年1月1日-至今，业绩认定日期以中标（成交）通知书或合同签订日期为准）的类似业绩（须提供中标（成交）通知书或合同扫描件</w:t>
            </w:r>
            <w:r>
              <w:rPr>
                <w:rFonts w:hint="eastAsia" w:ascii="仿宋" w:hAnsi="仿宋" w:eastAsia="仿宋" w:cs="仿宋"/>
                <w:kern w:val="0"/>
                <w:sz w:val="21"/>
                <w:szCs w:val="21"/>
                <w:highlight w:val="none"/>
                <w:lang w:eastAsia="en-US"/>
              </w:rPr>
              <w:t>并加盖供应商公章</w:t>
            </w:r>
            <w:r>
              <w:rPr>
                <w:rFonts w:hint="eastAsia" w:ascii="仿宋" w:hAnsi="仿宋" w:eastAsia="仿宋" w:cs="仿宋"/>
                <w:kern w:val="0"/>
                <w:sz w:val="21"/>
                <w:szCs w:val="21"/>
                <w:highlight w:val="none"/>
                <w:lang w:val="en-US" w:eastAsia="zh-CN"/>
              </w:rPr>
              <w:t>），</w:t>
            </w:r>
            <w:r>
              <w:rPr>
                <w:rFonts w:hint="eastAsia" w:ascii="仿宋" w:hAnsi="仿宋" w:eastAsia="仿宋" w:cs="仿宋"/>
                <w:kern w:val="0"/>
                <w:sz w:val="21"/>
                <w:szCs w:val="21"/>
                <w:highlight w:val="none"/>
                <w:lang w:eastAsia="en-US"/>
              </w:rPr>
              <w:t>每提供1</w:t>
            </w:r>
            <w:r>
              <w:rPr>
                <w:rFonts w:hint="eastAsia" w:ascii="仿宋" w:hAnsi="仿宋" w:eastAsia="仿宋" w:cs="仿宋"/>
                <w:kern w:val="0"/>
                <w:sz w:val="21"/>
                <w:szCs w:val="21"/>
                <w:highlight w:val="none"/>
                <w:lang w:val="en-US" w:eastAsia="zh-CN"/>
              </w:rPr>
              <w:t>项</w:t>
            </w:r>
            <w:r>
              <w:rPr>
                <w:rFonts w:hint="eastAsia" w:ascii="仿宋" w:hAnsi="仿宋" w:eastAsia="仿宋" w:cs="仿宋"/>
                <w:kern w:val="0"/>
                <w:sz w:val="21"/>
                <w:szCs w:val="21"/>
                <w:highlight w:val="none"/>
                <w:lang w:eastAsia="en-US"/>
              </w:rPr>
              <w:t>有效业绩得3分，最高得分为</w:t>
            </w: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1"/>
                <w:highlight w:val="none"/>
                <w:lang w:eastAsia="en-US"/>
              </w:rPr>
              <w:t>分。</w:t>
            </w:r>
          </w:p>
        </w:tc>
      </w:tr>
      <w:tr w14:paraId="10A35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321" w:type="pct"/>
            <w:shd w:val="clear" w:color="auto" w:fill="auto"/>
            <w:vAlign w:val="center"/>
          </w:tcPr>
          <w:p w14:paraId="19773DE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2"/>
                <w:sz w:val="21"/>
                <w:szCs w:val="21"/>
                <w:highlight w:val="none"/>
                <w:lang w:val="en-US" w:eastAsia="en-US" w:bidi="ar-SA"/>
              </w:rPr>
            </w:pPr>
            <w:r>
              <w:rPr>
                <w:rFonts w:hint="eastAsia" w:ascii="仿宋" w:hAnsi="仿宋" w:eastAsia="仿宋" w:cs="仿宋"/>
                <w:sz w:val="21"/>
                <w:szCs w:val="21"/>
                <w:highlight w:val="none"/>
                <w:lang w:eastAsia="en-US"/>
              </w:rPr>
              <w:t>2</w:t>
            </w:r>
          </w:p>
        </w:tc>
        <w:tc>
          <w:tcPr>
            <w:tcW w:w="661" w:type="pct"/>
            <w:vAlign w:val="center"/>
          </w:tcPr>
          <w:p w14:paraId="4825DAE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项目负责人业绩</w:t>
            </w:r>
          </w:p>
        </w:tc>
        <w:tc>
          <w:tcPr>
            <w:tcW w:w="382" w:type="pct"/>
            <w:shd w:val="clear" w:color="auto" w:fill="auto"/>
            <w:vAlign w:val="center"/>
          </w:tcPr>
          <w:p w14:paraId="7152E671">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eastAsia" w:ascii="仿宋" w:hAnsi="仿宋" w:eastAsia="仿宋" w:cs="仿宋"/>
                <w:kern w:val="2"/>
                <w:sz w:val="21"/>
                <w:szCs w:val="21"/>
                <w:highlight w:val="none"/>
                <w:lang w:val="en-US" w:eastAsia="en-US" w:bidi="ar-SA"/>
              </w:rPr>
            </w:pPr>
            <w:r>
              <w:rPr>
                <w:rFonts w:hint="eastAsia" w:ascii="仿宋" w:hAnsi="仿宋" w:eastAsia="仿宋" w:cs="仿宋"/>
                <w:kern w:val="2"/>
                <w:sz w:val="21"/>
                <w:szCs w:val="21"/>
                <w:highlight w:val="none"/>
                <w:lang w:val="en-US" w:eastAsia="zh-CN" w:bidi="ar-SA"/>
              </w:rPr>
              <w:t>6分</w:t>
            </w:r>
          </w:p>
        </w:tc>
        <w:tc>
          <w:tcPr>
            <w:tcW w:w="3634" w:type="pct"/>
            <w:shd w:val="clear" w:color="auto" w:fill="auto"/>
            <w:vAlign w:val="center"/>
          </w:tcPr>
          <w:p w14:paraId="1C7E8F8B">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lang w:eastAsia="zh-CN"/>
              </w:rPr>
              <w:t>项目负责人近三年（2023年1月1日-至今，业绩认定日期以中标（成交）通知书或合同签订日期为准）的类似业绩（须提供中标（成交）通知书或合同扫描件），提供</w:t>
            </w:r>
            <w:r>
              <w:rPr>
                <w:rFonts w:hint="eastAsia" w:ascii="仿宋" w:hAnsi="仿宋" w:eastAsia="仿宋" w:cs="仿宋"/>
                <w:kern w:val="0"/>
                <w:sz w:val="21"/>
                <w:szCs w:val="21"/>
                <w:highlight w:val="none"/>
                <w:lang w:val="en-US" w:eastAsia="zh-CN"/>
              </w:rPr>
              <w:t>1</w:t>
            </w:r>
            <w:r>
              <w:rPr>
                <w:rFonts w:hint="eastAsia" w:ascii="仿宋" w:hAnsi="仿宋" w:eastAsia="仿宋" w:cs="仿宋"/>
                <w:kern w:val="0"/>
                <w:sz w:val="21"/>
                <w:szCs w:val="21"/>
                <w:highlight w:val="none"/>
                <w:lang w:eastAsia="zh-CN"/>
              </w:rPr>
              <w:t>项业绩得</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lang w:eastAsia="zh-CN"/>
              </w:rPr>
              <w:t>分，满分</w:t>
            </w:r>
            <w:r>
              <w:rPr>
                <w:rFonts w:hint="eastAsia" w:ascii="仿宋" w:hAnsi="仿宋" w:eastAsia="仿宋" w:cs="仿宋"/>
                <w:kern w:val="0"/>
                <w:sz w:val="21"/>
                <w:szCs w:val="21"/>
                <w:highlight w:val="none"/>
                <w:lang w:val="en-US" w:eastAsia="zh-CN"/>
              </w:rPr>
              <w:t>6</w:t>
            </w:r>
            <w:r>
              <w:rPr>
                <w:rFonts w:hint="eastAsia" w:ascii="仿宋" w:hAnsi="仿宋" w:eastAsia="仿宋" w:cs="仿宋"/>
                <w:kern w:val="0"/>
                <w:sz w:val="21"/>
                <w:szCs w:val="21"/>
                <w:highlight w:val="none"/>
                <w:lang w:eastAsia="zh-CN"/>
              </w:rPr>
              <w:t>分。</w:t>
            </w:r>
          </w:p>
          <w:p w14:paraId="54325DFB">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2"/>
                <w:sz w:val="21"/>
                <w:szCs w:val="21"/>
                <w:highlight w:val="none"/>
                <w:lang w:val="en-US" w:eastAsia="en-US" w:bidi="ar-SA"/>
              </w:rPr>
            </w:pPr>
            <w:r>
              <w:rPr>
                <w:rFonts w:hint="eastAsia" w:ascii="仿宋" w:hAnsi="仿宋" w:eastAsia="仿宋" w:cs="仿宋"/>
                <w:kern w:val="0"/>
                <w:sz w:val="21"/>
                <w:szCs w:val="21"/>
                <w:highlight w:val="none"/>
                <w:lang w:eastAsia="en-US"/>
              </w:rPr>
              <w:t>【注：</w:t>
            </w:r>
            <w:r>
              <w:rPr>
                <w:rFonts w:hint="eastAsia" w:ascii="仿宋" w:hAnsi="仿宋" w:eastAsia="仿宋" w:cs="仿宋"/>
                <w:kern w:val="0"/>
                <w:sz w:val="21"/>
                <w:szCs w:val="21"/>
                <w:highlight w:val="none"/>
                <w:lang w:eastAsia="zh-CN"/>
              </w:rPr>
              <w:t>业绩证明材料须反映项目负责人</w:t>
            </w:r>
            <w:r>
              <w:rPr>
                <w:rFonts w:hint="eastAsia" w:ascii="仿宋" w:hAnsi="仿宋" w:eastAsia="仿宋" w:cs="仿宋"/>
                <w:kern w:val="0"/>
                <w:sz w:val="21"/>
                <w:szCs w:val="21"/>
                <w:highlight w:val="none"/>
                <w:lang w:val="en-US" w:eastAsia="zh-CN"/>
              </w:rPr>
              <w:t>。】</w:t>
            </w:r>
          </w:p>
        </w:tc>
      </w:tr>
      <w:tr w14:paraId="1FF1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321" w:type="pct"/>
            <w:shd w:val="clear" w:color="auto" w:fill="auto"/>
            <w:vAlign w:val="center"/>
          </w:tcPr>
          <w:p w14:paraId="5200E56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2"/>
                <w:sz w:val="21"/>
                <w:szCs w:val="21"/>
                <w:highlight w:val="none"/>
                <w:lang w:val="en-US" w:eastAsia="en-US" w:bidi="ar-SA"/>
              </w:rPr>
            </w:pPr>
            <w:r>
              <w:rPr>
                <w:rFonts w:hint="eastAsia" w:ascii="仿宋" w:hAnsi="仿宋" w:eastAsia="仿宋" w:cs="仿宋"/>
                <w:sz w:val="21"/>
                <w:szCs w:val="21"/>
                <w:highlight w:val="none"/>
                <w:lang w:eastAsia="en-US"/>
              </w:rPr>
              <w:t>3</w:t>
            </w:r>
          </w:p>
        </w:tc>
        <w:tc>
          <w:tcPr>
            <w:tcW w:w="661" w:type="pct"/>
            <w:vAlign w:val="center"/>
          </w:tcPr>
          <w:p w14:paraId="4131095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val="en-US" w:eastAsia="en-US"/>
              </w:rPr>
              <w:t>人员配置</w:t>
            </w:r>
          </w:p>
        </w:tc>
        <w:tc>
          <w:tcPr>
            <w:tcW w:w="382" w:type="pct"/>
            <w:vAlign w:val="center"/>
          </w:tcPr>
          <w:p w14:paraId="6DE08604">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eastAsia" w:ascii="仿宋" w:hAnsi="仿宋" w:eastAsia="仿宋" w:cs="仿宋"/>
                <w:kern w:val="2"/>
                <w:sz w:val="21"/>
                <w:szCs w:val="21"/>
                <w:highlight w:val="none"/>
                <w:lang w:val="en-US" w:eastAsia="en-US" w:bidi="ar-SA"/>
              </w:rPr>
            </w:pPr>
            <w:r>
              <w:rPr>
                <w:rFonts w:hint="eastAsia" w:ascii="仿宋" w:hAnsi="仿宋" w:eastAsia="仿宋" w:cs="仿宋"/>
                <w:kern w:val="2"/>
                <w:sz w:val="21"/>
                <w:szCs w:val="21"/>
                <w:highlight w:val="none"/>
                <w:lang w:val="en-US" w:eastAsia="zh-CN" w:bidi="ar-SA"/>
              </w:rPr>
              <w:t>12</w:t>
            </w:r>
            <w:r>
              <w:rPr>
                <w:rFonts w:hint="eastAsia" w:ascii="仿宋" w:hAnsi="仿宋" w:eastAsia="仿宋" w:cs="仿宋"/>
                <w:kern w:val="2"/>
                <w:sz w:val="21"/>
                <w:szCs w:val="21"/>
                <w:highlight w:val="none"/>
                <w:lang w:val="en-US" w:eastAsia="en-US" w:bidi="ar-SA"/>
              </w:rPr>
              <w:t>分</w:t>
            </w:r>
          </w:p>
        </w:tc>
        <w:tc>
          <w:tcPr>
            <w:tcW w:w="3634" w:type="pct"/>
            <w:vAlign w:val="center"/>
          </w:tcPr>
          <w:p w14:paraId="227040A6">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0"/>
                <w:sz w:val="21"/>
                <w:szCs w:val="21"/>
                <w:highlight w:val="none"/>
                <w:lang w:val="en-US" w:eastAsia="en-US"/>
              </w:rPr>
              <w:t>拟派项目组人员：具有项目相关专业（如岩土与地基、工程地质、水土保持、环境保护等）高级职称证书的，每提供一人</w:t>
            </w:r>
            <w:r>
              <w:rPr>
                <w:rFonts w:hint="eastAsia" w:ascii="仿宋" w:hAnsi="仿宋" w:eastAsia="仿宋" w:cs="仿宋"/>
                <w:kern w:val="0"/>
                <w:sz w:val="21"/>
                <w:szCs w:val="21"/>
                <w:highlight w:val="none"/>
                <w:lang w:val="en-US" w:eastAsia="zh-CN"/>
              </w:rPr>
              <w:t>得3</w:t>
            </w:r>
            <w:r>
              <w:rPr>
                <w:rFonts w:hint="eastAsia" w:ascii="仿宋" w:hAnsi="仿宋" w:eastAsia="仿宋" w:cs="仿宋"/>
                <w:kern w:val="0"/>
                <w:sz w:val="21"/>
                <w:szCs w:val="21"/>
                <w:highlight w:val="none"/>
                <w:lang w:val="en-US" w:eastAsia="en-US"/>
              </w:rPr>
              <w:t>分，最高得</w:t>
            </w: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1"/>
                <w:highlight w:val="none"/>
                <w:lang w:val="en-US" w:eastAsia="en-US"/>
              </w:rPr>
              <w:t>分。</w:t>
            </w:r>
          </w:p>
          <w:p w14:paraId="1E8B2770">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val="en-US" w:eastAsia="en-US"/>
              </w:rPr>
              <w:t>提供以上人员身份证、职称证、劳动合同。</w:t>
            </w:r>
          </w:p>
        </w:tc>
      </w:tr>
      <w:tr w14:paraId="60AD1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321" w:type="pct"/>
            <w:shd w:val="clear" w:color="auto" w:fill="auto"/>
            <w:vAlign w:val="center"/>
          </w:tcPr>
          <w:p w14:paraId="483F446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2"/>
                <w:sz w:val="21"/>
                <w:szCs w:val="21"/>
                <w:highlight w:val="none"/>
                <w:lang w:val="en-US" w:eastAsia="en-US" w:bidi="ar-SA"/>
              </w:rPr>
            </w:pPr>
            <w:r>
              <w:rPr>
                <w:rFonts w:hint="eastAsia" w:ascii="仿宋" w:hAnsi="仿宋" w:eastAsia="仿宋" w:cs="仿宋"/>
                <w:sz w:val="21"/>
                <w:szCs w:val="21"/>
                <w:highlight w:val="none"/>
                <w:lang w:eastAsia="en-US"/>
              </w:rPr>
              <w:t>4</w:t>
            </w:r>
          </w:p>
        </w:tc>
        <w:tc>
          <w:tcPr>
            <w:tcW w:w="661" w:type="pct"/>
            <w:shd w:val="clear" w:color="auto" w:fill="auto"/>
            <w:vAlign w:val="center"/>
          </w:tcPr>
          <w:p w14:paraId="5113E2FE">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2"/>
                <w:sz w:val="21"/>
                <w:szCs w:val="21"/>
                <w:highlight w:val="none"/>
                <w:lang w:val="en-US" w:eastAsia="zh-CN" w:bidi="ar-SA"/>
              </w:rPr>
              <w:t>项目了解与分析</w:t>
            </w:r>
          </w:p>
        </w:tc>
        <w:tc>
          <w:tcPr>
            <w:tcW w:w="382" w:type="pct"/>
            <w:shd w:val="clear" w:color="auto" w:fill="auto"/>
            <w:vAlign w:val="center"/>
          </w:tcPr>
          <w:p w14:paraId="676276CE">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5分</w:t>
            </w:r>
          </w:p>
        </w:tc>
        <w:tc>
          <w:tcPr>
            <w:tcW w:w="3634" w:type="pct"/>
            <w:shd w:val="clear" w:color="auto" w:fill="auto"/>
            <w:vAlign w:val="top"/>
          </w:tcPr>
          <w:p w14:paraId="5B88D417">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2"/>
                <w:sz w:val="21"/>
                <w:szCs w:val="21"/>
                <w:highlight w:val="none"/>
                <w:lang w:val="ru-RU" w:eastAsia="ru-RU" w:bidi="ar-SA"/>
              </w:rPr>
              <w:t>①现状的了解②项目实施期间重点、难点、关键技术问题的分析及应对措施等内容。全部提供得5分，每缺一项扣2.5分，每有一项内容存在缺项、漏项或有缺陷的扣1分，扣完为止。未提供的，此项不得分。</w:t>
            </w:r>
          </w:p>
        </w:tc>
      </w:tr>
      <w:tr w14:paraId="779D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321" w:type="pct"/>
            <w:shd w:val="clear" w:color="auto" w:fill="auto"/>
            <w:vAlign w:val="center"/>
          </w:tcPr>
          <w:p w14:paraId="621AD1F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0"/>
                <w:sz w:val="21"/>
                <w:szCs w:val="21"/>
                <w:highlight w:val="none"/>
                <w:lang w:eastAsia="en-US"/>
              </w:rPr>
              <w:t>5</w:t>
            </w:r>
          </w:p>
        </w:tc>
        <w:tc>
          <w:tcPr>
            <w:tcW w:w="661" w:type="pct"/>
            <w:shd w:val="clear" w:color="auto" w:fill="auto"/>
            <w:vAlign w:val="center"/>
          </w:tcPr>
          <w:p w14:paraId="7DFCB43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实施计划</w:t>
            </w:r>
          </w:p>
          <w:p w14:paraId="769CFD9A">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2"/>
                <w:sz w:val="21"/>
                <w:szCs w:val="21"/>
                <w:highlight w:val="none"/>
                <w:lang w:val="en-US" w:eastAsia="zh-CN" w:bidi="ar-SA"/>
              </w:rPr>
              <w:t>方案</w:t>
            </w:r>
          </w:p>
        </w:tc>
        <w:tc>
          <w:tcPr>
            <w:tcW w:w="382" w:type="pct"/>
            <w:shd w:val="clear" w:color="auto" w:fill="auto"/>
            <w:vAlign w:val="center"/>
          </w:tcPr>
          <w:p w14:paraId="22B9D317">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12分</w:t>
            </w:r>
          </w:p>
        </w:tc>
        <w:tc>
          <w:tcPr>
            <w:tcW w:w="3634" w:type="pct"/>
            <w:shd w:val="clear" w:color="auto" w:fill="auto"/>
            <w:vAlign w:val="center"/>
          </w:tcPr>
          <w:p w14:paraId="79A06C99">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2"/>
                <w:sz w:val="21"/>
                <w:szCs w:val="21"/>
                <w:highlight w:val="none"/>
                <w:lang w:val="en-US" w:eastAsia="zh-CN" w:bidi="ar-SA"/>
              </w:rPr>
              <w:t>提供项目实施计划，包括①组织机构的设置②工作流程与③内控体系（包括信息反馈与处理机制）的建立等内容。全部提供得12分，每缺一项扣4分，每有一项内容存在缺项、漏项或有缺陷的扣1分，扣完为止。未提供的，此项不得分。</w:t>
            </w:r>
          </w:p>
        </w:tc>
      </w:tr>
      <w:tr w14:paraId="69AC4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21" w:type="pct"/>
            <w:shd w:val="clear" w:color="auto" w:fill="auto"/>
            <w:vAlign w:val="center"/>
          </w:tcPr>
          <w:p w14:paraId="4CF92C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6</w:t>
            </w:r>
          </w:p>
        </w:tc>
        <w:tc>
          <w:tcPr>
            <w:tcW w:w="661" w:type="pct"/>
            <w:shd w:val="clear" w:color="auto" w:fill="auto"/>
            <w:vAlign w:val="center"/>
          </w:tcPr>
          <w:p w14:paraId="7CD19CB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kern w:val="2"/>
                <w:sz w:val="21"/>
                <w:szCs w:val="21"/>
                <w:highlight w:val="none"/>
                <w:lang w:val="ru-RU" w:eastAsia="zh-CN" w:bidi="ar-SA"/>
              </w:rPr>
            </w:pPr>
            <w:r>
              <w:rPr>
                <w:rFonts w:hint="eastAsia" w:ascii="仿宋" w:hAnsi="仿宋" w:eastAsia="仿宋" w:cs="仿宋"/>
                <w:kern w:val="2"/>
                <w:sz w:val="21"/>
                <w:szCs w:val="21"/>
                <w:highlight w:val="none"/>
                <w:lang w:val="ru-RU" w:eastAsia="zh-CN" w:bidi="ar-SA"/>
              </w:rPr>
              <w:t>勘察进度</w:t>
            </w:r>
          </w:p>
          <w:p w14:paraId="1DC153D1">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2"/>
                <w:sz w:val="21"/>
                <w:szCs w:val="21"/>
                <w:highlight w:val="none"/>
                <w:lang w:val="ru-RU" w:eastAsia="zh-CN" w:bidi="ar-SA"/>
              </w:rPr>
              <w:t>方案</w:t>
            </w:r>
          </w:p>
        </w:tc>
        <w:tc>
          <w:tcPr>
            <w:tcW w:w="382" w:type="pct"/>
            <w:shd w:val="clear" w:color="auto" w:fill="auto"/>
            <w:vAlign w:val="center"/>
          </w:tcPr>
          <w:p w14:paraId="184F65F2">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10分</w:t>
            </w:r>
          </w:p>
        </w:tc>
        <w:tc>
          <w:tcPr>
            <w:tcW w:w="3634" w:type="pct"/>
            <w:shd w:val="clear" w:color="auto" w:fill="auto"/>
            <w:vAlign w:val="center"/>
          </w:tcPr>
          <w:p w14:paraId="2970E5EC">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2"/>
                <w:sz w:val="21"/>
                <w:szCs w:val="21"/>
                <w:highlight w:val="none"/>
                <w:lang w:val="ru-RU" w:eastAsia="zh-CN" w:bidi="ar-SA"/>
              </w:rPr>
              <w:t>提供勘察进度方案，包括①分阶段进度计划②相应的进度控制措施等内容。全部提供得10分，每缺一项扣5分，每有一项内容存在缺项、漏项或有缺陷的扣1分，扣完为止。未提供的，此项不得分。</w:t>
            </w:r>
          </w:p>
        </w:tc>
      </w:tr>
      <w:tr w14:paraId="10C48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21" w:type="pct"/>
            <w:shd w:val="clear" w:color="auto" w:fill="auto"/>
            <w:vAlign w:val="center"/>
          </w:tcPr>
          <w:p w14:paraId="3416C18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eastAsia="en-US"/>
              </w:rPr>
              <w:t>7</w:t>
            </w:r>
          </w:p>
        </w:tc>
        <w:tc>
          <w:tcPr>
            <w:tcW w:w="661" w:type="pct"/>
            <w:shd w:val="clear" w:color="auto" w:fill="auto"/>
            <w:vAlign w:val="center"/>
          </w:tcPr>
          <w:p w14:paraId="2555B3F6">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kern w:val="2"/>
                <w:sz w:val="21"/>
                <w:szCs w:val="21"/>
                <w:highlight w:val="none"/>
                <w:lang w:val="ru-RU" w:eastAsia="zh-CN" w:bidi="ar-SA"/>
              </w:rPr>
            </w:pPr>
            <w:r>
              <w:rPr>
                <w:rFonts w:hint="eastAsia" w:ascii="仿宋" w:hAnsi="仿宋" w:eastAsia="仿宋" w:cs="仿宋"/>
                <w:kern w:val="2"/>
                <w:sz w:val="21"/>
                <w:szCs w:val="21"/>
                <w:highlight w:val="none"/>
                <w:lang w:val="ru-RU" w:eastAsia="zh-CN" w:bidi="ar-SA"/>
              </w:rPr>
              <w:t>质量保障</w:t>
            </w:r>
          </w:p>
          <w:p w14:paraId="3EF38BF6">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2"/>
                <w:sz w:val="21"/>
                <w:szCs w:val="21"/>
                <w:highlight w:val="none"/>
                <w:lang w:val="ru-RU" w:eastAsia="zh-CN" w:bidi="ar-SA"/>
              </w:rPr>
              <w:t>方案</w:t>
            </w:r>
          </w:p>
        </w:tc>
        <w:tc>
          <w:tcPr>
            <w:tcW w:w="382" w:type="pct"/>
            <w:shd w:val="clear" w:color="auto" w:fill="auto"/>
            <w:vAlign w:val="center"/>
          </w:tcPr>
          <w:p w14:paraId="37B31040">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15分</w:t>
            </w:r>
          </w:p>
        </w:tc>
        <w:tc>
          <w:tcPr>
            <w:tcW w:w="3634" w:type="pct"/>
            <w:shd w:val="clear" w:color="auto" w:fill="auto"/>
            <w:vAlign w:val="center"/>
          </w:tcPr>
          <w:p w14:paraId="4CB3CBD1">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left"/>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2"/>
                <w:sz w:val="21"/>
                <w:szCs w:val="21"/>
                <w:highlight w:val="none"/>
                <w:lang w:val="ru-RU" w:eastAsia="zh-CN" w:bidi="ar-SA"/>
              </w:rPr>
              <w:t>提供勘察质量保障方案，包括①质量管理目标②管理制度③相应的质量控制措施等内容。全部提供得15分，每缺一项扣5分，每有一项内容存在缺项、漏项或有缺陷的扣1分，扣完为止。未提供的，此项不得分。</w:t>
            </w:r>
          </w:p>
        </w:tc>
      </w:tr>
      <w:tr w14:paraId="6211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21" w:type="pct"/>
            <w:shd w:val="clear" w:color="auto" w:fill="auto"/>
            <w:vAlign w:val="center"/>
          </w:tcPr>
          <w:p w14:paraId="4B8DEFD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8</w:t>
            </w:r>
          </w:p>
        </w:tc>
        <w:tc>
          <w:tcPr>
            <w:tcW w:w="661" w:type="pct"/>
            <w:shd w:val="clear" w:color="auto" w:fill="auto"/>
            <w:vAlign w:val="center"/>
          </w:tcPr>
          <w:p w14:paraId="7B869304">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2"/>
                <w:sz w:val="21"/>
                <w:szCs w:val="21"/>
                <w:highlight w:val="none"/>
                <w:lang w:val="ru-RU" w:eastAsia="zh-CN" w:bidi="ar-SA"/>
              </w:rPr>
              <w:t>应急预案</w:t>
            </w:r>
          </w:p>
        </w:tc>
        <w:tc>
          <w:tcPr>
            <w:tcW w:w="382" w:type="pct"/>
            <w:shd w:val="clear" w:color="auto" w:fill="auto"/>
            <w:vAlign w:val="center"/>
          </w:tcPr>
          <w:p w14:paraId="7F5BEB7F">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6分</w:t>
            </w:r>
          </w:p>
        </w:tc>
        <w:tc>
          <w:tcPr>
            <w:tcW w:w="3634" w:type="pct"/>
            <w:shd w:val="clear" w:color="auto" w:fill="auto"/>
            <w:vAlign w:val="center"/>
          </w:tcPr>
          <w:p w14:paraId="504E8A92">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left"/>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2"/>
                <w:sz w:val="21"/>
                <w:szCs w:val="21"/>
                <w:highlight w:val="none"/>
                <w:lang w:val="ru-RU" w:eastAsia="zh-CN" w:bidi="ar-SA"/>
              </w:rPr>
              <w:t>提供项目应急预案，包括①应急状况分析②响应时间、人员应急安排③相应保障措施等内容。全部提供得6分，每缺一项扣2分，每有一项内容存在缺项、漏项或有缺陷的扣1分，扣完为止。未提供的，此项不得分。</w:t>
            </w:r>
          </w:p>
        </w:tc>
      </w:tr>
      <w:tr w14:paraId="57C29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21" w:type="pct"/>
            <w:shd w:val="clear" w:color="auto" w:fill="auto"/>
            <w:vAlign w:val="center"/>
          </w:tcPr>
          <w:p w14:paraId="5A90A8D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9</w:t>
            </w:r>
          </w:p>
        </w:tc>
        <w:tc>
          <w:tcPr>
            <w:tcW w:w="661" w:type="pct"/>
            <w:shd w:val="clear" w:color="auto" w:fill="auto"/>
            <w:vAlign w:val="center"/>
          </w:tcPr>
          <w:p w14:paraId="1CFD053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kern w:val="2"/>
                <w:sz w:val="21"/>
                <w:szCs w:val="21"/>
                <w:highlight w:val="none"/>
                <w:lang w:val="ru-RU" w:eastAsia="zh-CN" w:bidi="ar-SA"/>
              </w:rPr>
            </w:pPr>
            <w:r>
              <w:rPr>
                <w:rFonts w:hint="eastAsia" w:ascii="仿宋" w:hAnsi="仿宋" w:eastAsia="仿宋" w:cs="仿宋"/>
                <w:kern w:val="2"/>
                <w:sz w:val="21"/>
                <w:szCs w:val="21"/>
                <w:highlight w:val="none"/>
                <w:lang w:val="ru-RU" w:eastAsia="zh-CN" w:bidi="ar-SA"/>
              </w:rPr>
              <w:t>档案管理</w:t>
            </w:r>
          </w:p>
          <w:p w14:paraId="4E3353AC">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2"/>
                <w:sz w:val="21"/>
                <w:szCs w:val="21"/>
                <w:highlight w:val="none"/>
                <w:lang w:val="ru-RU" w:eastAsia="zh-CN" w:bidi="ar-SA"/>
              </w:rPr>
              <w:t>措施</w:t>
            </w:r>
          </w:p>
        </w:tc>
        <w:tc>
          <w:tcPr>
            <w:tcW w:w="382" w:type="pct"/>
            <w:shd w:val="clear" w:color="auto" w:fill="auto"/>
            <w:vAlign w:val="center"/>
          </w:tcPr>
          <w:p w14:paraId="11CC70C2">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6分</w:t>
            </w:r>
          </w:p>
        </w:tc>
        <w:tc>
          <w:tcPr>
            <w:tcW w:w="3634" w:type="pct"/>
            <w:shd w:val="clear" w:color="auto" w:fill="auto"/>
            <w:vAlign w:val="center"/>
          </w:tcPr>
          <w:p w14:paraId="21FB3AC6">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left"/>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2"/>
                <w:sz w:val="21"/>
                <w:szCs w:val="21"/>
                <w:highlight w:val="none"/>
                <w:lang w:val="ru-RU" w:eastAsia="zh-CN" w:bidi="ar-SA"/>
              </w:rPr>
              <w:t>提供档案管理措施，包括①数据整理②核查与校对③存档与提交等内容。全部提供得6分，每缺一项扣2分，每有一项内容存在缺项、漏项或有缺陷的扣1分，扣完为止。未提供的，此项不得分。</w:t>
            </w:r>
          </w:p>
        </w:tc>
      </w:tr>
      <w:tr w14:paraId="7142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321" w:type="pct"/>
            <w:shd w:val="clear" w:color="auto" w:fill="auto"/>
            <w:vAlign w:val="center"/>
          </w:tcPr>
          <w:p w14:paraId="194D60D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10</w:t>
            </w:r>
          </w:p>
        </w:tc>
        <w:tc>
          <w:tcPr>
            <w:tcW w:w="661" w:type="pct"/>
            <w:shd w:val="clear" w:color="auto" w:fill="auto"/>
            <w:vAlign w:val="center"/>
          </w:tcPr>
          <w:p w14:paraId="1919B4B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kern w:val="2"/>
                <w:sz w:val="21"/>
                <w:szCs w:val="21"/>
                <w:highlight w:val="none"/>
                <w:lang w:val="ru-RU" w:eastAsia="zh-CN" w:bidi="ar-SA"/>
              </w:rPr>
            </w:pPr>
            <w:r>
              <w:rPr>
                <w:rFonts w:hint="eastAsia" w:ascii="仿宋" w:hAnsi="仿宋" w:eastAsia="仿宋" w:cs="仿宋"/>
                <w:kern w:val="2"/>
                <w:sz w:val="21"/>
                <w:szCs w:val="21"/>
                <w:highlight w:val="none"/>
                <w:lang w:val="en-US" w:eastAsia="zh-CN" w:bidi="ar-SA"/>
              </w:rPr>
              <w:t>服</w:t>
            </w:r>
            <w:r>
              <w:rPr>
                <w:rFonts w:hint="eastAsia" w:ascii="仿宋" w:hAnsi="仿宋" w:eastAsia="仿宋" w:cs="仿宋"/>
                <w:kern w:val="2"/>
                <w:sz w:val="21"/>
                <w:szCs w:val="21"/>
                <w:highlight w:val="none"/>
                <w:lang w:val="ru-RU" w:eastAsia="zh-CN" w:bidi="ar-SA"/>
              </w:rPr>
              <w:t>务响应</w:t>
            </w:r>
          </w:p>
          <w:p w14:paraId="0767A124">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2"/>
                <w:sz w:val="21"/>
                <w:szCs w:val="21"/>
                <w:highlight w:val="none"/>
                <w:lang w:val="ru-RU" w:eastAsia="zh-CN" w:bidi="ar-SA"/>
              </w:rPr>
              <w:t>方案</w:t>
            </w:r>
          </w:p>
        </w:tc>
        <w:tc>
          <w:tcPr>
            <w:tcW w:w="382" w:type="pct"/>
            <w:shd w:val="clear" w:color="auto" w:fill="auto"/>
            <w:vAlign w:val="center"/>
          </w:tcPr>
          <w:p w14:paraId="43515CED">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6分</w:t>
            </w:r>
          </w:p>
        </w:tc>
        <w:tc>
          <w:tcPr>
            <w:tcW w:w="3634" w:type="pct"/>
            <w:shd w:val="clear" w:color="auto" w:fill="auto"/>
            <w:vAlign w:val="center"/>
          </w:tcPr>
          <w:p w14:paraId="360AC0CB">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kern w:val="0"/>
                <w:sz w:val="21"/>
                <w:szCs w:val="21"/>
                <w:highlight w:val="none"/>
                <w:lang w:val="en-US" w:eastAsia="en-US" w:bidi="ar-SA"/>
              </w:rPr>
            </w:pPr>
            <w:r>
              <w:rPr>
                <w:rFonts w:hint="eastAsia" w:ascii="仿宋" w:hAnsi="仿宋" w:eastAsia="仿宋" w:cs="仿宋"/>
                <w:kern w:val="0"/>
                <w:sz w:val="21"/>
                <w:szCs w:val="21"/>
                <w:highlight w:val="none"/>
                <w:lang w:val="en-US" w:eastAsia="zh-CN"/>
              </w:rPr>
              <w:t>提供服务响应方案，包括①服务机构设立②响应到场时间、人员到位率保证、技术支持③服务承诺履行保障措施等内容。全部提供得6分，每缺一项扣2分，每有一项内容存在缺项、漏项或有缺陷的扣1分，扣完为止。未提供的，此项不得分。</w:t>
            </w:r>
          </w:p>
        </w:tc>
      </w:tr>
      <w:tr w14:paraId="403C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983" w:type="pct"/>
            <w:gridSpan w:val="2"/>
            <w:vAlign w:val="center"/>
          </w:tcPr>
          <w:p w14:paraId="41E49BC4">
            <w:pPr>
              <w:keepNext w:val="0"/>
              <w:keepLines w:val="0"/>
              <w:pageBreakBefore w:val="0"/>
              <w:widowControl w:val="0"/>
              <w:tabs>
                <w:tab w:val="left" w:pos="1480"/>
              </w:tabs>
              <w:kinsoku/>
              <w:wordWrap/>
              <w:overflowPunct/>
              <w:topLinePunct w:val="0"/>
              <w:autoSpaceDE w:val="0"/>
              <w:autoSpaceDN w:val="0"/>
              <w:bidi w:val="0"/>
              <w:adjustRightInd w:val="0"/>
              <w:snapToGrid w:val="0"/>
              <w:spacing w:line="240" w:lineRule="auto"/>
              <w:ind w:left="0" w:right="0" w:rightChars="0"/>
              <w:jc w:val="center"/>
              <w:textAlignment w:val="auto"/>
              <w:outlineLvl w:val="9"/>
              <w:rPr>
                <w:rFonts w:hint="eastAsia" w:ascii="仿宋" w:hAnsi="仿宋" w:eastAsia="仿宋" w:cs="仿宋"/>
                <w:kern w:val="0"/>
                <w:sz w:val="21"/>
                <w:szCs w:val="21"/>
                <w:highlight w:val="none"/>
                <w:lang w:val="en-US" w:eastAsia="en-US"/>
              </w:rPr>
            </w:pPr>
            <w:r>
              <w:rPr>
                <w:rFonts w:hint="eastAsia" w:ascii="仿宋" w:hAnsi="仿宋" w:eastAsia="仿宋" w:cs="仿宋"/>
                <w:kern w:val="0"/>
                <w:sz w:val="21"/>
                <w:szCs w:val="21"/>
                <w:highlight w:val="none"/>
                <w:lang w:val="en-US" w:eastAsia="en-US"/>
              </w:rPr>
              <w:t>合计</w:t>
            </w:r>
          </w:p>
        </w:tc>
        <w:tc>
          <w:tcPr>
            <w:tcW w:w="4016" w:type="pct"/>
            <w:gridSpan w:val="2"/>
            <w:vAlign w:val="center"/>
          </w:tcPr>
          <w:p w14:paraId="041927C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outlineLvl w:val="9"/>
              <w:rPr>
                <w:rFonts w:hint="eastAsia" w:ascii="仿宋" w:hAnsi="仿宋" w:eastAsia="仿宋" w:cs="仿宋"/>
                <w:kern w:val="0"/>
                <w:sz w:val="21"/>
                <w:szCs w:val="21"/>
                <w:highlight w:val="none"/>
                <w:lang w:eastAsia="en-US"/>
              </w:rPr>
            </w:pPr>
            <w:r>
              <w:rPr>
                <w:rFonts w:hint="eastAsia" w:ascii="仿宋" w:hAnsi="仿宋" w:eastAsia="仿宋" w:cs="仿宋"/>
                <w:kern w:val="0"/>
                <w:sz w:val="21"/>
                <w:szCs w:val="21"/>
                <w:highlight w:val="none"/>
                <w:lang w:val="en-US" w:eastAsia="zh-CN"/>
              </w:rPr>
              <w:t>90</w:t>
            </w:r>
            <w:r>
              <w:rPr>
                <w:rFonts w:hint="eastAsia" w:ascii="仿宋" w:hAnsi="仿宋" w:eastAsia="仿宋" w:cs="仿宋"/>
                <w:kern w:val="0"/>
                <w:sz w:val="21"/>
                <w:szCs w:val="21"/>
                <w:highlight w:val="none"/>
                <w:lang w:eastAsia="en-US"/>
              </w:rPr>
              <w:t>分</w:t>
            </w:r>
          </w:p>
        </w:tc>
      </w:tr>
      <w:tr w14:paraId="2622B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5000" w:type="pct"/>
            <w:gridSpan w:val="4"/>
            <w:vAlign w:val="center"/>
          </w:tcPr>
          <w:p w14:paraId="7CB223E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left"/>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注：缺陷是指：存在不适用项目实际情况的情形、凭空编造、内容前后不一致、前后逻辑错误、涉及的规范及标准错误、地点区域错误、内容遗漏、不符合采购需求。</w:t>
            </w:r>
          </w:p>
        </w:tc>
      </w:tr>
      <w:bookmarkEnd w:id="12"/>
    </w:tbl>
    <w:p w14:paraId="2745B0D8">
      <w:pPr>
        <w:tabs>
          <w:tab w:val="left" w:pos="4900"/>
        </w:tabs>
        <w:kinsoku/>
        <w:topLinePunct w:val="0"/>
        <w:bidi w:val="0"/>
        <w:snapToGrid w:val="0"/>
        <w:spacing w:line="360" w:lineRule="auto"/>
        <w:jc w:val="left"/>
        <w:textAlignment w:val="auto"/>
        <w:outlineLvl w:val="9"/>
        <w:rPr>
          <w:rFonts w:hint="eastAsia" w:ascii="仿宋" w:hAnsi="仿宋" w:eastAsia="仿宋" w:cs="仿宋"/>
          <w:b/>
          <w:sz w:val="24"/>
          <w:szCs w:val="24"/>
          <w:lang w:eastAsia="zh-CN"/>
        </w:rPr>
      </w:pPr>
      <w:r>
        <w:rPr>
          <w:rFonts w:hint="eastAsia" w:ascii="仿宋" w:hAnsi="仿宋" w:eastAsia="仿宋" w:cs="仿宋"/>
          <w:b/>
          <w:sz w:val="24"/>
          <w:szCs w:val="24"/>
        </w:rPr>
        <w:t>详细评审标准</w:t>
      </w:r>
      <w:r>
        <w:rPr>
          <w:rFonts w:hint="eastAsia" w:ascii="仿宋" w:hAnsi="仿宋" w:eastAsia="仿宋" w:cs="仿宋"/>
          <w:b/>
          <w:sz w:val="24"/>
          <w:szCs w:val="24"/>
          <w:lang w:eastAsia="zh-CN"/>
        </w:rPr>
        <w:t>：</w:t>
      </w:r>
    </w:p>
    <w:p w14:paraId="379E2443">
      <w:pPr>
        <w:kinsoku/>
        <w:topLinePunct w:val="0"/>
        <w:bidi w:val="0"/>
        <w:snapToGrid w:val="0"/>
        <w:spacing w:line="360" w:lineRule="auto"/>
        <w:ind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客观评审因素磋商小组协商打分，主观评审因素磋商小组成员独立打分</w:t>
      </w:r>
      <w:r>
        <w:rPr>
          <w:rFonts w:hint="eastAsia" w:ascii="仿宋" w:hAnsi="仿宋" w:eastAsia="仿宋" w:cs="仿宋"/>
          <w:b/>
          <w:bCs/>
          <w:sz w:val="24"/>
          <w:szCs w:val="24"/>
          <w:lang w:eastAsia="zh-CN"/>
        </w:rPr>
        <w:t>；</w:t>
      </w:r>
    </w:p>
    <w:p w14:paraId="48E1F75B">
      <w:pPr>
        <w:kinsoku/>
        <w:topLinePunct w:val="0"/>
        <w:bidi w:val="0"/>
        <w:snapToGrid w:val="0"/>
        <w:spacing w:line="360" w:lineRule="auto"/>
        <w:ind w:firstLine="482" w:firstLineChars="200"/>
        <w:textAlignment w:val="auto"/>
        <w:outlineLvl w:val="9"/>
        <w:rPr>
          <w:rFonts w:hint="eastAsia" w:ascii="仿宋" w:hAnsi="仿宋" w:eastAsia="仿宋" w:cs="仿宋"/>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eastAsia="zh-CN"/>
        </w:rPr>
        <w:t>）</w:t>
      </w:r>
      <w:r>
        <w:rPr>
          <w:rFonts w:hint="eastAsia" w:ascii="仿宋" w:hAnsi="仿宋" w:eastAsia="仿宋" w:cs="仿宋"/>
          <w:b/>
          <w:bCs/>
          <w:sz w:val="24"/>
          <w:szCs w:val="24"/>
        </w:rPr>
        <w:t>若出现综合得分相同的，按最终报价由低到高顺序排列名次</w:t>
      </w:r>
      <w:r>
        <w:rPr>
          <w:rFonts w:hint="eastAsia" w:ascii="仿宋" w:hAnsi="仿宋" w:eastAsia="仿宋" w:cs="仿宋"/>
          <w:b/>
          <w:bCs/>
          <w:sz w:val="24"/>
          <w:szCs w:val="24"/>
          <w:lang w:eastAsia="zh-CN"/>
        </w:rPr>
        <w:t>；</w:t>
      </w:r>
      <w:r>
        <w:rPr>
          <w:rFonts w:hint="eastAsia" w:ascii="仿宋" w:hAnsi="仿宋" w:eastAsia="仿宋" w:cs="仿宋"/>
          <w:b/>
          <w:bCs/>
          <w:sz w:val="24"/>
          <w:szCs w:val="24"/>
        </w:rPr>
        <w:t>得分且最终报价相同的，按技术指标得分顺序排列名次。</w:t>
      </w:r>
    </w:p>
    <w:p w14:paraId="1FDB2FCF">
      <w:pPr>
        <w:pStyle w:val="15"/>
        <w:kinsoku/>
        <w:topLinePunct w:val="0"/>
        <w:bidi w:val="0"/>
        <w:snapToGrid w:val="0"/>
        <w:spacing w:after="0" w:line="360" w:lineRule="auto"/>
        <w:ind w:firstLine="482" w:firstLineChars="200"/>
        <w:jc w:val="left"/>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低于成本价不正当竞争预防措施：</w:t>
      </w:r>
    </w:p>
    <w:p w14:paraId="36C5D232">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（一</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评审中出现下列情形之一的，评审委员会应当启动异常低价投标（响应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审查程序：</w:t>
      </w:r>
    </w:p>
    <w:p w14:paraId="5E1D9244">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1.投标（响应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报价低于全部通过符合性审查供应商投标（响应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报价平均值50%的，即投标（响应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报价&lt;全部通过符合性审查供应商投标（响应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报价平均值×50%</w:t>
      </w:r>
      <w:r>
        <w:rPr>
          <w:rFonts w:hint="eastAsia" w:ascii="仿宋" w:hAnsi="仿宋" w:eastAsia="仿宋" w:cs="仿宋"/>
          <w:kern w:val="0"/>
          <w:sz w:val="24"/>
          <w:szCs w:val="24"/>
          <w:lang w:eastAsia="zh-CN"/>
        </w:rPr>
        <w:t>；</w:t>
      </w:r>
    </w:p>
    <w:p w14:paraId="2F812D32">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2.投标（响应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报价低于通过符合性审查的次低报价供应商投标（响应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报价50%的，即投标（响应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报价&lt;通过符合性审查的次低报价供应商投标（响应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报价×50%</w:t>
      </w:r>
      <w:r>
        <w:rPr>
          <w:rFonts w:hint="eastAsia" w:ascii="仿宋" w:hAnsi="仿宋" w:eastAsia="仿宋" w:cs="仿宋"/>
          <w:kern w:val="0"/>
          <w:sz w:val="24"/>
          <w:szCs w:val="24"/>
          <w:lang w:eastAsia="zh-CN"/>
        </w:rPr>
        <w:t>；</w:t>
      </w:r>
    </w:p>
    <w:p w14:paraId="09AF9FA0">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3.投标（响应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报价低于采购项目最高限价45%的，即投标（响应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报价&lt;采购项目最高限价×45%</w:t>
      </w:r>
      <w:r>
        <w:rPr>
          <w:rFonts w:hint="eastAsia" w:ascii="仿宋" w:hAnsi="仿宋" w:eastAsia="仿宋" w:cs="仿宋"/>
          <w:kern w:val="0"/>
          <w:sz w:val="24"/>
          <w:szCs w:val="24"/>
          <w:lang w:eastAsia="zh-CN"/>
        </w:rPr>
        <w:t>；</w:t>
      </w:r>
    </w:p>
    <w:p w14:paraId="318B630A">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4.评审委员会基于专业判断，认为供应商报价过低，有可能影响产品质量或者不能诚信履约的其他情形。</w:t>
      </w:r>
    </w:p>
    <w:p w14:paraId="4B634D06">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采购人可以结合具体项目实际情况，提高上述第1项至第3项中启动异常低价投标（响应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审查的数值标准，但是最高不得超过65%。</w:t>
      </w:r>
    </w:p>
    <w:p w14:paraId="3B8EC994">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相关法律法规对供应商报价有规定的，从其规定。</w:t>
      </w:r>
    </w:p>
    <w:p w14:paraId="6FD809E8">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（二</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评审委员会启动异常低价投标（响应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审查后，属于前述第1项至第4项情形的，应当要求相关供应商在评审现场合理的时间内对投标（响应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文件一并提交相关书面说明及必要的证明材料的，在评审现场可不再重复提交。</w:t>
      </w:r>
    </w:p>
    <w:p w14:paraId="4E00ECA3">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评审委员会依据专业经验，参考同类项目中标（成交</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价格、类似产品市场价格水平、行业人工费用标准、国家有关部门指导行业协会发布的行业平均成本等情况，对报价合理性进行判断。投标（响应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供应商不能提供书面说明、证明材料，或者提供的书面说明、证明材料不能证明其报价合理性的，评审委员会应当将其作为无效投标（响应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处理。</w:t>
      </w:r>
    </w:p>
    <w:p w14:paraId="1482FDA9">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采购人、采购代理机构应当为评审委员会在评审现场及时获取同类项目中标（成交</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04A0B13">
      <w:pPr>
        <w:pStyle w:val="15"/>
        <w:kinsoku/>
        <w:topLinePunct w:val="0"/>
        <w:bidi w:val="0"/>
        <w:snapToGrid w:val="0"/>
        <w:spacing w:after="0" w:line="360" w:lineRule="auto"/>
        <w:ind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kern w:val="0"/>
          <w:sz w:val="24"/>
          <w:szCs w:val="24"/>
        </w:rPr>
        <w:t>异常低价投标（响应</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审查的启动原因、审查意见和审查结果应当在评审报告中记录，并随供应商提供的相关书面说明及证明材料，以及评审委员会有关互联网浏览、查询历史一并归档。</w:t>
      </w:r>
    </w:p>
    <w:p w14:paraId="339780BD">
      <w:pPr>
        <w:kinsoku/>
        <w:topLinePunct w:val="0"/>
        <w:bidi w:val="0"/>
        <w:snapToGrid w:val="0"/>
        <w:spacing w:line="360" w:lineRule="auto"/>
        <w:ind w:firstLine="482"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29</w:t>
      </w:r>
      <w:r>
        <w:rPr>
          <w:rFonts w:hint="eastAsia" w:ascii="仿宋" w:hAnsi="仿宋" w:eastAsia="仿宋" w:cs="仿宋"/>
          <w:b/>
          <w:bCs/>
          <w:sz w:val="24"/>
          <w:szCs w:val="24"/>
        </w:rPr>
        <w:t>.定标原则</w:t>
      </w:r>
    </w:p>
    <w:p w14:paraId="5632AC46">
      <w:pPr>
        <w:kinsoku/>
        <w:topLinePunct w:val="0"/>
        <w:bidi w:val="0"/>
        <w:snapToGrid w:val="0"/>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.1综合评分法，是指响应文件满足磋商文件全部实质性要求且按评分因素的量化指标评审得分最高的供应商为成交候选供应商的评审方法。</w:t>
      </w:r>
    </w:p>
    <w:p w14:paraId="7107EAF2">
      <w:pPr>
        <w:kinsoku/>
        <w:topLinePunct w:val="0"/>
        <w:bidi w:val="0"/>
        <w:snapToGrid w:val="0"/>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2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57CD26DF">
      <w:pPr>
        <w:kinsoku/>
        <w:topLinePunct w:val="0"/>
        <w:bidi w:val="0"/>
        <w:snapToGrid w:val="0"/>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29</w:t>
      </w:r>
      <w:r>
        <w:rPr>
          <w:rFonts w:hint="eastAsia" w:ascii="仿宋" w:hAnsi="仿宋" w:eastAsia="仿宋" w:cs="仿宋"/>
          <w:sz w:val="24"/>
          <w:szCs w:val="24"/>
        </w:rPr>
        <w:t>.3采购人根据磋商小组的评审报告，应当确定排名第一的成交候选人为成交人。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采购。</w:t>
      </w:r>
    </w:p>
    <w:p w14:paraId="745914A5">
      <w:pPr>
        <w:kinsoku/>
        <w:topLinePunct w:val="0"/>
        <w:bidi w:val="0"/>
        <w:snapToGrid w:val="0"/>
        <w:spacing w:line="360" w:lineRule="auto"/>
        <w:ind w:firstLine="482"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注：若供应商报价中出现赠送、免费等字样需在备注中进行说明。若其单项或总体报价严重低于其他供应商报价，需向本项目磋商小组做出陈述和答疑，磋商小组依据其陈述和答疑内容评定其是否满足磋商文件要求。（若其陈述和答疑内容不满足招标要求，则视为无效标处理</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p>
    <w:p w14:paraId="187A03C4">
      <w:pPr>
        <w:keepNext w:val="0"/>
        <w:keepLines w:val="0"/>
        <w:pageBreakBefore/>
        <w:widowControl w:val="0"/>
        <w:kinsoku/>
        <w:wordWrap/>
        <w:overflowPunct/>
        <w:topLinePunct w:val="0"/>
        <w:autoSpaceDE/>
        <w:autoSpaceDN/>
        <w:bidi w:val="0"/>
        <w:adjustRightInd/>
        <w:snapToGrid w:val="0"/>
        <w:spacing w:line="360" w:lineRule="auto"/>
        <w:ind w:firstLine="482" w:firstLineChars="20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授予合同</w:t>
      </w:r>
    </w:p>
    <w:p w14:paraId="1BEF3991">
      <w:pPr>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0</w:t>
      </w:r>
      <w:r>
        <w:rPr>
          <w:rFonts w:hint="eastAsia" w:ascii="仿宋" w:hAnsi="仿宋" w:eastAsia="仿宋" w:cs="仿宋"/>
          <w:bCs/>
          <w:sz w:val="24"/>
          <w:szCs w:val="24"/>
        </w:rPr>
        <w:t>.合同授予标准</w:t>
      </w:r>
    </w:p>
    <w:p w14:paraId="43802E77">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0</w:t>
      </w:r>
      <w:r>
        <w:rPr>
          <w:rFonts w:hint="eastAsia" w:ascii="仿宋" w:hAnsi="仿宋" w:eastAsia="仿宋" w:cs="仿宋"/>
          <w:bCs/>
          <w:spacing w:val="-2"/>
          <w:sz w:val="24"/>
          <w:szCs w:val="24"/>
        </w:rPr>
        <w:t>.1合同将授予被确定为实质上响应磋商文件要求且综合评分得分最高的供应商。</w:t>
      </w:r>
    </w:p>
    <w:p w14:paraId="27836D50">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0</w:t>
      </w:r>
      <w:r>
        <w:rPr>
          <w:rFonts w:hint="eastAsia" w:ascii="仿宋" w:hAnsi="仿宋" w:eastAsia="仿宋" w:cs="仿宋"/>
          <w:bCs/>
          <w:spacing w:val="-2"/>
          <w:sz w:val="24"/>
          <w:szCs w:val="24"/>
        </w:rPr>
        <w:t>.2最低磋商报价不一定是被授予合同的保证。</w:t>
      </w:r>
    </w:p>
    <w:p w14:paraId="780566FB">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0</w:t>
      </w:r>
      <w:r>
        <w:rPr>
          <w:rFonts w:hint="eastAsia" w:ascii="仿宋" w:hAnsi="仿宋" w:eastAsia="仿宋" w:cs="仿宋"/>
          <w:bCs/>
          <w:spacing w:val="-2"/>
          <w:sz w:val="24"/>
          <w:szCs w:val="24"/>
        </w:rPr>
        <w:t>.3如果确定该供应商不能无条件圆满履行合同，采购人将对下一个可能中标的供应商资格做出类似的审查。</w:t>
      </w:r>
    </w:p>
    <w:p w14:paraId="024CB1FC">
      <w:pPr>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1</w:t>
      </w:r>
      <w:r>
        <w:rPr>
          <w:rFonts w:hint="eastAsia" w:ascii="仿宋" w:hAnsi="仿宋" w:eastAsia="仿宋" w:cs="仿宋"/>
          <w:bCs/>
          <w:sz w:val="24"/>
          <w:szCs w:val="24"/>
        </w:rPr>
        <w:t>.成交通知书</w:t>
      </w:r>
    </w:p>
    <w:p w14:paraId="5354BB55">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1</w:t>
      </w:r>
      <w:r>
        <w:rPr>
          <w:rFonts w:hint="eastAsia" w:ascii="仿宋" w:hAnsi="仿宋" w:eastAsia="仿宋" w:cs="仿宋"/>
          <w:bCs/>
          <w:spacing w:val="-2"/>
          <w:sz w:val="24"/>
          <w:szCs w:val="24"/>
        </w:rPr>
        <w:t>.1在公告成交结果的同时，采购人或者采购代理机构应当向中标人发出成交通知书，《成交通知书》一经发出即发生法律效力。</w:t>
      </w:r>
    </w:p>
    <w:p w14:paraId="74A37ADA">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2</w:t>
      </w:r>
      <w:r>
        <w:rPr>
          <w:rFonts w:hint="eastAsia" w:ascii="仿宋" w:hAnsi="仿宋" w:eastAsia="仿宋" w:cs="仿宋"/>
          <w:bCs/>
          <w:spacing w:val="-2"/>
          <w:sz w:val="24"/>
          <w:szCs w:val="24"/>
        </w:rPr>
        <w:t>.《成交通知书》将作为签订合同的依据。</w:t>
      </w:r>
    </w:p>
    <w:p w14:paraId="3EACFF45">
      <w:pPr>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3</w:t>
      </w:r>
      <w:r>
        <w:rPr>
          <w:rFonts w:hint="eastAsia" w:ascii="仿宋" w:hAnsi="仿宋" w:eastAsia="仿宋" w:cs="仿宋"/>
          <w:bCs/>
          <w:sz w:val="24"/>
          <w:szCs w:val="24"/>
        </w:rPr>
        <w:t>.签订合同</w:t>
      </w:r>
    </w:p>
    <w:p w14:paraId="0DC9E07F">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3</w:t>
      </w:r>
      <w:r>
        <w:rPr>
          <w:rFonts w:hint="eastAsia" w:ascii="仿宋" w:hAnsi="仿宋" w:eastAsia="仿宋" w:cs="仿宋"/>
          <w:bCs/>
          <w:spacing w:val="-2"/>
          <w:sz w:val="24"/>
          <w:szCs w:val="24"/>
        </w:rPr>
        <w:t>.1成交供应商按照公开招标和成交供应商所响应文件中的约定与买方签订书面合同，所签订的合同不得对公开招标和成交供应商的响应文件作实质性修改。</w:t>
      </w:r>
    </w:p>
    <w:p w14:paraId="14B6273B">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3</w:t>
      </w:r>
      <w:r>
        <w:rPr>
          <w:rFonts w:hint="eastAsia" w:ascii="仿宋" w:hAnsi="仿宋" w:eastAsia="仿宋" w:cs="仿宋"/>
          <w:bCs/>
          <w:spacing w:val="-2"/>
          <w:sz w:val="24"/>
          <w:szCs w:val="24"/>
        </w:rPr>
        <w:t>.2如成交供应商拒签合同，则按违约处理。采购人没收其磋商保证金。</w:t>
      </w:r>
    </w:p>
    <w:p w14:paraId="2B0BB3AA">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3</w:t>
      </w:r>
      <w:r>
        <w:rPr>
          <w:rFonts w:hint="eastAsia" w:ascii="仿宋" w:hAnsi="仿宋" w:eastAsia="仿宋" w:cs="仿宋"/>
          <w:bCs/>
          <w:spacing w:val="-2"/>
          <w:sz w:val="24"/>
          <w:szCs w:val="24"/>
        </w:rPr>
        <w:t>.3磋商文件、成交供应商的响应文件及其澄清文件等，均为签订合同的依据。</w:t>
      </w:r>
    </w:p>
    <w:p w14:paraId="7AF84131">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3</w:t>
      </w:r>
      <w:r>
        <w:rPr>
          <w:rFonts w:hint="eastAsia" w:ascii="仿宋" w:hAnsi="仿宋" w:eastAsia="仿宋" w:cs="仿宋"/>
          <w:bCs/>
          <w:spacing w:val="-2"/>
          <w:sz w:val="24"/>
          <w:szCs w:val="24"/>
        </w:rPr>
        <w:t>.4不允许中标人将中标项目分包或转交他人承担。特殊情况下，中标人必须与采购人协商后共同决定将合同标的中的部分由第三方承担服务责任，但成交供应商必须对合同标的的全部内容向采购人负责，并保证第三方提供的服务符合磋商文件的约定和响应文件的承诺及相关约定。</w:t>
      </w:r>
    </w:p>
    <w:p w14:paraId="20E9FD19">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4</w:t>
      </w:r>
      <w:r>
        <w:rPr>
          <w:rFonts w:hint="eastAsia" w:ascii="仿宋" w:hAnsi="仿宋" w:eastAsia="仿宋" w:cs="仿宋"/>
          <w:bCs/>
          <w:spacing w:val="-2"/>
          <w:sz w:val="24"/>
          <w:szCs w:val="24"/>
        </w:rPr>
        <w:t>.签订商务合同</w:t>
      </w:r>
    </w:p>
    <w:p w14:paraId="4B9F6B24">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4</w:t>
      </w:r>
      <w:r>
        <w:rPr>
          <w:rFonts w:hint="eastAsia" w:ascii="仿宋" w:hAnsi="仿宋" w:eastAsia="仿宋" w:cs="仿宋"/>
          <w:bCs/>
          <w:spacing w:val="-2"/>
          <w:sz w:val="24"/>
          <w:szCs w:val="24"/>
        </w:rPr>
        <w:t>.1采购人与成交供应商应当在成交通知书发出之日起30日内，按照磋商文件确定的事项签订政府采购合同。</w:t>
      </w:r>
    </w:p>
    <w:p w14:paraId="3DDE33B9">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成交通知书对采购人和成交供应商均具有法律效力。成交通知书发出后，采购人改变成交结果的，或者成交供应商放弃成交项目的，应当依法承担法律责任。</w:t>
      </w:r>
    </w:p>
    <w:p w14:paraId="10730C6A">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4</w:t>
      </w:r>
      <w:r>
        <w:rPr>
          <w:rFonts w:hint="eastAsia" w:ascii="仿宋" w:hAnsi="仿宋" w:eastAsia="仿宋" w:cs="仿宋"/>
          <w:bCs/>
          <w:spacing w:val="-2"/>
          <w:sz w:val="24"/>
          <w:szCs w:val="24"/>
        </w:rPr>
        <w:t>.2成交合同不得转让。合同分包需在响应文件中予以说明，并需经采购人同意。否则，采购人有权取消成交供应商的成交资格。</w:t>
      </w:r>
    </w:p>
    <w:p w14:paraId="28AFE792">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4</w:t>
      </w:r>
      <w:r>
        <w:rPr>
          <w:rFonts w:hint="eastAsia" w:ascii="仿宋" w:hAnsi="仿宋" w:eastAsia="仿宋" w:cs="仿宋"/>
          <w:bCs/>
          <w:spacing w:val="-2"/>
          <w:sz w:val="24"/>
          <w:szCs w:val="24"/>
        </w:rPr>
        <w:t>.3磋商文件要求成交供应商提交履约磋商保证金的，供应商应当以支票、汇票、本票或者金融机构、担保机构出具的保函等非现金形式提交。</w:t>
      </w:r>
    </w:p>
    <w:p w14:paraId="7F539431">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4</w:t>
      </w:r>
      <w:r>
        <w:rPr>
          <w:rFonts w:hint="eastAsia" w:ascii="仿宋" w:hAnsi="仿宋" w:eastAsia="仿宋" w:cs="仿宋"/>
          <w:bCs/>
          <w:spacing w:val="-2"/>
          <w:sz w:val="24"/>
          <w:szCs w:val="24"/>
        </w:rPr>
        <w:t>.4成交供应商拒绝与采购人签订合同的，采购人可以按照评审报告推荐的</w:t>
      </w:r>
    </w:p>
    <w:p w14:paraId="446918EE">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成交候选人名单排序，确定下一候选人为成交供应商，也可以重新开展政府采购活动。</w:t>
      </w:r>
    </w:p>
    <w:p w14:paraId="0EEE497E">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4</w:t>
      </w:r>
      <w:r>
        <w:rPr>
          <w:rFonts w:hint="eastAsia" w:ascii="仿宋" w:hAnsi="仿宋" w:eastAsia="仿宋" w:cs="仿宋"/>
          <w:bCs/>
          <w:spacing w:val="-2"/>
          <w:sz w:val="24"/>
          <w:szCs w:val="24"/>
        </w:rPr>
        <w:t>.5政府采购合同的双方当事人不得擅自变更、中止或者终止合同。</w:t>
      </w:r>
    </w:p>
    <w:p w14:paraId="668610E2">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政府采购合同继续履行将损害国家利益和社会公共利益的，双方当事人应当变更、中止或者终止合同。有过错的一方应当承担赔偿责任，双方都有过错的，各自承担相应的责任。</w:t>
      </w:r>
    </w:p>
    <w:p w14:paraId="40428B16">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5</w:t>
      </w:r>
      <w:r>
        <w:rPr>
          <w:rFonts w:hint="eastAsia" w:ascii="仿宋" w:hAnsi="仿宋" w:eastAsia="仿宋" w:cs="仿宋"/>
          <w:bCs/>
          <w:spacing w:val="-2"/>
          <w:sz w:val="24"/>
          <w:szCs w:val="24"/>
        </w:rPr>
        <w:t>.商务合同的组成</w:t>
      </w:r>
    </w:p>
    <w:p w14:paraId="53DEB4CA">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rPr>
      </w:pPr>
      <w:r>
        <w:rPr>
          <w:rFonts w:hint="eastAsia" w:ascii="仿宋" w:hAnsi="仿宋" w:eastAsia="仿宋" w:cs="仿宋"/>
          <w:bCs/>
          <w:spacing w:val="-2"/>
          <w:sz w:val="24"/>
          <w:szCs w:val="24"/>
        </w:rPr>
        <w:t>3</w:t>
      </w:r>
      <w:r>
        <w:rPr>
          <w:rFonts w:hint="eastAsia" w:ascii="仿宋" w:hAnsi="仿宋" w:eastAsia="仿宋" w:cs="仿宋"/>
          <w:bCs/>
          <w:spacing w:val="-2"/>
          <w:sz w:val="24"/>
          <w:szCs w:val="24"/>
          <w:lang w:val="en-US" w:eastAsia="zh-CN"/>
        </w:rPr>
        <w:t>5</w:t>
      </w:r>
      <w:r>
        <w:rPr>
          <w:rFonts w:hint="eastAsia" w:ascii="仿宋" w:hAnsi="仿宋" w:eastAsia="仿宋" w:cs="仿宋"/>
          <w:bCs/>
          <w:spacing w:val="-2"/>
          <w:sz w:val="24"/>
          <w:szCs w:val="24"/>
        </w:rPr>
        <w:t>.1下列文件均为商务合同不可分割的组成部分：</w:t>
      </w:r>
    </w:p>
    <w:p w14:paraId="21CA9582">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lang w:eastAsia="zh-CN"/>
        </w:rPr>
      </w:pP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1</w:t>
      </w: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成交通知书</w:t>
      </w:r>
      <w:r>
        <w:rPr>
          <w:rFonts w:hint="eastAsia" w:ascii="仿宋" w:hAnsi="仿宋" w:eastAsia="仿宋" w:cs="仿宋"/>
          <w:bCs/>
          <w:spacing w:val="-2"/>
          <w:sz w:val="24"/>
          <w:szCs w:val="24"/>
          <w:lang w:eastAsia="zh-CN"/>
        </w:rPr>
        <w:t>；</w:t>
      </w:r>
    </w:p>
    <w:p w14:paraId="73D653D2">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lang w:eastAsia="zh-CN"/>
        </w:rPr>
      </w:pP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2</w:t>
      </w: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成交供应商的响应文件</w:t>
      </w:r>
      <w:r>
        <w:rPr>
          <w:rFonts w:hint="eastAsia" w:ascii="仿宋" w:hAnsi="仿宋" w:eastAsia="仿宋" w:cs="仿宋"/>
          <w:bCs/>
          <w:spacing w:val="-2"/>
          <w:sz w:val="24"/>
          <w:szCs w:val="24"/>
          <w:lang w:eastAsia="zh-CN"/>
        </w:rPr>
        <w:t>；</w:t>
      </w:r>
    </w:p>
    <w:p w14:paraId="005A96F4">
      <w:pPr>
        <w:kinsoku/>
        <w:topLinePunct w:val="0"/>
        <w:bidi w:val="0"/>
        <w:snapToGrid w:val="0"/>
        <w:spacing w:line="360" w:lineRule="auto"/>
        <w:ind w:firstLine="472" w:firstLineChars="200"/>
        <w:textAlignment w:val="auto"/>
        <w:outlineLvl w:val="9"/>
        <w:rPr>
          <w:rFonts w:hint="eastAsia" w:ascii="仿宋" w:hAnsi="仿宋" w:eastAsia="仿宋" w:cs="仿宋"/>
          <w:bCs/>
          <w:spacing w:val="-2"/>
          <w:sz w:val="24"/>
          <w:szCs w:val="24"/>
          <w:lang w:eastAsia="zh-CN"/>
        </w:rPr>
      </w:pP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3</w:t>
      </w: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供应商澄清、说明或补正文件</w:t>
      </w:r>
      <w:r>
        <w:rPr>
          <w:rFonts w:hint="eastAsia" w:ascii="仿宋" w:hAnsi="仿宋" w:eastAsia="仿宋" w:cs="仿宋"/>
          <w:bCs/>
          <w:spacing w:val="-2"/>
          <w:sz w:val="24"/>
          <w:szCs w:val="24"/>
          <w:lang w:eastAsia="zh-CN"/>
        </w:rPr>
        <w:t>；</w:t>
      </w:r>
    </w:p>
    <w:p w14:paraId="2E5DC544">
      <w:pPr>
        <w:kinsoku/>
        <w:topLinePunct w:val="0"/>
        <w:bidi w:val="0"/>
        <w:snapToGrid w:val="0"/>
        <w:spacing w:line="360" w:lineRule="auto"/>
        <w:ind w:firstLine="472" w:firstLineChars="200"/>
        <w:textAlignment w:val="auto"/>
        <w:outlineLvl w:val="9"/>
        <w:rPr>
          <w:rFonts w:hint="eastAsia" w:ascii="仿宋" w:hAnsi="仿宋" w:eastAsia="仿宋" w:cs="仿宋"/>
          <w:sz w:val="24"/>
          <w:szCs w:val="24"/>
        </w:rPr>
      </w:pP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4</w:t>
      </w:r>
      <w:r>
        <w:rPr>
          <w:rFonts w:hint="eastAsia" w:ascii="仿宋" w:hAnsi="仿宋" w:eastAsia="仿宋" w:cs="仿宋"/>
          <w:bCs/>
          <w:spacing w:val="-2"/>
          <w:sz w:val="24"/>
          <w:szCs w:val="24"/>
          <w:lang w:eastAsia="zh-CN"/>
        </w:rPr>
        <w:t>）</w:t>
      </w:r>
      <w:r>
        <w:rPr>
          <w:rFonts w:hint="eastAsia" w:ascii="仿宋" w:hAnsi="仿宋" w:eastAsia="仿宋" w:cs="仿宋"/>
          <w:bCs/>
          <w:spacing w:val="-2"/>
          <w:sz w:val="24"/>
          <w:szCs w:val="24"/>
        </w:rPr>
        <w:t>磋商文件。</w:t>
      </w:r>
    </w:p>
    <w:p w14:paraId="5E658523">
      <w:pPr>
        <w:pStyle w:val="65"/>
        <w:kinsoku/>
        <w:topLinePunct w:val="0"/>
        <w:bidi w:val="0"/>
        <w:snapToGrid w:val="0"/>
        <w:spacing w:line="360" w:lineRule="auto"/>
        <w:ind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3</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.采购人更改采购服务期限的权利</w:t>
      </w:r>
    </w:p>
    <w:p w14:paraId="77B18A38">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政府采购合同履行中，采购人需追加与合同标的相同的服务的，在不改变合同其他条款的前提下，可以与供应商协商签订补充合同，但所有补充合同的采购金额不得超过原合同采购金额的10%。</w:t>
      </w:r>
    </w:p>
    <w:p w14:paraId="711085DE">
      <w:pPr>
        <w:pStyle w:val="65"/>
        <w:kinsoku/>
        <w:topLinePunct w:val="0"/>
        <w:bidi w:val="0"/>
        <w:snapToGrid w:val="0"/>
        <w:spacing w:line="360" w:lineRule="auto"/>
        <w:ind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3</w:t>
      </w:r>
      <w:r>
        <w:rPr>
          <w:rFonts w:hint="eastAsia" w:ascii="仿宋" w:hAnsi="仿宋" w:eastAsia="仿宋" w:cs="仿宋"/>
          <w:b/>
          <w:bCs/>
          <w:color w:val="auto"/>
          <w:sz w:val="24"/>
          <w:szCs w:val="24"/>
          <w:lang w:val="en-US" w:eastAsia="zh-CN"/>
        </w:rPr>
        <w:t>7</w:t>
      </w:r>
      <w:r>
        <w:rPr>
          <w:rFonts w:hint="eastAsia" w:ascii="仿宋" w:hAnsi="仿宋" w:eastAsia="仿宋" w:cs="仿宋"/>
          <w:b/>
          <w:bCs/>
          <w:color w:val="auto"/>
          <w:sz w:val="24"/>
          <w:szCs w:val="24"/>
        </w:rPr>
        <w:t>.其他事项</w:t>
      </w:r>
    </w:p>
    <w:p w14:paraId="21EC9BD9">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val="en-US" w:eastAsia="zh-CN"/>
        </w:rPr>
        <w:t>7</w:t>
      </w:r>
      <w:r>
        <w:rPr>
          <w:rFonts w:hint="eastAsia" w:ascii="仿宋" w:hAnsi="仿宋" w:eastAsia="仿宋" w:cs="仿宋"/>
          <w:bCs/>
          <w:color w:val="auto"/>
          <w:spacing w:val="-2"/>
          <w:sz w:val="24"/>
          <w:szCs w:val="24"/>
        </w:rPr>
        <w:t>.1本磋商文件是根据《中华人民共和国政府采购法》、《政府采购竞争性磋商采购方式管理暂行办法》的规定编制，解释权属中合安建工程管理有限公司。</w:t>
      </w:r>
    </w:p>
    <w:p w14:paraId="0D239399">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val="en-US" w:eastAsia="zh-CN"/>
        </w:rPr>
        <w:t>7</w:t>
      </w:r>
      <w:r>
        <w:rPr>
          <w:rFonts w:hint="eastAsia" w:ascii="仿宋" w:hAnsi="仿宋" w:eastAsia="仿宋" w:cs="仿宋"/>
          <w:bCs/>
          <w:color w:val="auto"/>
          <w:spacing w:val="-2"/>
          <w:sz w:val="24"/>
          <w:szCs w:val="24"/>
        </w:rPr>
        <w:t>.2参与本次磋商的供应商应当有商务、技术人员对磋商小组提出商务、技术问题进行答疑。</w:t>
      </w:r>
    </w:p>
    <w:p w14:paraId="28E21E2A">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bookmarkStart w:id="13" w:name="_Toc148434319"/>
      <w:bookmarkStart w:id="14" w:name="_Toc149723968"/>
      <w:bookmarkStart w:id="15" w:name="_Toc417600059"/>
      <w:bookmarkStart w:id="16" w:name="_Toc414448313"/>
      <w:bookmarkStart w:id="17" w:name="_Toc16526"/>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val="en-US" w:eastAsia="zh-CN"/>
        </w:rPr>
        <w:t>8</w:t>
      </w:r>
      <w:r>
        <w:rPr>
          <w:rFonts w:hint="eastAsia" w:ascii="仿宋" w:hAnsi="仿宋" w:eastAsia="仿宋" w:cs="仿宋"/>
          <w:bCs/>
          <w:color w:val="auto"/>
          <w:spacing w:val="-2"/>
          <w:sz w:val="24"/>
          <w:szCs w:val="24"/>
        </w:rPr>
        <w:t>.处罚、询问、质疑</w:t>
      </w:r>
      <w:bookmarkEnd w:id="13"/>
      <w:bookmarkEnd w:id="14"/>
      <w:r>
        <w:rPr>
          <w:rFonts w:hint="eastAsia" w:ascii="仿宋" w:hAnsi="仿宋" w:eastAsia="仿宋" w:cs="仿宋"/>
          <w:bCs/>
          <w:color w:val="auto"/>
          <w:spacing w:val="-2"/>
          <w:sz w:val="24"/>
          <w:szCs w:val="24"/>
        </w:rPr>
        <w:t>和投诉</w:t>
      </w:r>
      <w:bookmarkEnd w:id="15"/>
      <w:bookmarkEnd w:id="16"/>
      <w:bookmarkEnd w:id="17"/>
    </w:p>
    <w:p w14:paraId="05ABF2F9">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val="en-US" w:eastAsia="zh-CN"/>
        </w:rPr>
        <w:t>8</w:t>
      </w:r>
      <w:r>
        <w:rPr>
          <w:rFonts w:hint="eastAsia" w:ascii="仿宋" w:hAnsi="仿宋" w:eastAsia="仿宋" w:cs="仿宋"/>
          <w:bCs/>
          <w:color w:val="auto"/>
          <w:spacing w:val="-2"/>
          <w:sz w:val="24"/>
          <w:szCs w:val="24"/>
        </w:rPr>
        <w:t>.1处罚</w:t>
      </w:r>
    </w:p>
    <w:p w14:paraId="3094F966">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发生下列情况之一，供应商的磋商保证金不予退还：</w:t>
      </w:r>
    </w:p>
    <w:p w14:paraId="5E3087B5">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（1</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开标后在磋商有效期内，供应商撤回其投标</w:t>
      </w:r>
      <w:r>
        <w:rPr>
          <w:rFonts w:hint="eastAsia" w:ascii="仿宋" w:hAnsi="仿宋" w:eastAsia="仿宋" w:cs="仿宋"/>
          <w:bCs/>
          <w:color w:val="auto"/>
          <w:spacing w:val="-2"/>
          <w:sz w:val="24"/>
          <w:szCs w:val="24"/>
          <w:lang w:eastAsia="zh-CN"/>
        </w:rPr>
        <w:t>；</w:t>
      </w:r>
    </w:p>
    <w:p w14:paraId="06D319CD">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（2</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提供虚假材料谋取中标、成交的</w:t>
      </w:r>
      <w:r>
        <w:rPr>
          <w:rFonts w:hint="eastAsia" w:ascii="仿宋" w:hAnsi="仿宋" w:eastAsia="仿宋" w:cs="仿宋"/>
          <w:bCs/>
          <w:color w:val="auto"/>
          <w:spacing w:val="-2"/>
          <w:sz w:val="24"/>
          <w:szCs w:val="24"/>
          <w:lang w:eastAsia="zh-CN"/>
        </w:rPr>
        <w:t>；</w:t>
      </w:r>
    </w:p>
    <w:p w14:paraId="6B91884A">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成交供应商未按本竞争性磋商文件规定签约</w:t>
      </w:r>
      <w:r>
        <w:rPr>
          <w:rFonts w:hint="eastAsia" w:ascii="仿宋" w:hAnsi="仿宋" w:eastAsia="仿宋" w:cs="仿宋"/>
          <w:bCs/>
          <w:color w:val="auto"/>
          <w:spacing w:val="-2"/>
          <w:sz w:val="24"/>
          <w:szCs w:val="24"/>
          <w:lang w:eastAsia="zh-CN"/>
        </w:rPr>
        <w:t>；</w:t>
      </w:r>
    </w:p>
    <w:p w14:paraId="49266F46">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成交供应商在签约后5个工作日内，未能按竞争性磋商文件的规定提交合同履约磋商保证金或开具可接受的合同履约磋商保证金保函（视为不具备签订合同条件</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或合同履约磋商保证金保函弄虚作假的</w:t>
      </w:r>
      <w:r>
        <w:rPr>
          <w:rFonts w:hint="eastAsia" w:ascii="仿宋" w:hAnsi="仿宋" w:eastAsia="仿宋" w:cs="仿宋"/>
          <w:bCs/>
          <w:color w:val="auto"/>
          <w:spacing w:val="-2"/>
          <w:sz w:val="24"/>
          <w:szCs w:val="24"/>
          <w:lang w:eastAsia="zh-CN"/>
        </w:rPr>
        <w:t>；</w:t>
      </w:r>
    </w:p>
    <w:p w14:paraId="6287BBF3">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（5</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成交供应商未能按竞争性磋商文件规定缴纳招标代理服务费。</w:t>
      </w:r>
    </w:p>
    <w:p w14:paraId="0C424C39">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供应商有下列情形之一的</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处以政府采购项目中标金额千分之五以上千分之十以下的罚款</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 xml:space="preserve"> 列入不良行为记录名单</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在一至三年内禁止参加政府采购活动</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并予以通报</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有违法所得的</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并处没收违法所得</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情节严重的</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由工商行政管理机关吊销营业执照</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构成犯罪的，依法追究刑事责任：</w:t>
      </w:r>
    </w:p>
    <w:p w14:paraId="6672CC3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1</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提供虚假材料谋取中标的</w:t>
      </w:r>
      <w:r>
        <w:rPr>
          <w:rFonts w:hint="eastAsia" w:ascii="仿宋" w:hAnsi="仿宋" w:eastAsia="仿宋" w:cs="仿宋"/>
          <w:bCs/>
          <w:color w:val="auto"/>
          <w:spacing w:val="-2"/>
          <w:sz w:val="24"/>
          <w:szCs w:val="24"/>
          <w:lang w:eastAsia="zh-CN"/>
        </w:rPr>
        <w:t>；</w:t>
      </w:r>
    </w:p>
    <w:p w14:paraId="5D1266CD">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2</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采取不正当手段诋毁、排挤其他供应商的</w:t>
      </w:r>
      <w:r>
        <w:rPr>
          <w:rFonts w:hint="eastAsia" w:ascii="仿宋" w:hAnsi="仿宋" w:eastAsia="仿宋" w:cs="仿宋"/>
          <w:bCs/>
          <w:color w:val="auto"/>
          <w:spacing w:val="-2"/>
          <w:sz w:val="24"/>
          <w:szCs w:val="24"/>
          <w:lang w:eastAsia="zh-CN"/>
        </w:rPr>
        <w:t>；</w:t>
      </w:r>
    </w:p>
    <w:p w14:paraId="25FE9F1D">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与采购人、其他供应商或者采购代理机构恶意串通的</w:t>
      </w:r>
      <w:r>
        <w:rPr>
          <w:rFonts w:hint="eastAsia" w:ascii="仿宋" w:hAnsi="仿宋" w:eastAsia="仿宋" w:cs="仿宋"/>
          <w:bCs/>
          <w:color w:val="auto"/>
          <w:spacing w:val="-2"/>
          <w:sz w:val="24"/>
          <w:szCs w:val="24"/>
          <w:lang w:eastAsia="zh-CN"/>
        </w:rPr>
        <w:t>；</w:t>
      </w:r>
    </w:p>
    <w:p w14:paraId="342AF0C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向采购人、采购代理机构行贿或者提供其他不正当利益的</w:t>
      </w:r>
      <w:r>
        <w:rPr>
          <w:rFonts w:hint="eastAsia" w:ascii="仿宋" w:hAnsi="仿宋" w:eastAsia="仿宋" w:cs="仿宋"/>
          <w:bCs/>
          <w:color w:val="auto"/>
          <w:spacing w:val="-2"/>
          <w:sz w:val="24"/>
          <w:szCs w:val="24"/>
          <w:lang w:eastAsia="zh-CN"/>
        </w:rPr>
        <w:t>；</w:t>
      </w:r>
    </w:p>
    <w:p w14:paraId="6E64DD6F">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5</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在招标采购过程中与采购人进行协商磋商的、不按照竞争性磋商文件和成交供应商的响应文件订立合同，或者与采购人另行订立背离合同实质性内容的协议的</w:t>
      </w:r>
      <w:r>
        <w:rPr>
          <w:rFonts w:hint="eastAsia" w:ascii="仿宋" w:hAnsi="仿宋" w:eastAsia="仿宋" w:cs="仿宋"/>
          <w:bCs/>
          <w:color w:val="auto"/>
          <w:spacing w:val="-2"/>
          <w:sz w:val="24"/>
          <w:szCs w:val="24"/>
          <w:lang w:eastAsia="zh-CN"/>
        </w:rPr>
        <w:t>；</w:t>
      </w:r>
    </w:p>
    <w:p w14:paraId="2E8FD9EB">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6</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拒绝有关部门监督检查或者提供虚假情况的。</w:t>
      </w:r>
    </w:p>
    <w:p w14:paraId="5FA7EA1B">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供应商有前款1</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至5</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项情形之一的，中标无效。</w:t>
      </w:r>
    </w:p>
    <w:p w14:paraId="47CCF090">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val="en-US" w:eastAsia="zh-CN"/>
        </w:rPr>
        <w:t>8</w:t>
      </w:r>
      <w:r>
        <w:rPr>
          <w:rFonts w:hint="eastAsia" w:ascii="仿宋" w:hAnsi="仿宋" w:eastAsia="仿宋" w:cs="仿宋"/>
          <w:bCs/>
          <w:color w:val="auto"/>
          <w:spacing w:val="-2"/>
          <w:sz w:val="24"/>
          <w:szCs w:val="24"/>
        </w:rPr>
        <w:t>.2询问</w:t>
      </w:r>
    </w:p>
    <w:p w14:paraId="1C35AD97">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供应商有权就磋商程序或签订合同的事宜提出询问</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供应商对采购事项有疑问的，可以向采购人提出询问。</w:t>
      </w:r>
    </w:p>
    <w:p w14:paraId="52513533">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val="en-US" w:eastAsia="zh-CN"/>
        </w:rPr>
        <w:t>8</w:t>
      </w:r>
      <w:r>
        <w:rPr>
          <w:rFonts w:hint="eastAsia" w:ascii="仿宋" w:hAnsi="仿宋" w:eastAsia="仿宋" w:cs="仿宋"/>
          <w:bCs/>
          <w:color w:val="auto"/>
          <w:spacing w:val="-2"/>
          <w:sz w:val="24"/>
          <w:szCs w:val="24"/>
        </w:rPr>
        <w:t>.3质疑与投诉</w:t>
      </w:r>
    </w:p>
    <w:p w14:paraId="1072B9FA">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（1</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供应商认为磋商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14:paraId="1C555422">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（2</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质疑函的必备内容</w:t>
      </w:r>
    </w:p>
    <w:p w14:paraId="10896B8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1</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供应商提交的质疑函必须注明单位名称、地址、邮编、可供查询的单位和法定代表人的电话号码、联系人电话</w:t>
      </w:r>
      <w:r>
        <w:rPr>
          <w:rFonts w:hint="eastAsia" w:ascii="仿宋" w:hAnsi="仿宋" w:eastAsia="仿宋" w:cs="仿宋"/>
          <w:bCs/>
          <w:color w:val="auto"/>
          <w:spacing w:val="-2"/>
          <w:sz w:val="24"/>
          <w:szCs w:val="24"/>
          <w:lang w:eastAsia="zh-CN"/>
        </w:rPr>
        <w:t>；</w:t>
      </w:r>
    </w:p>
    <w:p w14:paraId="02EFD9D7">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2</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质疑项目的名称、编号</w:t>
      </w:r>
      <w:r>
        <w:rPr>
          <w:rFonts w:hint="eastAsia" w:ascii="仿宋" w:hAnsi="仿宋" w:eastAsia="仿宋" w:cs="仿宋"/>
          <w:bCs/>
          <w:color w:val="auto"/>
          <w:spacing w:val="-2"/>
          <w:sz w:val="24"/>
          <w:szCs w:val="24"/>
          <w:lang w:eastAsia="zh-CN"/>
        </w:rPr>
        <w:t>；</w:t>
      </w:r>
    </w:p>
    <w:p w14:paraId="4684C9DF">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具体质疑事项和与质疑事项相关的请求</w:t>
      </w:r>
      <w:r>
        <w:rPr>
          <w:rFonts w:hint="eastAsia" w:ascii="仿宋" w:hAnsi="仿宋" w:eastAsia="仿宋" w:cs="仿宋"/>
          <w:bCs/>
          <w:color w:val="auto"/>
          <w:spacing w:val="-2"/>
          <w:sz w:val="24"/>
          <w:szCs w:val="24"/>
          <w:lang w:eastAsia="zh-CN"/>
        </w:rPr>
        <w:t>；</w:t>
      </w:r>
    </w:p>
    <w:p w14:paraId="6F4155C4">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事实依据</w:t>
      </w:r>
      <w:r>
        <w:rPr>
          <w:rFonts w:hint="eastAsia" w:ascii="仿宋" w:hAnsi="仿宋" w:eastAsia="仿宋" w:cs="仿宋"/>
          <w:bCs/>
          <w:color w:val="auto"/>
          <w:spacing w:val="-2"/>
          <w:sz w:val="24"/>
          <w:szCs w:val="24"/>
          <w:lang w:eastAsia="zh-CN"/>
        </w:rPr>
        <w:t>；</w:t>
      </w:r>
    </w:p>
    <w:p w14:paraId="3884244F">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5</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提起质疑的日期</w:t>
      </w:r>
      <w:r>
        <w:rPr>
          <w:rFonts w:hint="eastAsia" w:ascii="仿宋" w:hAnsi="仿宋" w:eastAsia="仿宋" w:cs="仿宋"/>
          <w:bCs/>
          <w:color w:val="auto"/>
          <w:spacing w:val="-2"/>
          <w:sz w:val="24"/>
          <w:szCs w:val="24"/>
          <w:lang w:eastAsia="zh-CN"/>
        </w:rPr>
        <w:t>；</w:t>
      </w:r>
    </w:p>
    <w:p w14:paraId="4071B7F3">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6</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质疑函须加盖单位公章，由法定代表人签章。</w:t>
      </w:r>
    </w:p>
    <w:p w14:paraId="65AAC988">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7</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委托代理人递交质疑函的，还须提交委托质疑事项的授权委托书（附法定代表人和被授权人的身份证正反面</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，加盖单位公章和法定代表人签章和被授权人签章，同时出示被授权人身份证。</w:t>
      </w:r>
    </w:p>
    <w:p w14:paraId="64024198">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质疑应符合下列条件：</w:t>
      </w:r>
    </w:p>
    <w:p w14:paraId="459B403B">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1</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质疑人是参与所质疑项目的采购活动的供应商</w:t>
      </w:r>
      <w:r>
        <w:rPr>
          <w:rFonts w:hint="eastAsia" w:ascii="仿宋" w:hAnsi="仿宋" w:eastAsia="仿宋" w:cs="仿宋"/>
          <w:bCs/>
          <w:color w:val="auto"/>
          <w:spacing w:val="-2"/>
          <w:sz w:val="24"/>
          <w:szCs w:val="24"/>
          <w:lang w:eastAsia="zh-CN"/>
        </w:rPr>
        <w:t>；</w:t>
      </w:r>
    </w:p>
    <w:p w14:paraId="6FFBF35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2</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质疑函内容符合相关的规定</w:t>
      </w:r>
      <w:r>
        <w:rPr>
          <w:rFonts w:hint="eastAsia" w:ascii="仿宋" w:hAnsi="仿宋" w:eastAsia="仿宋" w:cs="仿宋"/>
          <w:bCs/>
          <w:color w:val="auto"/>
          <w:spacing w:val="-2"/>
          <w:sz w:val="24"/>
          <w:szCs w:val="24"/>
          <w:lang w:eastAsia="zh-CN"/>
        </w:rPr>
        <w:t>；</w:t>
      </w:r>
    </w:p>
    <w:p w14:paraId="2FB4587B">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3</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在规定的有效期限内提起质疑</w:t>
      </w:r>
      <w:r>
        <w:rPr>
          <w:rFonts w:hint="eastAsia" w:ascii="仿宋" w:hAnsi="仿宋" w:eastAsia="仿宋" w:cs="仿宋"/>
          <w:bCs/>
          <w:color w:val="auto"/>
          <w:spacing w:val="-2"/>
          <w:sz w:val="24"/>
          <w:szCs w:val="24"/>
          <w:lang w:eastAsia="zh-CN"/>
        </w:rPr>
        <w:t>；</w:t>
      </w:r>
    </w:p>
    <w:p w14:paraId="34B33FED">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招投标监管部门规定的其他条件。</w:t>
      </w:r>
    </w:p>
    <w:p w14:paraId="5BA82763">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采购人在收到供应商的书面质疑后七个工作日内作出答复，并以书面形式通知质疑供应商和其他有关供应商，但答复的内容不涉及商业秘密。</w:t>
      </w:r>
    </w:p>
    <w:p w14:paraId="5CFBD4F5">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（5</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4425AC98">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bookmarkStart w:id="18" w:name="_Toc414448314"/>
      <w:bookmarkStart w:id="19" w:name="_Toc22210"/>
      <w:bookmarkStart w:id="20" w:name="_Toc417600060"/>
      <w:r>
        <w:rPr>
          <w:rFonts w:hint="eastAsia" w:ascii="仿宋" w:hAnsi="仿宋" w:eastAsia="仿宋" w:cs="仿宋"/>
          <w:bCs/>
          <w:color w:val="auto"/>
          <w:spacing w:val="-2"/>
          <w:sz w:val="24"/>
          <w:szCs w:val="24"/>
          <w:lang w:val="en-US" w:eastAsia="zh-CN"/>
        </w:rPr>
        <w:t>39</w:t>
      </w:r>
      <w:r>
        <w:rPr>
          <w:rFonts w:hint="eastAsia" w:ascii="仿宋" w:hAnsi="仿宋" w:eastAsia="仿宋" w:cs="仿宋"/>
          <w:bCs/>
          <w:color w:val="auto"/>
          <w:spacing w:val="-2"/>
          <w:sz w:val="24"/>
          <w:szCs w:val="24"/>
        </w:rPr>
        <w:t>.纪律和监督</w:t>
      </w:r>
      <w:bookmarkEnd w:id="18"/>
      <w:bookmarkEnd w:id="19"/>
      <w:bookmarkEnd w:id="20"/>
      <w:bookmarkStart w:id="21" w:name="_Hlt46143102"/>
      <w:bookmarkEnd w:id="21"/>
      <w:bookmarkStart w:id="22" w:name="_Hlt42235894"/>
      <w:bookmarkEnd w:id="22"/>
      <w:bookmarkStart w:id="23" w:name="_Hlt46200272"/>
      <w:bookmarkEnd w:id="23"/>
      <w:bookmarkStart w:id="24" w:name="_Hlt42156005"/>
      <w:bookmarkEnd w:id="24"/>
      <w:bookmarkStart w:id="25" w:name="_Hlt42228925"/>
      <w:bookmarkEnd w:id="25"/>
      <w:bookmarkStart w:id="26" w:name="_Hlt42155898"/>
      <w:bookmarkEnd w:id="26"/>
    </w:p>
    <w:p w14:paraId="745B2B24">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lang w:val="en-US" w:eastAsia="zh-CN"/>
        </w:rPr>
        <w:t>39</w:t>
      </w:r>
      <w:r>
        <w:rPr>
          <w:rFonts w:hint="eastAsia" w:ascii="仿宋" w:hAnsi="仿宋" w:eastAsia="仿宋" w:cs="仿宋"/>
          <w:bCs/>
          <w:color w:val="auto"/>
          <w:spacing w:val="-2"/>
          <w:sz w:val="24"/>
          <w:szCs w:val="24"/>
        </w:rPr>
        <w:t>.1对采购人纪律要求</w:t>
      </w:r>
    </w:p>
    <w:p w14:paraId="689301C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采购人不得泄漏采购活动中应当保密的情况和资料，不得与供应商串通损害国家利益、社会公共利益或者他人合法权益。</w:t>
      </w:r>
    </w:p>
    <w:p w14:paraId="6AB9343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lang w:val="en-US" w:eastAsia="zh-CN"/>
        </w:rPr>
        <w:t>39</w:t>
      </w:r>
      <w:r>
        <w:rPr>
          <w:rFonts w:hint="eastAsia" w:ascii="仿宋" w:hAnsi="仿宋" w:eastAsia="仿宋" w:cs="仿宋"/>
          <w:bCs/>
          <w:color w:val="auto"/>
          <w:spacing w:val="-2"/>
          <w:sz w:val="24"/>
          <w:szCs w:val="24"/>
        </w:rPr>
        <w:t>.2对供应商的纪律要求</w:t>
      </w:r>
    </w:p>
    <w:p w14:paraId="5E162AC1">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供应商不得相互串通或者与采购人串通，不得向采购人或者磋商小组成员行贿谋取中标，不得以他人名义或者以其他方式弄虚作假骗取中标，供应商不得以任何方式干扰、影响评审工作。</w:t>
      </w:r>
    </w:p>
    <w:p w14:paraId="13730E19">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lang w:val="en-US" w:eastAsia="zh-CN"/>
        </w:rPr>
        <w:t>39</w:t>
      </w:r>
      <w:r>
        <w:rPr>
          <w:rFonts w:hint="eastAsia" w:ascii="仿宋" w:hAnsi="仿宋" w:eastAsia="仿宋" w:cs="仿宋"/>
          <w:bCs/>
          <w:color w:val="auto"/>
          <w:spacing w:val="-2"/>
          <w:sz w:val="24"/>
          <w:szCs w:val="24"/>
        </w:rPr>
        <w:t>.3对磋商小组成员的纪律要求</w:t>
      </w:r>
    </w:p>
    <w:p w14:paraId="3FF0A2B5">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14:paraId="0D9EDA7D">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lang w:val="en-US" w:eastAsia="zh-CN"/>
        </w:rPr>
        <w:t>39</w:t>
      </w:r>
      <w:r>
        <w:rPr>
          <w:rFonts w:hint="eastAsia" w:ascii="仿宋" w:hAnsi="仿宋" w:eastAsia="仿宋" w:cs="仿宋"/>
          <w:bCs/>
          <w:color w:val="auto"/>
          <w:spacing w:val="-2"/>
          <w:sz w:val="24"/>
          <w:szCs w:val="24"/>
        </w:rPr>
        <w:t>.4对与评审活动有关的工作人员的纪律要求</w:t>
      </w:r>
    </w:p>
    <w:p w14:paraId="2230B3FF">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14:paraId="4175F529">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lang w:val="en-US" w:eastAsia="zh-CN"/>
        </w:rPr>
        <w:t>39</w:t>
      </w:r>
      <w:r>
        <w:rPr>
          <w:rFonts w:hint="eastAsia" w:ascii="仿宋" w:hAnsi="仿宋" w:eastAsia="仿宋" w:cs="仿宋"/>
          <w:bCs/>
          <w:color w:val="auto"/>
          <w:spacing w:val="-2"/>
          <w:sz w:val="24"/>
          <w:szCs w:val="24"/>
        </w:rPr>
        <w:t>.5监督</w:t>
      </w:r>
    </w:p>
    <w:p w14:paraId="654AF039">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供应商和其他利害关系人认为本次招标活动违反法律、法规和规章规定的，有权向有关行政监督部门反映（投诉</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w:t>
      </w:r>
    </w:p>
    <w:p w14:paraId="06EE9BB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bookmarkStart w:id="27" w:name="_Toc20348"/>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0</w:t>
      </w:r>
      <w:r>
        <w:rPr>
          <w:rFonts w:hint="eastAsia" w:ascii="仿宋" w:hAnsi="仿宋" w:eastAsia="仿宋" w:cs="仿宋"/>
          <w:bCs/>
          <w:color w:val="auto"/>
          <w:spacing w:val="-2"/>
          <w:sz w:val="24"/>
          <w:szCs w:val="24"/>
        </w:rPr>
        <w:t>.磋商</w:t>
      </w:r>
      <w:bookmarkEnd w:id="27"/>
      <w:r>
        <w:rPr>
          <w:rFonts w:hint="eastAsia" w:ascii="仿宋" w:hAnsi="仿宋" w:eastAsia="仿宋" w:cs="仿宋"/>
          <w:bCs/>
          <w:color w:val="auto"/>
          <w:spacing w:val="-2"/>
          <w:sz w:val="24"/>
          <w:szCs w:val="24"/>
        </w:rPr>
        <w:t>保证金</w:t>
      </w:r>
    </w:p>
    <w:p w14:paraId="0AD9841F">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0</w:t>
      </w:r>
      <w:r>
        <w:rPr>
          <w:rFonts w:hint="eastAsia" w:ascii="仿宋" w:hAnsi="仿宋" w:eastAsia="仿宋" w:cs="仿宋"/>
          <w:bCs/>
          <w:color w:val="auto"/>
          <w:spacing w:val="-2"/>
          <w:sz w:val="24"/>
          <w:szCs w:val="24"/>
        </w:rPr>
        <w:t>.1磋商保证金用于保护采购人在本次采购免受因供应商的行为而蒙受损失。</w:t>
      </w:r>
    </w:p>
    <w:p w14:paraId="55AE404C">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0</w:t>
      </w:r>
      <w:r>
        <w:rPr>
          <w:rFonts w:hint="eastAsia" w:ascii="仿宋" w:hAnsi="仿宋" w:eastAsia="仿宋" w:cs="仿宋"/>
          <w:bCs/>
          <w:color w:val="auto"/>
          <w:spacing w:val="-2"/>
          <w:sz w:val="24"/>
          <w:szCs w:val="24"/>
        </w:rPr>
        <w:t>.2供应商应向采购人提交本竞争性磋商文件第二部分规定数额的磋商保证金，并作为其响应的一部分。</w:t>
      </w:r>
    </w:p>
    <w:p w14:paraId="18E595CE">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0</w:t>
      </w:r>
      <w:r>
        <w:rPr>
          <w:rFonts w:hint="eastAsia" w:ascii="仿宋" w:hAnsi="仿宋" w:eastAsia="仿宋" w:cs="仿宋"/>
          <w:bCs/>
          <w:color w:val="auto"/>
          <w:spacing w:val="-2"/>
          <w:sz w:val="24"/>
          <w:szCs w:val="24"/>
        </w:rPr>
        <w:t>.3供应商可以通过电汇金方式交纳磋商保证金。</w:t>
      </w:r>
    </w:p>
    <w:p w14:paraId="3AB0AC6B">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0</w:t>
      </w:r>
      <w:r>
        <w:rPr>
          <w:rFonts w:hint="eastAsia" w:ascii="仿宋" w:hAnsi="仿宋" w:eastAsia="仿宋" w:cs="仿宋"/>
          <w:bCs/>
          <w:color w:val="auto"/>
          <w:spacing w:val="-2"/>
          <w:sz w:val="24"/>
          <w:szCs w:val="24"/>
        </w:rPr>
        <w:t>.4未按规定提交投磋商证金的响应，将被视为自动放弃予以拒绝。</w:t>
      </w:r>
    </w:p>
    <w:p w14:paraId="26D361A2">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0</w:t>
      </w:r>
      <w:r>
        <w:rPr>
          <w:rFonts w:hint="eastAsia" w:ascii="仿宋" w:hAnsi="仿宋" w:eastAsia="仿宋" w:cs="仿宋"/>
          <w:bCs/>
          <w:color w:val="auto"/>
          <w:spacing w:val="-2"/>
          <w:sz w:val="24"/>
          <w:szCs w:val="24"/>
        </w:rPr>
        <w:t>.5成交供应商的磋商保证金将在成交供应商与采购人签订合同、提交履约磋商保证金后退还（由采购代理机构退还</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，未成交供商磋商保证金在成交合同公示后，同成交供应商磋商保证金一起退还（由采购代理机构退还</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w:t>
      </w:r>
    </w:p>
    <w:p w14:paraId="165558C0">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bookmarkStart w:id="28" w:name="_Toc9595"/>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1</w:t>
      </w:r>
      <w:r>
        <w:rPr>
          <w:rFonts w:hint="eastAsia" w:ascii="仿宋" w:hAnsi="仿宋" w:eastAsia="仿宋" w:cs="仿宋"/>
          <w:bCs/>
          <w:color w:val="auto"/>
          <w:spacing w:val="-2"/>
          <w:sz w:val="24"/>
          <w:szCs w:val="24"/>
        </w:rPr>
        <w:t>.履约磋商保证金（保函</w:t>
      </w:r>
      <w:bookmarkEnd w:id="28"/>
      <w:r>
        <w:rPr>
          <w:rFonts w:hint="eastAsia" w:ascii="仿宋" w:hAnsi="仿宋" w:eastAsia="仿宋" w:cs="仿宋"/>
          <w:bCs/>
          <w:color w:val="auto"/>
          <w:spacing w:val="-2"/>
          <w:sz w:val="24"/>
          <w:szCs w:val="24"/>
          <w:lang w:eastAsia="zh-CN"/>
        </w:rPr>
        <w:t>）</w:t>
      </w:r>
    </w:p>
    <w:p w14:paraId="633A6982">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lang w:eastAsia="zh-CN"/>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1</w:t>
      </w:r>
      <w:r>
        <w:rPr>
          <w:rFonts w:hint="eastAsia" w:ascii="仿宋" w:hAnsi="仿宋" w:eastAsia="仿宋" w:cs="仿宋"/>
          <w:bCs/>
          <w:color w:val="auto"/>
          <w:spacing w:val="-2"/>
          <w:sz w:val="24"/>
          <w:szCs w:val="24"/>
        </w:rPr>
        <w:t>.1履约磋商保证金用于保护采购人在本次合同履约过程中免受因供应商的行为而蒙受损失</w:t>
      </w:r>
      <w:r>
        <w:rPr>
          <w:rFonts w:hint="eastAsia" w:ascii="仿宋" w:hAnsi="仿宋" w:eastAsia="仿宋" w:cs="仿宋"/>
          <w:bCs/>
          <w:color w:val="auto"/>
          <w:spacing w:val="-2"/>
          <w:sz w:val="24"/>
          <w:szCs w:val="24"/>
          <w:lang w:eastAsia="zh-CN"/>
        </w:rPr>
        <w:t>；</w:t>
      </w:r>
    </w:p>
    <w:p w14:paraId="52EE7D10">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1</w:t>
      </w:r>
      <w:r>
        <w:rPr>
          <w:rFonts w:hint="eastAsia" w:ascii="仿宋" w:hAnsi="仿宋" w:eastAsia="仿宋" w:cs="仿宋"/>
          <w:bCs/>
          <w:color w:val="auto"/>
          <w:spacing w:val="-2"/>
          <w:sz w:val="24"/>
          <w:szCs w:val="24"/>
        </w:rPr>
        <w:t>.2成交供应商收到《成交通知书》，正式签订合同后5个工作日内，须按竞争性磋商文件的规定提交合同履约磋商保证金（保函</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，履约磋商保证金（保函</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金额不得超过合同总额的10%，由采购人和中标人协商执行。本项目无需缴纳履约保证金。</w:t>
      </w:r>
    </w:p>
    <w:p w14:paraId="2240AAAD">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1</w:t>
      </w:r>
      <w:r>
        <w:rPr>
          <w:rFonts w:hint="eastAsia" w:ascii="仿宋" w:hAnsi="仿宋" w:eastAsia="仿宋" w:cs="仿宋"/>
          <w:bCs/>
          <w:color w:val="auto"/>
          <w:spacing w:val="-2"/>
          <w:sz w:val="24"/>
          <w:szCs w:val="24"/>
        </w:rPr>
        <w:t>.3供应商可以通过支票、电汇、银行保函等非现金方式交纳履约磋商保证金。</w:t>
      </w:r>
    </w:p>
    <w:p w14:paraId="25E07CDA">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1</w:t>
      </w:r>
      <w:r>
        <w:rPr>
          <w:rFonts w:hint="eastAsia" w:ascii="仿宋" w:hAnsi="仿宋" w:eastAsia="仿宋" w:cs="仿宋"/>
          <w:bCs/>
          <w:color w:val="auto"/>
          <w:spacing w:val="-2"/>
          <w:sz w:val="24"/>
          <w:szCs w:val="24"/>
        </w:rPr>
        <w:t>.4成交供应商自行承担与按规定提供履约保证金（保函</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有关的全部费用。</w:t>
      </w:r>
    </w:p>
    <w:p w14:paraId="30226E0B">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1</w:t>
      </w:r>
      <w:r>
        <w:rPr>
          <w:rFonts w:hint="eastAsia" w:ascii="仿宋" w:hAnsi="仿宋" w:eastAsia="仿宋" w:cs="仿宋"/>
          <w:bCs/>
          <w:color w:val="auto"/>
          <w:spacing w:val="-2"/>
          <w:sz w:val="24"/>
          <w:szCs w:val="24"/>
        </w:rPr>
        <w:t>.5如果成交供应商未能按合同规定履行其义务，采购人有权没收履约磋商保证金。</w:t>
      </w:r>
    </w:p>
    <w:p w14:paraId="33E47456">
      <w:pPr>
        <w:pStyle w:val="65"/>
        <w:kinsoku/>
        <w:topLinePunct w:val="0"/>
        <w:bidi w:val="0"/>
        <w:snapToGrid w:val="0"/>
        <w:spacing w:line="360" w:lineRule="auto"/>
        <w:ind w:firstLine="472" w:firstLineChars="200"/>
        <w:textAlignment w:val="auto"/>
        <w:outlineLvl w:val="9"/>
        <w:rPr>
          <w:rFonts w:hint="eastAsia" w:ascii="仿宋" w:hAnsi="仿宋" w:eastAsia="仿宋" w:cs="仿宋"/>
          <w:bCs/>
          <w:color w:val="auto"/>
          <w:spacing w:val="-2"/>
          <w:sz w:val="24"/>
          <w:szCs w:val="24"/>
        </w:rPr>
      </w:pPr>
      <w:r>
        <w:rPr>
          <w:rFonts w:hint="eastAsia" w:ascii="仿宋" w:hAnsi="仿宋" w:eastAsia="仿宋" w:cs="仿宋"/>
          <w:bCs/>
          <w:color w:val="auto"/>
          <w:spacing w:val="-2"/>
          <w:sz w:val="24"/>
          <w:szCs w:val="24"/>
        </w:rPr>
        <w:t>4</w:t>
      </w:r>
      <w:r>
        <w:rPr>
          <w:rFonts w:hint="eastAsia" w:ascii="仿宋" w:hAnsi="仿宋" w:eastAsia="仿宋" w:cs="仿宋"/>
          <w:bCs/>
          <w:color w:val="auto"/>
          <w:spacing w:val="-2"/>
          <w:sz w:val="24"/>
          <w:szCs w:val="24"/>
          <w:lang w:val="en-US" w:eastAsia="zh-CN"/>
        </w:rPr>
        <w:t>1</w:t>
      </w:r>
      <w:r>
        <w:rPr>
          <w:rFonts w:hint="eastAsia" w:ascii="仿宋" w:hAnsi="仿宋" w:eastAsia="仿宋" w:cs="仿宋"/>
          <w:bCs/>
          <w:color w:val="auto"/>
          <w:spacing w:val="-2"/>
          <w:sz w:val="24"/>
          <w:szCs w:val="24"/>
        </w:rPr>
        <w:t>.6成交供应商提交的履约保证金（保函</w:t>
      </w:r>
      <w:r>
        <w:rPr>
          <w:rFonts w:hint="eastAsia" w:ascii="仿宋" w:hAnsi="仿宋" w:eastAsia="仿宋" w:cs="仿宋"/>
          <w:bCs/>
          <w:color w:val="auto"/>
          <w:spacing w:val="-2"/>
          <w:sz w:val="24"/>
          <w:szCs w:val="24"/>
          <w:lang w:eastAsia="zh-CN"/>
        </w:rPr>
        <w:t>）</w:t>
      </w:r>
      <w:r>
        <w:rPr>
          <w:rFonts w:hint="eastAsia" w:ascii="仿宋" w:hAnsi="仿宋" w:eastAsia="仿宋" w:cs="仿宋"/>
          <w:bCs/>
          <w:color w:val="auto"/>
          <w:spacing w:val="-2"/>
          <w:sz w:val="24"/>
          <w:szCs w:val="24"/>
        </w:rPr>
        <w:t>在验收合格经采购人确认后以电汇方式退还。</w:t>
      </w:r>
    </w:p>
    <w:p w14:paraId="124170AA">
      <w:pPr>
        <w:widowControl/>
        <w:kinsoku/>
        <w:topLinePunct w:val="0"/>
        <w:bidi w:val="0"/>
        <w:spacing w:line="360" w:lineRule="auto"/>
        <w:jc w:val="left"/>
        <w:textAlignment w:val="auto"/>
        <w:outlineLvl w:val="9"/>
        <w:rPr>
          <w:rFonts w:hint="eastAsia" w:ascii="仿宋" w:hAnsi="仿宋" w:eastAsia="仿宋" w:cs="仿宋"/>
          <w:sz w:val="24"/>
          <w:szCs w:val="24"/>
          <w:highlight w:val="none"/>
        </w:rPr>
      </w:pPr>
    </w:p>
    <w:p w14:paraId="749076BE">
      <w:pPr>
        <w:keepNext w:val="0"/>
        <w:keepLines w:val="0"/>
        <w:pageBreakBefore/>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仿宋" w:hAnsi="仿宋" w:eastAsia="仿宋" w:cs="仿宋"/>
          <w:b/>
          <w:bCs/>
          <w:sz w:val="28"/>
          <w:highlight w:val="yellow"/>
          <w:lang w:val="en-US" w:eastAsia="zh-CN"/>
        </w:rPr>
      </w:pPr>
      <w:bookmarkStart w:id="29" w:name="_Toc21792"/>
      <w:bookmarkStart w:id="30" w:name="_Toc43715826"/>
      <w:r>
        <w:rPr>
          <w:rFonts w:hint="eastAsia" w:ascii="仿宋" w:hAnsi="仿宋" w:eastAsia="仿宋" w:cs="仿宋"/>
          <w:b/>
          <w:bCs/>
          <w:sz w:val="28"/>
          <w:highlight w:val="none"/>
          <w:lang w:val="en-US" w:eastAsia="zh-CN"/>
        </w:rPr>
        <w:t>第三章 采购需求</w:t>
      </w:r>
      <w:bookmarkEnd w:id="29"/>
    </w:p>
    <w:p w14:paraId="5A2DF641">
      <w:pPr>
        <w:kinsoku/>
        <w:topLinePunct w:val="0"/>
        <w:bidi w:val="0"/>
        <w:snapToGrid w:val="0"/>
        <w:spacing w:line="360" w:lineRule="auto"/>
        <w:ind w:left="3600" w:hanging="3614" w:hangingChars="1500"/>
        <w:jc w:val="left"/>
        <w:textAlignment w:val="auto"/>
        <w:outlineLvl w:val="9"/>
        <w:rPr>
          <w:rFonts w:hint="eastAsia" w:ascii="仿宋" w:hAnsi="仿宋" w:eastAsia="仿宋" w:cs="仿宋"/>
          <w:b/>
          <w:bCs/>
          <w:color w:val="000000" w:themeColor="text1"/>
          <w:sz w:val="24"/>
          <w:szCs w:val="24"/>
          <w:highlight w:val="yellow"/>
          <w14:textFill>
            <w14:solidFill>
              <w14:schemeClr w14:val="tx1"/>
            </w14:solidFill>
          </w14:textFill>
        </w:rPr>
      </w:pPr>
    </w:p>
    <w:p w14:paraId="27E77897">
      <w:pPr>
        <w:kinsoku/>
        <w:overflowPunct/>
        <w:topLinePunct w:val="0"/>
        <w:bidi w:val="0"/>
        <w:spacing w:line="360" w:lineRule="auto"/>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 xml:space="preserve">项目概况 </w:t>
      </w:r>
    </w:p>
    <w:p w14:paraId="4BCBAD6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hint="default" w:ascii="仿宋" w:hAnsi="仿宋" w:eastAsia="仿宋" w:cs="仿宋"/>
          <w:sz w:val="24"/>
          <w:szCs w:val="24"/>
          <w:u w:val="none"/>
          <w:lang w:val="en-US" w:eastAsia="zh-CN"/>
        </w:rPr>
      </w:pPr>
      <w:r>
        <w:rPr>
          <w:rFonts w:hint="eastAsia" w:ascii="仿宋" w:hAnsi="仿宋" w:eastAsia="仿宋" w:cs="仿宋"/>
          <w:b/>
          <w:bCs/>
          <w:sz w:val="24"/>
          <w:szCs w:val="24"/>
          <w:lang w:val="en-US" w:eastAsia="zh-CN"/>
        </w:rPr>
        <w:t>项目名称：</w:t>
      </w:r>
      <w:r>
        <w:rPr>
          <w:rFonts w:hint="eastAsia" w:ascii="仿宋" w:hAnsi="仿宋" w:eastAsia="仿宋" w:cs="仿宋"/>
          <w:b w:val="0"/>
          <w:bCs w:val="0"/>
          <w:sz w:val="24"/>
          <w:szCs w:val="24"/>
          <w:u w:val="single"/>
          <w:lang w:val="en-US" w:eastAsia="zh-CN"/>
        </w:rPr>
        <w:t>乌鲁木齐高新区（新市区）铁路局片区老旧街区提升改造项目勘察</w:t>
      </w:r>
      <w:r>
        <w:rPr>
          <w:rFonts w:hint="eastAsia" w:ascii="仿宋" w:hAnsi="仿宋" w:eastAsia="仿宋" w:cs="仿宋"/>
          <w:b w:val="0"/>
          <w:bCs w:val="0"/>
          <w:sz w:val="24"/>
          <w:szCs w:val="24"/>
          <w:u w:val="none"/>
          <w:lang w:val="en-US" w:eastAsia="zh-CN"/>
        </w:rPr>
        <w:t>。</w:t>
      </w:r>
    </w:p>
    <w:p w14:paraId="2A23204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项目规模：</w:t>
      </w:r>
      <w:r>
        <w:rPr>
          <w:rFonts w:hint="eastAsia" w:ascii="仿宋" w:hAnsi="仿宋" w:eastAsia="仿宋" w:cs="仿宋"/>
          <w:b w:val="0"/>
          <w:bCs w:val="0"/>
          <w:sz w:val="24"/>
          <w:szCs w:val="24"/>
          <w:u w:val="single"/>
          <w:lang w:val="en-US" w:eastAsia="zh-CN"/>
        </w:rPr>
        <w:t>1、对机动车道及人行道实施更新改造，包括铺设道路结构层和面层、更换人行道砖及路缘石，并对路灯线缆、公共消防设施等进行更新更换，同步建设慢行步道;2、新建雨水管网，对部分道路进行海绵化改造，提升城市防洪排涝保障水平;3、新购置并安装电子信息指示牌、果皮箱、休闲座椅、阻车石、智慧控制器(路灯上)等市政配套基础设施;4、深化铁路局-科学院片区完整社区建设，如增设口袋公园、健身器材、无障碍设施、充电设施等;5、对人行天桥进行品质提升，如完善标识指引、增设无障碍设施;6、对2座公交站台进行智慧化提升改造;7、完善铁路公园功能设施，如购置并安装建设器材、监控、导览标识等</w:t>
      </w:r>
      <w:r>
        <w:rPr>
          <w:rFonts w:hint="eastAsia" w:ascii="仿宋" w:hAnsi="仿宋" w:eastAsia="仿宋" w:cs="仿宋"/>
          <w:b w:val="0"/>
          <w:bCs w:val="0"/>
          <w:sz w:val="24"/>
          <w:szCs w:val="24"/>
          <w:lang w:val="en-US" w:eastAsia="zh-CN"/>
        </w:rPr>
        <w:t>。</w:t>
      </w:r>
    </w:p>
    <w:p w14:paraId="403145D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sz w:val="24"/>
          <w:szCs w:val="24"/>
          <w:u w:val="none"/>
        </w:rPr>
      </w:pPr>
      <w:r>
        <w:rPr>
          <w:rFonts w:hint="eastAsia" w:ascii="仿宋" w:hAnsi="仿宋" w:eastAsia="仿宋" w:cs="仿宋"/>
          <w:b/>
          <w:bCs/>
          <w:sz w:val="24"/>
          <w:szCs w:val="24"/>
          <w:lang w:val="en-US" w:eastAsia="zh-CN"/>
        </w:rPr>
        <w:t>项目地点：</w:t>
      </w:r>
      <w:r>
        <w:rPr>
          <w:rFonts w:hint="eastAsia" w:ascii="仿宋" w:hAnsi="仿宋" w:eastAsia="仿宋" w:cs="仿宋"/>
          <w:b w:val="0"/>
          <w:bCs/>
          <w:sz w:val="24"/>
          <w:szCs w:val="24"/>
          <w:highlight w:val="none"/>
          <w:u w:val="single"/>
          <w:lang w:val="en-US" w:eastAsia="zh-CN"/>
        </w:rPr>
        <w:t>乌鲁木齐高新区(新市区)铁路局-科学院片区</w:t>
      </w:r>
      <w:r>
        <w:rPr>
          <w:rFonts w:hint="eastAsia" w:ascii="仿宋" w:hAnsi="仿宋" w:eastAsia="仿宋" w:cs="仿宋"/>
          <w:b w:val="0"/>
          <w:bCs/>
          <w:sz w:val="24"/>
          <w:szCs w:val="24"/>
          <w:highlight w:val="none"/>
          <w:u w:val="none"/>
          <w:lang w:val="en-US" w:eastAsia="zh-CN"/>
        </w:rPr>
        <w:t>。</w:t>
      </w:r>
    </w:p>
    <w:p w14:paraId="4FB4DDCF">
      <w:pPr>
        <w:numPr>
          <w:ilvl w:val="0"/>
          <w:numId w:val="1"/>
        </w:numPr>
        <w:kinsoku/>
        <w:overflowPunct/>
        <w:topLinePunct w:val="0"/>
        <w:bidi w:val="0"/>
        <w:jc w:val="both"/>
        <w:textAlignment w:val="auto"/>
        <w:outlineLvl w:val="9"/>
        <w:rPr>
          <w:rFonts w:hint="eastAsia" w:ascii="仿宋" w:hAnsi="仿宋" w:eastAsia="仿宋" w:cs="仿宋"/>
          <w:b/>
          <w:sz w:val="24"/>
          <w:szCs w:val="24"/>
          <w:lang w:val="en-US" w:eastAsia="zh-CN"/>
        </w:rPr>
      </w:pPr>
      <w:bookmarkStart w:id="31" w:name="_Toc498442417"/>
      <w:r>
        <w:rPr>
          <w:rFonts w:hint="eastAsia" w:ascii="仿宋" w:hAnsi="仿宋" w:eastAsia="仿宋" w:cs="仿宋"/>
          <w:b/>
          <w:sz w:val="24"/>
          <w:szCs w:val="24"/>
          <w:lang w:val="en-US" w:eastAsia="zh-CN"/>
        </w:rPr>
        <w:t>工程勘察范围</w:t>
      </w:r>
    </w:p>
    <w:p w14:paraId="5700934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仿宋" w:hAnsi="仿宋" w:eastAsia="仿宋" w:cs="仿宋"/>
          <w:b w:val="0"/>
          <w:bCs/>
          <w:sz w:val="24"/>
          <w:szCs w:val="24"/>
          <w:lang w:val="en-US" w:eastAsia="zh-CN"/>
        </w:rPr>
      </w:pPr>
      <w:r>
        <w:rPr>
          <w:rFonts w:hint="default" w:ascii="仿宋" w:hAnsi="仿宋" w:eastAsia="仿宋" w:cs="仿宋"/>
          <w:b w:val="0"/>
          <w:bCs/>
          <w:sz w:val="24"/>
          <w:szCs w:val="24"/>
          <w:highlight w:val="none"/>
          <w:u w:val="single"/>
          <w:lang w:val="en-US" w:eastAsia="zh-CN"/>
        </w:rPr>
        <w:t>该建设项目范围内的工程勘察（初勘、详勘），为项目初步设计、施工图设计、场地平整提供依据及后期服务</w:t>
      </w:r>
      <w:r>
        <w:rPr>
          <w:rFonts w:hint="eastAsia" w:ascii="仿宋" w:hAnsi="仿宋" w:eastAsia="仿宋" w:cs="仿宋"/>
          <w:b w:val="0"/>
          <w:bCs/>
          <w:sz w:val="24"/>
          <w:szCs w:val="24"/>
          <w:highlight w:val="none"/>
          <w:lang w:val="en-US" w:eastAsia="zh-CN"/>
        </w:rPr>
        <w:t>。</w:t>
      </w:r>
    </w:p>
    <w:p w14:paraId="6F1A4889">
      <w:pPr>
        <w:kinsoku/>
        <w:overflowPunct/>
        <w:topLinePunct w:val="0"/>
        <w:bidi w:val="0"/>
        <w:jc w:val="both"/>
        <w:textAlignment w:val="auto"/>
        <w:outlineLvl w:val="9"/>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val="en-US" w:eastAsia="zh-CN"/>
        </w:rPr>
        <w:t>工程</w:t>
      </w:r>
      <w:r>
        <w:rPr>
          <w:rFonts w:hint="eastAsia" w:ascii="仿宋" w:hAnsi="仿宋" w:eastAsia="仿宋" w:cs="仿宋"/>
          <w:b/>
          <w:sz w:val="24"/>
          <w:szCs w:val="24"/>
        </w:rPr>
        <w:t>勘察要求</w:t>
      </w:r>
      <w:bookmarkEnd w:id="31"/>
    </w:p>
    <w:p w14:paraId="6E8036C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1、‌地质构造和岩土工程条件调查‌：地勘需要详细调查工程所在地的地质构造、地层性质、岩性特征和厚度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分布</w:t>
      </w:r>
      <w:r>
        <w:rPr>
          <w:rFonts w:hint="eastAsia" w:ascii="仿宋" w:hAnsi="仿宋" w:eastAsia="仿宋" w:cs="仿宋"/>
          <w:color w:val="auto"/>
          <w:sz w:val="24"/>
          <w:szCs w:val="24"/>
        </w:rPr>
        <w:t>，</w:t>
      </w:r>
      <w:r>
        <w:rPr>
          <w:rFonts w:hint="eastAsia" w:ascii="仿宋" w:hAnsi="仿宋" w:eastAsia="仿宋" w:cs="仿宋"/>
          <w:sz w:val="24"/>
          <w:szCs w:val="24"/>
        </w:rPr>
        <w:t>了解岩层产状、风化破碎程度以及对管道有不良影响的全新地质要素</w:t>
      </w:r>
      <w:r>
        <w:rPr>
          <w:rFonts w:hint="eastAsia" w:ascii="仿宋" w:hAnsi="仿宋" w:eastAsia="仿宋" w:cs="仿宋"/>
          <w:sz w:val="24"/>
          <w:szCs w:val="24"/>
          <w:lang w:eastAsia="zh-CN"/>
        </w:rPr>
        <w:t>；</w:t>
      </w:r>
      <w:r>
        <w:rPr>
          <w:rFonts w:hint="eastAsia" w:ascii="仿宋" w:hAnsi="仿宋" w:eastAsia="仿宋" w:cs="仿宋"/>
          <w:color w:val="000000"/>
          <w:sz w:val="24"/>
          <w:szCs w:val="24"/>
          <w:lang w:eastAsia="zh-CN"/>
        </w:rPr>
        <w:t>并对地基的稳定性、均匀性及承载力作出分析和评价。</w:t>
      </w:r>
    </w:p>
    <w:p w14:paraId="56E136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2、‌地质灾害风险评估‌：对勘察区域的地质灾害潜在风险进行评估，包括滑坡、泥石流、地面沉降等地质灾害的可能发生性和危害性评估，以确保管道建设的安全性和稳定性</w:t>
      </w:r>
      <w:r>
        <w:rPr>
          <w:rFonts w:hint="eastAsia" w:ascii="仿宋" w:hAnsi="仿宋" w:eastAsia="仿宋" w:cs="仿宋"/>
          <w:sz w:val="24"/>
          <w:szCs w:val="24"/>
          <w:lang w:eastAsia="zh-CN"/>
        </w:rPr>
        <w:t>；</w:t>
      </w:r>
      <w:r>
        <w:rPr>
          <w:rFonts w:hint="eastAsia" w:ascii="仿宋" w:hAnsi="仿宋" w:eastAsia="仿宋" w:cs="仿宋"/>
          <w:color w:val="000000"/>
          <w:sz w:val="24"/>
          <w:szCs w:val="24"/>
          <w:lang w:eastAsia="zh-CN"/>
        </w:rPr>
        <w:t>并对其类型、成因、分布范围、发展趋势和危害程度作出分析与评价，提出整治方案的建议。</w:t>
      </w:r>
    </w:p>
    <w:p w14:paraId="477327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3、‌水文地质调查‌：地勘需要调查地下水、地表水、水文地质等情况，了解地下水位、土壤类型等，以确保管道建设的可行性和可靠性。</w:t>
      </w:r>
    </w:p>
    <w:p w14:paraId="71F4F7D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4、‌详细勘察和实验分析‌：对勘察区域的岩土样品进行取样和实验分析，确定其工程性质和工程设计参数，如抗剪强度、孔隙比、液化特性等‌。</w:t>
      </w:r>
    </w:p>
    <w:p w14:paraId="78698B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5、查明地下水的埋藏条件、类型，提供地下水位及其变化幅度，评价其对地基基础设计和施工的影响。</w:t>
      </w:r>
    </w:p>
    <w:p w14:paraId="7160AA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6、判定水和土对建筑材料的腐蚀性。</w:t>
      </w:r>
    </w:p>
    <w:p w14:paraId="07AD0E81">
      <w:pPr>
        <w:keepNext w:val="0"/>
        <w:keepLines w:val="0"/>
        <w:kinsoku/>
        <w:overflowPunct/>
        <w:topLinePunct w:val="0"/>
        <w:bidi w:val="0"/>
        <w:spacing w:line="360" w:lineRule="auto"/>
        <w:textAlignment w:val="auto"/>
        <w:outlineLvl w:val="9"/>
        <w:rPr>
          <w:rFonts w:hint="eastAsia" w:ascii="仿宋" w:hAnsi="仿宋" w:eastAsia="仿宋" w:cs="仿宋"/>
          <w:color w:val="000000"/>
          <w:sz w:val="24"/>
          <w:szCs w:val="24"/>
          <w:lang w:eastAsia="zh-CN"/>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lang w:val="en-US" w:eastAsia="zh-CN"/>
        </w:rPr>
        <w:t>工程</w:t>
      </w:r>
      <w:r>
        <w:rPr>
          <w:rFonts w:hint="eastAsia" w:ascii="仿宋" w:hAnsi="仿宋" w:eastAsia="仿宋" w:cs="仿宋"/>
          <w:b/>
          <w:bCs/>
          <w:color w:val="000000"/>
          <w:sz w:val="24"/>
          <w:szCs w:val="24"/>
          <w:lang w:eastAsia="zh-CN"/>
        </w:rPr>
        <w:t>勘察执行的技术标准</w:t>
      </w:r>
      <w:r>
        <w:rPr>
          <w:rFonts w:hint="eastAsia" w:ascii="仿宋" w:hAnsi="仿宋" w:eastAsia="仿宋" w:cs="仿宋"/>
          <w:color w:val="000000"/>
          <w:sz w:val="24"/>
          <w:szCs w:val="24"/>
          <w:lang w:eastAsia="zh-CN"/>
        </w:rPr>
        <w:t xml:space="preserve"> </w:t>
      </w:r>
    </w:p>
    <w:p w14:paraId="7478D79D">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包括但不限于以下国家现行规范或标准 </w:t>
      </w:r>
    </w:p>
    <w:p w14:paraId="32812724">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(1)《岩土工程勘察规范》(GB 50021-2001)(2009 年版)</w:t>
      </w:r>
    </w:p>
    <w:p w14:paraId="4ABB051B">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(2)《工程勘察通用规范》（GB55017-2021）</w:t>
      </w:r>
    </w:p>
    <w:p w14:paraId="287E6CA7">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(3)《建筑抗震设计规范》(GB 50011-2010) (2016 年版)</w:t>
      </w:r>
    </w:p>
    <w:p w14:paraId="2B32296F">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(4)《中国地震动参数区划图》(GB 18306-2015)</w:t>
      </w:r>
    </w:p>
    <w:p w14:paraId="1AA1FB1D">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(5)《建筑地基处理技术规范》(JGJ 79-2012)</w:t>
      </w:r>
    </w:p>
    <w:p w14:paraId="4C46BDF3">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(6)《建筑与市政工程抗震通用规范》(GB 55002-2021)</w:t>
      </w:r>
    </w:p>
    <w:p w14:paraId="20851A03">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(7)《建筑与市政地基基础通用规范》(GB 55003-2021)</w:t>
      </w:r>
    </w:p>
    <w:p w14:paraId="4CCD57FB">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(8)《建筑桩基技术规范》(JGJ 94-2008)</w:t>
      </w:r>
    </w:p>
    <w:p w14:paraId="40594BE8">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(9)《建筑基坑支护技术规程》(JGJ 120-2012)</w:t>
      </w:r>
    </w:p>
    <w:p w14:paraId="05BAD664">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(10)《建筑工程地质勘探与取样技术规程》(JGJ/T87-2012)</w:t>
      </w:r>
    </w:p>
    <w:p w14:paraId="4E2C70A8">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(11)《土工试验方法标准》(GB/T50123-2019)</w:t>
      </w:r>
    </w:p>
    <w:p w14:paraId="28F517A9">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(12)《工业建筑防腐蚀设计标准》(GB/T50046-2018)</w:t>
      </w:r>
    </w:p>
    <w:p w14:paraId="7D0E1851">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(13)《岩土工程勘察安全标准》(GB/T50585-2019) </w:t>
      </w:r>
    </w:p>
    <w:p w14:paraId="4C4E5C7F">
      <w:pPr>
        <w:keepNext w:val="0"/>
        <w:keepLines w:val="0"/>
        <w:kinsoku/>
        <w:overflowPunct/>
        <w:topLinePunct w:val="0"/>
        <w:bidi w:val="0"/>
        <w:spacing w:line="360" w:lineRule="auto"/>
        <w:textAlignment w:val="auto"/>
        <w:outlineLvl w:val="9"/>
        <w:rPr>
          <w:rFonts w:hint="eastAsia" w:ascii="仿宋" w:hAnsi="仿宋" w:eastAsia="仿宋" w:cs="仿宋"/>
          <w:color w:val="000000"/>
          <w:sz w:val="24"/>
          <w:szCs w:val="24"/>
          <w:lang w:eastAsia="zh-CN"/>
        </w:rPr>
      </w:pPr>
      <w:r>
        <w:rPr>
          <w:rFonts w:hint="eastAsia" w:ascii="仿宋" w:hAnsi="仿宋" w:eastAsia="仿宋" w:cs="仿宋"/>
          <w:b/>
          <w:bCs/>
          <w:color w:val="000000"/>
          <w:sz w:val="24"/>
          <w:szCs w:val="24"/>
          <w:lang w:val="en-US" w:eastAsia="zh-CN"/>
        </w:rPr>
        <w:t>五、工程勘察成果内容勘察成果资料包括但不限于以下内容：</w:t>
      </w:r>
    </w:p>
    <w:p w14:paraId="5E72E3D3">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1.勘察任务委托书或勘察合同；</w:t>
      </w:r>
    </w:p>
    <w:p w14:paraId="58D41889">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2.勘察成果报告(含文字、图表、照片)；</w:t>
      </w:r>
    </w:p>
    <w:p w14:paraId="75053C4B">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3.原位测试成果图表；</w:t>
      </w:r>
    </w:p>
    <w:p w14:paraId="1567BAC7">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4.室内试验成果图表；</w:t>
      </w:r>
    </w:p>
    <w:p w14:paraId="58F24530">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5.建设工程需要的其它附图、附件、文件等；</w:t>
      </w:r>
    </w:p>
    <w:p w14:paraId="1404460E">
      <w:pPr>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kern w:val="0"/>
          <w:sz w:val="24"/>
          <w:szCs w:val="24"/>
          <w:highlight w:val="none"/>
          <w:lang w:eastAsia="zh-CN"/>
        </w:rPr>
      </w:pPr>
      <w:r>
        <w:rPr>
          <w:rFonts w:hint="eastAsia" w:ascii="仿宋" w:hAnsi="仿宋" w:eastAsia="仿宋" w:cs="仿宋"/>
          <w:color w:val="000000"/>
          <w:sz w:val="24"/>
          <w:szCs w:val="24"/>
          <w:lang w:eastAsia="zh-CN"/>
        </w:rPr>
        <w:t>6.施工图审查需要的其它相关资料。</w:t>
      </w:r>
      <w:r>
        <w:rPr>
          <w:rFonts w:hint="eastAsia" w:ascii="仿宋" w:hAnsi="仿宋" w:eastAsia="仿宋" w:cs="仿宋"/>
          <w:b/>
          <w:bCs w:val="0"/>
          <w:kern w:val="20"/>
          <w:sz w:val="24"/>
          <w:szCs w:val="24"/>
          <w:highlight w:val="none"/>
          <w:lang w:val="en-US" w:eastAsia="zh-CN"/>
        </w:rPr>
        <w:t xml:space="preserve"> </w:t>
      </w:r>
    </w:p>
    <w:p w14:paraId="695CCD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仿宋" w:hAnsi="仿宋" w:eastAsia="仿宋" w:cs="仿宋"/>
          <w:b w:val="0"/>
          <w:bCs w:val="0"/>
          <w:color w:val="000000" w:themeColor="text1"/>
          <w:sz w:val="24"/>
          <w:szCs w:val="24"/>
          <w:highlight w:val="yellow"/>
          <w:u w:val="none"/>
          <w:lang w:val="en-US" w:eastAsia="zh-CN"/>
          <w14:textFill>
            <w14:solidFill>
              <w14:schemeClr w14:val="tx1"/>
            </w14:solidFill>
          </w14:textFill>
        </w:rPr>
      </w:pPr>
    </w:p>
    <w:p w14:paraId="7E5A4AB9">
      <w:pPr>
        <w:numPr>
          <w:ilvl w:val="0"/>
          <w:numId w:val="0"/>
        </w:numPr>
        <w:kinsoku/>
        <w:topLinePunct w:val="0"/>
        <w:bidi w:val="0"/>
        <w:ind w:leftChars="0"/>
        <w:textAlignment w:val="auto"/>
        <w:outlineLvl w:val="9"/>
        <w:rPr>
          <w:rFonts w:hint="eastAsia" w:ascii="仿宋" w:hAnsi="仿宋" w:eastAsia="仿宋" w:cs="仿宋"/>
          <w:highlight w:val="none"/>
          <w:lang w:val="en-US" w:eastAsia="zh-CN"/>
        </w:rPr>
      </w:pPr>
    </w:p>
    <w:p w14:paraId="7E2F8954">
      <w:pPr>
        <w:keepNext w:val="0"/>
        <w:keepLines w:val="0"/>
        <w:pageBreakBefore/>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sz w:val="28"/>
          <w:highlight w:val="none"/>
          <w:lang w:val="en-US" w:eastAsia="zh-CN"/>
        </w:rPr>
      </w:pPr>
      <w:bookmarkStart w:id="262" w:name="_GoBack"/>
      <w:bookmarkStart w:id="32" w:name="_Toc19517"/>
      <w:r>
        <w:rPr>
          <w:rFonts w:hint="eastAsia" w:ascii="仿宋" w:hAnsi="仿宋" w:eastAsia="仿宋" w:cs="仿宋"/>
          <w:b/>
          <w:bCs/>
          <w:sz w:val="28"/>
          <w:highlight w:val="none"/>
        </w:rPr>
        <w:t>第四章</w:t>
      </w:r>
      <w:r>
        <w:rPr>
          <w:rFonts w:hint="eastAsia" w:ascii="仿宋" w:hAnsi="仿宋" w:eastAsia="仿宋" w:cs="仿宋"/>
          <w:b/>
          <w:bCs/>
          <w:sz w:val="28"/>
          <w:highlight w:val="none"/>
          <w:lang w:val="en-US" w:eastAsia="zh-CN"/>
        </w:rPr>
        <w:t xml:space="preserve">  </w:t>
      </w:r>
      <w:bookmarkEnd w:id="30"/>
      <w:r>
        <w:rPr>
          <w:rFonts w:hint="eastAsia" w:ascii="仿宋" w:hAnsi="仿宋" w:eastAsia="仿宋" w:cs="仿宋"/>
          <w:b/>
          <w:bCs/>
          <w:sz w:val="28"/>
          <w:highlight w:val="none"/>
          <w:lang w:val="en-US" w:eastAsia="zh-CN"/>
        </w:rPr>
        <w:t>合同草案条款</w:t>
      </w:r>
      <w:bookmarkEnd w:id="32"/>
    </w:p>
    <w:p w14:paraId="7F7B5A4E">
      <w:pPr>
        <w:kinsoku/>
        <w:wordWrap/>
        <w:overflowPunct/>
        <w:topLinePunct w:val="0"/>
        <w:bidi w:val="0"/>
        <w:jc w:val="center"/>
        <w:textAlignment w:val="auto"/>
        <w:outlineLvl w:val="9"/>
        <w:rPr>
          <w:rFonts w:hint="eastAsia" w:ascii="仿宋" w:hAnsi="仿宋" w:eastAsia="仿宋" w:cs="仿宋"/>
          <w:b/>
          <w:bCs/>
          <w:sz w:val="22"/>
          <w:szCs w:val="24"/>
          <w:highlight w:val="none"/>
          <w:lang w:eastAsia="zh-CN"/>
        </w:rPr>
      </w:pPr>
      <w:r>
        <w:rPr>
          <w:rFonts w:hint="eastAsia" w:ascii="仿宋" w:hAnsi="仿宋" w:eastAsia="仿宋" w:cs="仿宋"/>
          <w:b/>
          <w:bCs/>
          <w:sz w:val="24"/>
          <w:szCs w:val="28"/>
          <w:highlight w:val="none"/>
        </w:rPr>
        <w:t>（政府采购合同格式仅供参考，以</w:t>
      </w:r>
      <w:r>
        <w:rPr>
          <w:rFonts w:hint="eastAsia" w:ascii="仿宋" w:hAnsi="仿宋" w:eastAsia="仿宋" w:cs="仿宋"/>
          <w:b/>
          <w:bCs/>
          <w:sz w:val="24"/>
          <w:szCs w:val="28"/>
          <w:highlight w:val="none"/>
          <w:lang w:val="en-US" w:eastAsia="zh-CN"/>
        </w:rPr>
        <w:t>实际</w:t>
      </w:r>
      <w:r>
        <w:rPr>
          <w:rFonts w:hint="eastAsia" w:ascii="仿宋" w:hAnsi="仿宋" w:eastAsia="仿宋" w:cs="仿宋"/>
          <w:b/>
          <w:bCs/>
          <w:sz w:val="24"/>
          <w:szCs w:val="28"/>
          <w:highlight w:val="none"/>
        </w:rPr>
        <w:t>签订的合同为准</w:t>
      </w:r>
      <w:r>
        <w:rPr>
          <w:rFonts w:hint="eastAsia" w:ascii="仿宋" w:hAnsi="仿宋" w:eastAsia="仿宋" w:cs="仿宋"/>
          <w:b/>
          <w:bCs/>
          <w:sz w:val="24"/>
          <w:szCs w:val="28"/>
          <w:highlight w:val="none"/>
          <w:lang w:eastAsia="zh-CN"/>
        </w:rPr>
        <w:t>）</w:t>
      </w:r>
      <w:bookmarkEnd w:id="262"/>
    </w:p>
    <w:p w14:paraId="58B517D8">
      <w:pPr>
        <w:kinsoku/>
        <w:overflowPunct/>
        <w:topLinePunct w:val="0"/>
        <w:bidi w:val="0"/>
        <w:textAlignment w:val="auto"/>
        <w:outlineLvl w:val="9"/>
        <w:rPr>
          <w:rFonts w:hint="eastAsia" w:ascii="仿宋" w:hAnsi="仿宋" w:eastAsia="仿宋" w:cs="仿宋"/>
          <w:bCs/>
          <w:color w:val="000000"/>
          <w:sz w:val="30"/>
          <w:szCs w:val="30"/>
          <w:highlight w:val="none"/>
        </w:rPr>
      </w:pPr>
      <w:bookmarkStart w:id="33" w:name="_Toc43715827"/>
    </w:p>
    <w:p w14:paraId="5DFF82B5">
      <w:pPr>
        <w:kinsoku/>
        <w:overflowPunct/>
        <w:topLinePunct w:val="0"/>
        <w:bidi w:val="0"/>
        <w:textAlignment w:val="auto"/>
        <w:outlineLvl w:val="9"/>
        <w:rPr>
          <w:rFonts w:hint="eastAsia" w:ascii="仿宋" w:hAnsi="仿宋" w:eastAsia="仿宋" w:cs="仿宋"/>
          <w:bCs/>
          <w:color w:val="000000"/>
          <w:sz w:val="30"/>
          <w:szCs w:val="30"/>
          <w:highlight w:val="none"/>
        </w:rPr>
      </w:pPr>
    </w:p>
    <w:p w14:paraId="0B865FA6">
      <w:pPr>
        <w:kinsoku/>
        <w:overflowPunct/>
        <w:topLinePunct w:val="0"/>
        <w:bidi w:val="0"/>
        <w:textAlignment w:val="auto"/>
        <w:outlineLvl w:val="9"/>
        <w:rPr>
          <w:rFonts w:hint="default" w:ascii="仿宋" w:hAnsi="仿宋" w:eastAsia="仿宋" w:cs="仿宋"/>
          <w:b/>
          <w:color w:val="000000"/>
          <w:sz w:val="52"/>
          <w:szCs w:val="52"/>
          <w:highlight w:val="none"/>
          <w:lang w:val="en-US" w:eastAsia="zh-CN"/>
        </w:rPr>
      </w:pPr>
      <w:r>
        <w:rPr>
          <w:rFonts w:hint="eastAsia" w:ascii="仿宋" w:hAnsi="仿宋" w:eastAsia="仿宋" w:cs="仿宋"/>
          <w:bCs/>
          <w:color w:val="000000"/>
          <w:sz w:val="30"/>
          <w:szCs w:val="30"/>
          <w:highlight w:val="none"/>
        </w:rPr>
        <w:t>GF—201</w:t>
      </w:r>
      <w:r>
        <w:rPr>
          <w:rFonts w:hint="eastAsia" w:ascii="仿宋" w:hAnsi="仿宋" w:eastAsia="仿宋" w:cs="仿宋"/>
          <w:bCs/>
          <w:color w:val="000000"/>
          <w:sz w:val="30"/>
          <w:szCs w:val="30"/>
          <w:highlight w:val="none"/>
          <w:lang w:val="en-US" w:eastAsia="zh-CN"/>
        </w:rPr>
        <w:t>6</w:t>
      </w:r>
      <w:r>
        <w:rPr>
          <w:rFonts w:hint="eastAsia" w:ascii="仿宋" w:hAnsi="仿宋" w:eastAsia="仿宋" w:cs="仿宋"/>
          <w:bCs/>
          <w:color w:val="000000"/>
          <w:sz w:val="30"/>
          <w:szCs w:val="30"/>
          <w:highlight w:val="none"/>
        </w:rPr>
        <w:t>—02</w:t>
      </w:r>
      <w:r>
        <w:rPr>
          <w:rFonts w:hint="eastAsia" w:ascii="仿宋" w:hAnsi="仿宋" w:eastAsia="仿宋" w:cs="仿宋"/>
          <w:bCs/>
          <w:color w:val="000000"/>
          <w:sz w:val="30"/>
          <w:szCs w:val="30"/>
          <w:highlight w:val="none"/>
          <w:lang w:val="en-US" w:eastAsia="zh-CN"/>
        </w:rPr>
        <w:t>03</w:t>
      </w:r>
    </w:p>
    <w:p w14:paraId="39C6634D">
      <w:pPr>
        <w:kinsoku/>
        <w:overflowPunct/>
        <w:topLinePunct w:val="0"/>
        <w:bidi w:val="0"/>
        <w:ind w:firstLine="5737" w:firstLineChars="1905"/>
        <w:textAlignment w:val="auto"/>
        <w:outlineLvl w:val="9"/>
        <w:rPr>
          <w:rFonts w:hint="eastAsia" w:ascii="仿宋" w:hAnsi="仿宋" w:eastAsia="仿宋" w:cs="仿宋"/>
          <w:b/>
          <w:color w:val="000000"/>
          <w:sz w:val="30"/>
          <w:szCs w:val="30"/>
          <w:highlight w:val="none"/>
        </w:rPr>
      </w:pPr>
      <w:r>
        <w:rPr>
          <w:rFonts w:hint="eastAsia" w:ascii="仿宋" w:hAnsi="仿宋" w:eastAsia="仿宋" w:cs="仿宋"/>
          <w:b/>
          <w:color w:val="000000"/>
          <w:sz w:val="30"/>
          <w:szCs w:val="30"/>
          <w:highlight w:val="none"/>
        </w:rPr>
        <w:t>合同编号：</w:t>
      </w:r>
      <w:r>
        <w:rPr>
          <w:rFonts w:hint="eastAsia" w:ascii="仿宋" w:hAnsi="仿宋" w:eastAsia="仿宋" w:cs="仿宋"/>
          <w:b/>
          <w:color w:val="000000"/>
          <w:sz w:val="30"/>
          <w:szCs w:val="30"/>
          <w:highlight w:val="none"/>
          <w:u w:val="single"/>
        </w:rPr>
        <w:t xml:space="preserve">          </w:t>
      </w:r>
    </w:p>
    <w:p w14:paraId="5EC38434">
      <w:pPr>
        <w:kinsoku/>
        <w:overflowPunct/>
        <w:topLinePunct w:val="0"/>
        <w:bidi w:val="0"/>
        <w:jc w:val="center"/>
        <w:textAlignment w:val="auto"/>
        <w:outlineLvl w:val="9"/>
        <w:rPr>
          <w:rFonts w:hint="eastAsia" w:ascii="仿宋" w:hAnsi="仿宋" w:eastAsia="仿宋" w:cs="仿宋"/>
          <w:b/>
          <w:color w:val="000000"/>
          <w:sz w:val="30"/>
          <w:szCs w:val="30"/>
          <w:highlight w:val="none"/>
        </w:rPr>
      </w:pPr>
    </w:p>
    <w:p w14:paraId="6C39E799">
      <w:pPr>
        <w:kinsoku/>
        <w:overflowPunct/>
        <w:topLinePunct w:val="0"/>
        <w:bidi w:val="0"/>
        <w:jc w:val="center"/>
        <w:textAlignment w:val="auto"/>
        <w:outlineLvl w:val="9"/>
        <w:rPr>
          <w:rFonts w:hint="eastAsia" w:ascii="仿宋" w:hAnsi="仿宋" w:eastAsia="仿宋" w:cs="仿宋"/>
          <w:b/>
          <w:color w:val="000000"/>
          <w:sz w:val="52"/>
          <w:szCs w:val="52"/>
          <w:highlight w:val="none"/>
        </w:rPr>
      </w:pPr>
    </w:p>
    <w:p w14:paraId="2BA82EC4">
      <w:pPr>
        <w:kinsoku/>
        <w:overflowPunct/>
        <w:topLinePunct w:val="0"/>
        <w:bidi w:val="0"/>
        <w:jc w:val="center"/>
        <w:textAlignment w:val="auto"/>
        <w:outlineLvl w:val="9"/>
        <w:rPr>
          <w:rFonts w:hint="eastAsia" w:ascii="仿宋" w:hAnsi="仿宋" w:eastAsia="仿宋" w:cs="仿宋"/>
          <w:b/>
          <w:color w:val="000000"/>
          <w:sz w:val="52"/>
          <w:szCs w:val="52"/>
          <w:highlight w:val="none"/>
        </w:rPr>
      </w:pPr>
    </w:p>
    <w:p w14:paraId="148B5933">
      <w:pPr>
        <w:kinsoku/>
        <w:overflowPunct/>
        <w:topLinePunct w:val="0"/>
        <w:bidi w:val="0"/>
        <w:jc w:val="center"/>
        <w:textAlignment w:val="auto"/>
        <w:outlineLvl w:val="9"/>
        <w:rPr>
          <w:rFonts w:hint="eastAsia" w:ascii="仿宋" w:hAnsi="仿宋" w:eastAsia="仿宋" w:cs="仿宋"/>
          <w:b/>
          <w:color w:val="000000"/>
          <w:sz w:val="52"/>
          <w:szCs w:val="52"/>
          <w:highlight w:val="none"/>
        </w:rPr>
      </w:pPr>
    </w:p>
    <w:p w14:paraId="63E42ABB">
      <w:pPr>
        <w:kinsoku/>
        <w:overflowPunct/>
        <w:topLinePunct w:val="0"/>
        <w:bidi w:val="0"/>
        <w:jc w:val="center"/>
        <w:textAlignment w:val="auto"/>
        <w:outlineLvl w:val="9"/>
        <w:rPr>
          <w:rFonts w:hint="default" w:ascii="仿宋" w:hAnsi="仿宋" w:eastAsia="仿宋" w:cs="仿宋"/>
          <w:b/>
          <w:color w:val="000000"/>
          <w:sz w:val="72"/>
          <w:szCs w:val="52"/>
          <w:highlight w:val="none"/>
          <w:lang w:val="en-US" w:eastAsia="zh-CN"/>
        </w:rPr>
      </w:pPr>
      <w:r>
        <w:rPr>
          <w:rFonts w:hint="eastAsia" w:ascii="仿宋" w:hAnsi="仿宋" w:eastAsia="仿宋" w:cs="仿宋"/>
          <w:b/>
          <w:color w:val="000000"/>
          <w:sz w:val="72"/>
          <w:szCs w:val="52"/>
          <w:highlight w:val="none"/>
        </w:rPr>
        <w:t>建设工程</w:t>
      </w:r>
      <w:r>
        <w:rPr>
          <w:rFonts w:hint="eastAsia" w:ascii="仿宋" w:hAnsi="仿宋" w:eastAsia="仿宋" w:cs="仿宋"/>
          <w:b/>
          <w:color w:val="000000"/>
          <w:sz w:val="72"/>
          <w:szCs w:val="52"/>
          <w:highlight w:val="none"/>
          <w:lang w:val="en-US" w:eastAsia="zh-CN"/>
        </w:rPr>
        <w:t>勘察合同</w:t>
      </w:r>
    </w:p>
    <w:p w14:paraId="3934390A">
      <w:pPr>
        <w:kinsoku/>
        <w:overflowPunct/>
        <w:topLinePunct w:val="0"/>
        <w:bidi w:val="0"/>
        <w:jc w:val="center"/>
        <w:textAlignment w:val="auto"/>
        <w:outlineLvl w:val="9"/>
        <w:rPr>
          <w:rFonts w:hint="eastAsia" w:ascii="仿宋" w:hAnsi="仿宋" w:eastAsia="仿宋" w:cs="仿宋"/>
          <w:b/>
          <w:color w:val="000000"/>
          <w:sz w:val="52"/>
          <w:szCs w:val="52"/>
          <w:highlight w:val="none"/>
        </w:rPr>
      </w:pPr>
      <w:r>
        <w:rPr>
          <w:rFonts w:hint="eastAsia" w:ascii="仿宋" w:hAnsi="仿宋" w:eastAsia="仿宋" w:cs="仿宋"/>
          <w:b/>
          <w:color w:val="000000"/>
          <w:sz w:val="72"/>
          <w:szCs w:val="52"/>
          <w:highlight w:val="none"/>
        </w:rPr>
        <w:t>（</w:t>
      </w:r>
      <w:r>
        <w:rPr>
          <w:rFonts w:hint="eastAsia" w:ascii="仿宋" w:hAnsi="仿宋" w:eastAsia="仿宋" w:cs="仿宋"/>
          <w:b/>
          <w:color w:val="000000"/>
          <w:sz w:val="72"/>
          <w:szCs w:val="52"/>
          <w:highlight w:val="none"/>
          <w:lang w:val="en-US" w:eastAsia="zh-CN"/>
        </w:rPr>
        <w:t>示范文本</w:t>
      </w:r>
      <w:r>
        <w:rPr>
          <w:rFonts w:hint="eastAsia" w:ascii="仿宋" w:hAnsi="仿宋" w:eastAsia="仿宋" w:cs="仿宋"/>
          <w:b/>
          <w:color w:val="000000"/>
          <w:sz w:val="72"/>
          <w:szCs w:val="52"/>
          <w:highlight w:val="none"/>
        </w:rPr>
        <w:t>）</w:t>
      </w:r>
    </w:p>
    <w:p w14:paraId="4C50262C">
      <w:pPr>
        <w:kinsoku/>
        <w:overflowPunct/>
        <w:topLinePunct w:val="0"/>
        <w:bidi w:val="0"/>
        <w:jc w:val="center"/>
        <w:textAlignment w:val="auto"/>
        <w:outlineLvl w:val="9"/>
        <w:rPr>
          <w:rFonts w:hint="eastAsia" w:ascii="仿宋" w:hAnsi="仿宋" w:eastAsia="仿宋" w:cs="仿宋"/>
          <w:b/>
          <w:color w:val="000000"/>
          <w:sz w:val="52"/>
          <w:szCs w:val="52"/>
          <w:highlight w:val="none"/>
        </w:rPr>
      </w:pPr>
    </w:p>
    <w:p w14:paraId="55CFBA80">
      <w:pPr>
        <w:kinsoku/>
        <w:overflowPunct/>
        <w:topLinePunct w:val="0"/>
        <w:bidi w:val="0"/>
        <w:jc w:val="center"/>
        <w:textAlignment w:val="auto"/>
        <w:outlineLvl w:val="9"/>
        <w:rPr>
          <w:rFonts w:hint="eastAsia" w:ascii="仿宋" w:hAnsi="仿宋" w:eastAsia="仿宋" w:cs="仿宋"/>
          <w:b/>
          <w:color w:val="000000"/>
          <w:sz w:val="52"/>
          <w:szCs w:val="52"/>
          <w:highlight w:val="none"/>
        </w:rPr>
      </w:pPr>
    </w:p>
    <w:p w14:paraId="72F166D4">
      <w:pPr>
        <w:kinsoku/>
        <w:overflowPunct/>
        <w:topLinePunct w:val="0"/>
        <w:bidi w:val="0"/>
        <w:jc w:val="center"/>
        <w:textAlignment w:val="auto"/>
        <w:outlineLvl w:val="9"/>
        <w:rPr>
          <w:rFonts w:hint="eastAsia" w:ascii="仿宋" w:hAnsi="仿宋" w:eastAsia="仿宋" w:cs="仿宋"/>
          <w:b/>
          <w:color w:val="000000"/>
          <w:sz w:val="52"/>
          <w:szCs w:val="52"/>
          <w:highlight w:val="none"/>
        </w:rPr>
      </w:pPr>
    </w:p>
    <w:p w14:paraId="168BC465">
      <w:pPr>
        <w:kinsoku/>
        <w:overflowPunct/>
        <w:topLinePunct w:val="0"/>
        <w:bidi w:val="0"/>
        <w:jc w:val="center"/>
        <w:textAlignment w:val="auto"/>
        <w:outlineLvl w:val="9"/>
        <w:rPr>
          <w:rFonts w:hint="eastAsia" w:ascii="仿宋" w:hAnsi="仿宋" w:eastAsia="仿宋" w:cs="仿宋"/>
          <w:b/>
          <w:color w:val="000000"/>
          <w:sz w:val="72"/>
          <w:szCs w:val="72"/>
          <w:highlight w:val="none"/>
        </w:rPr>
      </w:pPr>
    </w:p>
    <w:p w14:paraId="715425E1">
      <w:pPr>
        <w:kinsoku/>
        <w:overflowPunct/>
        <w:topLinePunct w:val="0"/>
        <w:bidi w:val="0"/>
        <w:jc w:val="center"/>
        <w:textAlignment w:val="auto"/>
        <w:outlineLvl w:val="9"/>
        <w:rPr>
          <w:rFonts w:hint="eastAsia" w:ascii="仿宋" w:hAnsi="仿宋" w:eastAsia="仿宋" w:cs="仿宋"/>
          <w:b/>
          <w:color w:val="000000"/>
          <w:sz w:val="52"/>
          <w:szCs w:val="52"/>
          <w:highlight w:val="none"/>
        </w:rPr>
      </w:pPr>
    </w:p>
    <w:p w14:paraId="1936A711">
      <w:pPr>
        <w:kinsoku/>
        <w:overflowPunct/>
        <w:topLinePunct w:val="0"/>
        <w:bidi w:val="0"/>
        <w:textAlignment w:val="auto"/>
        <w:outlineLvl w:val="9"/>
        <w:rPr>
          <w:rFonts w:hint="eastAsia" w:ascii="仿宋" w:hAnsi="仿宋" w:eastAsia="仿宋" w:cs="仿宋"/>
          <w:b/>
          <w:color w:val="000000"/>
          <w:sz w:val="28"/>
          <w:szCs w:val="28"/>
          <w:highlight w:val="none"/>
        </w:rPr>
      </w:pPr>
    </w:p>
    <w:p w14:paraId="7306AD52">
      <w:pPr>
        <w:kinsoku/>
        <w:overflowPunct/>
        <w:topLinePunct w:val="0"/>
        <w:bidi w:val="0"/>
        <w:textAlignment w:val="auto"/>
        <w:outlineLvl w:val="9"/>
        <w:rPr>
          <w:rFonts w:hint="eastAsia" w:ascii="仿宋" w:hAnsi="仿宋" w:eastAsia="仿宋" w:cs="仿宋"/>
          <w:b/>
          <w:color w:val="000000"/>
          <w:sz w:val="28"/>
          <w:szCs w:val="28"/>
          <w:highlight w:val="none"/>
        </w:rPr>
      </w:pPr>
    </w:p>
    <w:p w14:paraId="01487984">
      <w:pPr>
        <w:kinsoku/>
        <w:overflowPunct/>
        <w:topLinePunct w:val="0"/>
        <w:bidi w:val="0"/>
        <w:textAlignment w:val="auto"/>
        <w:outlineLvl w:val="9"/>
        <w:rPr>
          <w:rFonts w:hint="eastAsia" w:ascii="仿宋" w:hAnsi="仿宋" w:eastAsia="仿宋" w:cs="仿宋"/>
          <w:b/>
          <w:color w:val="000000"/>
          <w:sz w:val="28"/>
          <w:szCs w:val="28"/>
          <w:highlight w:val="none"/>
        </w:rPr>
      </w:pPr>
    </w:p>
    <w:p w14:paraId="75B89E45">
      <w:pPr>
        <w:kinsoku/>
        <w:overflowPunct/>
        <w:topLinePunct w:val="0"/>
        <w:bidi w:val="0"/>
        <w:textAlignment w:val="auto"/>
        <w:outlineLvl w:val="9"/>
        <w:rPr>
          <w:rFonts w:hint="eastAsia" w:ascii="仿宋" w:hAnsi="仿宋" w:eastAsia="仿宋" w:cs="仿宋"/>
          <w:b/>
          <w:color w:val="000000"/>
          <w:sz w:val="28"/>
          <w:szCs w:val="28"/>
          <w:highlight w:val="none"/>
        </w:rPr>
      </w:pPr>
    </w:p>
    <w:p w14:paraId="117BE9EB">
      <w:pPr>
        <w:kinsoku/>
        <w:overflowPunct/>
        <w:topLinePunct w:val="0"/>
        <w:bidi w:val="0"/>
        <w:spacing w:line="360" w:lineRule="auto"/>
        <w:ind w:right="3360" w:rightChars="1600"/>
        <w:jc w:val="right"/>
        <w:textAlignment w:val="auto"/>
        <w:outlineLvl w:val="9"/>
        <w:rPr>
          <w:rFonts w:hint="eastAsia" w:ascii="仿宋" w:hAnsi="仿宋" w:eastAsia="仿宋" w:cs="仿宋"/>
          <w:b/>
          <w:color w:val="000000"/>
          <w:sz w:val="32"/>
          <w:szCs w:val="28"/>
          <w:highlight w:val="none"/>
        </w:rPr>
      </w:pPr>
      <w:r>
        <w:rPr>
          <w:rFonts w:hint="eastAsia" w:ascii="仿宋" w:hAnsi="仿宋" w:eastAsia="仿宋" w:cs="仿宋"/>
          <w:highlight w:val="none"/>
        </w:rPr>
        <mc:AlternateContent>
          <mc:Choice Requires="wps">
            <w:drawing>
              <wp:anchor distT="0" distB="0" distL="114300" distR="114300" simplePos="0" relativeHeight="251662336" behindDoc="0" locked="0" layoutInCell="1" allowOverlap="1">
                <wp:simplePos x="0" y="0"/>
                <wp:positionH relativeFrom="column">
                  <wp:posOffset>3749040</wp:posOffset>
                </wp:positionH>
                <wp:positionV relativeFrom="paragraph">
                  <wp:posOffset>156210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CF46DF0">
                            <w:pPr>
                              <w:rPr>
                                <w:rFonts w:hint="eastAsia" w:ascii="仿宋" w:hAnsi="仿宋" w:eastAsia="仿宋" w:cs="仿宋"/>
                                <w:b/>
                                <w:bCs/>
                                <w:sz w:val="32"/>
                              </w:rPr>
                            </w:pPr>
                            <w:r>
                              <w:rPr>
                                <w:rFonts w:hint="eastAsia" w:ascii="仿宋" w:hAnsi="仿宋" w:eastAsia="仿宋" w:cs="仿宋"/>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57pt;z-index:251662336;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gvSudkAAAAJAQAADwAAAAAAAAABACAAAAAi&#10;AAAAZHJzL2Rvd25yZXYueG1sUEsBAhQAFAAAAAgAh07iQOfVvLMJAgAAGgQAAA4AAAAAAAAAAQAg&#10;AAAAKAEAAGRycy9lMm9Eb2MueG1sUEsFBgAAAAAGAAYAWQEAAKMFAAAAAA==&#10;">
                <v:fill on="f" focussize="0,0"/>
                <v:stroke color="#FFFFFF" joinstyle="miter"/>
                <v:imagedata o:title=""/>
                <o:lock v:ext="edit" aspectratio="f"/>
                <v:textbox>
                  <w:txbxContent>
                    <w:p w14:paraId="5CF46DF0">
                      <w:pPr>
                        <w:rPr>
                          <w:rFonts w:hint="eastAsia" w:ascii="仿宋" w:hAnsi="仿宋" w:eastAsia="仿宋" w:cs="仿宋"/>
                          <w:b/>
                          <w:bCs/>
                          <w:sz w:val="32"/>
                        </w:rPr>
                      </w:pPr>
                      <w:r>
                        <w:rPr>
                          <w:rFonts w:hint="eastAsia" w:ascii="仿宋" w:hAnsi="仿宋" w:eastAsia="仿宋" w:cs="仿宋"/>
                          <w:b/>
                          <w:bCs/>
                          <w:sz w:val="32"/>
                        </w:rPr>
                        <w:t>制定</w:t>
                      </w:r>
                    </w:p>
                  </w:txbxContent>
                </v:textbox>
              </v:shape>
            </w:pict>
          </mc:Fallback>
        </mc:AlternateContent>
      </w:r>
      <w:r>
        <w:rPr>
          <w:rFonts w:hint="eastAsia" w:ascii="仿宋" w:hAnsi="仿宋" w:eastAsia="仿宋" w:cs="仿宋"/>
          <w:b/>
          <w:color w:val="000000"/>
          <w:sz w:val="32"/>
          <w:szCs w:val="28"/>
          <w:highlight w:val="none"/>
        </w:rPr>
        <w:t>住房和城乡建设部</w:t>
      </w:r>
    </w:p>
    <w:p w14:paraId="7F5B07B3">
      <w:pPr>
        <w:kinsoku/>
        <w:overflowPunct/>
        <w:topLinePunct w:val="0"/>
        <w:bidi w:val="0"/>
        <w:spacing w:line="360" w:lineRule="auto"/>
        <w:ind w:right="3139" w:rightChars="1495"/>
        <w:jc w:val="right"/>
        <w:textAlignment w:val="auto"/>
        <w:outlineLvl w:val="9"/>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国家工商行政管理总局</w:t>
      </w:r>
    </w:p>
    <w:p w14:paraId="62816DF7">
      <w:pPr>
        <w:kinsoku/>
        <w:overflowPunct/>
        <w:topLinePunct w:val="0"/>
        <w:bidi w:val="0"/>
        <w:textAlignment w:val="auto"/>
        <w:outlineLvl w:val="9"/>
        <w:rPr>
          <w:rFonts w:hint="eastAsia"/>
          <w:b/>
          <w:color w:val="000000"/>
          <w:highlight w:val="none"/>
        </w:rPr>
      </w:pPr>
    </w:p>
    <w:p w14:paraId="68A1D4DF">
      <w:pPr>
        <w:kinsoku/>
        <w:overflowPunct/>
        <w:topLinePunct w:val="0"/>
        <w:bidi w:val="0"/>
        <w:textAlignment w:val="auto"/>
        <w:outlineLvl w:val="9"/>
        <w:rPr>
          <w:rFonts w:hint="eastAsia"/>
          <w:b/>
          <w:color w:val="000000"/>
          <w:highlight w:val="none"/>
        </w:rPr>
      </w:pPr>
    </w:p>
    <w:p w14:paraId="2759924F">
      <w:pPr>
        <w:kinsoku/>
        <w:overflowPunct/>
        <w:topLinePunct w:val="0"/>
        <w:bidi w:val="0"/>
        <w:jc w:val="center"/>
        <w:textAlignment w:val="auto"/>
        <w:outlineLvl w:val="9"/>
        <w:rPr>
          <w:rFonts w:ascii="仿宋" w:hAnsi="仿宋" w:eastAsia="仿宋"/>
          <w:color w:val="auto"/>
          <w:sz w:val="24"/>
          <w:szCs w:val="24"/>
          <w:highlight w:val="none"/>
        </w:rPr>
      </w:pPr>
      <w:bookmarkStart w:id="34" w:name="_Toc83634886"/>
      <w:bookmarkStart w:id="35" w:name="_Toc296890982"/>
      <w:bookmarkStart w:id="36" w:name="_Toc296503025"/>
      <w:bookmarkStart w:id="37" w:name="_Toc101885628"/>
      <w:bookmarkStart w:id="38" w:name="_Toc351203480"/>
    </w:p>
    <w:p w14:paraId="3E64719E">
      <w:pPr>
        <w:keepNext w:val="0"/>
        <w:keepLines w:val="0"/>
        <w:pageBreakBefore w:val="0"/>
        <w:widowControl w:val="0"/>
        <w:kinsoku/>
        <w:wordWrap/>
        <w:overflowPunct/>
        <w:topLinePunct w:val="0"/>
        <w:autoSpaceDE/>
        <w:autoSpaceDN/>
        <w:bidi w:val="0"/>
        <w:adjustRightInd/>
        <w:snapToGrid/>
        <w:jc w:val="center"/>
        <w:textAlignment w:val="auto"/>
        <w:outlineLvl w:val="1"/>
        <w:rPr>
          <w:rFonts w:ascii="仿宋" w:hAnsi="仿宋" w:eastAsia="仿宋"/>
          <w:b w:val="0"/>
          <w:color w:val="auto"/>
          <w:sz w:val="24"/>
          <w:szCs w:val="24"/>
          <w:highlight w:val="none"/>
        </w:rPr>
      </w:pPr>
      <w:bookmarkStart w:id="39" w:name="_Toc3041"/>
      <w:r>
        <w:rPr>
          <w:rFonts w:ascii="仿宋" w:hAnsi="仿宋" w:eastAsia="仿宋"/>
          <w:b/>
          <w:bCs/>
          <w:color w:val="auto"/>
          <w:sz w:val="28"/>
          <w:szCs w:val="28"/>
          <w:highlight w:val="none"/>
        </w:rPr>
        <w:t>第一部分 合同协议书</w:t>
      </w:r>
      <w:bookmarkEnd w:id="34"/>
      <w:bookmarkEnd w:id="35"/>
      <w:bookmarkEnd w:id="36"/>
      <w:bookmarkEnd w:id="37"/>
      <w:bookmarkEnd w:id="38"/>
      <w:bookmarkEnd w:id="39"/>
    </w:p>
    <w:p w14:paraId="6B30D4AA">
      <w:pPr>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40" w:name="_Toc351203494"/>
      <w:bookmarkStart w:id="41" w:name="_Toc83634887"/>
      <w:bookmarkStart w:id="42" w:name="_Toc101885629"/>
      <w:r>
        <w:rPr>
          <w:rFonts w:hint="eastAsia" w:ascii="仿宋" w:hAnsi="仿宋" w:eastAsia="仿宋" w:cs="仿宋"/>
          <w:b/>
          <w:kern w:val="0"/>
          <w:sz w:val="24"/>
          <w:szCs w:val="24"/>
        </w:rPr>
        <w:t>发包人（全称）：</w:t>
      </w:r>
      <w:r>
        <w:rPr>
          <w:rFonts w:hint="eastAsia" w:ascii="仿宋" w:hAnsi="仿宋" w:eastAsia="仿宋" w:cs="仿宋"/>
          <w:b w:val="0"/>
          <w:bCs/>
          <w:kern w:val="0"/>
          <w:sz w:val="24"/>
          <w:szCs w:val="24"/>
          <w:u w:val="single"/>
          <w:lang w:val="en-US" w:eastAsia="zh-CN"/>
        </w:rPr>
        <w:t>乌鲁木齐高新技术产业开发区（乌鲁木齐市新市区）市政市容设施管理站</w:t>
      </w:r>
    </w:p>
    <w:p w14:paraId="47C3B4A0">
      <w:pPr>
        <w:keepNext w:val="0"/>
        <w:keepLines w:val="0"/>
        <w:pageBreakBefore w:val="0"/>
        <w:widowControl/>
        <w:kinsoku/>
        <w:wordWrap/>
        <w:overflowPunct/>
        <w:topLinePunct w:val="0"/>
        <w:autoSpaceDE/>
        <w:autoSpaceDN/>
        <w:bidi w:val="0"/>
        <w:adjustRightInd w:val="0"/>
        <w:snapToGrid w:val="0"/>
        <w:spacing w:line="360" w:lineRule="auto"/>
        <w:ind w:left="479" w:leftChars="228" w:firstLine="0" w:firstLineChars="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勘察人（全称）：</w:t>
      </w:r>
      <w:r>
        <w:rPr>
          <w:rFonts w:hint="eastAsia" w:ascii="仿宋" w:hAnsi="仿宋" w:eastAsia="仿宋" w:cs="仿宋"/>
          <w:b w:val="0"/>
          <w:bCs/>
          <w:kern w:val="0"/>
          <w:sz w:val="24"/>
          <w:szCs w:val="24"/>
          <w:u w:val="single"/>
          <w:lang w:val="en-US" w:eastAsia="zh-CN"/>
        </w:rPr>
        <w:t xml:space="preserve">                                                                                                                   </w:t>
      </w:r>
    </w:p>
    <w:p w14:paraId="5310DA3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根据《中华人民共和国</w:t>
      </w:r>
      <w:r>
        <w:rPr>
          <w:rFonts w:hint="eastAsia" w:ascii="仿宋" w:hAnsi="仿宋" w:eastAsia="仿宋" w:cs="仿宋"/>
          <w:kern w:val="0"/>
          <w:sz w:val="24"/>
          <w:szCs w:val="24"/>
          <w:lang w:eastAsia="zh-CN"/>
        </w:rPr>
        <w:t>民法典</w:t>
      </w:r>
      <w:r>
        <w:rPr>
          <w:rFonts w:hint="eastAsia" w:ascii="仿宋" w:hAnsi="仿宋" w:eastAsia="仿宋" w:cs="仿宋"/>
          <w:kern w:val="0"/>
          <w:sz w:val="24"/>
          <w:szCs w:val="24"/>
        </w:rPr>
        <w:t>》、《中华人民共和国建筑法》、</w:t>
      </w:r>
      <w:r>
        <w:rPr>
          <w:rFonts w:hint="eastAsia" w:ascii="仿宋" w:hAnsi="仿宋" w:eastAsia="仿宋" w:cs="仿宋"/>
          <w:color w:val="000000"/>
          <w:sz w:val="24"/>
          <w:szCs w:val="24"/>
        </w:rPr>
        <w:t>《中华人民共和国招标投标法》</w:t>
      </w:r>
      <w:r>
        <w:rPr>
          <w:rFonts w:hint="eastAsia" w:ascii="仿宋" w:hAnsi="仿宋" w:eastAsia="仿宋" w:cs="仿宋"/>
          <w:kern w:val="0"/>
          <w:sz w:val="24"/>
          <w:szCs w:val="24"/>
        </w:rPr>
        <w:t>等相关法律法规的规定，遵循平等、自愿、公平和诚实信用的原则，双方就</w:t>
      </w:r>
      <w:r>
        <w:rPr>
          <w:rFonts w:hint="eastAsia" w:ascii="仿宋" w:hAnsi="仿宋" w:eastAsia="仿宋" w:cs="仿宋"/>
          <w:kern w:val="0"/>
          <w:sz w:val="24"/>
          <w:szCs w:val="24"/>
          <w:u w:val="single"/>
          <w:lang w:val="en-US" w:eastAsia="zh-CN"/>
        </w:rPr>
        <w:t>乌鲁木齐高新区（新市区）铁路局片区老旧街区提升改造项目勘察</w:t>
      </w:r>
      <w:r>
        <w:rPr>
          <w:rFonts w:hint="eastAsia" w:ascii="仿宋" w:hAnsi="仿宋" w:eastAsia="仿宋" w:cs="仿宋"/>
          <w:kern w:val="0"/>
          <w:sz w:val="24"/>
          <w:szCs w:val="24"/>
        </w:rPr>
        <w:t>有关事项协商一致，达成如下协议。</w:t>
      </w:r>
    </w:p>
    <w:p w14:paraId="51A214DD">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43" w:name="_Toc406150410"/>
      <w:bookmarkStart w:id="44" w:name="_Toc457826139"/>
      <w:r>
        <w:rPr>
          <w:rFonts w:hint="eastAsia" w:ascii="仿宋" w:hAnsi="仿宋" w:eastAsia="仿宋" w:cs="仿宋"/>
          <w:b/>
          <w:kern w:val="0"/>
          <w:sz w:val="24"/>
          <w:szCs w:val="24"/>
        </w:rPr>
        <w:t>一、工程概况</w:t>
      </w:r>
      <w:bookmarkEnd w:id="43"/>
      <w:bookmarkEnd w:id="44"/>
    </w:p>
    <w:p w14:paraId="078E2A5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u w:val="none"/>
        </w:rPr>
      </w:pPr>
      <w:r>
        <w:rPr>
          <w:rFonts w:hint="eastAsia" w:ascii="仿宋" w:hAnsi="仿宋" w:eastAsia="仿宋" w:cs="仿宋"/>
          <w:kern w:val="0"/>
          <w:sz w:val="24"/>
          <w:szCs w:val="24"/>
        </w:rPr>
        <w:t>1.工程名称：</w:t>
      </w:r>
      <w:r>
        <w:rPr>
          <w:rFonts w:hint="eastAsia" w:ascii="仿宋" w:hAnsi="仿宋" w:eastAsia="仿宋" w:cs="仿宋"/>
          <w:kern w:val="0"/>
          <w:sz w:val="24"/>
          <w:szCs w:val="24"/>
          <w:u w:val="single"/>
          <w:lang w:val="en-US" w:eastAsia="zh-CN"/>
        </w:rPr>
        <w:t>乌鲁木齐高新区（新市区）铁路局片区老旧街区提升改造项目勘察</w:t>
      </w:r>
      <w:r>
        <w:rPr>
          <w:rFonts w:hint="eastAsia" w:ascii="仿宋" w:hAnsi="仿宋" w:eastAsia="仿宋" w:cs="仿宋"/>
          <w:kern w:val="0"/>
          <w:sz w:val="24"/>
          <w:szCs w:val="24"/>
          <w:u w:val="none"/>
          <w:lang w:val="en-US" w:eastAsia="zh-CN"/>
        </w:rPr>
        <w:t>。</w:t>
      </w:r>
    </w:p>
    <w:p w14:paraId="0F87D07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u w:val="none"/>
        </w:rPr>
      </w:pPr>
      <w:r>
        <w:rPr>
          <w:rFonts w:hint="eastAsia" w:ascii="仿宋" w:hAnsi="仿宋" w:eastAsia="仿宋" w:cs="仿宋"/>
          <w:kern w:val="0"/>
          <w:sz w:val="24"/>
          <w:szCs w:val="24"/>
        </w:rPr>
        <w:t>2.工程地点：</w:t>
      </w:r>
      <w:r>
        <w:rPr>
          <w:rFonts w:hint="eastAsia" w:ascii="仿宋" w:hAnsi="仿宋" w:eastAsia="仿宋" w:cs="仿宋"/>
          <w:kern w:val="0"/>
          <w:sz w:val="24"/>
          <w:szCs w:val="24"/>
          <w:u w:val="single"/>
          <w:lang w:val="en-US" w:eastAsia="zh-CN"/>
        </w:rPr>
        <w:t>乌鲁木齐高新区(新市区)铁路局-科学院片区</w:t>
      </w:r>
      <w:r>
        <w:rPr>
          <w:rFonts w:hint="eastAsia" w:ascii="仿宋" w:hAnsi="仿宋" w:eastAsia="仿宋" w:cs="仿宋"/>
          <w:kern w:val="0"/>
          <w:sz w:val="24"/>
          <w:szCs w:val="24"/>
          <w:u w:val="none"/>
          <w:lang w:val="en-US" w:eastAsia="zh-CN"/>
        </w:rPr>
        <w:t>。</w:t>
      </w:r>
    </w:p>
    <w:p w14:paraId="709FF6A2">
      <w:pPr>
        <w:kinsoku/>
        <w:overflowPunct/>
        <w:topLinePunct w:val="0"/>
        <w:bidi w:val="0"/>
        <w:adjustRightInd w:val="0"/>
        <w:snapToGrid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    3.工程规模、特征：</w:t>
      </w:r>
      <w:r>
        <w:rPr>
          <w:rFonts w:hint="eastAsia" w:ascii="仿宋" w:hAnsi="仿宋" w:eastAsia="仿宋" w:cs="仿宋"/>
          <w:kern w:val="0"/>
          <w:sz w:val="24"/>
          <w:szCs w:val="24"/>
          <w:u w:val="single"/>
        </w:rPr>
        <w:t>1、对机动车道及人行道实施更新改造，包括铺设道路结构层和面层、更换人行道砖及路缘石，并对路灯线缆、公共消防设施等进行更新更换，同步建设慢行步道;2、新建雨水管网，对部分道路进行海绵化改造，提升城市防洪排涝保障水平;3、新购置并安装电子信息指示牌、果皮箱、休闲座椅、阻车石、智慧控制器(路灯上)等市政配套基础设施;4、深化铁路局-科学院片区完整社区建设，如增设口袋公园、健身器材、无障碍设施、充电设施等;5、对人行天桥进行品质提升，如完善标识指引、增设无障碍设施;6、对2座公交站台进行智慧化提升改造;7、完善铁路公园功能设施，如购置并安装建设器材、监控、导览标识等</w:t>
      </w:r>
      <w:r>
        <w:rPr>
          <w:rFonts w:hint="eastAsia" w:ascii="仿宋" w:hAnsi="仿宋" w:eastAsia="仿宋" w:cs="仿宋"/>
          <w:kern w:val="0"/>
          <w:sz w:val="24"/>
          <w:szCs w:val="24"/>
        </w:rPr>
        <w:t xml:space="preserve">。                                   </w:t>
      </w:r>
    </w:p>
    <w:p w14:paraId="0AD7A59D">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45" w:name="_Toc457826140"/>
      <w:r>
        <w:rPr>
          <w:rFonts w:hint="eastAsia" w:ascii="仿宋" w:hAnsi="仿宋" w:eastAsia="仿宋" w:cs="仿宋"/>
          <w:b/>
          <w:kern w:val="0"/>
          <w:sz w:val="24"/>
          <w:szCs w:val="24"/>
        </w:rPr>
        <w:t>二、勘察范围和阶段、技术要求及工作量</w:t>
      </w:r>
      <w:bookmarkEnd w:id="45"/>
    </w:p>
    <w:p w14:paraId="7BDD057B">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1.勘察范围和阶段：________________________________________</w:t>
      </w:r>
    </w:p>
    <w:p w14:paraId="1EBC227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2.技术要求：______________________________________________</w:t>
      </w:r>
    </w:p>
    <w:p w14:paraId="4E9CD7E4">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3.工作量：________________________________________________</w:t>
      </w:r>
    </w:p>
    <w:p w14:paraId="147FAE74">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46" w:name="_Toc406150412"/>
      <w:bookmarkStart w:id="47" w:name="_Toc457826141"/>
      <w:r>
        <w:rPr>
          <w:rFonts w:hint="eastAsia" w:ascii="仿宋" w:hAnsi="仿宋" w:eastAsia="仿宋" w:cs="仿宋"/>
          <w:b/>
          <w:kern w:val="0"/>
          <w:sz w:val="24"/>
          <w:szCs w:val="24"/>
        </w:rPr>
        <w:t>三、合同工期</w:t>
      </w:r>
      <w:bookmarkEnd w:id="46"/>
      <w:bookmarkEnd w:id="47"/>
    </w:p>
    <w:p w14:paraId="4927A78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1.开工日期：______________________________________________</w:t>
      </w:r>
    </w:p>
    <w:p w14:paraId="75BCE88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2.成果提交日期：__________________________________________</w:t>
      </w:r>
    </w:p>
    <w:p w14:paraId="1C3BA8E9">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3.合同工</w:t>
      </w:r>
      <w:r>
        <w:rPr>
          <w:rFonts w:hint="eastAsia" w:ascii="仿宋" w:hAnsi="仿宋" w:eastAsia="仿宋" w:cs="仿宋"/>
          <w:kern w:val="0"/>
          <w:sz w:val="24"/>
          <w:szCs w:val="24"/>
          <w:highlight w:val="none"/>
        </w:rPr>
        <w:t>期（总日历天数）</w:t>
      </w:r>
      <w:r>
        <w:rPr>
          <w:rFonts w:hint="eastAsia" w:ascii="仿宋" w:hAnsi="仿宋" w:eastAsia="仿宋" w:cs="仿宋"/>
          <w:kern w:val="0"/>
          <w:sz w:val="24"/>
          <w:szCs w:val="24"/>
          <w:highlight w:val="none"/>
          <w:u w:val="single"/>
          <w:lang w:val="en-US" w:eastAsia="zh-CN"/>
        </w:rPr>
        <w:t xml:space="preserve"> 10 </w:t>
      </w:r>
      <w:r>
        <w:rPr>
          <w:rFonts w:hint="eastAsia" w:ascii="仿宋" w:hAnsi="仿宋" w:eastAsia="仿宋" w:cs="仿宋"/>
          <w:kern w:val="0"/>
          <w:sz w:val="24"/>
          <w:szCs w:val="24"/>
          <w:highlight w:val="none"/>
        </w:rPr>
        <w:t>天</w:t>
      </w:r>
    </w:p>
    <w:p w14:paraId="61DF7618">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color w:val="FF0000"/>
          <w:kern w:val="0"/>
          <w:sz w:val="24"/>
          <w:szCs w:val="24"/>
        </w:rPr>
      </w:pPr>
      <w:bookmarkStart w:id="48" w:name="_Toc457826142"/>
      <w:bookmarkStart w:id="49" w:name="_Toc406150413"/>
      <w:r>
        <w:rPr>
          <w:rFonts w:hint="eastAsia" w:ascii="仿宋" w:hAnsi="仿宋" w:eastAsia="仿宋" w:cs="仿宋"/>
          <w:b/>
          <w:kern w:val="0"/>
          <w:sz w:val="24"/>
          <w:szCs w:val="24"/>
        </w:rPr>
        <w:t>四、质量标准</w:t>
      </w:r>
      <w:bookmarkEnd w:id="48"/>
      <w:bookmarkEnd w:id="49"/>
    </w:p>
    <w:p w14:paraId="4C79C43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质量标准</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合格，</w:t>
      </w:r>
      <w:r>
        <w:rPr>
          <w:rFonts w:hint="eastAsia" w:ascii="仿宋" w:hAnsi="仿宋" w:eastAsia="仿宋" w:cs="仿宋"/>
          <w:kern w:val="0"/>
          <w:sz w:val="24"/>
          <w:szCs w:val="24"/>
          <w:u w:val="single"/>
          <w:lang w:eastAsia="zh-CN"/>
        </w:rPr>
        <w:t>满足现行勘察规范要求。</w:t>
      </w:r>
    </w:p>
    <w:p w14:paraId="20AA207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p>
    <w:p w14:paraId="6F79DED0">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50" w:name="_Toc406150414"/>
      <w:bookmarkStart w:id="51" w:name="_Toc457826143"/>
      <w:r>
        <w:rPr>
          <w:rFonts w:hint="eastAsia" w:ascii="仿宋" w:hAnsi="仿宋" w:eastAsia="仿宋" w:cs="仿宋"/>
          <w:b/>
          <w:kern w:val="0"/>
          <w:sz w:val="24"/>
          <w:szCs w:val="24"/>
        </w:rPr>
        <w:t>五、合同价款</w:t>
      </w:r>
      <w:bookmarkEnd w:id="50"/>
      <w:bookmarkEnd w:id="51"/>
    </w:p>
    <w:p w14:paraId="6BF8DCC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1.合同价款金额：人民币（大写）____________ (¥__________元)</w:t>
      </w:r>
    </w:p>
    <w:p w14:paraId="7CA032CA">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highlight w:val="green"/>
          <w:u w:val="single"/>
          <w:lang w:val="en-US" w:eastAsia="zh-CN"/>
        </w:rPr>
      </w:pPr>
      <w:r>
        <w:rPr>
          <w:rFonts w:hint="eastAsia" w:ascii="仿宋" w:hAnsi="仿宋" w:eastAsia="仿宋" w:cs="仿宋"/>
          <w:kern w:val="0"/>
          <w:sz w:val="24"/>
          <w:szCs w:val="24"/>
          <w:highlight w:val="none"/>
        </w:rPr>
        <w:t>2.合同价款形式：</w:t>
      </w:r>
      <w:r>
        <w:rPr>
          <w:rFonts w:hint="eastAsia" w:ascii="仿宋" w:hAnsi="仿宋" w:eastAsia="仿宋" w:cs="仿宋"/>
          <w:kern w:val="0"/>
          <w:sz w:val="24"/>
          <w:szCs w:val="24"/>
          <w:highlight w:val="none"/>
          <w:u w:val="single"/>
          <w:lang w:val="en-US" w:eastAsia="zh-CN"/>
        </w:rPr>
        <w:t>执行合同价</w:t>
      </w:r>
      <w:bookmarkStart w:id="52" w:name="_Toc457826144"/>
      <w:bookmarkStart w:id="53" w:name="_Toc406150415"/>
    </w:p>
    <w:p w14:paraId="7355BD73">
      <w:pPr>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六、合同文件构成</w:t>
      </w:r>
      <w:bookmarkEnd w:id="52"/>
      <w:bookmarkEnd w:id="53"/>
    </w:p>
    <w:p w14:paraId="76F6CDF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组成本合同的文件包括：</w:t>
      </w:r>
    </w:p>
    <w:p w14:paraId="02542D1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（1）合同协议书；</w:t>
      </w:r>
    </w:p>
    <w:p w14:paraId="071091F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（2）专用合同条款及其附件；</w:t>
      </w:r>
    </w:p>
    <w:p w14:paraId="574F4DF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（3）通用合同条款；</w:t>
      </w:r>
    </w:p>
    <w:p w14:paraId="538E02AE">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（4）中标通知书（如果有）；</w:t>
      </w:r>
    </w:p>
    <w:p w14:paraId="26AAD41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（5）投标文件及其附件（如果有）；</w:t>
      </w:r>
    </w:p>
    <w:p w14:paraId="11F6B58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（6）技术标准和要求；</w:t>
      </w:r>
    </w:p>
    <w:p w14:paraId="65EAEE32">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（7）图纸；</w:t>
      </w:r>
    </w:p>
    <w:p w14:paraId="0FB6AD9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（8）其他合同文件。</w:t>
      </w:r>
    </w:p>
    <w:p w14:paraId="46588E0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color w:val="FF0000"/>
          <w:kern w:val="0"/>
          <w:sz w:val="24"/>
          <w:szCs w:val="24"/>
        </w:rPr>
      </w:pPr>
      <w:r>
        <w:rPr>
          <w:rFonts w:hint="eastAsia" w:ascii="仿宋" w:hAnsi="仿宋" w:eastAsia="仿宋" w:cs="仿宋"/>
          <w:kern w:val="0"/>
          <w:sz w:val="24"/>
          <w:szCs w:val="24"/>
        </w:rPr>
        <w:t>在合同履行过程中形成的与合同有关的文件构成合同文件组成部分。</w:t>
      </w:r>
    </w:p>
    <w:p w14:paraId="6FA08774">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54" w:name="_Toc457826145"/>
      <w:r>
        <w:rPr>
          <w:rFonts w:hint="eastAsia" w:ascii="仿宋" w:hAnsi="仿宋" w:eastAsia="仿宋" w:cs="仿宋"/>
          <w:b/>
          <w:kern w:val="0"/>
          <w:sz w:val="24"/>
          <w:szCs w:val="24"/>
        </w:rPr>
        <w:t>七、承诺</w:t>
      </w:r>
      <w:bookmarkEnd w:id="54"/>
    </w:p>
    <w:p w14:paraId="0345C52B">
      <w:pPr>
        <w:tabs>
          <w:tab w:val="left" w:pos="72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 1.发包人承诺按照法律规定履行项目审批手续，按照合同约定提供工程勘察条件和相关资料，并按照合同约定的期限和方式支付合同价款。</w:t>
      </w:r>
    </w:p>
    <w:p w14:paraId="57C5CB14">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 2.勘察人承诺按照法律法规和技术标准规定及合同约定提供勘察技术服务。　</w:t>
      </w:r>
    </w:p>
    <w:p w14:paraId="7B6C3930">
      <w:pPr>
        <w:tabs>
          <w:tab w:val="left" w:pos="540"/>
          <w:tab w:val="left" w:pos="72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55" w:name="_Toc457826146"/>
      <w:bookmarkStart w:id="56" w:name="_Toc406150417"/>
      <w:r>
        <w:rPr>
          <w:rFonts w:hint="eastAsia" w:ascii="仿宋" w:hAnsi="仿宋" w:eastAsia="仿宋" w:cs="仿宋"/>
          <w:b/>
          <w:kern w:val="0"/>
          <w:sz w:val="24"/>
          <w:szCs w:val="24"/>
        </w:rPr>
        <w:t>八、词语定义</w:t>
      </w:r>
      <w:bookmarkEnd w:id="55"/>
      <w:bookmarkEnd w:id="56"/>
    </w:p>
    <w:p w14:paraId="1E6754B9">
      <w:pPr>
        <w:tabs>
          <w:tab w:val="left" w:pos="540"/>
          <w:tab w:val="left" w:pos="72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本合同协议书中词语含义与合同第二部分《通用合同条款》中的词语含义相同。</w:t>
      </w:r>
      <w:bookmarkStart w:id="57" w:name="_Toc406150418"/>
      <w:bookmarkStart w:id="58" w:name="_Toc457826147"/>
      <w:bookmarkStart w:id="59" w:name="_Toc351203489"/>
    </w:p>
    <w:p w14:paraId="5E7E9BFB">
      <w:pPr>
        <w:tabs>
          <w:tab w:val="left" w:pos="540"/>
          <w:tab w:val="left" w:pos="72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九、签订时间</w:t>
      </w:r>
      <w:bookmarkEnd w:id="57"/>
      <w:bookmarkEnd w:id="58"/>
      <w:bookmarkEnd w:id="59"/>
    </w:p>
    <w:p w14:paraId="6C0272B7">
      <w:pPr>
        <w:kinsoku/>
        <w:overflowPunct/>
        <w:topLinePunct w:val="0"/>
        <w:bidi w:val="0"/>
        <w:snapToGrid w:val="0"/>
        <w:spacing w:line="360" w:lineRule="auto"/>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本合同于</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日签订。</w:t>
      </w:r>
    </w:p>
    <w:p w14:paraId="7F9B3527">
      <w:pPr>
        <w:tabs>
          <w:tab w:val="left" w:pos="540"/>
          <w:tab w:val="left" w:pos="72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60" w:name="_Toc351203490"/>
      <w:bookmarkStart w:id="61" w:name="_Toc406150419"/>
      <w:bookmarkStart w:id="62" w:name="_Toc457826148"/>
      <w:r>
        <w:rPr>
          <w:rFonts w:hint="eastAsia" w:ascii="仿宋" w:hAnsi="仿宋" w:eastAsia="仿宋" w:cs="仿宋"/>
          <w:b/>
          <w:kern w:val="0"/>
          <w:sz w:val="24"/>
          <w:szCs w:val="24"/>
        </w:rPr>
        <w:t>十、签订地点</w:t>
      </w:r>
      <w:bookmarkEnd w:id="60"/>
      <w:bookmarkEnd w:id="61"/>
      <w:bookmarkEnd w:id="62"/>
    </w:p>
    <w:p w14:paraId="5D0F34B2">
      <w:pPr>
        <w:kinsoku/>
        <w:overflowPunct/>
        <w:topLinePunct w:val="0"/>
        <w:bidi w:val="0"/>
        <w:snapToGrid w:val="0"/>
        <w:spacing w:line="360" w:lineRule="auto"/>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本合同在</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签订。</w:t>
      </w:r>
    </w:p>
    <w:p w14:paraId="02219CA8">
      <w:pPr>
        <w:tabs>
          <w:tab w:val="left" w:pos="540"/>
          <w:tab w:val="left" w:pos="72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63" w:name="_Toc457826149"/>
      <w:bookmarkStart w:id="64" w:name="_Toc406150420"/>
      <w:bookmarkStart w:id="65" w:name="_Toc351203492"/>
      <w:r>
        <w:rPr>
          <w:rFonts w:hint="eastAsia" w:ascii="仿宋" w:hAnsi="仿宋" w:eastAsia="仿宋" w:cs="仿宋"/>
          <w:b/>
          <w:kern w:val="0"/>
          <w:sz w:val="24"/>
          <w:szCs w:val="24"/>
        </w:rPr>
        <w:t>十一、合同生效</w:t>
      </w:r>
      <w:bookmarkEnd w:id="63"/>
      <w:bookmarkEnd w:id="64"/>
      <w:bookmarkEnd w:id="65"/>
    </w:p>
    <w:p w14:paraId="53E11F51">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本合同自</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生效。</w:t>
      </w:r>
    </w:p>
    <w:p w14:paraId="2357F2AE">
      <w:pPr>
        <w:tabs>
          <w:tab w:val="left" w:pos="540"/>
          <w:tab w:val="left" w:pos="72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bookmarkStart w:id="66" w:name="_Toc457826150"/>
      <w:r>
        <w:rPr>
          <w:rFonts w:hint="eastAsia" w:ascii="仿宋" w:hAnsi="仿宋" w:eastAsia="仿宋" w:cs="仿宋"/>
          <w:b/>
          <w:kern w:val="0"/>
          <w:sz w:val="24"/>
          <w:szCs w:val="24"/>
        </w:rPr>
        <w:t>十二、合同份数</w:t>
      </w:r>
      <w:bookmarkEnd w:id="66"/>
    </w:p>
    <w:p w14:paraId="54DD7C1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本合同一式</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份，具有同等法律效力，发包人执</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份，勘察人执</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份。</w:t>
      </w:r>
    </w:p>
    <w:p w14:paraId="4A03B6E6">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Cs/>
          <w:color w:val="000000"/>
          <w:sz w:val="24"/>
          <w:szCs w:val="24"/>
        </w:rPr>
      </w:pPr>
    </w:p>
    <w:p w14:paraId="16EC6FE3">
      <w:pPr>
        <w:kinsoku/>
        <w:overflowPunct/>
        <w:topLinePunct w:val="0"/>
        <w:bidi w:val="0"/>
        <w:adjustRightInd w:val="0"/>
        <w:snapToGrid w:val="0"/>
        <w:spacing w:before="312" w:beforeLines="100" w:after="190" w:afterLines="61" w:line="360" w:lineRule="auto"/>
        <w:ind w:firstLine="480" w:firstLineChars="200"/>
        <w:jc w:val="left"/>
        <w:textAlignment w:val="auto"/>
        <w:outlineLvl w:val="9"/>
        <w:rPr>
          <w:rFonts w:hint="default" w:ascii="仿宋" w:hAnsi="仿宋" w:eastAsia="仿宋" w:cs="仿宋"/>
          <w:bCs/>
          <w:color w:val="000000"/>
          <w:sz w:val="24"/>
          <w:szCs w:val="24"/>
          <w:u w:val="single" w:color="auto"/>
          <w:lang w:val="en-US" w:eastAsia="zh-CN"/>
        </w:rPr>
      </w:pPr>
      <w:r>
        <w:rPr>
          <w:rFonts w:hint="eastAsia" w:ascii="仿宋" w:hAnsi="仿宋" w:eastAsia="仿宋" w:cs="仿宋"/>
          <w:bCs/>
          <w:color w:val="000000"/>
          <w:sz w:val="24"/>
          <w:szCs w:val="24"/>
          <w:u w:val="none" w:color="auto"/>
        </w:rPr>
        <w:t>发包人：（印章）</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 xml:space="preserve">勘察人：（印章）  </w:t>
      </w:r>
      <w:r>
        <w:rPr>
          <w:rFonts w:hint="eastAsia" w:ascii="仿宋" w:hAnsi="仿宋" w:eastAsia="仿宋" w:cs="仿宋"/>
          <w:bCs/>
          <w:color w:val="000000"/>
          <w:sz w:val="24"/>
          <w:szCs w:val="24"/>
          <w:u w:val="single" w:color="auto"/>
          <w:lang w:val="en-US" w:eastAsia="zh-CN"/>
        </w:rPr>
        <w:t xml:space="preserve"> </w:t>
      </w:r>
    </w:p>
    <w:p w14:paraId="758980B4">
      <w:pPr>
        <w:kinsoku/>
        <w:overflowPunct/>
        <w:topLinePunct w:val="0"/>
        <w:bidi w:val="0"/>
        <w:adjustRightInd w:val="0"/>
        <w:snapToGrid w:val="0"/>
        <w:spacing w:after="190" w:afterLines="61" w:line="360" w:lineRule="auto"/>
        <w:ind w:firstLine="480" w:firstLineChars="200"/>
        <w:jc w:val="left"/>
        <w:textAlignment w:val="auto"/>
        <w:outlineLvl w:val="9"/>
        <w:rPr>
          <w:rFonts w:hint="eastAsia" w:ascii="仿宋" w:hAnsi="仿宋" w:eastAsia="仿宋" w:cs="仿宋"/>
          <w:bCs/>
          <w:color w:val="000000"/>
          <w:sz w:val="24"/>
          <w:szCs w:val="24"/>
          <w:u w:val="none" w:color="auto"/>
        </w:rPr>
      </w:pPr>
      <w:r>
        <w:rPr>
          <w:rFonts w:hint="eastAsia" w:ascii="仿宋" w:hAnsi="仿宋" w:eastAsia="仿宋" w:cs="仿宋"/>
          <w:bCs/>
          <w:color w:val="000000"/>
          <w:sz w:val="24"/>
          <w:szCs w:val="24"/>
          <w:u w:val="none" w:color="auto"/>
        </w:rPr>
        <w:t xml:space="preserve">法定代表人或其委托代理人：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法定代表人或其委托代理人：</w:t>
      </w:r>
    </w:p>
    <w:p w14:paraId="3C7BB4ED">
      <w:pPr>
        <w:kinsoku/>
        <w:overflowPunct/>
        <w:topLinePunct w:val="0"/>
        <w:bidi w:val="0"/>
        <w:adjustRightInd w:val="0"/>
        <w:snapToGrid w:val="0"/>
        <w:spacing w:after="190" w:afterLines="61" w:line="360" w:lineRule="auto"/>
        <w:ind w:firstLine="480" w:firstLineChars="200"/>
        <w:jc w:val="left"/>
        <w:textAlignment w:val="auto"/>
        <w:outlineLvl w:val="9"/>
        <w:rPr>
          <w:rFonts w:hint="eastAsia" w:ascii="仿宋" w:hAnsi="仿宋" w:eastAsia="仿宋" w:cs="仿宋"/>
          <w:bCs/>
          <w:color w:val="000000"/>
          <w:sz w:val="24"/>
          <w:szCs w:val="24"/>
          <w:u w:val="none" w:color="auto"/>
        </w:rPr>
      </w:pPr>
      <w:r>
        <w:rPr>
          <w:rFonts w:hint="eastAsia" w:ascii="仿宋" w:hAnsi="仿宋" w:eastAsia="仿宋" w:cs="仿宋"/>
          <w:bCs/>
          <w:color w:val="000000"/>
          <w:sz w:val="24"/>
          <w:szCs w:val="24"/>
          <w:u w:val="none" w:color="auto"/>
        </w:rPr>
        <w:t xml:space="preserve">（签字）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（签字）</w:t>
      </w:r>
    </w:p>
    <w:p w14:paraId="4A33C74C">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u w:val="single" w:color="auto"/>
        </w:rPr>
      </w:pPr>
      <w:r>
        <w:rPr>
          <w:rFonts w:hint="eastAsia" w:ascii="仿宋" w:hAnsi="仿宋" w:eastAsia="仿宋" w:cs="仿宋"/>
          <w:bCs/>
          <w:color w:val="000000"/>
          <w:sz w:val="24"/>
          <w:szCs w:val="24"/>
          <w:u w:val="none" w:color="auto"/>
        </w:rPr>
        <w:t>统一社会信用代码：</w:t>
      </w:r>
      <w:r>
        <w:rPr>
          <w:rFonts w:hint="eastAsia" w:ascii="仿宋" w:hAnsi="仿宋" w:eastAsia="仿宋" w:cs="仿宋"/>
          <w:bCs/>
          <w:color w:val="000000"/>
          <w:sz w:val="24"/>
          <w:szCs w:val="24"/>
          <w:u w:val="single" w:color="auto"/>
          <w:lang w:val="en-US" w:eastAsia="zh-CN"/>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统一社会信用代码：</w:t>
      </w:r>
      <w:r>
        <w:rPr>
          <w:rFonts w:hint="eastAsia" w:ascii="仿宋" w:hAnsi="仿宋" w:eastAsia="仿宋" w:cs="仿宋"/>
          <w:bCs/>
          <w:color w:val="000000"/>
          <w:sz w:val="24"/>
          <w:szCs w:val="24"/>
          <w:u w:val="single" w:color="auto"/>
          <w:lang w:val="en-US" w:eastAsia="zh-CN"/>
        </w:rPr>
        <w:t xml:space="preserve">          </w:t>
      </w:r>
    </w:p>
    <w:p w14:paraId="71602D0F">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u w:val="single" w:color="auto"/>
        </w:rPr>
      </w:pPr>
      <w:r>
        <w:rPr>
          <w:rFonts w:hint="eastAsia" w:ascii="仿宋" w:hAnsi="仿宋" w:eastAsia="仿宋" w:cs="仿宋"/>
          <w:bCs/>
          <w:color w:val="000000"/>
          <w:sz w:val="24"/>
          <w:szCs w:val="24"/>
          <w:u w:val="none" w:color="auto"/>
        </w:rPr>
        <w:t>地址：</w:t>
      </w:r>
      <w:r>
        <w:rPr>
          <w:rFonts w:hint="eastAsia" w:ascii="仿宋" w:hAnsi="仿宋" w:eastAsia="仿宋" w:cs="仿宋"/>
          <w:bCs/>
          <w:color w:val="000000"/>
          <w:sz w:val="24"/>
          <w:szCs w:val="24"/>
          <w:u w:val="single" w:color="auto"/>
          <w:lang w:val="en-US" w:eastAsia="zh-CN"/>
        </w:rPr>
        <w:t xml:space="preserve">            </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地址：</w:t>
      </w:r>
      <w:r>
        <w:rPr>
          <w:rFonts w:hint="eastAsia" w:ascii="仿宋" w:hAnsi="仿宋" w:eastAsia="仿宋" w:cs="仿宋"/>
          <w:bCs/>
          <w:color w:val="000000"/>
          <w:sz w:val="24"/>
          <w:szCs w:val="24"/>
          <w:u w:val="single" w:color="auto"/>
          <w:lang w:val="en-US" w:eastAsia="zh-CN"/>
        </w:rPr>
        <w:t xml:space="preserve">                 </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single" w:color="auto"/>
          <w:lang w:val="en-US" w:eastAsia="zh-CN"/>
        </w:rPr>
        <w:t xml:space="preserve">    </w:t>
      </w:r>
    </w:p>
    <w:p w14:paraId="5CC65B97">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u w:val="single" w:color="auto"/>
        </w:rPr>
      </w:pPr>
      <w:r>
        <w:rPr>
          <w:rFonts w:hint="eastAsia" w:ascii="仿宋" w:hAnsi="仿宋" w:eastAsia="仿宋" w:cs="仿宋"/>
          <w:bCs/>
          <w:color w:val="000000"/>
          <w:sz w:val="24"/>
          <w:szCs w:val="24"/>
          <w:u w:val="none" w:color="auto"/>
        </w:rPr>
        <w:t>邮政编码：</w:t>
      </w:r>
      <w:r>
        <w:rPr>
          <w:rFonts w:hint="eastAsia" w:ascii="仿宋" w:hAnsi="仿宋" w:eastAsia="仿宋" w:cs="仿宋"/>
          <w:bCs/>
          <w:color w:val="000000"/>
          <w:sz w:val="24"/>
          <w:szCs w:val="24"/>
          <w:u w:val="single" w:color="auto"/>
          <w:lang w:val="en-US" w:eastAsia="zh-CN"/>
        </w:rPr>
        <w:t xml:space="preserve">           </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邮政编码：</w:t>
      </w:r>
      <w:r>
        <w:rPr>
          <w:rFonts w:hint="eastAsia" w:ascii="仿宋" w:hAnsi="仿宋" w:eastAsia="仿宋" w:cs="仿宋"/>
          <w:bCs/>
          <w:color w:val="000000"/>
          <w:sz w:val="24"/>
          <w:szCs w:val="24"/>
          <w:u w:val="single" w:color="auto"/>
          <w:lang w:val="en-US" w:eastAsia="zh-CN"/>
        </w:rPr>
        <w:t xml:space="preserve">                  </w:t>
      </w:r>
    </w:p>
    <w:p w14:paraId="53FD8D72">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u w:val="single" w:color="auto"/>
        </w:rPr>
      </w:pPr>
      <w:r>
        <w:rPr>
          <w:rFonts w:hint="eastAsia" w:ascii="仿宋" w:hAnsi="仿宋" w:eastAsia="仿宋" w:cs="仿宋"/>
          <w:bCs/>
          <w:color w:val="000000"/>
          <w:sz w:val="24"/>
          <w:szCs w:val="24"/>
          <w:u w:val="none" w:color="auto"/>
        </w:rPr>
        <w:t>电话：</w:t>
      </w:r>
      <w:r>
        <w:rPr>
          <w:rFonts w:hint="eastAsia" w:ascii="仿宋" w:hAnsi="仿宋" w:eastAsia="仿宋" w:cs="仿宋"/>
          <w:bCs/>
          <w:color w:val="000000"/>
          <w:sz w:val="24"/>
          <w:szCs w:val="24"/>
          <w:u w:val="single" w:color="auto"/>
          <w:lang w:val="en-US" w:eastAsia="zh-CN"/>
        </w:rPr>
        <w:t xml:space="preserve">         </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电话：</w:t>
      </w:r>
      <w:r>
        <w:rPr>
          <w:rFonts w:hint="eastAsia" w:ascii="仿宋" w:hAnsi="仿宋" w:eastAsia="仿宋" w:cs="仿宋"/>
          <w:bCs/>
          <w:color w:val="000000"/>
          <w:sz w:val="24"/>
          <w:szCs w:val="24"/>
          <w:u w:val="single" w:color="auto"/>
          <w:lang w:val="en-US" w:eastAsia="zh-CN"/>
        </w:rPr>
        <w:t xml:space="preserve">                      </w:t>
      </w:r>
    </w:p>
    <w:p w14:paraId="4E81AF43">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u w:val="single" w:color="auto"/>
        </w:rPr>
      </w:pPr>
      <w:r>
        <w:rPr>
          <w:rFonts w:hint="eastAsia" w:ascii="仿宋" w:hAnsi="仿宋" w:eastAsia="仿宋" w:cs="仿宋"/>
          <w:bCs/>
          <w:color w:val="000000"/>
          <w:sz w:val="24"/>
          <w:szCs w:val="24"/>
          <w:u w:val="none" w:color="auto"/>
        </w:rPr>
        <w:t>传真：</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传真：</w:t>
      </w:r>
      <w:r>
        <w:rPr>
          <w:rFonts w:hint="eastAsia" w:ascii="仿宋" w:hAnsi="仿宋" w:eastAsia="仿宋" w:cs="仿宋"/>
          <w:bCs/>
          <w:color w:val="000000"/>
          <w:sz w:val="24"/>
          <w:szCs w:val="24"/>
          <w:u w:val="single" w:color="auto"/>
          <w:lang w:val="en-US" w:eastAsia="zh-CN"/>
        </w:rPr>
        <w:t xml:space="preserve">                      </w:t>
      </w:r>
    </w:p>
    <w:p w14:paraId="50934534">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u w:val="single" w:color="auto"/>
        </w:rPr>
      </w:pPr>
      <w:r>
        <w:rPr>
          <w:rFonts w:hint="eastAsia" w:ascii="仿宋" w:hAnsi="仿宋" w:eastAsia="仿宋" w:cs="仿宋"/>
          <w:bCs/>
          <w:color w:val="000000"/>
          <w:sz w:val="24"/>
          <w:szCs w:val="24"/>
          <w:u w:val="none" w:color="auto"/>
        </w:rPr>
        <w:t>电子邮箱：</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电子邮箱：</w:t>
      </w:r>
      <w:r>
        <w:rPr>
          <w:rFonts w:hint="eastAsia" w:ascii="仿宋" w:hAnsi="仿宋" w:eastAsia="仿宋" w:cs="仿宋"/>
          <w:bCs/>
          <w:color w:val="000000"/>
          <w:sz w:val="24"/>
          <w:szCs w:val="24"/>
          <w:u w:val="single" w:color="auto"/>
          <w:lang w:val="en-US" w:eastAsia="zh-CN"/>
        </w:rPr>
        <w:t xml:space="preserve">                  </w:t>
      </w:r>
      <w:r>
        <w:rPr>
          <w:rFonts w:hint="eastAsia" w:ascii="仿宋" w:hAnsi="仿宋" w:eastAsia="仿宋" w:cs="仿宋"/>
          <w:bCs/>
          <w:color w:val="000000"/>
          <w:sz w:val="24"/>
          <w:szCs w:val="24"/>
          <w:u w:val="none" w:color="auto"/>
          <w:lang w:val="en-US" w:eastAsia="zh-CN"/>
        </w:rPr>
        <w:t xml:space="preserve"> </w:t>
      </w:r>
    </w:p>
    <w:p w14:paraId="4E15976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u w:val="none" w:color="auto"/>
        </w:rPr>
      </w:pPr>
      <w:r>
        <w:rPr>
          <w:rFonts w:hint="eastAsia" w:ascii="仿宋" w:hAnsi="仿宋" w:eastAsia="仿宋" w:cs="仿宋"/>
          <w:bCs/>
          <w:color w:val="000000"/>
          <w:sz w:val="24"/>
          <w:szCs w:val="24"/>
          <w:u w:val="none" w:color="auto"/>
        </w:rPr>
        <w:t>开户银行：</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开户银行：</w:t>
      </w:r>
      <w:r>
        <w:rPr>
          <w:rFonts w:hint="eastAsia" w:ascii="仿宋" w:hAnsi="仿宋" w:eastAsia="仿宋" w:cs="仿宋"/>
          <w:bCs/>
          <w:color w:val="000000"/>
          <w:sz w:val="24"/>
          <w:szCs w:val="24"/>
          <w:u w:val="single" w:color="auto"/>
          <w:lang w:val="en-US" w:eastAsia="zh-CN"/>
        </w:rPr>
        <w:t xml:space="preserve">                  </w:t>
      </w:r>
    </w:p>
    <w:p w14:paraId="7CF1DBF3">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Cs/>
          <w:color w:val="000000"/>
          <w:sz w:val="24"/>
          <w:szCs w:val="24"/>
          <w:u w:val="none" w:color="auto"/>
        </w:rPr>
        <w:t>账号：</w:t>
      </w:r>
      <w:r>
        <w:rPr>
          <w:rFonts w:hint="eastAsia" w:ascii="仿宋" w:hAnsi="仿宋" w:eastAsia="仿宋" w:cs="仿宋"/>
          <w:bCs/>
          <w:color w:val="000000"/>
          <w:sz w:val="24"/>
          <w:szCs w:val="24"/>
          <w:u w:val="single" w:color="auto"/>
        </w:rPr>
        <w:t xml:space="preserve">                    </w:t>
      </w:r>
      <w:r>
        <w:rPr>
          <w:rFonts w:hint="eastAsia" w:ascii="仿宋" w:hAnsi="仿宋" w:eastAsia="仿宋" w:cs="仿宋"/>
          <w:bCs/>
          <w:color w:val="000000"/>
          <w:sz w:val="24"/>
          <w:szCs w:val="24"/>
          <w:u w:val="none" w:color="auto"/>
        </w:rPr>
        <w:t xml:space="preserve">  </w:t>
      </w:r>
      <w:r>
        <w:rPr>
          <w:rFonts w:hint="eastAsia" w:ascii="仿宋" w:hAnsi="仿宋" w:eastAsia="仿宋" w:cs="仿宋"/>
          <w:bCs/>
          <w:color w:val="000000"/>
          <w:sz w:val="24"/>
          <w:szCs w:val="24"/>
          <w:u w:val="none" w:color="auto"/>
          <w:lang w:val="en-US" w:eastAsia="zh-CN"/>
        </w:rPr>
        <w:t xml:space="preserve">  </w:t>
      </w:r>
      <w:r>
        <w:rPr>
          <w:rFonts w:hint="eastAsia" w:ascii="仿宋" w:hAnsi="仿宋" w:eastAsia="仿宋" w:cs="仿宋"/>
          <w:bCs/>
          <w:color w:val="000000"/>
          <w:sz w:val="24"/>
          <w:szCs w:val="24"/>
          <w:u w:val="none" w:color="auto"/>
        </w:rPr>
        <w:t>账号：</w:t>
      </w:r>
      <w:r>
        <w:rPr>
          <w:rFonts w:hint="eastAsia"/>
          <w:lang w:val="en-US" w:eastAsia="zh-CN"/>
        </w:rPr>
        <w:t xml:space="preserve">                     </w:t>
      </w:r>
    </w:p>
    <w:p w14:paraId="6EF86B96">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outlineLvl w:val="1"/>
        <w:rPr>
          <w:rFonts w:hint="eastAsia" w:ascii="仿宋" w:hAnsi="仿宋" w:eastAsia="仿宋"/>
          <w:sz w:val="24"/>
          <w:szCs w:val="24"/>
          <w:highlight w:val="none"/>
        </w:rPr>
      </w:pPr>
      <w:bookmarkStart w:id="67" w:name="_Toc21532"/>
      <w:r>
        <w:rPr>
          <w:rFonts w:ascii="仿宋" w:hAnsi="仿宋" w:eastAsia="仿宋"/>
          <w:b/>
          <w:bCs/>
          <w:sz w:val="28"/>
          <w:szCs w:val="28"/>
          <w:highlight w:val="none"/>
        </w:rPr>
        <w:t>第二部分 通用合同条款</w:t>
      </w:r>
      <w:bookmarkEnd w:id="40"/>
      <w:bookmarkEnd w:id="41"/>
      <w:bookmarkEnd w:id="42"/>
      <w:bookmarkEnd w:id="67"/>
      <w:bookmarkStart w:id="68" w:name="_Toc337558727"/>
    </w:p>
    <w:bookmarkEnd w:id="68"/>
    <w:p w14:paraId="736713D0">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69" w:name="_Toc457826152"/>
      <w:r>
        <w:rPr>
          <w:rFonts w:hint="eastAsia" w:ascii="仿宋" w:hAnsi="仿宋" w:eastAsia="仿宋" w:cs="仿宋"/>
          <w:sz w:val="24"/>
          <w:szCs w:val="24"/>
        </w:rPr>
        <w:t>第1条 一般约定</w:t>
      </w:r>
      <w:bookmarkEnd w:id="69"/>
    </w:p>
    <w:p w14:paraId="5E26954A">
      <w:pPr>
        <w:keepNext w:val="0"/>
        <w:keepLines w:val="0"/>
        <w:tabs>
          <w:tab w:val="left" w:pos="180"/>
          <w:tab w:val="left" w:pos="36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70" w:name="_Toc457826153"/>
      <w:bookmarkStart w:id="71" w:name="_Toc406150424"/>
      <w:r>
        <w:rPr>
          <w:rFonts w:hint="eastAsia" w:ascii="仿宋" w:hAnsi="仿宋" w:eastAsia="仿宋" w:cs="仿宋"/>
          <w:kern w:val="0"/>
          <w:sz w:val="24"/>
          <w:szCs w:val="24"/>
        </w:rPr>
        <w:t>1.1 词语定义</w:t>
      </w:r>
      <w:bookmarkEnd w:id="70"/>
      <w:bookmarkEnd w:id="71"/>
    </w:p>
    <w:p w14:paraId="69BC5F4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下列词语除专用合同条款另有约定外，应具有本条所赋予的含义。</w:t>
      </w:r>
    </w:p>
    <w:p w14:paraId="13115602">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14:paraId="0ECD908F">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1.1.2 合同协议书：指构成合同的由发包人和勘察人共同签署的称为“合同协议书”的书面文件。</w:t>
      </w:r>
    </w:p>
    <w:p w14:paraId="231A73A7">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1.1.3 通用合同条款：是根据法律、行政法规规定及建设工程勘察的需要订立，通用于建设工程勘察的合同条款。</w:t>
      </w:r>
    </w:p>
    <w:p w14:paraId="522FA664">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1.1.4 专用合同条款：是发包人与勘察人根据法律、行政法规规定，结合具体工程实际，经协商达成一致意见的合同条款，是对通用合同条款的细化、完善、补充、修改或另行约定。</w:t>
      </w:r>
    </w:p>
    <w:p w14:paraId="028E6A0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1.1.5 发包人：指与勘察人签定合同协议书的当事人以及取得该当事人资格的合法继承人。</w:t>
      </w:r>
    </w:p>
    <w:p w14:paraId="62D31F67">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1.1.6 勘察人：指在合同协议书中约定，被发包人接受的具有工程勘察资质的当事人以及取得该当事人资格的合法继承人。</w:t>
      </w:r>
    </w:p>
    <w:p w14:paraId="491ED0A4">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1.1.7 工程：指发包人与勘察人在合同协议书中约定的勘察范围内的项目。</w:t>
      </w:r>
    </w:p>
    <w:p w14:paraId="54C81DD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1.1.8 勘察任务书：指由发包人就工程勘察范围、内容和技术标准等提出要求的书面文件。勘察任务书构成合同文件组成部分。</w:t>
      </w:r>
    </w:p>
    <w:p w14:paraId="21714D4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1.1.9 合同价款：指合同当事人在合同协议书中约定，发包人用以支付勘察人完成合同约定范围内工程勘察工作的款项。</w:t>
      </w:r>
    </w:p>
    <w:p w14:paraId="30EAA11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1.1.10 费用：指为履行合同所发生的或将要发生的</w:t>
      </w:r>
      <w:r>
        <w:rPr>
          <w:rFonts w:hint="eastAsia" w:ascii="仿宋" w:hAnsi="仿宋" w:eastAsia="仿宋" w:cs="仿宋"/>
          <w:kern w:val="0"/>
          <w:sz w:val="24"/>
          <w:szCs w:val="24"/>
          <w:lang w:eastAsia="zh-CN"/>
        </w:rPr>
        <w:t>必需的</w:t>
      </w:r>
      <w:r>
        <w:rPr>
          <w:rFonts w:hint="eastAsia" w:ascii="仿宋" w:hAnsi="仿宋" w:eastAsia="仿宋" w:cs="仿宋"/>
          <w:kern w:val="0"/>
          <w:sz w:val="24"/>
          <w:szCs w:val="24"/>
        </w:rPr>
        <w:t>支出。</w:t>
      </w:r>
    </w:p>
    <w:p w14:paraId="0543343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1.1.11 工期：指合同当事人在合同协议书中约定，按总日历天数（包括法定节假日）计算的工作天数。</w:t>
      </w:r>
    </w:p>
    <w:p w14:paraId="5C250F4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1.1.12 天：除特别指明外，均指日历天。约定按天计算时间的，开始当天不计入，从次日开始计算。时限的最后一天是休息日或者其他法定节假日的，以节假日次日为时限的最后一天，时限的最后一天的截止时间为当日24时。</w:t>
      </w:r>
    </w:p>
    <w:p w14:paraId="1B77AAF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1.1.13 开工日期：指合同当事人在合同中约定，勘察人开始工作的绝对或相对日期。</w:t>
      </w:r>
    </w:p>
    <w:p w14:paraId="778E81F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1.1.14 成果提交日期：指合同当事人在合同中约定，勘察人完成合同范围内工作并提交成果资料的绝对或相对日期。</w:t>
      </w:r>
    </w:p>
    <w:p w14:paraId="4A5E3256">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1.1.15 图纸：指由发包人提供或由勘察人提供并经发包人认可，满足勘察人开展工作需要的所有图件，包括相关说明和资料。</w:t>
      </w:r>
    </w:p>
    <w:p w14:paraId="1D068462">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1.1.16 作业场地：指工程勘察作业的场所以及发包人具体指定的供工程勘察作业使用的其他场所。</w:t>
      </w:r>
    </w:p>
    <w:p w14:paraId="26966D2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1.1.17 书面形式：指合同书、信件和数据电文（包括电报、电传、传真、电子数据交换和电子邮件）等可以有形地表现所载内容的形式。</w:t>
      </w:r>
    </w:p>
    <w:p w14:paraId="032F4E8E">
      <w:pPr>
        <w:kinsoku/>
        <w:overflowPunct/>
        <w:topLinePunct w:val="0"/>
        <w:bidi w:val="0"/>
        <w:adjustRightInd w:val="0"/>
        <w:snapToGrid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    1.1.18 索赔：指在合同履行过程中，一方违反合同约定，直接或间接地给另一方造成实际损失，受损方向违约方提出经济赔偿和（或）工期顺延的要求。</w:t>
      </w:r>
    </w:p>
    <w:p w14:paraId="2B7AF647">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1.1.19 不利物质条件：指勘察人在作业场地遇到的不可预见的自然物质条件、非自然的物质障碍和污染物。</w:t>
      </w:r>
    </w:p>
    <w:p w14:paraId="33AD733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1.1.20 后期服务：指勘察人提交成果资料后，为发包人提供的后续技术服务工作和程序性工作，如报告成果咨询、基槽检验、现场交桩和竣工验收等。</w:t>
      </w:r>
    </w:p>
    <w:p w14:paraId="6609EF1B">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72" w:name="_Toc457826154"/>
      <w:bookmarkStart w:id="73" w:name="_Toc406150425"/>
      <w:r>
        <w:rPr>
          <w:rFonts w:hint="eastAsia" w:ascii="仿宋" w:hAnsi="仿宋" w:eastAsia="仿宋" w:cs="仿宋"/>
          <w:kern w:val="0"/>
          <w:sz w:val="24"/>
          <w:szCs w:val="24"/>
        </w:rPr>
        <w:t>1.2 合同文件及优先解释顺序</w:t>
      </w:r>
      <w:bookmarkEnd w:id="72"/>
    </w:p>
    <w:p w14:paraId="1136F54B">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1.2.1 合同文件应能相互解释，互为说明。除专用合同条款另有约定外，组成本合同的文件及优先解释顺序如下：</w:t>
      </w:r>
    </w:p>
    <w:p w14:paraId="020EF48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（1）合同协议书；</w:t>
      </w:r>
    </w:p>
    <w:p w14:paraId="68038B36">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（2）专用合同条款及其附件；</w:t>
      </w:r>
    </w:p>
    <w:p w14:paraId="197076D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color w:val="FF0000"/>
          <w:kern w:val="0"/>
          <w:sz w:val="24"/>
          <w:szCs w:val="24"/>
        </w:rPr>
      </w:pPr>
      <w:r>
        <w:rPr>
          <w:rFonts w:hint="eastAsia" w:ascii="仿宋" w:hAnsi="仿宋" w:eastAsia="仿宋" w:cs="仿宋"/>
          <w:kern w:val="0"/>
          <w:sz w:val="24"/>
          <w:szCs w:val="24"/>
        </w:rPr>
        <w:t>（3）通用合同条款；</w:t>
      </w:r>
    </w:p>
    <w:p w14:paraId="3FB915B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（4）中标通知书（如果有）；</w:t>
      </w:r>
    </w:p>
    <w:p w14:paraId="328F199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（5）投标文件及其附件（如果有）；</w:t>
      </w:r>
    </w:p>
    <w:p w14:paraId="1683D49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（6）技术标准和要求；</w:t>
      </w:r>
    </w:p>
    <w:p w14:paraId="2FA1F39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（7）图纸；</w:t>
      </w:r>
    </w:p>
    <w:p w14:paraId="6B23B3B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（8）其他合同文件。</w:t>
      </w:r>
    </w:p>
    <w:p w14:paraId="1A8C72B6">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上述合同文件包括合同当事人就该项合同文件所作出的补充和修改，属于同一类内容的文件，应以最新签署的为准。</w:t>
      </w:r>
    </w:p>
    <w:p w14:paraId="35D8F679">
      <w:pPr>
        <w:keepNext w:val="0"/>
        <w:keepLines w:val="0"/>
        <w:pageBreakBefore w:val="0"/>
        <w:widowControl w:val="0"/>
        <w:tabs>
          <w:tab w:val="left" w:pos="180"/>
        </w:tabs>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仿宋"/>
          <w:b w:val="0"/>
          <w:bCs w:val="0"/>
          <w:kern w:val="0"/>
          <w:sz w:val="24"/>
          <w:szCs w:val="24"/>
        </w:rPr>
      </w:pPr>
      <w:bookmarkStart w:id="74" w:name="_Toc457826155"/>
      <w:r>
        <w:rPr>
          <w:rFonts w:hint="eastAsia" w:ascii="仿宋" w:hAnsi="仿宋" w:eastAsia="仿宋" w:cs="仿宋"/>
          <w:b w:val="0"/>
          <w:bCs w:val="0"/>
          <w:kern w:val="0"/>
          <w:sz w:val="24"/>
          <w:szCs w:val="24"/>
        </w:rPr>
        <w:t>1.2.2 当合同文件内容含糊不清或不相一致时，在不影响工作正常进行的情况下，由发包人和勘察人协商解决。双方协商不成时，按第16条〔争议解决〕的约定处理。</w:t>
      </w:r>
      <w:bookmarkEnd w:id="73"/>
      <w:bookmarkEnd w:id="74"/>
    </w:p>
    <w:p w14:paraId="357B82B2">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75" w:name="_Toc457826156"/>
      <w:bookmarkStart w:id="76" w:name="_Toc406150426"/>
      <w:r>
        <w:rPr>
          <w:rFonts w:hint="eastAsia" w:ascii="仿宋" w:hAnsi="仿宋" w:eastAsia="仿宋" w:cs="仿宋"/>
          <w:kern w:val="0"/>
          <w:sz w:val="24"/>
          <w:szCs w:val="24"/>
        </w:rPr>
        <w:t>1.3 适用法律法规、技术标准</w:t>
      </w:r>
      <w:bookmarkEnd w:id="75"/>
      <w:bookmarkEnd w:id="76"/>
    </w:p>
    <w:p w14:paraId="0A241826">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1.3.1 适用法律法规</w:t>
      </w:r>
    </w:p>
    <w:p w14:paraId="22E14026">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本合同文件适用中华人民共和国法律、行政法规、部门规章以及工程所在地的地方性法规、自治条例、单行条例和地方政府规章等。其他需要明示的规范性文件，由合同当事人在专用合同条款中约定。</w:t>
      </w:r>
    </w:p>
    <w:p w14:paraId="2D7426A7">
      <w:pPr>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highlight w:val="yellow"/>
        </w:rPr>
      </w:pPr>
      <w:r>
        <w:rPr>
          <w:rFonts w:hint="eastAsia" w:ascii="仿宋" w:hAnsi="仿宋" w:eastAsia="仿宋" w:cs="仿宋"/>
          <w:kern w:val="0"/>
          <w:sz w:val="24"/>
          <w:szCs w:val="24"/>
        </w:rPr>
        <w:t>1.3.2 适用技术标准</w:t>
      </w:r>
    </w:p>
    <w:p w14:paraId="70F57217">
      <w:pPr>
        <w:kinsoku/>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适用于工程的现行有效国家标准、行业标准、工程所在地的地方标准以及相应的规范、规程为本合同文件适用的技术标准。合同当事人有特别要求的，应在专用合同条款中约定。</w:t>
      </w:r>
    </w:p>
    <w:p w14:paraId="45BE0077">
      <w:pPr>
        <w:kinsoku/>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发包人要求使用国外技术标准的，应在专用合同条款中约定所使用技术标准的名称及提供方，并约定技术标准原文版、中译本的份数、时间及费用承担等事项。</w:t>
      </w:r>
    </w:p>
    <w:p w14:paraId="288D81A0">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77" w:name="_Toc457826157"/>
      <w:r>
        <w:rPr>
          <w:rFonts w:hint="eastAsia" w:ascii="仿宋" w:hAnsi="仿宋" w:eastAsia="仿宋" w:cs="仿宋"/>
          <w:kern w:val="0"/>
          <w:sz w:val="24"/>
          <w:szCs w:val="24"/>
        </w:rPr>
        <w:t>1.4 语言文字</w:t>
      </w:r>
      <w:bookmarkEnd w:id="77"/>
    </w:p>
    <w:p w14:paraId="4BCA3B2F">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本合同文件使用汉语语言文字书写、解释和说明。如专用合同条款约定使用两种以上（含两种）语言时，汉语为优先解释和说明本合同的语言。</w:t>
      </w:r>
    </w:p>
    <w:p w14:paraId="3923DE47">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78" w:name="_Toc351203502"/>
      <w:bookmarkStart w:id="79" w:name="_Toc457826158"/>
      <w:bookmarkStart w:id="80" w:name="_Toc406150428"/>
      <w:bookmarkStart w:id="81" w:name="_Toc337558733"/>
      <w:bookmarkStart w:id="82" w:name="_Toc296503033"/>
      <w:bookmarkStart w:id="83" w:name="_Toc296346534"/>
      <w:r>
        <w:rPr>
          <w:rFonts w:hint="eastAsia" w:ascii="仿宋" w:hAnsi="仿宋" w:eastAsia="仿宋" w:cs="仿宋"/>
          <w:kern w:val="0"/>
          <w:sz w:val="24"/>
          <w:szCs w:val="24"/>
        </w:rPr>
        <w:t>1.5 联络</w:t>
      </w:r>
      <w:bookmarkEnd w:id="78"/>
      <w:bookmarkEnd w:id="79"/>
      <w:bookmarkEnd w:id="80"/>
    </w:p>
    <w:bookmarkEnd w:id="81"/>
    <w:bookmarkEnd w:id="82"/>
    <w:bookmarkEnd w:id="83"/>
    <w:p w14:paraId="142BC2DA">
      <w:pPr>
        <w:tabs>
          <w:tab w:val="left" w:pos="540"/>
          <w:tab w:val="left" w:pos="72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1.5.1 与合同有关的批准文件、通知、证明、证书、指示、指令、要求、请求、意见、确定和决定等，均应采用书面形式或合同双方确认的其他形式，并应在合同约定的期限内送达接收人。</w:t>
      </w:r>
    </w:p>
    <w:p w14:paraId="5ABAEB5C">
      <w:pPr>
        <w:tabs>
          <w:tab w:val="left" w:pos="540"/>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color w:val="000000"/>
          <w:kern w:val="0"/>
          <w:sz w:val="24"/>
          <w:szCs w:val="24"/>
        </w:rPr>
      </w:pPr>
      <w:r>
        <w:rPr>
          <w:rFonts w:hint="eastAsia" w:ascii="仿宋" w:hAnsi="仿宋" w:eastAsia="仿宋" w:cs="仿宋"/>
          <w:kern w:val="0"/>
          <w:sz w:val="24"/>
          <w:szCs w:val="24"/>
        </w:rPr>
        <w:t>1.5.2 发包人和勘察人应在专用合同条款中约定各自的送达接收人、送达形式及联系方式。合同当事人指定的接收人、送达地点或联系方式发生变动的，应提前3天以书面形式通知对方，否则视为未发生变动。</w:t>
      </w:r>
    </w:p>
    <w:p w14:paraId="407DE9FE">
      <w:pPr>
        <w:tabs>
          <w:tab w:val="left" w:pos="540"/>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1.5.3 发包人、勘察人应及时签收对方送达至约定送达地点和指定接收人的来往信函；如确有充分证据证明一方无正当理由拒不签收的，视为拒绝签收一方认可往来信函的内容。</w:t>
      </w:r>
    </w:p>
    <w:p w14:paraId="6D12414A">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84" w:name="_Toc406150429"/>
      <w:bookmarkStart w:id="85" w:name="_Toc449383259"/>
      <w:bookmarkStart w:id="86" w:name="_Toc351203503"/>
      <w:bookmarkStart w:id="87" w:name="_Toc337558734"/>
      <w:bookmarkStart w:id="88" w:name="_Toc296503035"/>
      <w:bookmarkStart w:id="89" w:name="_Toc296346536"/>
      <w:bookmarkStart w:id="90" w:name="_Toc406150430"/>
      <w:bookmarkStart w:id="91" w:name="_Toc457826159"/>
      <w:bookmarkStart w:id="92" w:name="_Toc337558738"/>
      <w:r>
        <w:rPr>
          <w:rFonts w:hint="eastAsia" w:ascii="仿宋" w:hAnsi="仿宋" w:eastAsia="仿宋" w:cs="仿宋"/>
          <w:kern w:val="0"/>
          <w:sz w:val="24"/>
          <w:szCs w:val="24"/>
        </w:rPr>
        <w:t>1.6 严禁贿赂</w:t>
      </w:r>
      <w:bookmarkEnd w:id="84"/>
      <w:bookmarkEnd w:id="85"/>
      <w:bookmarkEnd w:id="86"/>
    </w:p>
    <w:bookmarkEnd w:id="87"/>
    <w:bookmarkEnd w:id="88"/>
    <w:bookmarkEnd w:id="89"/>
    <w:p w14:paraId="5BE19D0D">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合同当事人不得以贿赂或变相贿赂的方式，谋取非法利益或损害对方权益。因一方的贿赂造成对方损失的，应赔偿损失并承担相应的法律责任。</w:t>
      </w:r>
    </w:p>
    <w:p w14:paraId="6A415D12">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1.7 保密</w:t>
      </w:r>
      <w:bookmarkEnd w:id="90"/>
      <w:bookmarkEnd w:id="91"/>
    </w:p>
    <w:bookmarkEnd w:id="92"/>
    <w:p w14:paraId="1C4A05EC">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除法律法规规定或合同另有约定外，未经发包人同意，勘察人不得将发包人提供的图纸、文件以及声明需要保密的资料信息等商业秘密泄露给第三方。</w:t>
      </w:r>
    </w:p>
    <w:p w14:paraId="561C3CEE">
      <w:pPr>
        <w:kinsoku/>
        <w:overflowPunct/>
        <w:topLinePunct w:val="0"/>
        <w:bidi w:val="0"/>
        <w:snapToGrid w:val="0"/>
        <w:spacing w:line="360" w:lineRule="auto"/>
        <w:ind w:firstLine="552" w:firstLineChars="230"/>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除法律法规规定或合同另有约定外，未经勘察人同意，发包人不得将勘察人提供的技术文件、成果资料、技术秘密及声明需要保密的资料信息等商业秘密泄露给第三方。</w:t>
      </w:r>
    </w:p>
    <w:p w14:paraId="2ABDA206">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93" w:name="_Toc406150431"/>
      <w:bookmarkStart w:id="94" w:name="_Toc457826160"/>
      <w:r>
        <w:rPr>
          <w:rFonts w:hint="eastAsia" w:ascii="仿宋" w:hAnsi="仿宋" w:eastAsia="仿宋" w:cs="仿宋"/>
          <w:sz w:val="24"/>
          <w:szCs w:val="24"/>
        </w:rPr>
        <w:t>第2条 发包人</w:t>
      </w:r>
      <w:bookmarkEnd w:id="93"/>
      <w:bookmarkEnd w:id="94"/>
    </w:p>
    <w:p w14:paraId="6002CF2F">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95" w:name="_Toc406150432"/>
      <w:bookmarkStart w:id="96" w:name="_Toc457826161"/>
      <w:r>
        <w:rPr>
          <w:rFonts w:hint="eastAsia" w:ascii="仿宋" w:hAnsi="仿宋" w:eastAsia="仿宋" w:cs="仿宋"/>
          <w:kern w:val="0"/>
          <w:sz w:val="24"/>
          <w:szCs w:val="24"/>
        </w:rPr>
        <w:t>2.1 发包人权利</w:t>
      </w:r>
      <w:bookmarkEnd w:id="95"/>
      <w:bookmarkEnd w:id="96"/>
    </w:p>
    <w:p w14:paraId="7C23F74F">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2.1.1 发包人对勘察人的勘察工作有权依照合同约定实施监督，并对勘察成果予以验收。</w:t>
      </w:r>
    </w:p>
    <w:p w14:paraId="74C4FCF9">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 xml:space="preserve">2.1.2 </w:t>
      </w:r>
      <w:r>
        <w:rPr>
          <w:rFonts w:hint="eastAsia" w:ascii="仿宋" w:hAnsi="仿宋" w:eastAsia="仿宋" w:cs="仿宋"/>
          <w:sz w:val="24"/>
          <w:szCs w:val="24"/>
        </w:rPr>
        <w:t>发包人对勘察人无法胜任工程勘察工作的人员有权提出更换。</w:t>
      </w:r>
    </w:p>
    <w:p w14:paraId="1A2EA6A0">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2.1.3 发包人拥有勘察人为其项目编制的所有文件资料的使用权，包括投标文件、成果资料和数据等。</w:t>
      </w:r>
    </w:p>
    <w:p w14:paraId="4CF147B1">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97" w:name="_Toc457826162"/>
      <w:bookmarkStart w:id="98" w:name="_Toc406150433"/>
      <w:r>
        <w:rPr>
          <w:rFonts w:hint="eastAsia" w:ascii="仿宋" w:hAnsi="仿宋" w:eastAsia="仿宋" w:cs="仿宋"/>
          <w:kern w:val="0"/>
          <w:sz w:val="24"/>
          <w:szCs w:val="24"/>
        </w:rPr>
        <w:t>2.2 发包人义务</w:t>
      </w:r>
      <w:bookmarkEnd w:id="97"/>
      <w:bookmarkEnd w:id="98"/>
    </w:p>
    <w:p w14:paraId="10997C7E">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 xml:space="preserve">2.2.1 </w:t>
      </w:r>
      <w:r>
        <w:rPr>
          <w:rFonts w:hint="eastAsia" w:ascii="仿宋" w:hAnsi="仿宋" w:eastAsia="仿宋" w:cs="仿宋"/>
          <w:sz w:val="24"/>
          <w:szCs w:val="24"/>
        </w:rPr>
        <w:t>发包人应以书面形式向勘察人明确勘察任务及技术要求。</w:t>
      </w:r>
    </w:p>
    <w:p w14:paraId="2894BD02">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 xml:space="preserve">2.2.2 </w:t>
      </w:r>
      <w:r>
        <w:rPr>
          <w:rFonts w:hint="eastAsia" w:ascii="仿宋" w:hAnsi="仿宋" w:eastAsia="仿宋" w:cs="仿宋"/>
          <w:sz w:val="24"/>
          <w:szCs w:val="24"/>
        </w:rPr>
        <w:t>发包人应提供开展工程勘察工作所需要的图纸及技术资料，包括总平面图、地形图、已有水准点和坐标控制点等，若上述资料由勘察人负责搜集时，发包人应承担相关费用。</w:t>
      </w:r>
    </w:p>
    <w:p w14:paraId="39CD3B50">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 xml:space="preserve">2.2.3 </w:t>
      </w:r>
      <w:r>
        <w:rPr>
          <w:rFonts w:hint="eastAsia" w:ascii="仿宋" w:hAnsi="仿宋" w:eastAsia="仿宋" w:cs="仿宋"/>
          <w:sz w:val="24"/>
          <w:szCs w:val="24"/>
        </w:rPr>
        <w:t>发包人应提供工程勘察作业所需的批准及许可文件，包括立项批复、占用和挖掘道路许可等。</w:t>
      </w:r>
    </w:p>
    <w:p w14:paraId="3CFE736D">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2.2.4</w:t>
      </w:r>
      <w:r>
        <w:rPr>
          <w:rFonts w:hint="eastAsia" w:ascii="仿宋" w:hAnsi="仿宋" w:eastAsia="仿宋" w:cs="仿宋"/>
          <w:kern w:val="0"/>
          <w:sz w:val="24"/>
          <w:szCs w:val="24"/>
          <w:lang w:val="en-US" w:eastAsia="zh-CN"/>
        </w:rPr>
        <w:t xml:space="preserve"> </w:t>
      </w:r>
      <w:r>
        <w:rPr>
          <w:rFonts w:hint="eastAsia" w:ascii="仿宋" w:hAnsi="仿宋" w:eastAsia="仿宋" w:cs="仿宋"/>
          <w:sz w:val="24"/>
          <w:szCs w:val="24"/>
        </w:rPr>
        <w:t>发包人应为勘察人提供具备条件的作业场地及进场通道（包括土地征用、障碍物清除、场地平整、提供水电接口和青苗赔偿等）并承担相关费用。</w:t>
      </w:r>
    </w:p>
    <w:p w14:paraId="78800DBC">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2.2.5</w:t>
      </w:r>
      <w:r>
        <w:rPr>
          <w:rFonts w:hint="eastAsia" w:ascii="仿宋" w:hAnsi="仿宋" w:eastAsia="仿宋" w:cs="仿宋"/>
          <w:kern w:val="0"/>
          <w:sz w:val="24"/>
          <w:szCs w:val="24"/>
          <w:lang w:val="en-US" w:eastAsia="zh-CN"/>
        </w:rPr>
        <w:t xml:space="preserve"> </w:t>
      </w:r>
      <w:r>
        <w:rPr>
          <w:rFonts w:hint="eastAsia" w:ascii="仿宋" w:hAnsi="仿宋" w:eastAsia="仿宋" w:cs="仿宋"/>
          <w:sz w:val="24"/>
          <w:szCs w:val="24"/>
        </w:rPr>
        <w:t>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3CBF8104">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 xml:space="preserve">2.2.6 </w:t>
      </w:r>
      <w:r>
        <w:rPr>
          <w:rFonts w:hint="eastAsia" w:ascii="仿宋" w:hAnsi="仿宋" w:eastAsia="仿宋" w:cs="仿宋"/>
          <w:sz w:val="24"/>
          <w:szCs w:val="24"/>
        </w:rPr>
        <w:t>发包人应按照法律法规规定为勘察人安全生产提供条件并支付安全生产防护费用，发包人不得要求勘察人违反安全生产管理规定进行作业。</w:t>
      </w:r>
    </w:p>
    <w:p w14:paraId="7DB84B8F">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 xml:space="preserve">2.2.7 </w:t>
      </w:r>
      <w:r>
        <w:rPr>
          <w:rFonts w:hint="eastAsia" w:ascii="仿宋" w:hAnsi="仿宋" w:eastAsia="仿宋" w:cs="仿宋"/>
          <w:sz w:val="24"/>
          <w:szCs w:val="24"/>
        </w:rPr>
        <w:t>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14:paraId="05CF24A7">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2.2.8</w:t>
      </w:r>
      <w:r>
        <w:rPr>
          <w:rFonts w:hint="eastAsia" w:ascii="仿宋" w:hAnsi="仿宋" w:eastAsia="仿宋" w:cs="仿宋"/>
          <w:kern w:val="0"/>
          <w:sz w:val="24"/>
          <w:szCs w:val="24"/>
          <w:lang w:val="en-US" w:eastAsia="zh-CN"/>
        </w:rPr>
        <w:t xml:space="preserve"> </w:t>
      </w:r>
      <w:r>
        <w:rPr>
          <w:rFonts w:hint="eastAsia" w:ascii="仿宋" w:hAnsi="仿宋" w:eastAsia="仿宋" w:cs="仿宋"/>
          <w:sz w:val="24"/>
          <w:szCs w:val="24"/>
        </w:rPr>
        <w:t>发包人应对勘察人满足质量标准的已完工作，按照合同约定及时支付相应的工程勘察合同价款及费用。</w:t>
      </w:r>
    </w:p>
    <w:p w14:paraId="339FCD62">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99" w:name="_Toc457826163"/>
      <w:bookmarkStart w:id="100" w:name="_Toc406150434"/>
      <w:r>
        <w:rPr>
          <w:rFonts w:hint="eastAsia" w:ascii="仿宋" w:hAnsi="仿宋" w:eastAsia="仿宋" w:cs="仿宋"/>
          <w:kern w:val="0"/>
          <w:sz w:val="24"/>
          <w:szCs w:val="24"/>
        </w:rPr>
        <w:t>2.3 发包人代表</w:t>
      </w:r>
      <w:bookmarkEnd w:id="99"/>
      <w:bookmarkEnd w:id="100"/>
    </w:p>
    <w:p w14:paraId="25F542F3">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发包人应在专用合同条款中明确其负责工程勘察的发包人代表的姓名、职务、联系方式及授权范围等事项。发包人代表在发包人的授权范围内，负责处理合同履行过程中与发包人有关的具体事宜。</w:t>
      </w:r>
    </w:p>
    <w:p w14:paraId="61F656C3">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01" w:name="_Toc406150435"/>
      <w:bookmarkStart w:id="102" w:name="_Toc457826164"/>
      <w:r>
        <w:rPr>
          <w:rFonts w:hint="eastAsia" w:ascii="仿宋" w:hAnsi="仿宋" w:eastAsia="仿宋" w:cs="仿宋"/>
          <w:sz w:val="24"/>
          <w:szCs w:val="24"/>
        </w:rPr>
        <w:t>第3条 勘察人</w:t>
      </w:r>
      <w:bookmarkEnd w:id="101"/>
      <w:bookmarkEnd w:id="102"/>
    </w:p>
    <w:p w14:paraId="3A9D19D1">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03" w:name="_Toc457826165"/>
      <w:bookmarkStart w:id="104" w:name="_Toc406150436"/>
      <w:r>
        <w:rPr>
          <w:rFonts w:hint="eastAsia" w:ascii="仿宋" w:hAnsi="仿宋" w:eastAsia="仿宋" w:cs="仿宋"/>
          <w:kern w:val="0"/>
          <w:sz w:val="24"/>
          <w:szCs w:val="24"/>
        </w:rPr>
        <w:t>3.1 勘察人权利</w:t>
      </w:r>
      <w:bookmarkEnd w:id="103"/>
      <w:bookmarkEnd w:id="104"/>
    </w:p>
    <w:p w14:paraId="51126545">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 xml:space="preserve">3.1.1 </w:t>
      </w:r>
      <w:r>
        <w:rPr>
          <w:rFonts w:hint="eastAsia" w:ascii="仿宋" w:hAnsi="仿宋" w:eastAsia="仿宋" w:cs="仿宋"/>
          <w:sz w:val="24"/>
          <w:szCs w:val="24"/>
        </w:rPr>
        <w:t>勘察人在工程勘察期间，根据项目条件和技术标准、法律法规规定等方面的变化，有权向发包人提出增减合同工作量或修改技术方案的建议。</w:t>
      </w:r>
    </w:p>
    <w:p w14:paraId="5EB312AD">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 xml:space="preserve">3.1.2 </w:t>
      </w:r>
      <w:r>
        <w:rPr>
          <w:rFonts w:hint="eastAsia" w:ascii="仿宋" w:hAnsi="仿宋" w:eastAsia="仿宋" w:cs="仿宋"/>
          <w:sz w:val="24"/>
          <w:szCs w:val="24"/>
        </w:rPr>
        <w:t>除建设工程主体部分的勘察外，</w:t>
      </w:r>
      <w:r>
        <w:rPr>
          <w:rFonts w:hint="eastAsia" w:ascii="仿宋" w:hAnsi="仿宋" w:eastAsia="仿宋" w:cs="仿宋"/>
          <w:sz w:val="24"/>
          <w:szCs w:val="24"/>
          <w:lang w:eastAsia="zh-CN"/>
        </w:rPr>
        <w:t>根据合同约定或</w:t>
      </w:r>
      <w:r>
        <w:rPr>
          <w:rFonts w:hint="eastAsia" w:ascii="仿宋" w:hAnsi="仿宋" w:eastAsia="仿宋" w:cs="仿宋"/>
          <w:sz w:val="24"/>
          <w:szCs w:val="24"/>
        </w:rPr>
        <w:t>经发包人同意，勘察人可以将建设工程其他部分的勘察分包给</w:t>
      </w:r>
      <w:r>
        <w:rPr>
          <w:rFonts w:hint="eastAsia" w:ascii="仿宋" w:hAnsi="仿宋" w:eastAsia="仿宋" w:cs="仿宋"/>
          <w:sz w:val="24"/>
          <w:szCs w:val="24"/>
          <w:lang w:eastAsia="zh-CN"/>
        </w:rPr>
        <w:t>其他</w:t>
      </w:r>
      <w:r>
        <w:rPr>
          <w:rFonts w:hint="eastAsia" w:ascii="仿宋" w:hAnsi="仿宋" w:eastAsia="仿宋" w:cs="仿宋"/>
          <w:sz w:val="24"/>
          <w:szCs w:val="24"/>
        </w:rPr>
        <w:t>具有相应资质等级的建设工程勘察单位。发包人对分包的特殊要求应在专用合同条款中另行约定。</w:t>
      </w:r>
    </w:p>
    <w:p w14:paraId="76C58E71">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 xml:space="preserve">3.1.3 </w:t>
      </w:r>
      <w:r>
        <w:rPr>
          <w:rFonts w:hint="eastAsia" w:ascii="仿宋" w:hAnsi="仿宋" w:eastAsia="仿宋" w:cs="仿宋"/>
          <w:sz w:val="24"/>
          <w:szCs w:val="24"/>
        </w:rPr>
        <w:t>勘察人对其编制的所有文件资料，包括投标文件、成果资料、数据和专利技术等拥有知识产权。</w:t>
      </w:r>
    </w:p>
    <w:p w14:paraId="2158186C">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05" w:name="_Toc457826166"/>
      <w:bookmarkStart w:id="106" w:name="_Toc406150437"/>
      <w:r>
        <w:rPr>
          <w:rFonts w:hint="eastAsia" w:ascii="仿宋" w:hAnsi="仿宋" w:eastAsia="仿宋" w:cs="仿宋"/>
          <w:kern w:val="0"/>
          <w:sz w:val="24"/>
          <w:szCs w:val="24"/>
        </w:rPr>
        <w:t>3.2 勘察人义务</w:t>
      </w:r>
      <w:bookmarkEnd w:id="105"/>
      <w:bookmarkEnd w:id="106"/>
    </w:p>
    <w:p w14:paraId="5C9434A7">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 xml:space="preserve">3.2.1 </w:t>
      </w:r>
      <w:r>
        <w:rPr>
          <w:rFonts w:hint="eastAsia" w:ascii="仿宋" w:hAnsi="仿宋" w:eastAsia="仿宋" w:cs="仿宋"/>
          <w:sz w:val="24"/>
          <w:szCs w:val="24"/>
        </w:rPr>
        <w:t>勘察人应按勘察任务书和技术要求并依据有关技术标准进行工程勘察工作。</w:t>
      </w:r>
    </w:p>
    <w:p w14:paraId="1E853D38">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3.2.2</w:t>
      </w:r>
      <w:r>
        <w:rPr>
          <w:rFonts w:hint="eastAsia" w:ascii="仿宋" w:hAnsi="仿宋" w:eastAsia="仿宋" w:cs="仿宋"/>
          <w:kern w:val="0"/>
          <w:sz w:val="24"/>
          <w:szCs w:val="24"/>
          <w:lang w:val="en-US" w:eastAsia="zh-CN"/>
        </w:rPr>
        <w:t xml:space="preserve"> </w:t>
      </w:r>
      <w:r>
        <w:rPr>
          <w:rFonts w:hint="eastAsia" w:ascii="仿宋" w:hAnsi="仿宋" w:eastAsia="仿宋" w:cs="仿宋"/>
          <w:sz w:val="24"/>
          <w:szCs w:val="24"/>
        </w:rPr>
        <w:t>勘察人应建立质量保证体系，按本合同约定的时间提交质量合格的成果资料，并对其质量负责。</w:t>
      </w:r>
    </w:p>
    <w:p w14:paraId="176061DF">
      <w:pPr>
        <w:tabs>
          <w:tab w:val="left" w:pos="0"/>
        </w:tabs>
        <w:kinsoku/>
        <w:overflowPunct/>
        <w:topLinePunct w:val="0"/>
        <w:bidi w:val="0"/>
        <w:adjustRightInd w:val="0"/>
        <w:snapToGrid w:val="0"/>
        <w:spacing w:line="360" w:lineRule="auto"/>
        <w:ind w:left="590" w:leftChars="281"/>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 xml:space="preserve">3.2.3 </w:t>
      </w:r>
      <w:r>
        <w:rPr>
          <w:rFonts w:hint="eastAsia" w:ascii="仿宋" w:hAnsi="仿宋" w:eastAsia="仿宋" w:cs="仿宋"/>
          <w:sz w:val="24"/>
          <w:szCs w:val="24"/>
        </w:rPr>
        <w:t>勘察人在提交成果资料后，应为发包人继续提供后期服务。</w:t>
      </w:r>
      <w:r>
        <w:rPr>
          <w:rFonts w:hint="eastAsia" w:ascii="仿宋" w:hAnsi="仿宋" w:eastAsia="仿宋" w:cs="仿宋"/>
          <w:kern w:val="0"/>
          <w:sz w:val="24"/>
          <w:szCs w:val="24"/>
        </w:rPr>
        <w:t xml:space="preserve">3.2.4 </w:t>
      </w:r>
      <w:r>
        <w:rPr>
          <w:rFonts w:hint="eastAsia" w:ascii="仿宋" w:hAnsi="仿宋" w:eastAsia="仿宋" w:cs="仿宋"/>
          <w:sz w:val="24"/>
          <w:szCs w:val="24"/>
        </w:rPr>
        <w:t>勘察人在工程勘察期间遇到地下文物时，应及时向发包人和</w:t>
      </w:r>
    </w:p>
    <w:p w14:paraId="042A7D4B">
      <w:pPr>
        <w:tabs>
          <w:tab w:val="left" w:pos="0"/>
        </w:tabs>
        <w:kinsoku/>
        <w:overflowPunct/>
        <w:topLinePunct w:val="0"/>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文物主管部门报告并妥善保护。</w:t>
      </w:r>
    </w:p>
    <w:p w14:paraId="68A7C8E2">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3.2.5 勘察人开展工程勘察活动时应遵守有关</w:t>
      </w:r>
      <w:r>
        <w:rPr>
          <w:rFonts w:hint="eastAsia" w:ascii="仿宋" w:hAnsi="仿宋" w:eastAsia="仿宋" w:cs="仿宋"/>
          <w:sz w:val="24"/>
          <w:szCs w:val="24"/>
        </w:rPr>
        <w:t>职业健康及</w:t>
      </w:r>
      <w:r>
        <w:rPr>
          <w:rFonts w:hint="eastAsia" w:ascii="仿宋" w:hAnsi="仿宋" w:eastAsia="仿宋" w:cs="仿宋"/>
          <w:kern w:val="0"/>
          <w:sz w:val="24"/>
          <w:szCs w:val="24"/>
        </w:rPr>
        <w:t>安全生产方面</w:t>
      </w:r>
      <w:r>
        <w:rPr>
          <w:rFonts w:hint="eastAsia" w:ascii="仿宋" w:hAnsi="仿宋" w:eastAsia="仿宋" w:cs="仿宋"/>
          <w:sz w:val="24"/>
          <w:szCs w:val="24"/>
        </w:rPr>
        <w:t>的各项法律法规的规定</w:t>
      </w:r>
      <w:r>
        <w:rPr>
          <w:rFonts w:hint="eastAsia" w:ascii="仿宋" w:hAnsi="仿宋" w:eastAsia="仿宋" w:cs="仿宋"/>
          <w:kern w:val="0"/>
          <w:sz w:val="24"/>
          <w:szCs w:val="24"/>
        </w:rPr>
        <w:t>，采取安全防护措施，确保人员、设备和设施的安全。</w:t>
      </w:r>
    </w:p>
    <w:p w14:paraId="767FEC20">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3.2.6 勘察人在燃气管道、热力管道、动力设备、输水管道、输电线路、临街交通要</w:t>
      </w:r>
      <w:r>
        <w:rPr>
          <w:rFonts w:hint="eastAsia" w:ascii="仿宋" w:hAnsi="仿宋" w:eastAsia="仿宋" w:cs="仿宋"/>
          <w:sz w:val="24"/>
          <w:szCs w:val="24"/>
        </w:rPr>
        <w:t>道及地下通道（地下隧道）附近等风险性较大的地点，以及在易燃易爆地段及放射、有毒环境中进</w:t>
      </w:r>
      <w:r>
        <w:rPr>
          <w:rFonts w:hint="eastAsia" w:ascii="仿宋" w:hAnsi="仿宋" w:eastAsia="仿宋" w:cs="仿宋"/>
          <w:kern w:val="0"/>
          <w:sz w:val="24"/>
          <w:szCs w:val="24"/>
        </w:rPr>
        <w:t>行工程勘察作业时，应编制安全防护方案并制定应急预案。</w:t>
      </w:r>
    </w:p>
    <w:p w14:paraId="4CA728F1">
      <w:pPr>
        <w:tabs>
          <w:tab w:val="left" w:pos="540"/>
        </w:tabs>
        <w:kinsoku/>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
          <w:sz w:val="24"/>
          <w:szCs w:val="24"/>
        </w:rPr>
      </w:pPr>
      <w:r>
        <w:rPr>
          <w:rFonts w:hint="eastAsia" w:ascii="仿宋" w:hAnsi="仿宋" w:eastAsia="仿宋" w:cs="仿宋"/>
          <w:kern w:val="0"/>
          <w:sz w:val="24"/>
          <w:szCs w:val="24"/>
        </w:rPr>
        <w:t>3.2.7</w:t>
      </w:r>
      <w:r>
        <w:rPr>
          <w:rFonts w:hint="eastAsia" w:ascii="仿宋" w:hAnsi="仿宋" w:eastAsia="仿宋" w:cs="仿宋"/>
          <w:kern w:val="0"/>
          <w:sz w:val="24"/>
          <w:szCs w:val="24"/>
          <w:lang w:val="en-US" w:eastAsia="zh-CN"/>
        </w:rPr>
        <w:t xml:space="preserve"> </w:t>
      </w:r>
      <w:r>
        <w:rPr>
          <w:rFonts w:hint="eastAsia" w:ascii="仿宋" w:hAnsi="仿宋" w:eastAsia="仿宋" w:cs="仿宋"/>
          <w:sz w:val="24"/>
          <w:szCs w:val="24"/>
        </w:rPr>
        <w:t>勘察人应在勘察方案中列明环境保护的具体措施，并在合同履行期间采取合理措施保护作业现场环境。</w:t>
      </w:r>
    </w:p>
    <w:p w14:paraId="5DADF84D">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07" w:name="_Toc406150438"/>
      <w:bookmarkStart w:id="108" w:name="_Toc457826167"/>
      <w:r>
        <w:rPr>
          <w:rFonts w:hint="eastAsia" w:ascii="仿宋" w:hAnsi="仿宋" w:eastAsia="仿宋" w:cs="仿宋"/>
          <w:kern w:val="0"/>
          <w:sz w:val="24"/>
          <w:szCs w:val="24"/>
        </w:rPr>
        <w:t>3.3 勘察人代表</w:t>
      </w:r>
      <w:bookmarkEnd w:id="107"/>
      <w:bookmarkEnd w:id="108"/>
    </w:p>
    <w:p w14:paraId="1F61472A">
      <w:pPr>
        <w:tabs>
          <w:tab w:val="left" w:pos="360"/>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7B457841">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09" w:name="_Toc406150439"/>
      <w:bookmarkStart w:id="110" w:name="_Toc457826168"/>
      <w:r>
        <w:rPr>
          <w:rFonts w:hint="eastAsia" w:ascii="仿宋" w:hAnsi="仿宋" w:eastAsia="仿宋" w:cs="仿宋"/>
          <w:sz w:val="24"/>
          <w:szCs w:val="24"/>
        </w:rPr>
        <w:t>第4条 工期</w:t>
      </w:r>
      <w:bookmarkEnd w:id="109"/>
      <w:bookmarkEnd w:id="110"/>
    </w:p>
    <w:p w14:paraId="279E7D22">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11" w:name="_Toc457826169"/>
      <w:bookmarkStart w:id="112" w:name="_Toc406150440"/>
      <w:r>
        <w:rPr>
          <w:rFonts w:hint="eastAsia" w:ascii="仿宋" w:hAnsi="仿宋" w:eastAsia="仿宋" w:cs="仿宋"/>
          <w:kern w:val="0"/>
          <w:sz w:val="24"/>
          <w:szCs w:val="24"/>
        </w:rPr>
        <w:t>4.1</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开工及延期开工</w:t>
      </w:r>
      <w:bookmarkEnd w:id="111"/>
      <w:bookmarkEnd w:id="112"/>
    </w:p>
    <w:p w14:paraId="5AF11EF2">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4.1.1 勘察人应按合同约定的工期进行工程勘察工作，并接受发包人对工程勘察工作进度的监督、检查。</w:t>
      </w:r>
    </w:p>
    <w:p w14:paraId="3AABE9AB">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4.1.2 因发包人原因不能按照合同约定的日期开工，发包人应以书面形式通知勘察人，推迟开工日期并相应顺延工期。</w:t>
      </w:r>
    </w:p>
    <w:p w14:paraId="693E3C27">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13" w:name="_Toc457826170"/>
      <w:bookmarkStart w:id="114" w:name="_Toc406150441"/>
      <w:r>
        <w:rPr>
          <w:rFonts w:hint="eastAsia" w:ascii="仿宋" w:hAnsi="仿宋" w:eastAsia="仿宋" w:cs="仿宋"/>
          <w:kern w:val="0"/>
          <w:sz w:val="24"/>
          <w:szCs w:val="24"/>
        </w:rPr>
        <w:t>4.2 成果提交日期</w:t>
      </w:r>
      <w:bookmarkEnd w:id="113"/>
      <w:bookmarkEnd w:id="114"/>
    </w:p>
    <w:p w14:paraId="286FCE73">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勘察人应按照合同约定的日期或双方同意顺延的工期提交成果资料，具体可在专用合同条款中约定。</w:t>
      </w:r>
    </w:p>
    <w:p w14:paraId="0DD3C0B8">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15" w:name="_Toc457826171"/>
      <w:r>
        <w:rPr>
          <w:rFonts w:hint="eastAsia" w:ascii="仿宋" w:hAnsi="仿宋" w:eastAsia="仿宋" w:cs="仿宋"/>
          <w:kern w:val="0"/>
          <w:sz w:val="24"/>
          <w:szCs w:val="24"/>
        </w:rPr>
        <w:t>4.3 发包人造成的工期延误</w:t>
      </w:r>
      <w:bookmarkEnd w:id="115"/>
    </w:p>
    <w:p w14:paraId="3A8C7EC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4.3.1 因以下情形造成工期延误，勘察人有权要求发包人延长工期、增加合同价款和（或）补偿费用：</w:t>
      </w:r>
    </w:p>
    <w:p w14:paraId="659DC47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（1）发包人未能按合同约定提供图纸及开工条件；</w:t>
      </w:r>
    </w:p>
    <w:p w14:paraId="403E42D7">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（2）发包人未能按合同约定及时支付定金、预付款和（或）进度款；</w:t>
      </w:r>
    </w:p>
    <w:p w14:paraId="6A9409D4">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（3）变更导致合同工作量增加；</w:t>
      </w:r>
    </w:p>
    <w:p w14:paraId="4F85CC3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（4）发包人增加合同工作内容；</w:t>
      </w:r>
    </w:p>
    <w:p w14:paraId="627CE47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（5）发包人改变工程勘察技术要求；</w:t>
      </w:r>
    </w:p>
    <w:p w14:paraId="0D3932D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（6）发包人导致工期延误的其他情形。</w:t>
      </w:r>
    </w:p>
    <w:p w14:paraId="61AB960C">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4.3.2 </w:t>
      </w:r>
      <w:r>
        <w:rPr>
          <w:rFonts w:hint="eastAsia" w:ascii="仿宋" w:hAnsi="仿宋" w:eastAsia="仿宋" w:cs="仿宋"/>
          <w:bCs/>
          <w:kern w:val="0"/>
          <w:sz w:val="24"/>
          <w:szCs w:val="24"/>
        </w:rPr>
        <w:t>除专用合同条款对期限另有约定外，</w:t>
      </w:r>
      <w:r>
        <w:rPr>
          <w:rFonts w:hint="eastAsia" w:ascii="仿宋" w:hAnsi="仿宋" w:eastAsia="仿宋" w:cs="仿宋"/>
          <w:kern w:val="0"/>
          <w:sz w:val="24"/>
          <w:szCs w:val="24"/>
        </w:rPr>
        <w:t>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14:paraId="4D514900">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16" w:name="_Toc457826172"/>
      <w:bookmarkStart w:id="117" w:name="_Toc406150443"/>
      <w:r>
        <w:rPr>
          <w:rFonts w:hint="eastAsia" w:ascii="仿宋" w:hAnsi="仿宋" w:eastAsia="仿宋" w:cs="仿宋"/>
          <w:kern w:val="0"/>
          <w:sz w:val="24"/>
          <w:szCs w:val="24"/>
        </w:rPr>
        <w:t>4.4 勘察人造成的工期延误</w:t>
      </w:r>
      <w:bookmarkEnd w:id="116"/>
      <w:bookmarkEnd w:id="117"/>
    </w:p>
    <w:p w14:paraId="451324B9">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勘察人因以下情形不能按照合同约定的日期或双方同意顺延的工期提交成果资料的，勘察人承担违约责任：</w:t>
      </w:r>
    </w:p>
    <w:p w14:paraId="069DCC0E">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bookmarkStart w:id="118" w:name="_Toc406150444"/>
      <w:r>
        <w:rPr>
          <w:rFonts w:hint="eastAsia" w:ascii="仿宋" w:hAnsi="仿宋" w:eastAsia="仿宋" w:cs="仿宋"/>
          <w:kern w:val="0"/>
          <w:sz w:val="24"/>
          <w:szCs w:val="24"/>
        </w:rPr>
        <w:t>（1）勘察人未按合同约定开工日期开展工作造成工期延误的；</w:t>
      </w:r>
    </w:p>
    <w:p w14:paraId="2892ED74">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（2）勘察人管理不善、组织不力造成工期延误的；</w:t>
      </w:r>
    </w:p>
    <w:p w14:paraId="13F9361A">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（3）因弥补勘察人自身原因导致的质量缺陷而造成工期延误的；</w:t>
      </w:r>
    </w:p>
    <w:p w14:paraId="5C0B62E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（4）因勘察人成果资料不合格返工造成工期延误的；</w:t>
      </w:r>
    </w:p>
    <w:p w14:paraId="43DCA3E7">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（5）勘察人导致工期延误的其他情形。</w:t>
      </w:r>
    </w:p>
    <w:p w14:paraId="51DBEC12">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19" w:name="_Toc457826173"/>
      <w:r>
        <w:rPr>
          <w:rFonts w:hint="eastAsia" w:ascii="仿宋" w:hAnsi="仿宋" w:eastAsia="仿宋" w:cs="仿宋"/>
          <w:kern w:val="0"/>
          <w:sz w:val="24"/>
          <w:szCs w:val="24"/>
        </w:rPr>
        <w:t>4.5 恶劣气候条件</w:t>
      </w:r>
      <w:bookmarkEnd w:id="118"/>
      <w:bookmarkEnd w:id="119"/>
    </w:p>
    <w:p w14:paraId="03F81145">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恶劣气候条件影响现场作业，导致现场作业难以进行，造成工期延误的，勘察人有权要求发包人延长工期，具体可参照第4.3.2款处理。</w:t>
      </w:r>
    </w:p>
    <w:p w14:paraId="6EF81841">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20" w:name="_Toc406150445"/>
      <w:bookmarkStart w:id="121" w:name="_Toc457826174"/>
      <w:r>
        <w:rPr>
          <w:rFonts w:hint="eastAsia" w:ascii="仿宋" w:hAnsi="仿宋" w:eastAsia="仿宋" w:cs="仿宋"/>
          <w:sz w:val="24"/>
          <w:szCs w:val="24"/>
        </w:rPr>
        <w:t>第5条 成果资料</w:t>
      </w:r>
      <w:bookmarkEnd w:id="120"/>
      <w:bookmarkEnd w:id="121"/>
    </w:p>
    <w:p w14:paraId="15451A00">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22" w:name="_Toc457826175"/>
      <w:bookmarkStart w:id="123" w:name="_Toc406150446"/>
      <w:r>
        <w:rPr>
          <w:rFonts w:hint="eastAsia" w:ascii="仿宋" w:hAnsi="仿宋" w:eastAsia="仿宋" w:cs="仿宋"/>
          <w:kern w:val="0"/>
          <w:sz w:val="24"/>
          <w:szCs w:val="24"/>
        </w:rPr>
        <w:t>5.1 成果质量</w:t>
      </w:r>
      <w:bookmarkEnd w:id="122"/>
      <w:bookmarkEnd w:id="123"/>
    </w:p>
    <w:p w14:paraId="6DC39EC2">
      <w:pPr>
        <w:tabs>
          <w:tab w:val="left" w:pos="540"/>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5.1.1 成果质量应符合相关技术标准</w:t>
      </w:r>
      <w:r>
        <w:rPr>
          <w:rFonts w:hint="eastAsia" w:ascii="仿宋" w:hAnsi="仿宋" w:eastAsia="仿宋" w:cs="仿宋"/>
          <w:kern w:val="0"/>
          <w:sz w:val="24"/>
          <w:szCs w:val="24"/>
          <w:lang w:eastAsia="zh-CN"/>
        </w:rPr>
        <w:t>和深度规定</w:t>
      </w:r>
      <w:r>
        <w:rPr>
          <w:rFonts w:hint="eastAsia" w:ascii="仿宋" w:hAnsi="仿宋" w:eastAsia="仿宋" w:cs="仿宋"/>
          <w:kern w:val="0"/>
          <w:sz w:val="24"/>
          <w:szCs w:val="24"/>
        </w:rPr>
        <w:t>，且满足合同约定的质量要求。</w:t>
      </w:r>
    </w:p>
    <w:p w14:paraId="60CE4A7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5.1.2 双方对工程勘察成果质量有争议时，由双方同意的第三方机构鉴定，所需费用及因此造成的损失，由责任方承担；双方均有责任</w:t>
      </w:r>
      <w:r>
        <w:rPr>
          <w:rFonts w:hint="eastAsia" w:ascii="仿宋" w:hAnsi="仿宋" w:eastAsia="仿宋" w:cs="仿宋"/>
          <w:kern w:val="0"/>
          <w:sz w:val="24"/>
          <w:szCs w:val="24"/>
          <w:lang w:eastAsia="zh-CN"/>
        </w:rPr>
        <w:t>的</w:t>
      </w:r>
      <w:r>
        <w:rPr>
          <w:rFonts w:hint="eastAsia" w:ascii="仿宋" w:hAnsi="仿宋" w:eastAsia="仿宋" w:cs="仿宋"/>
          <w:kern w:val="0"/>
          <w:sz w:val="24"/>
          <w:szCs w:val="24"/>
        </w:rPr>
        <w:t>，由双方根据其责任分别承担。</w:t>
      </w:r>
    </w:p>
    <w:p w14:paraId="1323723C">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24" w:name="_Toc406150447"/>
      <w:bookmarkStart w:id="125" w:name="_Toc457826176"/>
      <w:r>
        <w:rPr>
          <w:rFonts w:hint="eastAsia" w:ascii="仿宋" w:hAnsi="仿宋" w:eastAsia="仿宋" w:cs="仿宋"/>
          <w:kern w:val="0"/>
          <w:sz w:val="24"/>
          <w:szCs w:val="24"/>
        </w:rPr>
        <w:t>5.2 成果份数</w:t>
      </w:r>
      <w:bookmarkEnd w:id="124"/>
      <w:bookmarkEnd w:id="125"/>
    </w:p>
    <w:p w14:paraId="23B5D99E">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勘察人应向发包人提交成果资料四份，发包人要求增加的份数，在专用合同条款中另行约定，发包人另行支付相应的费用。</w:t>
      </w:r>
    </w:p>
    <w:p w14:paraId="293D3A29">
      <w:pPr>
        <w:tabs>
          <w:tab w:val="left" w:pos="540"/>
        </w:tabs>
        <w:kinsoku/>
        <w:overflowPunct/>
        <w:topLinePunct w:val="0"/>
        <w:bidi w:val="0"/>
        <w:adjustRightInd w:val="0"/>
        <w:snapToGrid w:val="0"/>
        <w:spacing w:before="260" w:beforeLines="0" w:after="260" w:afterLines="0" w:line="360" w:lineRule="auto"/>
        <w:ind w:firstLine="482" w:firstLineChars="200"/>
        <w:jc w:val="left"/>
        <w:textAlignment w:val="auto"/>
        <w:outlineLvl w:val="9"/>
        <w:rPr>
          <w:rFonts w:hint="eastAsia" w:ascii="仿宋" w:hAnsi="仿宋" w:eastAsia="仿宋" w:cs="仿宋"/>
          <w:kern w:val="0"/>
          <w:sz w:val="24"/>
          <w:szCs w:val="24"/>
        </w:rPr>
      </w:pPr>
      <w:bookmarkStart w:id="126" w:name="_Toc457826177"/>
      <w:r>
        <w:rPr>
          <w:rFonts w:hint="eastAsia" w:ascii="仿宋" w:hAnsi="仿宋" w:eastAsia="仿宋" w:cs="仿宋"/>
          <w:b/>
          <w:bCs/>
          <w:kern w:val="0"/>
          <w:sz w:val="24"/>
          <w:szCs w:val="24"/>
        </w:rPr>
        <w:t>5.3 成果交付</w:t>
      </w:r>
      <w:bookmarkEnd w:id="126"/>
    </w:p>
    <w:p w14:paraId="47767BEE">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勘察人按照约定时间和地点向发包人交付成果资料，发包人应出具书面签收单，内容包括成果名称、成果组成、成果份数、提交和签收日期、提交人与接收人的亲笔签名等。</w:t>
      </w:r>
    </w:p>
    <w:p w14:paraId="0493663B">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27" w:name="_Toc457826178"/>
      <w:r>
        <w:rPr>
          <w:rFonts w:hint="eastAsia" w:ascii="仿宋" w:hAnsi="仿宋" w:eastAsia="仿宋" w:cs="仿宋"/>
          <w:kern w:val="0"/>
          <w:sz w:val="24"/>
          <w:szCs w:val="24"/>
        </w:rPr>
        <w:t>5.4 成果验收</w:t>
      </w:r>
      <w:bookmarkEnd w:id="127"/>
    </w:p>
    <w:p w14:paraId="0FD285B1">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勘察人向发包人提交成果资料后，如需对勘察成果组织验收的，发包人应及时组织验收。</w:t>
      </w:r>
      <w:r>
        <w:rPr>
          <w:rFonts w:hint="eastAsia" w:ascii="仿宋" w:hAnsi="仿宋" w:eastAsia="仿宋" w:cs="仿宋"/>
          <w:bCs/>
          <w:kern w:val="0"/>
          <w:sz w:val="24"/>
          <w:szCs w:val="24"/>
        </w:rPr>
        <w:t>除专用合同条款对期限另有约定外，</w:t>
      </w:r>
      <w:r>
        <w:rPr>
          <w:rFonts w:hint="eastAsia" w:ascii="仿宋" w:hAnsi="仿宋" w:eastAsia="仿宋" w:cs="仿宋"/>
          <w:kern w:val="0"/>
          <w:sz w:val="24"/>
          <w:szCs w:val="24"/>
        </w:rPr>
        <w:t>发包人14天内无正当理由不予组织验收，视为验收通过。</w:t>
      </w:r>
    </w:p>
    <w:p w14:paraId="4C731490">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28" w:name="_Toc406150449"/>
      <w:bookmarkStart w:id="129" w:name="_Toc457826179"/>
      <w:r>
        <w:rPr>
          <w:rFonts w:hint="eastAsia" w:ascii="仿宋" w:hAnsi="仿宋" w:eastAsia="仿宋" w:cs="仿宋"/>
          <w:sz w:val="24"/>
          <w:szCs w:val="24"/>
        </w:rPr>
        <w:t>第6条 后期服务</w:t>
      </w:r>
      <w:bookmarkEnd w:id="128"/>
      <w:bookmarkEnd w:id="129"/>
    </w:p>
    <w:p w14:paraId="7ACC3D52">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30" w:name="_Toc406150450"/>
      <w:bookmarkStart w:id="131" w:name="_Toc457826180"/>
      <w:r>
        <w:rPr>
          <w:rFonts w:hint="eastAsia" w:ascii="仿宋" w:hAnsi="仿宋" w:eastAsia="仿宋" w:cs="仿宋"/>
          <w:kern w:val="0"/>
          <w:sz w:val="24"/>
          <w:szCs w:val="24"/>
        </w:rPr>
        <w:t>6.1</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后续技术服务</w:t>
      </w:r>
      <w:bookmarkEnd w:id="130"/>
      <w:bookmarkEnd w:id="131"/>
    </w:p>
    <w:p w14:paraId="37CDA225">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勘察人应派专业技术人员为发包人提供后续技术服务，发包人应为其提供必要的工作和生活条件，后续技术服务的内容、费用和时限应由双方在专用合同条款中另行约定。</w:t>
      </w:r>
    </w:p>
    <w:p w14:paraId="2333E6BA">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32" w:name="_Toc457826181"/>
      <w:bookmarkStart w:id="133" w:name="_Toc406150451"/>
      <w:r>
        <w:rPr>
          <w:rFonts w:hint="eastAsia" w:ascii="仿宋" w:hAnsi="仿宋" w:eastAsia="仿宋" w:cs="仿宋"/>
          <w:kern w:val="0"/>
          <w:sz w:val="24"/>
          <w:szCs w:val="24"/>
        </w:rPr>
        <w:t>6.2 竣工验收</w:t>
      </w:r>
      <w:bookmarkEnd w:id="132"/>
      <w:bookmarkEnd w:id="133"/>
    </w:p>
    <w:p w14:paraId="3BEB2F2F">
      <w:pPr>
        <w:tabs>
          <w:tab w:val="left" w:pos="54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工程竣工验收时，勘察人应按发包人要求参加竣工验收工作，并提供竣工验收所需相关资料。</w:t>
      </w:r>
    </w:p>
    <w:p w14:paraId="4CCBBABD">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34" w:name="_Toc457826182"/>
      <w:bookmarkStart w:id="135" w:name="_Toc406150452"/>
      <w:r>
        <w:rPr>
          <w:rFonts w:hint="eastAsia" w:ascii="仿宋" w:hAnsi="仿宋" w:eastAsia="仿宋" w:cs="仿宋"/>
          <w:sz w:val="24"/>
          <w:szCs w:val="24"/>
        </w:rPr>
        <w:t>第7条 合同价款与支付</w:t>
      </w:r>
      <w:bookmarkEnd w:id="134"/>
      <w:bookmarkEnd w:id="135"/>
    </w:p>
    <w:p w14:paraId="3EA67172">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36" w:name="_Toc406150453"/>
      <w:bookmarkStart w:id="137" w:name="_Toc457826183"/>
      <w:r>
        <w:rPr>
          <w:rFonts w:hint="eastAsia" w:ascii="仿宋" w:hAnsi="仿宋" w:eastAsia="仿宋" w:cs="仿宋"/>
          <w:kern w:val="0"/>
          <w:sz w:val="24"/>
          <w:szCs w:val="24"/>
        </w:rPr>
        <w:t>7.1 合同价款与调整</w:t>
      </w:r>
      <w:bookmarkEnd w:id="136"/>
      <w:bookmarkEnd w:id="137"/>
    </w:p>
    <w:p w14:paraId="3A4FC40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7.1.1 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14:paraId="2B1AD94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highlight w:val="yellow"/>
        </w:rPr>
      </w:pPr>
      <w:r>
        <w:rPr>
          <w:rFonts w:hint="eastAsia" w:ascii="仿宋" w:hAnsi="仿宋" w:eastAsia="仿宋" w:cs="仿宋"/>
          <w:kern w:val="0"/>
          <w:sz w:val="24"/>
          <w:szCs w:val="24"/>
        </w:rPr>
        <w:t>7.1.2 合同当事人可任选下列一种合同价款的形式，双方可在专用合同条款中约定：</w:t>
      </w:r>
    </w:p>
    <w:p w14:paraId="3BEF762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（1）总价合同</w:t>
      </w:r>
    </w:p>
    <w:p w14:paraId="4AB0C62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双方在专用合同条款中约定合同价款包含的风险范围和风险费用的计算方法，在约定的风险范围内合同价款不再调整。风险范围以外的合同价款调整因素和方法，应在专用合同条款中约定。</w:t>
      </w:r>
    </w:p>
    <w:p w14:paraId="402D247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p>
    <w:p w14:paraId="4442C5B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（2）单价合同</w:t>
      </w:r>
    </w:p>
    <w:p w14:paraId="50EDDD2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合同价款根据工作量的变化而调整，合同单价在风险范围内一般不予调整，双方可在专用合同条款中约定合同单价调整因素和方法。</w:t>
      </w:r>
    </w:p>
    <w:p w14:paraId="180D210A">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（3）其他合同价款形式</w:t>
      </w:r>
    </w:p>
    <w:p w14:paraId="37CEC73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合同当事人可在专用合同条款中约定其他合同价格形式。</w:t>
      </w:r>
    </w:p>
    <w:p w14:paraId="5E6EBE6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7.1.</w:t>
      </w:r>
      <w:bookmarkStart w:id="138" w:name="_Toc406150454"/>
      <w:r>
        <w:rPr>
          <w:rFonts w:hint="eastAsia" w:ascii="仿宋" w:hAnsi="仿宋" w:eastAsia="仿宋" w:cs="仿宋"/>
          <w:kern w:val="0"/>
          <w:sz w:val="24"/>
          <w:szCs w:val="24"/>
        </w:rPr>
        <w:t>3 需调整合同价款时，合同一方应及时将调整原因、调整金额以书面形式通知对方，双方共同确认调整金额后作为追加或减少的合同价款，与进度款同期支付。</w:t>
      </w:r>
      <w:r>
        <w:rPr>
          <w:rFonts w:hint="eastAsia" w:ascii="仿宋" w:hAnsi="仿宋" w:eastAsia="仿宋" w:cs="仿宋"/>
          <w:bCs/>
          <w:kern w:val="0"/>
          <w:sz w:val="24"/>
          <w:szCs w:val="24"/>
        </w:rPr>
        <w:t>除专用合同条款对期限另有约定外，</w:t>
      </w:r>
      <w:r>
        <w:rPr>
          <w:rFonts w:hint="eastAsia" w:ascii="仿宋" w:hAnsi="仿宋" w:eastAsia="仿宋" w:cs="仿宋"/>
          <w:kern w:val="0"/>
          <w:sz w:val="24"/>
          <w:szCs w:val="24"/>
        </w:rPr>
        <w:t>一方在收到对方的通知后7天内不予确认也不提出修改意见，视为已经同意该项调整。合同当事人就调整事项不能达成一致的，则按照第16条〔争议解决〕的约定处理。</w:t>
      </w:r>
    </w:p>
    <w:p w14:paraId="2DC4C3A3">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39" w:name="_Toc457826184"/>
      <w:r>
        <w:rPr>
          <w:rFonts w:hint="eastAsia" w:ascii="仿宋" w:hAnsi="仿宋" w:eastAsia="仿宋" w:cs="仿宋"/>
          <w:kern w:val="0"/>
          <w:sz w:val="24"/>
          <w:szCs w:val="24"/>
        </w:rPr>
        <w:t>7.2 定金或预付款</w:t>
      </w:r>
      <w:bookmarkEnd w:id="138"/>
      <w:bookmarkEnd w:id="139"/>
    </w:p>
    <w:p w14:paraId="75F86A8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7.2.1 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14:paraId="5783AEF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7.2.2 定金或预付款在进度款中抵扣，抵扣办法可在专用合同条款中约定。</w:t>
      </w:r>
    </w:p>
    <w:p w14:paraId="067D4164">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40" w:name="_Toc406150455"/>
      <w:bookmarkStart w:id="141" w:name="_Toc457826185"/>
      <w:r>
        <w:rPr>
          <w:rFonts w:hint="eastAsia" w:ascii="仿宋" w:hAnsi="仿宋" w:eastAsia="仿宋" w:cs="仿宋"/>
          <w:kern w:val="0"/>
          <w:sz w:val="24"/>
          <w:szCs w:val="24"/>
        </w:rPr>
        <w:t>7.3 进度款支付</w:t>
      </w:r>
      <w:bookmarkEnd w:id="140"/>
      <w:bookmarkEnd w:id="141"/>
    </w:p>
    <w:p w14:paraId="3F55FD6B">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7.3.1 发包人应按照专用合同条款约定的进度款支付方式、支付条件和支付时间进行支付。</w:t>
      </w:r>
    </w:p>
    <w:p w14:paraId="03FF74B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7.3.2 第7.1款〔合同价款与调整〕和第8.2款〔变更合同价款确定〕确定调整的合同价款及其他条款中约定的追加或减少的合同价款，应与进度款同期调整支付。</w:t>
      </w:r>
    </w:p>
    <w:p w14:paraId="71D6029E">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7.3.3 发包人超过约定的支付时间不支付进度款，勘察人可向发包人发出要求付款的通知，发包人收到勘察人通知后仍不能按要求付款，可与勘察人协商签订延期付款协议，经勘察人同意后可延期支付。</w:t>
      </w:r>
    </w:p>
    <w:p w14:paraId="798AD9C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7.3.4 发包人不按合同约定支付进度款，双方又未达成延期付款协议，勘察人可停止工程勘察作业和后期服务，由发包人承担违约责任。</w:t>
      </w:r>
    </w:p>
    <w:p w14:paraId="6E94B710">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42" w:name="_Toc457826186"/>
      <w:r>
        <w:rPr>
          <w:rFonts w:hint="eastAsia" w:ascii="仿宋" w:hAnsi="仿宋" w:eastAsia="仿宋" w:cs="仿宋"/>
          <w:kern w:val="0"/>
          <w:sz w:val="24"/>
          <w:szCs w:val="24"/>
        </w:rPr>
        <w:t>7.4 合同价款结算</w:t>
      </w:r>
      <w:bookmarkEnd w:id="142"/>
    </w:p>
    <w:p w14:paraId="05F1573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除专用合同条款另有约定外，发包人应在勘察人提交成果资料</w:t>
      </w:r>
      <w:r>
        <w:rPr>
          <w:rFonts w:hint="eastAsia" w:ascii="仿宋" w:hAnsi="仿宋" w:eastAsia="仿宋" w:cs="仿宋"/>
          <w:kern w:val="0"/>
          <w:sz w:val="24"/>
          <w:szCs w:val="24"/>
          <w:lang w:eastAsia="zh-CN"/>
        </w:rPr>
        <w:t>后</w:t>
      </w:r>
      <w:r>
        <w:rPr>
          <w:rFonts w:hint="eastAsia" w:ascii="仿宋" w:hAnsi="仿宋" w:eastAsia="仿宋" w:cs="仿宋"/>
          <w:kern w:val="0"/>
          <w:sz w:val="24"/>
          <w:szCs w:val="24"/>
        </w:rPr>
        <w:t>28天内，依据第7.1款〔合同价款与调整〕和第8.2款〔变更合同价款确定〕的约定进行最终合同价款确定，并予以全额支付。</w:t>
      </w:r>
    </w:p>
    <w:p w14:paraId="32565527">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43" w:name="_Toc406150456"/>
      <w:bookmarkStart w:id="144" w:name="_Toc457826187"/>
      <w:r>
        <w:rPr>
          <w:rFonts w:hint="eastAsia" w:ascii="仿宋" w:hAnsi="仿宋" w:eastAsia="仿宋" w:cs="仿宋"/>
          <w:sz w:val="24"/>
          <w:szCs w:val="24"/>
        </w:rPr>
        <w:t>第8条 变更与调整</w:t>
      </w:r>
      <w:bookmarkEnd w:id="143"/>
      <w:bookmarkEnd w:id="144"/>
    </w:p>
    <w:p w14:paraId="22BA3305">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45" w:name="_Toc406150457"/>
      <w:bookmarkStart w:id="146" w:name="_Toc457826188"/>
      <w:r>
        <w:rPr>
          <w:rFonts w:hint="eastAsia" w:ascii="仿宋" w:hAnsi="仿宋" w:eastAsia="仿宋" w:cs="仿宋"/>
          <w:kern w:val="0"/>
          <w:sz w:val="24"/>
          <w:szCs w:val="24"/>
        </w:rPr>
        <w:t>8.1 变更范围与确认</w:t>
      </w:r>
      <w:bookmarkEnd w:id="145"/>
      <w:bookmarkEnd w:id="146"/>
    </w:p>
    <w:p w14:paraId="2F15B20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8.1.1 变更范围</w:t>
      </w:r>
    </w:p>
    <w:p w14:paraId="58A6188B">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本合同变更是指在合同签订日后发生的以下变更：</w:t>
      </w:r>
    </w:p>
    <w:p w14:paraId="3F70036F">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（1）法律法规及技术标准的变化引起的变更；</w:t>
      </w:r>
    </w:p>
    <w:p w14:paraId="46B8B7A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（2）规划方案或</w:t>
      </w:r>
      <w:r>
        <w:rPr>
          <w:rFonts w:hint="eastAsia" w:ascii="仿宋" w:hAnsi="仿宋" w:eastAsia="仿宋" w:cs="仿宋"/>
          <w:kern w:val="0"/>
          <w:sz w:val="24"/>
          <w:szCs w:val="24"/>
          <w:lang w:eastAsia="zh-CN"/>
        </w:rPr>
        <w:t>勘察</w:t>
      </w:r>
      <w:r>
        <w:rPr>
          <w:rFonts w:hint="eastAsia" w:ascii="仿宋" w:hAnsi="仿宋" w:eastAsia="仿宋" w:cs="仿宋"/>
          <w:kern w:val="0"/>
          <w:sz w:val="24"/>
          <w:szCs w:val="24"/>
        </w:rPr>
        <w:t>条件的变化引起的变更；</w:t>
      </w:r>
    </w:p>
    <w:p w14:paraId="3D311CF7">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（3）不利物质条件引起的变更；</w:t>
      </w:r>
    </w:p>
    <w:p w14:paraId="4601F6F4">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（4）发包人的要求变化引起的变更；</w:t>
      </w:r>
    </w:p>
    <w:p w14:paraId="0861EEA4">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（5）因政府临时禁令引起的变更；</w:t>
      </w:r>
    </w:p>
    <w:p w14:paraId="792A8A35">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（6）其他专用合同条款中约定的变更。</w:t>
      </w:r>
    </w:p>
    <w:p w14:paraId="062C6EF2">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p>
    <w:p w14:paraId="7A8DE003">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8.1.2 变更确认</w:t>
      </w:r>
    </w:p>
    <w:p w14:paraId="45BC78BA">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14:paraId="7F8B7B4D">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47" w:name="_Toc457826189"/>
      <w:bookmarkStart w:id="148" w:name="_Toc406150458"/>
      <w:r>
        <w:rPr>
          <w:rFonts w:hint="eastAsia" w:ascii="仿宋" w:hAnsi="仿宋" w:eastAsia="仿宋" w:cs="仿宋"/>
          <w:kern w:val="0"/>
          <w:sz w:val="24"/>
          <w:szCs w:val="24"/>
        </w:rPr>
        <w:t>8.2 变更合同价款确定</w:t>
      </w:r>
      <w:bookmarkEnd w:id="147"/>
      <w:bookmarkEnd w:id="148"/>
    </w:p>
    <w:p w14:paraId="5566D6BE">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8.2.1 变更合同价款按下列方法进行：</w:t>
      </w:r>
    </w:p>
    <w:p w14:paraId="3F6E207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（1）合同中已有适用于变更工程的价格，按合同已有的价格变更合同价款；</w:t>
      </w:r>
    </w:p>
    <w:p w14:paraId="3D9B143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（2）合同中只有类似于变更工程的价格，可以参照类似价格变更合同价款；</w:t>
      </w:r>
    </w:p>
    <w:p w14:paraId="151E35DA">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（3）合同中没有适用或类似于变更工程的价格，由勘察人提出适当的变更价格，经发包人确认后执行。</w:t>
      </w:r>
    </w:p>
    <w:p w14:paraId="5E6F2656">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8.2.2 除专用合同条款对期限另有约定外，一方应在双方确定变更事项后14天内向对方提出变更合同价款报告，否则视为该项变更不涉及合同价款的变更。</w:t>
      </w:r>
    </w:p>
    <w:p w14:paraId="2BFC1FF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8.2.3 除专用合同条款对期限另有约定外，一方应在收到对方提交的变更合同价款报告之日起14天内予以确认。逾期无正当理由不予确认的，则视为该项变更合同价款报告已被确认。</w:t>
      </w:r>
    </w:p>
    <w:p w14:paraId="4E29E3D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8.2.4 一方不同意对方提出的合同价款变更，按第16条〔争议解决〕的约定处理。</w:t>
      </w:r>
    </w:p>
    <w:p w14:paraId="37A7E54B">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8.2.5 因勘察人自身原因导致的变更，勘察人无权要求追加合同价款。</w:t>
      </w:r>
    </w:p>
    <w:p w14:paraId="0D87463F">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49" w:name="_Toc457826190"/>
      <w:bookmarkStart w:id="150" w:name="_Toc406150459"/>
      <w:r>
        <w:rPr>
          <w:rFonts w:hint="eastAsia" w:ascii="仿宋" w:hAnsi="仿宋" w:eastAsia="仿宋" w:cs="仿宋"/>
          <w:sz w:val="24"/>
          <w:szCs w:val="24"/>
        </w:rPr>
        <w:t>第9条 知识产权</w:t>
      </w:r>
      <w:bookmarkEnd w:id="149"/>
      <w:bookmarkEnd w:id="150"/>
    </w:p>
    <w:p w14:paraId="4A79C648">
      <w:pPr>
        <w:tabs>
          <w:tab w:val="left" w:pos="540"/>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 xml:space="preserve">9.1 </w:t>
      </w:r>
      <w:r>
        <w:rPr>
          <w:rFonts w:hint="eastAsia" w:ascii="仿宋" w:hAnsi="仿宋" w:eastAsia="仿宋" w:cs="仿宋"/>
          <w:kern w:val="0"/>
          <w:sz w:val="24"/>
          <w:szCs w:val="24"/>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15696160">
      <w:pPr>
        <w:tabs>
          <w:tab w:val="left" w:pos="720"/>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bCs/>
          <w:color w:val="000000"/>
          <w:kern w:val="0"/>
          <w:sz w:val="24"/>
          <w:szCs w:val="24"/>
        </w:rPr>
        <w:t xml:space="preserve">9.2 </w:t>
      </w:r>
      <w:r>
        <w:rPr>
          <w:rFonts w:hint="eastAsia" w:ascii="仿宋" w:hAnsi="仿宋" w:eastAsia="仿宋" w:cs="仿宋"/>
          <w:kern w:val="0"/>
          <w:sz w:val="24"/>
          <w:szCs w:val="24"/>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123D6E2D">
      <w:pPr>
        <w:tabs>
          <w:tab w:val="left" w:pos="720"/>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bCs/>
          <w:kern w:val="0"/>
          <w:sz w:val="24"/>
          <w:szCs w:val="24"/>
        </w:rPr>
        <w:t xml:space="preserve">9.3 </w:t>
      </w:r>
      <w:r>
        <w:rPr>
          <w:rFonts w:hint="eastAsia" w:ascii="仿宋" w:hAnsi="仿宋" w:eastAsia="仿宋" w:cs="仿宋"/>
          <w:kern w:val="0"/>
          <w:sz w:val="24"/>
          <w:szCs w:val="24"/>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14:paraId="77BE5A11">
      <w:pPr>
        <w:tabs>
          <w:tab w:val="left" w:pos="720"/>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bCs/>
          <w:kern w:val="0"/>
          <w:sz w:val="24"/>
          <w:szCs w:val="24"/>
        </w:rPr>
        <w:t xml:space="preserve">9.4 </w:t>
      </w:r>
      <w:r>
        <w:rPr>
          <w:rFonts w:hint="eastAsia" w:ascii="仿宋" w:hAnsi="仿宋" w:eastAsia="仿宋" w:cs="仿宋"/>
          <w:kern w:val="0"/>
          <w:sz w:val="24"/>
          <w:szCs w:val="24"/>
        </w:rPr>
        <w:t>在不损害对方利益情况下，合同当事人双方均有权在申报奖项、制作宣传印刷品及出版物时使用有关项目的文字和图片材料。</w:t>
      </w:r>
    </w:p>
    <w:p w14:paraId="5303330B">
      <w:pPr>
        <w:tabs>
          <w:tab w:val="left" w:pos="720"/>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bookmarkStart w:id="151" w:name="_Toc406150461"/>
      <w:r>
        <w:rPr>
          <w:rFonts w:hint="eastAsia" w:ascii="仿宋" w:hAnsi="仿宋" w:eastAsia="仿宋" w:cs="仿宋"/>
          <w:b/>
          <w:bCs/>
          <w:kern w:val="0"/>
          <w:sz w:val="24"/>
          <w:szCs w:val="24"/>
        </w:rPr>
        <w:t>9.5</w:t>
      </w:r>
      <w:bookmarkEnd w:id="151"/>
      <w:r>
        <w:rPr>
          <w:rFonts w:hint="eastAsia" w:ascii="仿宋" w:hAnsi="仿宋" w:eastAsia="仿宋" w:cs="仿宋"/>
          <w:b/>
          <w:bCs/>
          <w:kern w:val="0"/>
          <w:sz w:val="24"/>
          <w:szCs w:val="24"/>
        </w:rPr>
        <w:t xml:space="preserve"> </w:t>
      </w:r>
      <w:r>
        <w:rPr>
          <w:rFonts w:hint="eastAsia" w:ascii="仿宋" w:hAnsi="仿宋" w:eastAsia="仿宋" w:cs="仿宋"/>
          <w:kern w:val="0"/>
          <w:sz w:val="24"/>
          <w:szCs w:val="24"/>
        </w:rPr>
        <w:t>除专用合同条款另有约定外，勘察人在合同签订前和签订时已确定采用的专利、专有技术、技术秘密的使用费已包含在合同价款中。</w:t>
      </w:r>
    </w:p>
    <w:p w14:paraId="71E9BC3F">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52" w:name="_Toc406150462"/>
      <w:bookmarkStart w:id="153" w:name="_Toc457826191"/>
      <w:r>
        <w:rPr>
          <w:rFonts w:hint="eastAsia" w:ascii="仿宋" w:hAnsi="仿宋" w:eastAsia="仿宋" w:cs="仿宋"/>
          <w:sz w:val="24"/>
          <w:szCs w:val="24"/>
        </w:rPr>
        <w:t>第10条 不可抗力</w:t>
      </w:r>
      <w:bookmarkEnd w:id="152"/>
      <w:bookmarkEnd w:id="153"/>
    </w:p>
    <w:p w14:paraId="1E4BC666">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54" w:name="_Toc406150463"/>
      <w:bookmarkStart w:id="155" w:name="_Toc457826192"/>
      <w:r>
        <w:rPr>
          <w:rFonts w:hint="eastAsia" w:ascii="仿宋" w:hAnsi="仿宋" w:eastAsia="仿宋" w:cs="仿宋"/>
          <w:kern w:val="0"/>
          <w:sz w:val="24"/>
          <w:szCs w:val="24"/>
        </w:rPr>
        <w:t>10.1 不可抗力的确认</w:t>
      </w:r>
      <w:bookmarkEnd w:id="154"/>
      <w:bookmarkEnd w:id="155"/>
    </w:p>
    <w:p w14:paraId="23F14E24">
      <w:pPr>
        <w:tabs>
          <w:tab w:val="left" w:pos="720"/>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color w:val="000000"/>
          <w:kern w:val="0"/>
          <w:sz w:val="24"/>
          <w:szCs w:val="24"/>
        </w:rPr>
        <w:t xml:space="preserve">10.1.1 </w:t>
      </w:r>
      <w:r>
        <w:rPr>
          <w:rFonts w:hint="eastAsia" w:ascii="仿宋" w:hAnsi="仿宋" w:eastAsia="仿宋" w:cs="仿宋"/>
          <w:kern w:val="0"/>
          <w:sz w:val="24"/>
          <w:szCs w:val="24"/>
        </w:rPr>
        <w:t>不可抗力是在订立合同时不可合理预见，在履行合同中不可避免的发生且不能克服的自然灾害和社会突发事件，如地震、海啸、瘟疫、洪水、骚乱、暴动、战争以及专用条款约定的其他自然灾害和社会突发事件。</w:t>
      </w:r>
    </w:p>
    <w:p w14:paraId="4619D52A">
      <w:pPr>
        <w:tabs>
          <w:tab w:val="left" w:pos="720"/>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color w:val="000000"/>
          <w:kern w:val="0"/>
          <w:sz w:val="24"/>
          <w:szCs w:val="24"/>
        </w:rPr>
        <w:t xml:space="preserve">10.1.2 </w:t>
      </w:r>
      <w:r>
        <w:rPr>
          <w:rFonts w:hint="eastAsia" w:ascii="仿宋" w:hAnsi="仿宋" w:eastAsia="仿宋" w:cs="仿宋"/>
          <w:kern w:val="0"/>
          <w:sz w:val="24"/>
          <w:szCs w:val="24"/>
        </w:rPr>
        <w:t>不可抗力发生后，发包人和勘察人应收集不可抗力发生及造成损失的证据。合同当事双方对是否属于不可抗力或其损失发生争议时，按第16条〔争议解决〕的约定处理。</w:t>
      </w:r>
    </w:p>
    <w:p w14:paraId="2B662C83">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56" w:name="_Toc406150464"/>
      <w:bookmarkStart w:id="157" w:name="_Toc457826193"/>
      <w:r>
        <w:rPr>
          <w:rFonts w:hint="eastAsia" w:ascii="仿宋" w:hAnsi="仿宋" w:eastAsia="仿宋" w:cs="仿宋"/>
          <w:kern w:val="0"/>
          <w:sz w:val="24"/>
          <w:szCs w:val="24"/>
        </w:rPr>
        <w:t>10.2 不可抗力的通知</w:t>
      </w:r>
      <w:bookmarkEnd w:id="156"/>
      <w:bookmarkEnd w:id="157"/>
    </w:p>
    <w:p w14:paraId="120B23C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10.2.1 遇有不可抗力发生时，发包人和勘察人应立即通知对方，双方应共同采取措施减少损失。除专用合同条款对期限另有约定外，不可抗力持续发生，勘察人应每隔7天向发包人报告一次受害损失情况。</w:t>
      </w:r>
    </w:p>
    <w:p w14:paraId="40C2BC03">
      <w:pPr>
        <w:tabs>
          <w:tab w:val="left" w:pos="162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10.2.2 除专用合同条款对期限另有约定外，不可抗力结束后2天内，勘察人向发包人通报受害损失情况及预计清理和修复的费用；不可抗力结束后14天内，勘察人向发包人提交清理和修复费用的正式报告及有关资料。</w:t>
      </w:r>
    </w:p>
    <w:p w14:paraId="34864D14">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58" w:name="_Toc406150465"/>
      <w:bookmarkStart w:id="159" w:name="_Toc457826194"/>
      <w:r>
        <w:rPr>
          <w:rFonts w:hint="eastAsia" w:ascii="仿宋" w:hAnsi="仿宋" w:eastAsia="仿宋" w:cs="仿宋"/>
          <w:kern w:val="0"/>
          <w:sz w:val="24"/>
          <w:szCs w:val="24"/>
        </w:rPr>
        <w:t>10.3 不可抗力后果的承担</w:t>
      </w:r>
      <w:bookmarkEnd w:id="158"/>
      <w:bookmarkEnd w:id="159"/>
    </w:p>
    <w:p w14:paraId="38FB3DF0">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10.3.1 因不可抗力发生的费用及延误的工期由双方按以下方法分别承担：</w:t>
      </w:r>
    </w:p>
    <w:p w14:paraId="2FF402F2">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（1）发包人和勘察人人员伤亡由合同当事人双方自行负责，并承担相应费用；</w:t>
      </w:r>
    </w:p>
    <w:p w14:paraId="0ECB7B59">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（2）勘察人机械设备损坏及停工损失，由勘察人承担；</w:t>
      </w:r>
    </w:p>
    <w:p w14:paraId="0B7FDAC2">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（3）停工期间，勘察人应发包人要求留在作业场地的管理人员及保卫人员的费用由发包人承担；</w:t>
      </w:r>
    </w:p>
    <w:p w14:paraId="240E6D02">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（4）作业场地发生的清理、修复费用由发包人承担；</w:t>
      </w:r>
    </w:p>
    <w:p w14:paraId="43BA74A1">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（5）延误的工期相应顺延。</w:t>
      </w:r>
    </w:p>
    <w:p w14:paraId="4AF93A9F">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10.3.2 因合同一方迟延履行合同后发生不可抗力的，不能免除迟延履行方的相应责任。</w:t>
      </w:r>
    </w:p>
    <w:p w14:paraId="25446D3F">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60" w:name="_Toc457826195"/>
      <w:bookmarkStart w:id="161" w:name="_Toc406150466"/>
      <w:r>
        <w:rPr>
          <w:rFonts w:hint="eastAsia" w:ascii="仿宋" w:hAnsi="仿宋" w:eastAsia="仿宋" w:cs="仿宋"/>
          <w:sz w:val="24"/>
          <w:szCs w:val="24"/>
        </w:rPr>
        <w:t>第11条 合同生效与终止</w:t>
      </w:r>
      <w:bookmarkEnd w:id="160"/>
      <w:bookmarkEnd w:id="161"/>
    </w:p>
    <w:p w14:paraId="476FC1AD">
      <w:pPr>
        <w:tabs>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 xml:space="preserve">11.1 </w:t>
      </w:r>
      <w:r>
        <w:rPr>
          <w:rFonts w:hint="eastAsia" w:ascii="仿宋" w:hAnsi="仿宋" w:eastAsia="仿宋" w:cs="仿宋"/>
          <w:kern w:val="0"/>
          <w:sz w:val="24"/>
          <w:szCs w:val="24"/>
        </w:rPr>
        <w:t>双方在合同协议书中约定合同生效方式。</w:t>
      </w:r>
    </w:p>
    <w:p w14:paraId="7DF44F67">
      <w:pPr>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 xml:space="preserve">11.2 </w:t>
      </w:r>
      <w:r>
        <w:rPr>
          <w:rFonts w:hint="eastAsia" w:ascii="仿宋" w:hAnsi="仿宋" w:eastAsia="仿宋" w:cs="仿宋"/>
          <w:kern w:val="0"/>
          <w:sz w:val="24"/>
          <w:szCs w:val="24"/>
        </w:rPr>
        <w:t>发包人、勘察人履行合同全部义务，合同价款支付完毕，本合同即告终止。</w:t>
      </w:r>
    </w:p>
    <w:p w14:paraId="6DE2B36E">
      <w:pPr>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 xml:space="preserve">11.3 </w:t>
      </w:r>
      <w:r>
        <w:rPr>
          <w:rFonts w:hint="eastAsia" w:ascii="仿宋" w:hAnsi="仿宋" w:eastAsia="仿宋" w:cs="仿宋"/>
          <w:kern w:val="0"/>
          <w:sz w:val="24"/>
          <w:szCs w:val="24"/>
        </w:rPr>
        <w:t>合同的权利义务终止后，合同当事人应遵循诚实信用原则，履行通知、协助和保密等义务。</w:t>
      </w:r>
    </w:p>
    <w:p w14:paraId="7520E867">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62" w:name="_Toc457826196"/>
      <w:bookmarkStart w:id="163" w:name="_Toc406150467"/>
      <w:r>
        <w:rPr>
          <w:rFonts w:hint="eastAsia" w:ascii="仿宋" w:hAnsi="仿宋" w:eastAsia="仿宋" w:cs="仿宋"/>
          <w:sz w:val="24"/>
          <w:szCs w:val="24"/>
        </w:rPr>
        <w:t>第12条 合同解除</w:t>
      </w:r>
      <w:bookmarkEnd w:id="162"/>
      <w:bookmarkEnd w:id="163"/>
    </w:p>
    <w:p w14:paraId="3AA2AF69">
      <w:pPr>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12.1</w:t>
      </w:r>
      <w:r>
        <w:rPr>
          <w:rFonts w:hint="eastAsia" w:ascii="仿宋" w:hAnsi="仿宋" w:eastAsia="仿宋" w:cs="仿宋"/>
          <w:b/>
          <w:kern w:val="0"/>
          <w:sz w:val="24"/>
          <w:szCs w:val="24"/>
          <w:lang w:val="en-US" w:eastAsia="zh-CN"/>
        </w:rPr>
        <w:t xml:space="preserve"> </w:t>
      </w:r>
      <w:r>
        <w:rPr>
          <w:rFonts w:hint="eastAsia" w:ascii="仿宋" w:hAnsi="仿宋" w:eastAsia="仿宋" w:cs="仿宋"/>
          <w:kern w:val="0"/>
          <w:sz w:val="24"/>
          <w:szCs w:val="24"/>
        </w:rPr>
        <w:t>有下列情形之一的，发包人、勘察人可以解除合同：</w:t>
      </w:r>
    </w:p>
    <w:p w14:paraId="4C374002">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（1）因不可抗力致使合同无法履行；</w:t>
      </w:r>
    </w:p>
    <w:p w14:paraId="5C2D33B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（2）发生未按第7.2款〔定金或预付款〕或第7.3款〔进度款支付〕约定按时支付合同价款的情况，停止作业超过28天，勘察人有权解除合同，由发包人承担违约责任；</w:t>
      </w:r>
    </w:p>
    <w:p w14:paraId="0303DC5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（3）勘察人将其承包的全部工程转包给他人或者肢解以后以分包的名义分别转包给他人，发包人有权解除合同，由勘察人承担违约责任；</w:t>
      </w:r>
    </w:p>
    <w:p w14:paraId="182950B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（4）发包人和勘察人协商一致可以解除合同的其他情形。</w:t>
      </w:r>
    </w:p>
    <w:p w14:paraId="7365CCCD">
      <w:pPr>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 xml:space="preserve">12.2 </w:t>
      </w:r>
      <w:r>
        <w:rPr>
          <w:rFonts w:hint="eastAsia" w:ascii="仿宋" w:hAnsi="仿宋" w:eastAsia="仿宋" w:cs="仿宋"/>
          <w:kern w:val="0"/>
          <w:sz w:val="24"/>
          <w:szCs w:val="24"/>
        </w:rPr>
        <w:t>一方依据第12.1款约定要求解除合同的，应以书面形式向对方发出解除合同的通知，并在发出通知前不少于14天告知对方，通知到达对方时合同解除。对解除合同有争议的，按第16条〔争议解决〕的约定处理。</w:t>
      </w:r>
    </w:p>
    <w:p w14:paraId="14DCB1C9">
      <w:pPr>
        <w:tabs>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 xml:space="preserve">12.3 </w:t>
      </w:r>
      <w:r>
        <w:rPr>
          <w:rFonts w:hint="eastAsia" w:ascii="仿宋" w:hAnsi="仿宋" w:eastAsia="仿宋" w:cs="仿宋"/>
          <w:kern w:val="0"/>
          <w:sz w:val="24"/>
          <w:szCs w:val="24"/>
        </w:rPr>
        <w:t>因不可抗力致使合同无法履行时，发包人应按合同约定向勘察人支付已完工作量相对应比例的合同价款后解除合同。</w:t>
      </w:r>
    </w:p>
    <w:p w14:paraId="2F960C71">
      <w:pPr>
        <w:tabs>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kern w:val="0"/>
          <w:sz w:val="24"/>
          <w:szCs w:val="24"/>
        </w:rPr>
        <w:t xml:space="preserve">12.4 </w:t>
      </w:r>
      <w:r>
        <w:rPr>
          <w:rFonts w:hint="eastAsia" w:ascii="仿宋" w:hAnsi="仿宋" w:eastAsia="仿宋" w:cs="仿宋"/>
          <w:kern w:val="0"/>
          <w:sz w:val="24"/>
          <w:szCs w:val="24"/>
        </w:rPr>
        <w:t>合同解除后，勘察人应按发包人要求将自有设备和人员撤出作业场地，发包人应为勘察人撤出提供必要条件。</w:t>
      </w:r>
    </w:p>
    <w:p w14:paraId="1CFAF2AE">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64" w:name="_Toc406150468"/>
      <w:bookmarkStart w:id="165" w:name="_Toc457826197"/>
      <w:r>
        <w:rPr>
          <w:rFonts w:hint="eastAsia" w:ascii="仿宋" w:hAnsi="仿宋" w:eastAsia="仿宋" w:cs="仿宋"/>
          <w:sz w:val="24"/>
          <w:szCs w:val="24"/>
        </w:rPr>
        <w:t>第13条 责任与保险</w:t>
      </w:r>
      <w:bookmarkEnd w:id="164"/>
      <w:bookmarkEnd w:id="165"/>
    </w:p>
    <w:p w14:paraId="33244363">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 xml:space="preserve">13.1 </w:t>
      </w:r>
      <w:r>
        <w:rPr>
          <w:rFonts w:hint="eastAsia" w:ascii="仿宋" w:hAnsi="仿宋" w:eastAsia="仿宋" w:cs="仿宋"/>
          <w:kern w:val="0"/>
          <w:sz w:val="24"/>
          <w:szCs w:val="24"/>
        </w:rPr>
        <w:t>勘察人应运用一切合理的专业技术和经验，按照公认的职业标准尽其全部职责和谨慎、勤勉地履行其在本合同项下的责任和义务。</w:t>
      </w:r>
    </w:p>
    <w:p w14:paraId="61265BD9">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 xml:space="preserve">13.2 </w:t>
      </w:r>
      <w:r>
        <w:rPr>
          <w:rFonts w:hint="eastAsia" w:ascii="仿宋" w:hAnsi="仿宋" w:eastAsia="仿宋" w:cs="仿宋"/>
          <w:kern w:val="0"/>
          <w:sz w:val="24"/>
          <w:szCs w:val="24"/>
        </w:rPr>
        <w:t>合同当事人可按照法律法规的要求在专用合同条款中约定履行本合同所需要的工程勘察责任保险，并使其于合同责任期内保持有效。</w:t>
      </w:r>
    </w:p>
    <w:p w14:paraId="3EA39050">
      <w:pPr>
        <w:tabs>
          <w:tab w:val="left" w:pos="54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 xml:space="preserve">13.3 </w:t>
      </w:r>
      <w:r>
        <w:rPr>
          <w:rFonts w:hint="eastAsia" w:ascii="仿宋" w:hAnsi="仿宋" w:eastAsia="仿宋" w:cs="仿宋"/>
          <w:kern w:val="0"/>
          <w:sz w:val="24"/>
          <w:szCs w:val="24"/>
        </w:rPr>
        <w:t>勘察人应依照法律法规的规定为勘察作业人员参加工伤保险、人身意外伤害险和其他保险。</w:t>
      </w:r>
    </w:p>
    <w:p w14:paraId="72AE2D0C">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66" w:name="_Toc457826198"/>
      <w:bookmarkStart w:id="167" w:name="_Toc406150469"/>
      <w:r>
        <w:rPr>
          <w:rFonts w:hint="eastAsia" w:ascii="仿宋" w:hAnsi="仿宋" w:eastAsia="仿宋" w:cs="仿宋"/>
          <w:sz w:val="24"/>
          <w:szCs w:val="24"/>
        </w:rPr>
        <w:t>第14条 违约</w:t>
      </w:r>
      <w:bookmarkEnd w:id="166"/>
      <w:bookmarkEnd w:id="167"/>
    </w:p>
    <w:p w14:paraId="6FFA1271">
      <w:pPr>
        <w:keepNext w:val="0"/>
        <w:keepLines w:val="0"/>
        <w:tabs>
          <w:tab w:val="left" w:pos="180"/>
          <w:tab w:val="left" w:pos="36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68" w:name="_Toc457826199"/>
      <w:bookmarkStart w:id="169" w:name="_Toc406150470"/>
      <w:r>
        <w:rPr>
          <w:rFonts w:hint="eastAsia" w:ascii="仿宋" w:hAnsi="仿宋" w:eastAsia="仿宋" w:cs="仿宋"/>
          <w:kern w:val="0"/>
          <w:sz w:val="24"/>
          <w:szCs w:val="24"/>
        </w:rPr>
        <w:t>14.1 发包人违约</w:t>
      </w:r>
      <w:bookmarkEnd w:id="168"/>
      <w:bookmarkEnd w:id="169"/>
    </w:p>
    <w:p w14:paraId="726675C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14.1.1 发包人违约情形</w:t>
      </w:r>
    </w:p>
    <w:p w14:paraId="1D6E93A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（1）合同生效后，发包人无故要求终止或解除合同；</w:t>
      </w:r>
    </w:p>
    <w:p w14:paraId="5AA80A5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（2）发包人未按第7.2款〔定金或预付款〕约定按时支付定金或预付款；</w:t>
      </w:r>
    </w:p>
    <w:p w14:paraId="44BC5B4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（3）发包人未按第7.3款〔进度款支付〕约定按时支付进度款；</w:t>
      </w:r>
    </w:p>
    <w:p w14:paraId="3F08F5E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（4）发包人不履行合同义务或不按合同约定履行义务的其他情形。</w:t>
      </w:r>
    </w:p>
    <w:p w14:paraId="1FDEF87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14.1.2 发包人违约责任</w:t>
      </w:r>
    </w:p>
    <w:p w14:paraId="7F82318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kern w:val="0"/>
          <w:sz w:val="24"/>
          <w:szCs w:val="24"/>
        </w:rPr>
        <w:t>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14:paraId="204FD1E7">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14:paraId="046286B1">
      <w:pPr>
        <w:keepNext w:val="0"/>
        <w:keepLines w:val="0"/>
        <w:tabs>
          <w:tab w:val="left" w:pos="180"/>
        </w:tabs>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70" w:name="_Toc406150471"/>
      <w:bookmarkStart w:id="171" w:name="_Toc457826200"/>
      <w:r>
        <w:rPr>
          <w:rFonts w:hint="eastAsia" w:ascii="仿宋" w:hAnsi="仿宋" w:eastAsia="仿宋" w:cs="仿宋"/>
          <w:kern w:val="0"/>
          <w:sz w:val="24"/>
          <w:szCs w:val="24"/>
        </w:rPr>
        <w:t>14.2 勘察人违约</w:t>
      </w:r>
      <w:bookmarkEnd w:id="170"/>
      <w:bookmarkEnd w:id="171"/>
    </w:p>
    <w:p w14:paraId="4AA24F5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14.2.1 勘察人违约情形</w:t>
      </w:r>
    </w:p>
    <w:p w14:paraId="3CA8089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（1）合同生效后，勘察人因自身原因要求终止或解除合同；</w:t>
      </w:r>
    </w:p>
    <w:p w14:paraId="6863368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（2）因勘察人原因不能按照合同约定的日期或合同当事人同意顺延的工期提交成果资料；</w:t>
      </w:r>
    </w:p>
    <w:p w14:paraId="140A3D3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（3）因勘察人原因造成成果资料质量达不到合同约定的质量标准；</w:t>
      </w:r>
    </w:p>
    <w:p w14:paraId="3D72F086">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（4）勘察人不履行合同义务或未按约定履行合同义务的其他情形。</w:t>
      </w:r>
    </w:p>
    <w:p w14:paraId="17D7D61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14.2.2 勘察人违约责任</w:t>
      </w:r>
    </w:p>
    <w:p w14:paraId="066461E3">
      <w:pPr>
        <w:kinsoku/>
        <w:overflowPunct/>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kern w:val="0"/>
          <w:sz w:val="24"/>
          <w:szCs w:val="24"/>
        </w:rPr>
        <w:t>合同生效后，勘察人因自身原因要求终止或解除合同，勘察人应双倍返还发包人已支付的定金或勘察人按照专用合同条款约定向发包人支付违约金。</w:t>
      </w:r>
    </w:p>
    <w:p w14:paraId="60F732D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（2）因勘察人原因造成工期延误的，应按专用合同条款约定向发包人支付违约金。</w:t>
      </w:r>
    </w:p>
    <w:p w14:paraId="4A03221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（3）因勘察人原因造成成果资料质量达不到合同约定的质量标准，勘察人应负责无偿给予补充完善使其达到质量合格。因勘察人原因导致工程质量</w:t>
      </w:r>
      <w:r>
        <w:rPr>
          <w:rFonts w:hint="eastAsia" w:ascii="仿宋" w:hAnsi="仿宋" w:eastAsia="仿宋" w:cs="仿宋"/>
          <w:kern w:val="0"/>
          <w:sz w:val="24"/>
          <w:szCs w:val="24"/>
          <w:lang w:eastAsia="zh-CN"/>
        </w:rPr>
        <w:t>安全</w:t>
      </w:r>
      <w:r>
        <w:rPr>
          <w:rFonts w:hint="eastAsia" w:ascii="仿宋" w:hAnsi="仿宋" w:eastAsia="仿宋" w:cs="仿宋"/>
          <w:kern w:val="0"/>
          <w:sz w:val="24"/>
          <w:szCs w:val="24"/>
        </w:rPr>
        <w:t>事故或其他事故时，勘察人除负责采取补救措施外，应通过所投工程勘察责任保险向发包人承担赔偿责任或根据直接经济损失程度按专用合同条款约定向发包人支付赔偿金。</w:t>
      </w:r>
    </w:p>
    <w:p w14:paraId="05909924">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（4）勘察人发生其他违约情形时，勘察人应承担违约责任并赔偿因其违约给发包人造成的损失，双方可在专用合同条款内约定勘察人赔偿发包人损失的计算方法和赔偿金额。</w:t>
      </w:r>
    </w:p>
    <w:p w14:paraId="2F71EB6C">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72" w:name="_Toc457826201"/>
      <w:bookmarkStart w:id="173" w:name="_Toc406150472"/>
      <w:r>
        <w:rPr>
          <w:rFonts w:hint="eastAsia" w:ascii="仿宋" w:hAnsi="仿宋" w:eastAsia="仿宋" w:cs="仿宋"/>
          <w:sz w:val="24"/>
          <w:szCs w:val="24"/>
        </w:rPr>
        <w:t>第15条 索赔</w:t>
      </w:r>
      <w:bookmarkEnd w:id="172"/>
      <w:bookmarkEnd w:id="173"/>
    </w:p>
    <w:p w14:paraId="2011FD91">
      <w:pPr>
        <w:tabs>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15.1 发包人索赔</w:t>
      </w:r>
    </w:p>
    <w:p w14:paraId="33F1FE09">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勘察人未按合同约定履行义务或发生错误以及应由勘察人承担责任的其他情形，造成工期延误及发包人的经济损失，除专用合同条款另有约定外，发包人可按下列程序以书面形式向勘察人索赔：</w:t>
      </w:r>
    </w:p>
    <w:p w14:paraId="7B5415BA">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（1）违约事件发生后7天内，向勘察人发出索赔意向通知；</w:t>
      </w:r>
    </w:p>
    <w:p w14:paraId="215EF98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（2）发出索赔意向通知后14天内，向勘察人提出经济损失的索赔报告及有关资料；</w:t>
      </w:r>
    </w:p>
    <w:p w14:paraId="6767F6CC">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（3）勘察人在收到发包人送交的索赔报告和有关资料或补充索赔理由、证据后，于28天内给予答复；</w:t>
      </w:r>
    </w:p>
    <w:p w14:paraId="7E95A9D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（4）勘察人在收到发包人送交的索赔报告和有关资料后28天内未予答复或未对发包人作进一步要求，视为该项索赔已被认可；</w:t>
      </w:r>
    </w:p>
    <w:p w14:paraId="320174B0">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（5）当该违约事件持续进行时，发包人应阶段性向勘察人发出索赔意向，在违约事件终了后21天内，向勘察人送交索赔的有关资料和最终索赔报告。索赔答复程序与本款第（3）、（4）项约定相同。</w:t>
      </w:r>
    </w:p>
    <w:p w14:paraId="4B915D65">
      <w:pPr>
        <w:tabs>
          <w:tab w:val="left" w:pos="1260"/>
        </w:tabs>
        <w:kinsoku/>
        <w:overflowPunct/>
        <w:topLinePunct w:val="0"/>
        <w:bidi w:val="0"/>
        <w:adjustRightInd w:val="0"/>
        <w:snapToGrid w:val="0"/>
        <w:spacing w:line="360" w:lineRule="auto"/>
        <w:ind w:firstLine="482"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15.2 勘察人索赔</w:t>
      </w:r>
    </w:p>
    <w:p w14:paraId="03379610">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14:paraId="0D7DA76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highlight w:val="yellow"/>
        </w:rPr>
      </w:pPr>
      <w:r>
        <w:rPr>
          <w:rFonts w:hint="eastAsia" w:ascii="仿宋" w:hAnsi="仿宋" w:eastAsia="仿宋" w:cs="仿宋"/>
          <w:kern w:val="0"/>
          <w:sz w:val="24"/>
          <w:szCs w:val="24"/>
        </w:rPr>
        <w:t>（1）违约事件发生后7天内，勘察人可向发包人发出要求其采取有效措施纠正违约行为的通知；发包人收到通知14天内仍不履行合同义务，勘察人有权停止作业，并向发包人发出索赔意向通知。</w:t>
      </w:r>
    </w:p>
    <w:p w14:paraId="2159F6E1">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（2）发出索赔意向通知后14天内，向发包人提出延长工期和（或）补偿经济损失的索赔报告及有关资料；</w:t>
      </w:r>
    </w:p>
    <w:p w14:paraId="44661445">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（3）发包人在收到勘察人送交的索赔报告和有关资料或补充索赔理由、证据后，于28天内给予答复；</w:t>
      </w:r>
    </w:p>
    <w:p w14:paraId="4EEDA45B">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（4）发包人在收到勘察人送交的索赔报告和有关资料后28天内未予答复或未对勘察人作进一步要求，视为该项索赔已被认可；</w:t>
      </w:r>
    </w:p>
    <w:p w14:paraId="19B976BB">
      <w:pPr>
        <w:tabs>
          <w:tab w:val="left" w:pos="1260"/>
        </w:tabs>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（5）当该索赔事件持续进行时，勘察人应阶段性向发包人发出索赔意向，在索赔事件终了后21天内，向发包人送交索赔的有关资料和最终索赔报告。索赔答复程序与本款第（3）、（4）项约定相同。</w:t>
      </w:r>
    </w:p>
    <w:p w14:paraId="004F7F4F">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74" w:name="_Toc406150473"/>
      <w:bookmarkStart w:id="175" w:name="_Toc457826202"/>
      <w:r>
        <w:rPr>
          <w:rFonts w:hint="eastAsia" w:ascii="仿宋" w:hAnsi="仿宋" w:eastAsia="仿宋" w:cs="仿宋"/>
          <w:sz w:val="24"/>
          <w:szCs w:val="24"/>
        </w:rPr>
        <w:t>第16条 争议解决</w:t>
      </w:r>
      <w:bookmarkEnd w:id="174"/>
      <w:bookmarkEnd w:id="175"/>
    </w:p>
    <w:p w14:paraId="3954A762">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76" w:name="_Toc457826203"/>
      <w:bookmarkStart w:id="177" w:name="_Toc406150474"/>
      <w:r>
        <w:rPr>
          <w:rFonts w:hint="eastAsia" w:ascii="仿宋" w:hAnsi="仿宋" w:eastAsia="仿宋" w:cs="仿宋"/>
          <w:kern w:val="0"/>
          <w:sz w:val="24"/>
          <w:szCs w:val="24"/>
        </w:rPr>
        <w:t>16.1 和解</w:t>
      </w:r>
      <w:bookmarkEnd w:id="176"/>
      <w:bookmarkEnd w:id="177"/>
    </w:p>
    <w:p w14:paraId="293D5B98">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因本合同以及与本合同有关事项发生争议的，双方可以就争议自行和解。自行和解达成协议的，经签字并盖章后作为合同补充文件，双方均应遵照执行。</w:t>
      </w:r>
    </w:p>
    <w:p w14:paraId="071AE41C">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78" w:name="_Toc457826204"/>
      <w:bookmarkStart w:id="179" w:name="_Toc406150475"/>
      <w:r>
        <w:rPr>
          <w:rFonts w:hint="eastAsia" w:ascii="仿宋" w:hAnsi="仿宋" w:eastAsia="仿宋" w:cs="仿宋"/>
          <w:kern w:val="0"/>
          <w:sz w:val="24"/>
          <w:szCs w:val="24"/>
        </w:rPr>
        <w:t>16.2 调解</w:t>
      </w:r>
      <w:bookmarkEnd w:id="178"/>
      <w:bookmarkEnd w:id="179"/>
    </w:p>
    <w:p w14:paraId="23C3523D">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因本合同以及与本合同有关事项发生争议的，双方可以就争议请求行政主管部门、行业协会或其他第三方进行调解。调解达成协议的，经签字并盖章后作为合同补充文件，双方均应遵照执行。</w:t>
      </w:r>
      <w:bookmarkStart w:id="180" w:name="_Toc406150476"/>
    </w:p>
    <w:p w14:paraId="33CF61DF">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bookmarkStart w:id="181" w:name="_Toc457826205"/>
      <w:r>
        <w:rPr>
          <w:rFonts w:hint="eastAsia" w:ascii="仿宋" w:hAnsi="仿宋" w:eastAsia="仿宋" w:cs="仿宋"/>
          <w:kern w:val="0"/>
          <w:sz w:val="24"/>
          <w:szCs w:val="24"/>
        </w:rPr>
        <w:t>16.3 仲裁或诉讼</w:t>
      </w:r>
      <w:bookmarkEnd w:id="180"/>
      <w:bookmarkEnd w:id="181"/>
    </w:p>
    <w:p w14:paraId="224C20E3">
      <w:pPr>
        <w:kinsoku/>
        <w:overflowPunct/>
        <w:topLinePunct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因本合同以及与本合同有关事项发生争议的，当事人不愿和解、调解或者和解、调解不成的，双方可以在专用合同条款内约定以下一种方式解决争议：</w:t>
      </w:r>
    </w:p>
    <w:p w14:paraId="44D06E0D">
      <w:pPr>
        <w:kinsoku/>
        <w:overflowPunct/>
        <w:topLinePunct w:val="0"/>
        <w:bidi w:val="0"/>
        <w:adjustRightInd w:val="0"/>
        <w:snapToGrid w:val="0"/>
        <w:spacing w:line="360" w:lineRule="auto"/>
        <w:ind w:left="149" w:leftChars="71"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（1）双方达成仲裁协议，向约定的仲裁委员会申请仲裁；</w:t>
      </w:r>
    </w:p>
    <w:p w14:paraId="2AE2AB42">
      <w:pPr>
        <w:kinsoku/>
        <w:overflowPunct/>
        <w:topLinePunct w:val="0"/>
        <w:bidi w:val="0"/>
        <w:adjustRightInd w:val="0"/>
        <w:snapToGrid w:val="0"/>
        <w:spacing w:line="360" w:lineRule="auto"/>
        <w:ind w:left="149" w:leftChars="71"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（2）向有管辖权的人民法院起诉。</w:t>
      </w:r>
    </w:p>
    <w:p w14:paraId="1B5A35B9">
      <w:pPr>
        <w:keepNext w:val="0"/>
        <w:keepLines w:val="0"/>
        <w:kinsoku/>
        <w:overflowPunct/>
        <w:topLinePunct w:val="0"/>
        <w:bidi w:val="0"/>
        <w:snapToGrid w:val="0"/>
        <w:spacing w:line="360" w:lineRule="auto"/>
        <w:ind w:firstLine="480" w:firstLineChars="200"/>
        <w:textAlignment w:val="auto"/>
        <w:outlineLvl w:val="9"/>
        <w:rPr>
          <w:rFonts w:hint="eastAsia" w:ascii="仿宋" w:hAnsi="仿宋" w:eastAsia="仿宋" w:cs="仿宋"/>
          <w:sz w:val="24"/>
          <w:szCs w:val="24"/>
        </w:rPr>
      </w:pPr>
      <w:bookmarkStart w:id="182" w:name="_Toc457826206"/>
      <w:bookmarkStart w:id="183" w:name="_Toc406150477"/>
      <w:r>
        <w:rPr>
          <w:rFonts w:hint="eastAsia" w:ascii="仿宋" w:hAnsi="仿宋" w:eastAsia="仿宋" w:cs="仿宋"/>
          <w:sz w:val="24"/>
          <w:szCs w:val="24"/>
        </w:rPr>
        <w:t>第17条 补充条款</w:t>
      </w:r>
      <w:bookmarkEnd w:id="182"/>
      <w:bookmarkEnd w:id="183"/>
    </w:p>
    <w:p w14:paraId="648FE3A7">
      <w:pPr>
        <w:kinsoku/>
        <w:overflowPunct/>
        <w:topLinePunct w:val="0"/>
        <w:bidi w:val="0"/>
        <w:adjustRightInd w:val="0"/>
        <w:snapToGrid w:val="0"/>
        <w:spacing w:line="360" w:lineRule="auto"/>
        <w:ind w:firstLine="480" w:firstLineChars="200"/>
        <w:textAlignment w:val="auto"/>
        <w:outlineLvl w:val="9"/>
        <w:rPr>
          <w:rFonts w:ascii="仿宋" w:hAnsi="仿宋" w:eastAsia="仿宋"/>
          <w:color w:val="000000"/>
          <w:kern w:val="0"/>
          <w:sz w:val="24"/>
          <w:highlight w:val="none"/>
        </w:rPr>
      </w:pPr>
      <w:r>
        <w:rPr>
          <w:rFonts w:hint="eastAsia" w:ascii="仿宋" w:hAnsi="仿宋" w:eastAsia="仿宋" w:cs="仿宋"/>
          <w:kern w:val="0"/>
          <w:sz w:val="24"/>
          <w:szCs w:val="24"/>
        </w:rPr>
        <w:t>双方根据有关法律法规规定，结合实际经协商一致，可对通用合同条款内容具体化、补充或修改，并在专用合同条款内约定。</w:t>
      </w:r>
      <w:r>
        <w:rPr>
          <w:rFonts w:ascii="仿宋" w:hAnsi="仿宋" w:eastAsia="仿宋"/>
          <w:color w:val="000000"/>
          <w:kern w:val="0"/>
          <w:sz w:val="24"/>
          <w:highlight w:val="none"/>
        </w:rPr>
        <w:t xml:space="preserve"> </w:t>
      </w:r>
    </w:p>
    <w:p w14:paraId="2FEE9F5F">
      <w:pPr>
        <w:keepNext w:val="0"/>
        <w:keepLines w:val="0"/>
        <w:pageBreakBefore/>
        <w:widowControl w:val="0"/>
        <w:kinsoku/>
        <w:wordWrap/>
        <w:overflowPunct/>
        <w:topLinePunct w:val="0"/>
        <w:autoSpaceDE/>
        <w:autoSpaceDN/>
        <w:bidi w:val="0"/>
        <w:adjustRightInd w:val="0"/>
        <w:snapToGrid w:val="0"/>
        <w:spacing w:line="240" w:lineRule="auto"/>
        <w:jc w:val="center"/>
        <w:textAlignment w:val="auto"/>
        <w:outlineLvl w:val="1"/>
        <w:rPr>
          <w:rFonts w:ascii="仿宋" w:hAnsi="仿宋" w:eastAsia="仿宋"/>
          <w:sz w:val="24"/>
          <w:szCs w:val="24"/>
          <w:highlight w:val="none"/>
        </w:rPr>
      </w:pPr>
      <w:bookmarkStart w:id="184" w:name="_Toc31157"/>
      <w:bookmarkStart w:id="185" w:name="_Toc83634888"/>
      <w:bookmarkStart w:id="186" w:name="_Toc101885630"/>
      <w:bookmarkStart w:id="187" w:name="_Toc351203632"/>
      <w:r>
        <w:rPr>
          <w:rFonts w:ascii="仿宋" w:hAnsi="仿宋" w:eastAsia="仿宋"/>
          <w:b/>
          <w:bCs/>
          <w:sz w:val="28"/>
          <w:szCs w:val="28"/>
          <w:highlight w:val="none"/>
        </w:rPr>
        <w:t xml:space="preserve">第三部分 </w:t>
      </w:r>
      <w:r>
        <w:rPr>
          <w:rFonts w:hint="eastAsia" w:ascii="仿宋" w:hAnsi="仿宋" w:eastAsia="仿宋"/>
          <w:b/>
          <w:bCs/>
          <w:sz w:val="28"/>
          <w:szCs w:val="28"/>
          <w:highlight w:val="none"/>
        </w:rPr>
        <w:t>专用合同条款</w:t>
      </w:r>
      <w:bookmarkEnd w:id="184"/>
      <w:bookmarkEnd w:id="185"/>
      <w:bookmarkEnd w:id="186"/>
    </w:p>
    <w:bookmarkEnd w:id="187"/>
    <w:p w14:paraId="2D687BB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第1条 一般约定</w:t>
      </w:r>
    </w:p>
    <w:p w14:paraId="48E14791">
      <w:pPr>
        <w:keepNext w:val="0"/>
        <w:keepLines w:val="0"/>
        <w:pageBreakBefore w:val="0"/>
        <w:widowControl w:val="0"/>
        <w:tabs>
          <w:tab w:val="left" w:pos="180"/>
        </w:tabs>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188" w:name="_Toc457826209"/>
      <w:bookmarkStart w:id="189" w:name="_Toc406150480"/>
      <w:r>
        <w:rPr>
          <w:rFonts w:hint="eastAsia" w:ascii="仿宋" w:hAnsi="仿宋" w:eastAsia="仿宋" w:cs="仿宋"/>
          <w:kern w:val="0"/>
          <w:sz w:val="24"/>
          <w:szCs w:val="24"/>
        </w:rPr>
        <w:t>1.1 词语定义</w:t>
      </w:r>
      <w:bookmarkEnd w:id="188"/>
    </w:p>
    <w:p w14:paraId="69AFB484">
      <w:pPr>
        <w:pageBreakBefore w:val="0"/>
        <w:widowControl w:val="0"/>
        <w:kinsoku/>
        <w:wordWrap/>
        <w:overflowPunct/>
        <w:topLinePunct w:val="0"/>
        <w:autoSpaceDE/>
        <w:autoSpaceDN/>
        <w:bidi w:val="0"/>
        <w:adjustRightInd w:val="0"/>
        <w:snapToGrid w:val="0"/>
        <w:spacing w:line="360" w:lineRule="auto"/>
        <w:ind w:left="0" w:firstLine="720" w:firstLineChars="300"/>
        <w:textAlignment w:val="auto"/>
        <w:outlineLvl w:val="9"/>
        <w:rPr>
          <w:rFonts w:hint="eastAsia" w:ascii="仿宋" w:hAnsi="仿宋" w:eastAsia="仿宋" w:cs="仿宋"/>
          <w:sz w:val="24"/>
          <w:szCs w:val="24"/>
          <w:lang w:eastAsia="zh-CN"/>
        </w:rPr>
      </w:pP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7D63ADFC">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190" w:name="_Toc457826210"/>
      <w:r>
        <w:rPr>
          <w:rFonts w:hint="eastAsia" w:ascii="仿宋" w:hAnsi="仿宋" w:eastAsia="仿宋" w:cs="仿宋"/>
          <w:kern w:val="0"/>
          <w:sz w:val="24"/>
          <w:szCs w:val="24"/>
        </w:rPr>
        <w:t>1.2 合同文件及优先解释顺序</w:t>
      </w:r>
      <w:bookmarkEnd w:id="190"/>
    </w:p>
    <w:p w14:paraId="0A59C11E">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1.2.1</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合同文件组成及优先解释顺序：</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bookmarkEnd w:id="189"/>
    <w:p w14:paraId="257675B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191" w:name="_Toc457826211"/>
      <w:bookmarkStart w:id="192" w:name="_Toc406150481"/>
      <w:r>
        <w:rPr>
          <w:rFonts w:hint="eastAsia" w:ascii="仿宋" w:hAnsi="仿宋" w:eastAsia="仿宋" w:cs="仿宋"/>
          <w:kern w:val="0"/>
          <w:sz w:val="24"/>
          <w:szCs w:val="24"/>
        </w:rPr>
        <w:t>1.3 适用法律法规、技术标准</w:t>
      </w:r>
      <w:bookmarkEnd w:id="191"/>
      <w:bookmarkEnd w:id="192"/>
    </w:p>
    <w:p w14:paraId="123DC30D">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1.3.1</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适用法律法规</w:t>
      </w:r>
    </w:p>
    <w:p w14:paraId="561F14F8">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需要明示的规范性文件：</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rPr>
        <w:t xml:space="preserve"> </w:t>
      </w:r>
    </w:p>
    <w:p w14:paraId="4A091075">
      <w:pPr>
        <w:pageBreakBefore w:val="0"/>
        <w:widowControl w:val="0"/>
        <w:tabs>
          <w:tab w:val="left" w:pos="126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b/>
          <w:kern w:val="0"/>
          <w:sz w:val="24"/>
          <w:szCs w:val="24"/>
        </w:rPr>
      </w:pPr>
      <w:r>
        <w:rPr>
          <w:rFonts w:hint="eastAsia" w:ascii="仿宋" w:hAnsi="仿宋" w:eastAsia="仿宋" w:cs="仿宋"/>
          <w:kern w:val="0"/>
          <w:sz w:val="24"/>
          <w:szCs w:val="24"/>
        </w:rPr>
        <w:t>1.3.2</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适用技术标准</w:t>
      </w:r>
    </w:p>
    <w:p w14:paraId="5B4E94DA">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rPr>
        <w:t>特别要求：</w:t>
      </w:r>
      <w:r>
        <w:rPr>
          <w:rFonts w:hint="eastAsia" w:ascii="仿宋" w:hAnsi="仿宋" w:eastAsia="仿宋" w:cs="仿宋"/>
          <w:kern w:val="0"/>
          <w:sz w:val="24"/>
          <w:szCs w:val="24"/>
          <w:u w:val="single"/>
          <w:lang w:val="en-US" w:eastAsia="zh-CN"/>
        </w:rPr>
        <w:t xml:space="preserve">   无   。</w:t>
      </w:r>
    </w:p>
    <w:p w14:paraId="3EFFC840">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使用国外技术标准的名称、提供方、原文版、中译本的份数、时间及费用承担</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无   。</w:t>
      </w:r>
    </w:p>
    <w:p w14:paraId="5F52FD5E">
      <w:pPr>
        <w:keepNext w:val="0"/>
        <w:keepLines w:val="0"/>
        <w:pageBreakBefore w:val="0"/>
        <w:widowControl w:val="0"/>
        <w:tabs>
          <w:tab w:val="left" w:pos="180"/>
        </w:tabs>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193" w:name="_Toc457826212"/>
      <w:r>
        <w:rPr>
          <w:rFonts w:hint="eastAsia" w:ascii="仿宋" w:hAnsi="仿宋" w:eastAsia="仿宋" w:cs="仿宋"/>
          <w:kern w:val="0"/>
          <w:sz w:val="24"/>
          <w:szCs w:val="24"/>
        </w:rPr>
        <w:t>1.4 语言文字</w:t>
      </w:r>
      <w:bookmarkEnd w:id="193"/>
    </w:p>
    <w:p w14:paraId="48A3E73D">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本合同除使用汉语外，还使用</w:t>
      </w:r>
      <w:r>
        <w:rPr>
          <w:rFonts w:hint="eastAsia" w:ascii="仿宋" w:hAnsi="仿宋" w:eastAsia="仿宋" w:cs="仿宋"/>
          <w:kern w:val="0"/>
          <w:sz w:val="24"/>
          <w:szCs w:val="24"/>
          <w:u w:val="single"/>
          <w:lang w:val="en-US" w:eastAsia="zh-CN"/>
        </w:rPr>
        <w:t xml:space="preserve">  /  </w:t>
      </w:r>
      <w:r>
        <w:rPr>
          <w:rFonts w:hint="eastAsia" w:ascii="仿宋" w:hAnsi="仿宋" w:eastAsia="仿宋" w:cs="仿宋"/>
          <w:kern w:val="0"/>
          <w:sz w:val="24"/>
          <w:szCs w:val="24"/>
        </w:rPr>
        <w:t>语言文字。</w:t>
      </w:r>
    </w:p>
    <w:p w14:paraId="7B660CB7">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194" w:name="_Toc457826213"/>
      <w:bookmarkStart w:id="195" w:name="_Toc406150483"/>
      <w:r>
        <w:rPr>
          <w:rFonts w:hint="eastAsia" w:ascii="仿宋" w:hAnsi="仿宋" w:eastAsia="仿宋" w:cs="仿宋"/>
          <w:kern w:val="0"/>
          <w:sz w:val="24"/>
          <w:szCs w:val="24"/>
        </w:rPr>
        <w:t>1.5 联络</w:t>
      </w:r>
      <w:bookmarkEnd w:id="194"/>
      <w:bookmarkEnd w:id="195"/>
    </w:p>
    <w:p w14:paraId="03046C83">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color w:val="000000"/>
          <w:kern w:val="0"/>
          <w:sz w:val="24"/>
          <w:szCs w:val="24"/>
        </w:rPr>
        <w:t>1.5.1</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kern w:val="0"/>
          <w:sz w:val="24"/>
          <w:szCs w:val="24"/>
        </w:rPr>
        <w:t>发包人和勘察人应在</w:t>
      </w:r>
      <w:r>
        <w:rPr>
          <w:rFonts w:hint="eastAsia" w:ascii="仿宋" w:hAnsi="仿宋" w:eastAsia="仿宋" w:cs="仿宋"/>
          <w:kern w:val="0"/>
          <w:sz w:val="24"/>
          <w:szCs w:val="24"/>
          <w:u w:val="single"/>
          <w:lang w:val="en-US" w:eastAsia="zh-CN"/>
        </w:rPr>
        <w:t xml:space="preserve">  7  </w:t>
      </w:r>
      <w:r>
        <w:rPr>
          <w:rFonts w:hint="eastAsia" w:ascii="仿宋" w:hAnsi="仿宋" w:eastAsia="仿宋" w:cs="仿宋"/>
          <w:kern w:val="0"/>
          <w:sz w:val="24"/>
          <w:szCs w:val="24"/>
        </w:rPr>
        <w:t>天内将与合同有关的通知、批准、证明、证书、指示、指令、要求、请求、同意、意见、确定和决定等书面函件送达对方当事人。</w:t>
      </w:r>
    </w:p>
    <w:p w14:paraId="6563BB6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1.5.2 发包人接收文件的地点：</w:t>
      </w:r>
      <w:r>
        <w:rPr>
          <w:rFonts w:hint="eastAsia" w:ascii="仿宋" w:hAnsi="仿宋" w:eastAsia="仿宋" w:cs="仿宋"/>
          <w:color w:val="000000"/>
          <w:kern w:val="0"/>
          <w:sz w:val="24"/>
          <w:szCs w:val="24"/>
          <w:u w:val="single"/>
        </w:rPr>
        <w:t>发包人办公地点或施工现场</w:t>
      </w:r>
      <w:r>
        <w:rPr>
          <w:rFonts w:hint="eastAsia" w:ascii="仿宋" w:hAnsi="仿宋" w:eastAsia="仿宋" w:cs="仿宋"/>
          <w:color w:val="000000"/>
          <w:kern w:val="0"/>
          <w:sz w:val="24"/>
          <w:szCs w:val="24"/>
          <w:u w:val="single"/>
          <w:lang w:eastAsia="zh-CN"/>
        </w:rPr>
        <w:t>。</w:t>
      </w:r>
    </w:p>
    <w:p w14:paraId="1F894B09">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default" w:ascii="仿宋" w:hAnsi="仿宋" w:eastAsia="仿宋" w:cs="仿宋"/>
          <w:color w:val="000000"/>
          <w:sz w:val="24"/>
          <w:szCs w:val="24"/>
          <w:u w:val="none"/>
          <w:lang w:val="en-US" w:eastAsia="zh-CN"/>
        </w:rPr>
      </w:pPr>
      <w:r>
        <w:rPr>
          <w:rFonts w:hint="eastAsia" w:ascii="仿宋" w:hAnsi="仿宋" w:eastAsia="仿宋" w:cs="仿宋"/>
          <w:color w:val="000000"/>
          <w:kern w:val="0"/>
          <w:sz w:val="24"/>
          <w:szCs w:val="24"/>
        </w:rPr>
        <w:t>发包人指定的接收人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lang w:val="en-US" w:eastAsia="zh-CN"/>
        </w:rPr>
        <w:t>。</w:t>
      </w:r>
    </w:p>
    <w:p w14:paraId="6D5F6186">
      <w:pPr>
        <w:pageBreakBefore w:val="0"/>
        <w:widowControl w:val="0"/>
        <w:tabs>
          <w:tab w:val="left" w:pos="720"/>
        </w:tabs>
        <w:kinsoku/>
        <w:wordWrap/>
        <w:overflowPunct/>
        <w:topLinePunct w:val="0"/>
        <w:autoSpaceDE/>
        <w:autoSpaceDN/>
        <w:bidi w:val="0"/>
        <w:adjustRightInd w:val="0"/>
        <w:snapToGrid w:val="0"/>
        <w:spacing w:line="360" w:lineRule="auto"/>
        <w:ind w:left="0" w:firstLine="480" w:firstLineChars="200"/>
        <w:textAlignment w:val="auto"/>
        <w:outlineLvl w:val="9"/>
        <w:rPr>
          <w:rFonts w:hint="default" w:ascii="仿宋" w:hAnsi="仿宋" w:eastAsia="仿宋" w:cs="仿宋"/>
          <w:color w:val="000000"/>
          <w:sz w:val="24"/>
          <w:szCs w:val="24"/>
          <w:u w:val="none"/>
          <w:lang w:val="en-US" w:eastAsia="zh-CN"/>
        </w:rPr>
      </w:pPr>
      <w:r>
        <w:rPr>
          <w:rFonts w:hint="eastAsia" w:ascii="仿宋" w:hAnsi="仿宋" w:eastAsia="仿宋" w:cs="仿宋"/>
          <w:color w:val="000000"/>
          <w:kern w:val="0"/>
          <w:sz w:val="24"/>
          <w:szCs w:val="24"/>
        </w:rPr>
        <w:t>发包人指定的联系方式</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lang w:val="en-US" w:eastAsia="zh-CN"/>
        </w:rPr>
        <w:t>。</w:t>
      </w:r>
    </w:p>
    <w:p w14:paraId="67F82104">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default" w:ascii="仿宋" w:hAnsi="仿宋" w:eastAsia="仿宋" w:cs="仿宋"/>
          <w:color w:val="000000"/>
          <w:kern w:val="0"/>
          <w:sz w:val="24"/>
          <w:szCs w:val="24"/>
          <w:u w:val="none"/>
          <w:lang w:val="en-US" w:eastAsia="zh-CN"/>
        </w:rPr>
      </w:pPr>
      <w:r>
        <w:rPr>
          <w:rFonts w:hint="eastAsia" w:ascii="仿宋" w:hAnsi="仿宋" w:eastAsia="仿宋" w:cs="仿宋"/>
          <w:color w:val="000000"/>
          <w:kern w:val="0"/>
          <w:sz w:val="24"/>
          <w:szCs w:val="24"/>
        </w:rPr>
        <w:t>勘察人接收文件的地点：</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lang w:val="en-US" w:eastAsia="zh-CN"/>
        </w:rPr>
        <w:t>。</w:t>
      </w:r>
    </w:p>
    <w:p w14:paraId="12BD77D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default" w:ascii="仿宋" w:hAnsi="仿宋" w:eastAsia="仿宋" w:cs="仿宋"/>
          <w:color w:val="000000"/>
          <w:sz w:val="24"/>
          <w:szCs w:val="24"/>
          <w:u w:val="none"/>
          <w:lang w:val="en-US" w:eastAsia="zh-CN"/>
        </w:rPr>
      </w:pPr>
      <w:r>
        <w:rPr>
          <w:rFonts w:hint="eastAsia" w:ascii="仿宋" w:hAnsi="仿宋" w:eastAsia="仿宋" w:cs="仿宋"/>
          <w:color w:val="000000"/>
          <w:kern w:val="0"/>
          <w:sz w:val="24"/>
          <w:szCs w:val="24"/>
        </w:rPr>
        <w:t>勘察人指定的接收人：</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lang w:val="en-US" w:eastAsia="zh-CN"/>
        </w:rPr>
        <w:t>。</w:t>
      </w:r>
    </w:p>
    <w:p w14:paraId="178175AE">
      <w:pPr>
        <w:pageBreakBefore w:val="0"/>
        <w:widowControl w:val="0"/>
        <w:tabs>
          <w:tab w:val="left" w:pos="720"/>
          <w:tab w:val="left" w:pos="900"/>
        </w:tabs>
        <w:kinsoku/>
        <w:wordWrap/>
        <w:overflowPunct/>
        <w:topLinePunct w:val="0"/>
        <w:autoSpaceDE/>
        <w:autoSpaceDN/>
        <w:bidi w:val="0"/>
        <w:adjustRightInd w:val="0"/>
        <w:snapToGrid w:val="0"/>
        <w:spacing w:line="360" w:lineRule="auto"/>
        <w:ind w:left="0" w:firstLine="480" w:firstLineChars="200"/>
        <w:textAlignment w:val="auto"/>
        <w:outlineLvl w:val="9"/>
        <w:rPr>
          <w:rFonts w:hint="default" w:ascii="仿宋" w:hAnsi="仿宋" w:eastAsia="仿宋" w:cs="仿宋"/>
          <w:b/>
          <w:kern w:val="0"/>
          <w:sz w:val="24"/>
          <w:szCs w:val="24"/>
          <w:u w:val="none"/>
          <w:lang w:val="en-US" w:eastAsia="zh-CN"/>
        </w:rPr>
      </w:pPr>
      <w:r>
        <w:rPr>
          <w:rFonts w:hint="eastAsia" w:ascii="仿宋" w:hAnsi="仿宋" w:eastAsia="仿宋" w:cs="仿宋"/>
          <w:color w:val="000000"/>
          <w:sz w:val="24"/>
          <w:szCs w:val="24"/>
        </w:rPr>
        <w:t>勘察人</w:t>
      </w:r>
      <w:r>
        <w:rPr>
          <w:rFonts w:hint="eastAsia" w:ascii="仿宋" w:hAnsi="仿宋" w:eastAsia="仿宋" w:cs="仿宋"/>
          <w:color w:val="000000"/>
          <w:kern w:val="0"/>
          <w:sz w:val="24"/>
          <w:szCs w:val="24"/>
        </w:rPr>
        <w:t>指定的联系方式：</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none"/>
          <w:lang w:val="en-US" w:eastAsia="zh-CN"/>
        </w:rPr>
        <w:t>。</w:t>
      </w:r>
    </w:p>
    <w:p w14:paraId="7727C01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196" w:name="_Toc457826214"/>
      <w:r>
        <w:rPr>
          <w:rFonts w:hint="eastAsia" w:ascii="仿宋" w:hAnsi="仿宋" w:eastAsia="仿宋" w:cs="仿宋"/>
          <w:kern w:val="0"/>
          <w:sz w:val="24"/>
          <w:szCs w:val="24"/>
        </w:rPr>
        <w:t>1.7 保密</w:t>
      </w:r>
      <w:bookmarkEnd w:id="196"/>
    </w:p>
    <w:p w14:paraId="2BA77BB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合同当事人关于保密的约定：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62AD2CD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FF0000"/>
          <w:sz w:val="24"/>
          <w:szCs w:val="24"/>
        </w:rPr>
      </w:pPr>
      <w:bookmarkStart w:id="197" w:name="_Toc406150484"/>
      <w:bookmarkStart w:id="198" w:name="_Toc457826215"/>
      <w:r>
        <w:rPr>
          <w:rFonts w:hint="eastAsia" w:ascii="仿宋" w:hAnsi="仿宋" w:eastAsia="仿宋" w:cs="仿宋"/>
          <w:sz w:val="24"/>
          <w:szCs w:val="24"/>
        </w:rPr>
        <w:t>第2条 发包人</w:t>
      </w:r>
      <w:bookmarkEnd w:id="197"/>
      <w:bookmarkEnd w:id="198"/>
    </w:p>
    <w:p w14:paraId="5ECCC0D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199" w:name="_Toc406150485"/>
      <w:bookmarkStart w:id="200" w:name="_Toc457826216"/>
      <w:r>
        <w:rPr>
          <w:rFonts w:hint="eastAsia" w:ascii="仿宋" w:hAnsi="仿宋" w:eastAsia="仿宋" w:cs="仿宋"/>
          <w:kern w:val="0"/>
          <w:sz w:val="24"/>
          <w:szCs w:val="24"/>
        </w:rPr>
        <w:t>2.2 发包人义务</w:t>
      </w:r>
      <w:bookmarkEnd w:id="199"/>
      <w:bookmarkEnd w:id="200"/>
    </w:p>
    <w:p w14:paraId="20875D5B">
      <w:pPr>
        <w:pageBreakBefore w:val="0"/>
        <w:widowControl w:val="0"/>
        <w:tabs>
          <w:tab w:val="left" w:pos="126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2.2.2 发包人委托勘察人搜集的资料：</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28721815">
      <w:pPr>
        <w:pageBreakBefore w:val="0"/>
        <w:widowControl w:val="0"/>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2.2.7</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发包人对安全文明施工的特别要求：</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20DC96E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01" w:name="_Toc457826217"/>
      <w:bookmarkStart w:id="202" w:name="_Toc406150486"/>
      <w:r>
        <w:rPr>
          <w:rFonts w:hint="eastAsia" w:ascii="仿宋" w:hAnsi="仿宋" w:eastAsia="仿宋" w:cs="仿宋"/>
          <w:kern w:val="0"/>
          <w:sz w:val="24"/>
          <w:szCs w:val="24"/>
        </w:rPr>
        <w:t>2.3 发包人代表</w:t>
      </w:r>
      <w:bookmarkEnd w:id="201"/>
      <w:bookmarkEnd w:id="202"/>
    </w:p>
    <w:p w14:paraId="1E9EFC54">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default" w:ascii="仿宋" w:hAnsi="仿宋" w:eastAsia="仿宋" w:cs="仿宋"/>
          <w:b/>
          <w:kern w:val="0"/>
          <w:sz w:val="24"/>
          <w:szCs w:val="24"/>
          <w:u w:val="none"/>
          <w:lang w:val="en-US" w:eastAsia="zh-CN"/>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 xml:space="preserve"> 联系方式</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lang w:val="en-US" w:eastAsia="zh-CN"/>
        </w:rPr>
        <w:t>。</w:t>
      </w:r>
    </w:p>
    <w:p w14:paraId="4CFEBC99">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default" w:ascii="仿宋" w:hAnsi="仿宋" w:eastAsia="仿宋" w:cs="仿宋"/>
          <w:kern w:val="0"/>
          <w:sz w:val="24"/>
          <w:szCs w:val="24"/>
          <w:u w:val="none"/>
          <w:lang w:val="en-US" w:eastAsia="zh-CN"/>
        </w:rPr>
      </w:pPr>
      <w:r>
        <w:rPr>
          <w:rFonts w:hint="eastAsia" w:ascii="仿宋" w:hAnsi="仿宋" w:eastAsia="仿宋" w:cs="仿宋"/>
          <w:kern w:val="0"/>
          <w:sz w:val="24"/>
          <w:szCs w:val="24"/>
        </w:rPr>
        <w:t>授权范围</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发包人代表行使本合同所赋予的职权和工作，但涉及勘察成果的确认、勘察费增减、勘察工期调整以及索赔事项的确认等，发包人代表无决定权，应以加盖发包人公章或合同专用章的书面确认文件为准</w:t>
      </w:r>
      <w:r>
        <w:rPr>
          <w:rFonts w:hint="eastAsia" w:ascii="仿宋" w:hAnsi="仿宋" w:eastAsia="仿宋" w:cs="仿宋"/>
          <w:kern w:val="0"/>
          <w:sz w:val="24"/>
          <w:szCs w:val="24"/>
          <w:u w:val="none"/>
          <w:lang w:val="en-US" w:eastAsia="zh-CN"/>
        </w:rPr>
        <w:t>。</w:t>
      </w:r>
    </w:p>
    <w:p w14:paraId="55A2228A">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03" w:name="_Toc406150487"/>
      <w:bookmarkStart w:id="204" w:name="_Toc457826218"/>
      <w:r>
        <w:rPr>
          <w:rFonts w:hint="eastAsia" w:ascii="仿宋" w:hAnsi="仿宋" w:eastAsia="仿宋" w:cs="仿宋"/>
          <w:sz w:val="24"/>
          <w:szCs w:val="24"/>
        </w:rPr>
        <w:t>第3条 勘察人</w:t>
      </w:r>
      <w:bookmarkEnd w:id="203"/>
      <w:bookmarkEnd w:id="204"/>
    </w:p>
    <w:p w14:paraId="0BA7F7C4">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05" w:name="_Toc406150488"/>
      <w:bookmarkStart w:id="206" w:name="_Toc457826219"/>
      <w:r>
        <w:rPr>
          <w:rFonts w:hint="eastAsia" w:ascii="仿宋" w:hAnsi="仿宋" w:eastAsia="仿宋" w:cs="仿宋"/>
          <w:kern w:val="0"/>
          <w:sz w:val="24"/>
          <w:szCs w:val="24"/>
        </w:rPr>
        <w:t>3.1 勘察人权利</w:t>
      </w:r>
      <w:bookmarkEnd w:id="205"/>
      <w:bookmarkEnd w:id="206"/>
    </w:p>
    <w:p w14:paraId="214D88C8">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b/>
          <w:kern w:val="0"/>
          <w:sz w:val="24"/>
          <w:szCs w:val="24"/>
          <w:u w:val="none"/>
          <w:lang w:eastAsia="zh-CN"/>
        </w:rPr>
      </w:pPr>
      <w:r>
        <w:rPr>
          <w:rFonts w:hint="eastAsia" w:ascii="仿宋" w:hAnsi="仿宋" w:eastAsia="仿宋" w:cs="仿宋"/>
          <w:kern w:val="0"/>
          <w:sz w:val="24"/>
          <w:szCs w:val="24"/>
        </w:rPr>
        <w:t>3.1.2 关于分包的约定：</w:t>
      </w:r>
      <w:r>
        <w:rPr>
          <w:rFonts w:hint="eastAsia" w:ascii="仿宋" w:hAnsi="仿宋" w:eastAsia="仿宋" w:cs="仿宋"/>
          <w:kern w:val="0"/>
          <w:sz w:val="24"/>
          <w:szCs w:val="24"/>
          <w:u w:val="single"/>
        </w:rPr>
        <w:t>不允许分包</w:t>
      </w:r>
      <w:r>
        <w:rPr>
          <w:rFonts w:hint="eastAsia" w:ascii="仿宋" w:hAnsi="仿宋" w:eastAsia="仿宋" w:cs="仿宋"/>
          <w:kern w:val="0"/>
          <w:sz w:val="24"/>
          <w:szCs w:val="24"/>
          <w:u w:val="none"/>
          <w:lang w:eastAsia="zh-CN"/>
        </w:rPr>
        <w:t>。</w:t>
      </w:r>
    </w:p>
    <w:p w14:paraId="11D48811">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07" w:name="_Toc457826220"/>
      <w:bookmarkStart w:id="208" w:name="_Toc406150489"/>
      <w:r>
        <w:rPr>
          <w:rFonts w:hint="eastAsia" w:ascii="仿宋" w:hAnsi="仿宋" w:eastAsia="仿宋" w:cs="仿宋"/>
          <w:kern w:val="0"/>
          <w:sz w:val="24"/>
          <w:szCs w:val="24"/>
        </w:rPr>
        <w:t>3.3 勘察人代表</w:t>
      </w:r>
      <w:bookmarkEnd w:id="207"/>
      <w:bookmarkEnd w:id="208"/>
    </w:p>
    <w:p w14:paraId="7781B040">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 xml:space="preserve"> 联系方式</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lang w:val="en-US" w:eastAsia="zh-CN"/>
        </w:rPr>
        <w:t>。</w:t>
      </w:r>
    </w:p>
    <w:p w14:paraId="25B9497A">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default" w:ascii="仿宋" w:hAnsi="仿宋" w:eastAsia="仿宋" w:cs="仿宋"/>
          <w:kern w:val="0"/>
          <w:sz w:val="24"/>
          <w:szCs w:val="24"/>
          <w:u w:val="none"/>
          <w:lang w:val="en-US" w:eastAsia="zh-CN"/>
        </w:rPr>
      </w:pPr>
      <w:r>
        <w:rPr>
          <w:rFonts w:hint="eastAsia" w:ascii="仿宋" w:hAnsi="仿宋" w:eastAsia="仿宋" w:cs="仿宋"/>
          <w:kern w:val="0"/>
          <w:sz w:val="24"/>
          <w:szCs w:val="24"/>
        </w:rPr>
        <w:t>授权范围</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对本项目的勘察工作实施组织管理，依据国家有关法律法规及标准规范及本合同约定履行职责，勘察人的项目负责人签署的与本合同有关的文件，勘察人予以认可</w:t>
      </w:r>
      <w:r>
        <w:rPr>
          <w:rFonts w:hint="eastAsia" w:ascii="仿宋" w:hAnsi="仿宋" w:eastAsia="仿宋" w:cs="仿宋"/>
          <w:kern w:val="0"/>
          <w:sz w:val="24"/>
          <w:szCs w:val="24"/>
          <w:u w:val="none"/>
          <w:lang w:val="en-US" w:eastAsia="zh-CN"/>
        </w:rPr>
        <w:t>。</w:t>
      </w:r>
    </w:p>
    <w:p w14:paraId="46E94CA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000000"/>
          <w:sz w:val="24"/>
          <w:szCs w:val="24"/>
        </w:rPr>
      </w:pPr>
      <w:bookmarkStart w:id="209" w:name="_Toc457826221"/>
      <w:bookmarkStart w:id="210" w:name="_Toc406150490"/>
      <w:r>
        <w:rPr>
          <w:rFonts w:hint="eastAsia" w:ascii="仿宋" w:hAnsi="仿宋" w:eastAsia="仿宋" w:cs="仿宋"/>
          <w:color w:val="000000"/>
          <w:sz w:val="24"/>
          <w:szCs w:val="24"/>
        </w:rPr>
        <w:t>第4条 工期</w:t>
      </w:r>
      <w:bookmarkEnd w:id="209"/>
      <w:bookmarkEnd w:id="210"/>
    </w:p>
    <w:p w14:paraId="30B7E927">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000000"/>
          <w:kern w:val="0"/>
          <w:sz w:val="24"/>
          <w:szCs w:val="24"/>
        </w:rPr>
      </w:pPr>
      <w:bookmarkStart w:id="211" w:name="_Toc406150491"/>
      <w:bookmarkStart w:id="212" w:name="_Toc457826222"/>
      <w:r>
        <w:rPr>
          <w:rFonts w:hint="eastAsia" w:ascii="仿宋" w:hAnsi="仿宋" w:eastAsia="仿宋" w:cs="仿宋"/>
          <w:color w:val="000000"/>
          <w:kern w:val="0"/>
          <w:sz w:val="24"/>
          <w:szCs w:val="24"/>
        </w:rPr>
        <w:t>4.2成果提交日期</w:t>
      </w:r>
      <w:bookmarkEnd w:id="211"/>
      <w:bookmarkEnd w:id="212"/>
    </w:p>
    <w:p w14:paraId="68E247B1">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none"/>
          <w:lang w:eastAsia="zh-CN"/>
        </w:rPr>
      </w:pPr>
      <w:r>
        <w:rPr>
          <w:rFonts w:hint="eastAsia" w:ascii="仿宋" w:hAnsi="仿宋" w:eastAsia="仿宋" w:cs="仿宋"/>
          <w:kern w:val="0"/>
          <w:sz w:val="24"/>
          <w:szCs w:val="24"/>
        </w:rPr>
        <w:t>双方约定工期顺延的其他情况：</w:t>
      </w:r>
      <w:r>
        <w:rPr>
          <w:rFonts w:hint="eastAsia" w:ascii="仿宋" w:hAnsi="仿宋" w:eastAsia="仿宋" w:cs="仿宋"/>
          <w:kern w:val="0"/>
          <w:sz w:val="24"/>
          <w:szCs w:val="24"/>
          <w:u w:val="single"/>
        </w:rPr>
        <w:t>因规划调整、行政命令、恶劣天气等不可抗力因素</w:t>
      </w:r>
      <w:r>
        <w:rPr>
          <w:rFonts w:hint="eastAsia" w:ascii="仿宋" w:hAnsi="仿宋" w:eastAsia="仿宋" w:cs="仿宋"/>
          <w:kern w:val="0"/>
          <w:sz w:val="24"/>
          <w:szCs w:val="24"/>
          <w:u w:val="none"/>
          <w:lang w:eastAsia="zh-CN"/>
        </w:rPr>
        <w:t>。</w:t>
      </w:r>
    </w:p>
    <w:p w14:paraId="6AFA1292">
      <w:pPr>
        <w:keepNext w:val="0"/>
        <w:keepLines w:val="0"/>
        <w:pageBreakBefore w:val="0"/>
        <w:widowControl w:val="0"/>
        <w:tabs>
          <w:tab w:val="left" w:pos="1260"/>
        </w:tabs>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000000"/>
          <w:kern w:val="0"/>
          <w:sz w:val="24"/>
          <w:szCs w:val="24"/>
        </w:rPr>
      </w:pPr>
      <w:bookmarkStart w:id="213" w:name="_Toc457826223"/>
      <w:r>
        <w:rPr>
          <w:rFonts w:hint="eastAsia" w:ascii="仿宋" w:hAnsi="仿宋" w:eastAsia="仿宋" w:cs="仿宋"/>
          <w:color w:val="000000"/>
          <w:kern w:val="0"/>
          <w:sz w:val="24"/>
          <w:szCs w:val="24"/>
        </w:rPr>
        <w:t>4.3 发包人造成的工期延误</w:t>
      </w:r>
      <w:bookmarkEnd w:id="213"/>
    </w:p>
    <w:p w14:paraId="099F8B62">
      <w:pPr>
        <w:pageBreakBefore w:val="0"/>
        <w:widowControl w:val="0"/>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4.3.2</w:t>
      </w:r>
      <w:r>
        <w:rPr>
          <w:rFonts w:hint="eastAsia" w:ascii="仿宋" w:hAnsi="仿宋" w:eastAsia="仿宋" w:cs="仿宋"/>
          <w:kern w:val="0"/>
          <w:sz w:val="24"/>
          <w:szCs w:val="24"/>
          <w:lang w:val="en-US" w:eastAsia="zh-CN"/>
        </w:rPr>
        <w:t xml:space="preserve"> </w:t>
      </w:r>
      <w:r>
        <w:rPr>
          <w:rFonts w:hint="eastAsia" w:ascii="仿宋" w:hAnsi="仿宋" w:eastAsia="仿宋" w:cs="仿宋"/>
          <w:sz w:val="24"/>
          <w:szCs w:val="24"/>
        </w:rPr>
        <w:t>双方就工期顺延确定期限的约定：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188CD5B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000000"/>
          <w:sz w:val="24"/>
          <w:szCs w:val="24"/>
        </w:rPr>
      </w:pPr>
      <w:bookmarkStart w:id="214" w:name="_Toc457826224"/>
      <w:bookmarkStart w:id="215" w:name="_Toc406150493"/>
      <w:r>
        <w:rPr>
          <w:rFonts w:hint="eastAsia" w:ascii="仿宋" w:hAnsi="仿宋" w:eastAsia="仿宋" w:cs="仿宋"/>
          <w:color w:val="000000"/>
          <w:sz w:val="24"/>
          <w:szCs w:val="24"/>
        </w:rPr>
        <w:t>第5条 成果资料</w:t>
      </w:r>
      <w:bookmarkEnd w:id="214"/>
      <w:bookmarkEnd w:id="215"/>
    </w:p>
    <w:p w14:paraId="247A66AB">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000000"/>
          <w:kern w:val="0"/>
          <w:sz w:val="24"/>
          <w:szCs w:val="24"/>
        </w:rPr>
      </w:pPr>
      <w:bookmarkStart w:id="216" w:name="_Toc457826225"/>
      <w:bookmarkStart w:id="217" w:name="_Toc406150494"/>
      <w:r>
        <w:rPr>
          <w:rFonts w:hint="eastAsia" w:ascii="仿宋" w:hAnsi="仿宋" w:eastAsia="仿宋" w:cs="仿宋"/>
          <w:color w:val="000000"/>
          <w:kern w:val="0"/>
          <w:sz w:val="24"/>
          <w:szCs w:val="24"/>
        </w:rPr>
        <w:t>5.2 成果份数</w:t>
      </w:r>
      <w:bookmarkEnd w:id="216"/>
      <w:bookmarkEnd w:id="217"/>
    </w:p>
    <w:p w14:paraId="422973BE">
      <w:pPr>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勘察人应向发包人提交成果资料四份，发包人要求增加的份数为</w:t>
      </w:r>
      <w:r>
        <w:rPr>
          <w:rFonts w:hint="eastAsia" w:ascii="仿宋" w:hAnsi="仿宋" w:eastAsia="仿宋" w:cs="仿宋"/>
          <w:kern w:val="0"/>
          <w:sz w:val="24"/>
          <w:szCs w:val="24"/>
          <w:u w:val="single"/>
          <w:lang w:val="en-US" w:eastAsia="zh-CN"/>
        </w:rPr>
        <w:t xml:space="preserve">   8   </w:t>
      </w:r>
      <w:r>
        <w:rPr>
          <w:rFonts w:hint="eastAsia" w:ascii="仿宋" w:hAnsi="仿宋" w:eastAsia="仿宋" w:cs="仿宋"/>
          <w:kern w:val="0"/>
          <w:sz w:val="24"/>
          <w:szCs w:val="24"/>
        </w:rPr>
        <w:t>份。</w:t>
      </w:r>
    </w:p>
    <w:p w14:paraId="4DF67791">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000000"/>
          <w:kern w:val="0"/>
          <w:sz w:val="24"/>
          <w:szCs w:val="24"/>
        </w:rPr>
      </w:pPr>
      <w:bookmarkStart w:id="218" w:name="_Toc457826226"/>
      <w:r>
        <w:rPr>
          <w:rFonts w:hint="eastAsia" w:ascii="仿宋" w:hAnsi="仿宋" w:eastAsia="仿宋" w:cs="仿宋"/>
          <w:color w:val="000000"/>
          <w:kern w:val="0"/>
          <w:sz w:val="24"/>
          <w:szCs w:val="24"/>
        </w:rPr>
        <w:t>5.4 成果验收</w:t>
      </w:r>
      <w:bookmarkEnd w:id="218"/>
    </w:p>
    <w:p w14:paraId="5613F480">
      <w:pPr>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sz w:val="24"/>
          <w:szCs w:val="24"/>
        </w:rPr>
        <w:t>双方就成果验收期限的约定：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7BCA3B4D">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19" w:name="_Toc406150495"/>
      <w:bookmarkStart w:id="220" w:name="_Toc457826227"/>
      <w:r>
        <w:rPr>
          <w:rFonts w:hint="eastAsia" w:ascii="仿宋" w:hAnsi="仿宋" w:eastAsia="仿宋" w:cs="仿宋"/>
          <w:sz w:val="24"/>
          <w:szCs w:val="24"/>
        </w:rPr>
        <w:t>第6条 后期服务</w:t>
      </w:r>
      <w:bookmarkEnd w:id="219"/>
      <w:bookmarkEnd w:id="220"/>
    </w:p>
    <w:p w14:paraId="1771870A">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21" w:name="_Toc457826228"/>
      <w:bookmarkStart w:id="222" w:name="_Toc406150496"/>
      <w:r>
        <w:rPr>
          <w:rFonts w:hint="eastAsia" w:ascii="仿宋" w:hAnsi="仿宋" w:eastAsia="仿宋" w:cs="仿宋"/>
          <w:kern w:val="0"/>
          <w:sz w:val="24"/>
          <w:szCs w:val="24"/>
        </w:rPr>
        <w:t>6.1 后续技术服务</w:t>
      </w:r>
      <w:bookmarkEnd w:id="221"/>
    </w:p>
    <w:p w14:paraId="5B44ACE5">
      <w:pPr>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none"/>
          <w:lang w:eastAsia="zh-CN"/>
        </w:rPr>
      </w:pPr>
      <w:r>
        <w:rPr>
          <w:rFonts w:hint="eastAsia" w:ascii="仿宋" w:hAnsi="仿宋" w:eastAsia="仿宋" w:cs="仿宋"/>
          <w:kern w:val="0"/>
          <w:sz w:val="24"/>
          <w:szCs w:val="24"/>
        </w:rPr>
        <w:t>后续技术服务内容约定:</w:t>
      </w:r>
      <w:bookmarkEnd w:id="222"/>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包括图纸会审、现场变更处理等技术服务</w:t>
      </w:r>
      <w:r>
        <w:rPr>
          <w:rFonts w:hint="eastAsia" w:ascii="仿宋" w:hAnsi="仿宋" w:eastAsia="仿宋" w:cs="仿宋"/>
          <w:kern w:val="0"/>
          <w:sz w:val="24"/>
          <w:szCs w:val="24"/>
          <w:u w:val="none"/>
          <w:lang w:eastAsia="zh-CN"/>
        </w:rPr>
        <w:t>。</w:t>
      </w:r>
    </w:p>
    <w:p w14:paraId="7A2CED54">
      <w:pPr>
        <w:pageBreakBefore w:val="0"/>
        <w:widowControl w:val="0"/>
        <w:tabs>
          <w:tab w:val="left" w:pos="54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none"/>
          <w:lang w:eastAsia="zh-CN"/>
        </w:rPr>
      </w:pPr>
      <w:r>
        <w:rPr>
          <w:rFonts w:hint="eastAsia" w:ascii="仿宋" w:hAnsi="仿宋" w:eastAsia="仿宋" w:cs="仿宋"/>
          <w:kern w:val="0"/>
          <w:sz w:val="24"/>
          <w:szCs w:val="24"/>
        </w:rPr>
        <w:t>后续技术服务费用约定：</w:t>
      </w:r>
      <w:r>
        <w:rPr>
          <w:rFonts w:hint="eastAsia" w:ascii="仿宋" w:hAnsi="仿宋" w:eastAsia="仿宋" w:cs="仿宋"/>
          <w:kern w:val="0"/>
          <w:sz w:val="24"/>
          <w:szCs w:val="24"/>
          <w:u w:val="single"/>
        </w:rPr>
        <w:t>不另行增加费用</w:t>
      </w:r>
      <w:r>
        <w:rPr>
          <w:rFonts w:hint="eastAsia" w:ascii="仿宋" w:hAnsi="仿宋" w:eastAsia="仿宋" w:cs="仿宋"/>
          <w:kern w:val="0"/>
          <w:sz w:val="24"/>
          <w:szCs w:val="24"/>
          <w:u w:val="none"/>
          <w:lang w:eastAsia="zh-CN"/>
        </w:rPr>
        <w:t>。</w:t>
      </w:r>
    </w:p>
    <w:p w14:paraId="5065CFB0">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none"/>
          <w:lang w:eastAsia="zh-CN"/>
        </w:rPr>
      </w:pPr>
      <w:r>
        <w:rPr>
          <w:rFonts w:hint="eastAsia" w:ascii="仿宋" w:hAnsi="仿宋" w:eastAsia="仿宋" w:cs="仿宋"/>
          <w:kern w:val="0"/>
          <w:sz w:val="24"/>
          <w:szCs w:val="24"/>
        </w:rPr>
        <w:t>后续技术服务时限约定：</w:t>
      </w:r>
      <w:r>
        <w:rPr>
          <w:rFonts w:hint="eastAsia" w:ascii="仿宋" w:hAnsi="仿宋" w:eastAsia="仿宋" w:cs="仿宋"/>
          <w:kern w:val="0"/>
          <w:sz w:val="24"/>
          <w:szCs w:val="24"/>
          <w:u w:val="single"/>
        </w:rPr>
        <w:t>至工程竣工验收</w:t>
      </w:r>
      <w:r>
        <w:rPr>
          <w:rFonts w:hint="eastAsia" w:ascii="仿宋" w:hAnsi="仿宋" w:eastAsia="仿宋" w:cs="仿宋"/>
          <w:kern w:val="0"/>
          <w:sz w:val="24"/>
          <w:szCs w:val="24"/>
          <w:u w:val="none"/>
          <w:lang w:eastAsia="zh-CN"/>
        </w:rPr>
        <w:t>。</w:t>
      </w:r>
    </w:p>
    <w:p w14:paraId="04239C1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23" w:name="_Toc406150497"/>
      <w:bookmarkStart w:id="224" w:name="_Toc457826229"/>
      <w:r>
        <w:rPr>
          <w:rFonts w:hint="eastAsia" w:ascii="仿宋" w:hAnsi="仿宋" w:eastAsia="仿宋" w:cs="仿宋"/>
          <w:sz w:val="24"/>
          <w:szCs w:val="24"/>
        </w:rPr>
        <w:t>第7条 合同价款与支付</w:t>
      </w:r>
      <w:bookmarkEnd w:id="223"/>
      <w:bookmarkEnd w:id="224"/>
    </w:p>
    <w:p w14:paraId="2A169DCE">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25" w:name="_Toc406150498"/>
      <w:bookmarkStart w:id="226" w:name="_Toc457826230"/>
      <w:r>
        <w:rPr>
          <w:rFonts w:hint="eastAsia" w:ascii="仿宋" w:hAnsi="仿宋" w:eastAsia="仿宋" w:cs="仿宋"/>
          <w:kern w:val="0"/>
          <w:sz w:val="24"/>
          <w:szCs w:val="24"/>
        </w:rPr>
        <w:t>7.1 合同价款与调整</w:t>
      </w:r>
      <w:bookmarkEnd w:id="225"/>
      <w:bookmarkEnd w:id="226"/>
    </w:p>
    <w:p w14:paraId="2C262B23">
      <w:pPr>
        <w:pageBreakBefore w:val="0"/>
        <w:widowControl w:val="0"/>
        <w:tabs>
          <w:tab w:val="left" w:pos="90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7.1.1</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双方约定的合同价款调整因素和方法：</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1FDD8A9C">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7.1.2</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本合同价款采用</w:t>
      </w:r>
      <w:r>
        <w:rPr>
          <w:rFonts w:hint="eastAsia" w:ascii="仿宋" w:hAnsi="仿宋" w:eastAsia="仿宋" w:cs="仿宋"/>
          <w:b/>
          <w:kern w:val="0"/>
          <w:sz w:val="24"/>
          <w:szCs w:val="24"/>
          <w:highlight w:val="none"/>
          <w:u w:val="single"/>
          <w:lang w:val="en-US" w:eastAsia="zh-CN"/>
        </w:rPr>
        <w:t xml:space="preserve">  总价合同  </w:t>
      </w:r>
      <w:r>
        <w:rPr>
          <w:rFonts w:hint="eastAsia" w:ascii="仿宋" w:hAnsi="仿宋" w:eastAsia="仿宋" w:cs="仿宋"/>
          <w:kern w:val="0"/>
          <w:sz w:val="24"/>
          <w:szCs w:val="24"/>
          <w:highlight w:val="none"/>
        </w:rPr>
        <w:t>方式确定。</w:t>
      </w:r>
    </w:p>
    <w:p w14:paraId="3254C76F">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none"/>
          <w:u w:val="none"/>
          <w:lang w:eastAsia="zh-CN"/>
        </w:rPr>
      </w:pPr>
      <w:r>
        <w:rPr>
          <w:rFonts w:hint="eastAsia" w:ascii="仿宋" w:hAnsi="仿宋" w:eastAsia="仿宋" w:cs="仿宋"/>
          <w:kern w:val="0"/>
          <w:sz w:val="24"/>
          <w:szCs w:val="24"/>
          <w:highlight w:val="none"/>
        </w:rPr>
        <w:t>（1）采用总价合同，合同价款中包括的风险范围：</w:t>
      </w:r>
      <w:r>
        <w:rPr>
          <w:rFonts w:hint="eastAsia" w:ascii="仿宋" w:hAnsi="仿宋" w:eastAsia="仿宋" w:cs="仿宋"/>
          <w:kern w:val="0"/>
          <w:sz w:val="24"/>
          <w:szCs w:val="24"/>
          <w:highlight w:val="none"/>
          <w:u w:val="single"/>
        </w:rPr>
        <w:t>因变更造成从勘察工作返工或重新勘察</w:t>
      </w:r>
      <w:r>
        <w:rPr>
          <w:rFonts w:hint="eastAsia" w:ascii="仿宋" w:hAnsi="仿宋" w:eastAsia="仿宋" w:cs="仿宋"/>
          <w:kern w:val="0"/>
          <w:sz w:val="24"/>
          <w:szCs w:val="24"/>
          <w:highlight w:val="none"/>
          <w:u w:val="none"/>
          <w:lang w:eastAsia="zh-CN"/>
        </w:rPr>
        <w:t>。</w:t>
      </w:r>
    </w:p>
    <w:p w14:paraId="149044FC">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none"/>
          <w:lang w:eastAsia="zh-CN"/>
        </w:rPr>
      </w:pPr>
      <w:r>
        <w:rPr>
          <w:rFonts w:hint="eastAsia" w:ascii="仿宋" w:hAnsi="仿宋" w:eastAsia="仿宋" w:cs="仿宋"/>
          <w:kern w:val="0"/>
          <w:sz w:val="24"/>
          <w:szCs w:val="24"/>
          <w:highlight w:val="none"/>
        </w:rPr>
        <w:t>风险费用的计算方法：</w:t>
      </w:r>
      <w:r>
        <w:rPr>
          <w:rFonts w:hint="eastAsia" w:ascii="仿宋" w:hAnsi="仿宋" w:eastAsia="仿宋" w:cs="仿宋"/>
          <w:kern w:val="0"/>
          <w:sz w:val="24"/>
          <w:szCs w:val="24"/>
          <w:highlight w:val="none"/>
          <w:u w:val="single"/>
        </w:rPr>
        <w:t>对于已经完成但是未经过审查的成果支付相应勘察费用的50%，已完成成果审查的支付相应勘察费用的80%</w:t>
      </w:r>
      <w:r>
        <w:rPr>
          <w:rFonts w:hint="eastAsia" w:ascii="仿宋" w:hAnsi="仿宋" w:eastAsia="仿宋" w:cs="仿宋"/>
          <w:kern w:val="0"/>
          <w:sz w:val="24"/>
          <w:szCs w:val="24"/>
          <w:highlight w:val="none"/>
          <w:u w:val="none"/>
          <w:lang w:eastAsia="zh-CN"/>
        </w:rPr>
        <w:t>。</w:t>
      </w:r>
    </w:p>
    <w:p w14:paraId="5A1B19A5">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single"/>
          <w:lang w:val="en-US" w:eastAsia="zh-CN"/>
        </w:rPr>
      </w:pPr>
      <w:r>
        <w:rPr>
          <w:rFonts w:hint="eastAsia" w:ascii="仿宋" w:hAnsi="仿宋" w:eastAsia="仿宋" w:cs="仿宋"/>
          <w:kern w:val="0"/>
          <w:sz w:val="24"/>
          <w:szCs w:val="24"/>
        </w:rPr>
        <w:t>风险范围以外合同价款调整因素和方法：</w:t>
      </w:r>
      <w:r>
        <w:rPr>
          <w:rFonts w:hint="eastAsia" w:ascii="仿宋" w:hAnsi="仿宋" w:eastAsia="仿宋" w:cs="仿宋"/>
          <w:kern w:val="0"/>
          <w:sz w:val="24"/>
          <w:szCs w:val="24"/>
          <w:u w:val="single"/>
          <w:lang w:val="en-US" w:eastAsia="zh-CN"/>
        </w:rPr>
        <w:t xml:space="preserve">   无   。</w:t>
      </w:r>
    </w:p>
    <w:p w14:paraId="2538EE3B">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（2）采用单价合同，合同价款中包括的风险范围</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无   。</w:t>
      </w:r>
    </w:p>
    <w:p w14:paraId="63CF977A">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风险范围以外合同单价调整因素和方法</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无   。</w:t>
      </w:r>
    </w:p>
    <w:p w14:paraId="114E25E2">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（3）采用的其他合同价款形式及调整因素和方法</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无   。</w:t>
      </w:r>
    </w:p>
    <w:p w14:paraId="11F79C74">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7.1.3双方</w:t>
      </w:r>
      <w:r>
        <w:rPr>
          <w:rFonts w:hint="eastAsia" w:ascii="仿宋" w:hAnsi="仿宋" w:eastAsia="仿宋" w:cs="仿宋"/>
          <w:sz w:val="24"/>
          <w:szCs w:val="24"/>
        </w:rPr>
        <w:t>就合同价款调整确认期限的约定</w:t>
      </w:r>
      <w:r>
        <w:rPr>
          <w:rFonts w:hint="eastAsia" w:ascii="仿宋" w:hAnsi="仿宋" w:eastAsia="仿宋" w:cs="仿宋"/>
          <w:sz w:val="24"/>
          <w:szCs w:val="24"/>
          <w:lang w:eastAsia="zh-CN"/>
        </w:rPr>
        <w:t>：</w:t>
      </w:r>
      <w:r>
        <w:rPr>
          <w:rFonts w:hint="eastAsia" w:ascii="仿宋" w:hAnsi="仿宋" w:eastAsia="仿宋" w:cs="仿宋"/>
          <w:kern w:val="0"/>
          <w:sz w:val="24"/>
          <w:szCs w:val="24"/>
          <w:u w:val="single"/>
          <w:lang w:val="en-US" w:eastAsia="zh-CN"/>
        </w:rPr>
        <w:t xml:space="preserve">   无   。</w:t>
      </w:r>
    </w:p>
    <w:p w14:paraId="0D48D0B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27" w:name="_Toc457826231"/>
      <w:bookmarkStart w:id="228" w:name="_Toc406150499"/>
      <w:r>
        <w:rPr>
          <w:rFonts w:hint="eastAsia" w:ascii="仿宋" w:hAnsi="仿宋" w:eastAsia="仿宋" w:cs="仿宋"/>
          <w:kern w:val="0"/>
          <w:sz w:val="24"/>
          <w:szCs w:val="24"/>
        </w:rPr>
        <w:t>7.2 定金或预付款</w:t>
      </w:r>
      <w:bookmarkEnd w:id="227"/>
      <w:bookmarkEnd w:id="228"/>
    </w:p>
    <w:p w14:paraId="164D78F9">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u w:val="single"/>
          <w:lang w:val="en-US" w:eastAsia="zh-CN"/>
        </w:rPr>
      </w:pPr>
      <w:r>
        <w:rPr>
          <w:rFonts w:hint="eastAsia" w:ascii="仿宋" w:hAnsi="仿宋" w:eastAsia="仿宋" w:cs="仿宋"/>
          <w:kern w:val="0"/>
          <w:sz w:val="24"/>
          <w:szCs w:val="24"/>
        </w:rPr>
        <w:t>7.2.1发包人向勘察人支付定金金额:</w:t>
      </w:r>
      <w:r>
        <w:rPr>
          <w:rFonts w:hint="eastAsia" w:ascii="仿宋" w:hAnsi="仿宋" w:eastAsia="仿宋" w:cs="仿宋"/>
          <w:kern w:val="0"/>
          <w:sz w:val="24"/>
          <w:szCs w:val="24"/>
          <w:u w:val="single"/>
          <w:lang w:val="en-US" w:eastAsia="zh-CN"/>
        </w:rPr>
        <w:t xml:space="preserve">  无  </w:t>
      </w:r>
      <w:r>
        <w:rPr>
          <w:rFonts w:hint="eastAsia" w:ascii="仿宋" w:hAnsi="仿宋" w:eastAsia="仿宋" w:cs="仿宋"/>
          <w:kern w:val="0"/>
          <w:sz w:val="24"/>
          <w:szCs w:val="24"/>
        </w:rPr>
        <w:t>或预付款的金额：</w:t>
      </w:r>
      <w:r>
        <w:rPr>
          <w:rFonts w:hint="eastAsia" w:ascii="仿宋" w:hAnsi="仿宋" w:eastAsia="仿宋" w:cs="仿宋"/>
          <w:kern w:val="0"/>
          <w:sz w:val="24"/>
          <w:szCs w:val="24"/>
          <w:u w:val="single"/>
          <w:lang w:val="en-US" w:eastAsia="zh-CN"/>
        </w:rPr>
        <w:t xml:space="preserve">   无   。</w:t>
      </w:r>
    </w:p>
    <w:p w14:paraId="09FD2A66">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7.2.2定金或预付款在进度款中的抵扣办法：</w:t>
      </w:r>
      <w:r>
        <w:rPr>
          <w:rFonts w:hint="eastAsia" w:ascii="仿宋" w:hAnsi="仿宋" w:eastAsia="仿宋" w:cs="仿宋"/>
          <w:kern w:val="0"/>
          <w:sz w:val="24"/>
          <w:szCs w:val="24"/>
          <w:u w:val="single"/>
          <w:lang w:val="en-US" w:eastAsia="zh-CN"/>
        </w:rPr>
        <w:t xml:space="preserve">   无   。</w:t>
      </w:r>
    </w:p>
    <w:p w14:paraId="2150F32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29" w:name="_Toc406150500"/>
      <w:bookmarkStart w:id="230" w:name="_Toc457826232"/>
      <w:r>
        <w:rPr>
          <w:rFonts w:hint="eastAsia" w:ascii="仿宋" w:hAnsi="仿宋" w:eastAsia="仿宋" w:cs="仿宋"/>
          <w:kern w:val="0"/>
          <w:sz w:val="24"/>
          <w:szCs w:val="24"/>
        </w:rPr>
        <w:t>7.3 进度款支付</w:t>
      </w:r>
      <w:bookmarkEnd w:id="229"/>
      <w:bookmarkEnd w:id="230"/>
    </w:p>
    <w:p w14:paraId="2AC32371">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yellow"/>
          <w:lang w:eastAsia="zh-CN"/>
        </w:rPr>
      </w:pPr>
      <w:r>
        <w:rPr>
          <w:rFonts w:hint="eastAsia" w:ascii="仿宋" w:hAnsi="仿宋" w:eastAsia="仿宋" w:cs="仿宋"/>
          <w:kern w:val="0"/>
          <w:sz w:val="24"/>
          <w:szCs w:val="24"/>
        </w:rPr>
        <w:t>7.3.1双方约定的进度款支付方式、支付条</w:t>
      </w:r>
      <w:r>
        <w:rPr>
          <w:rFonts w:hint="eastAsia" w:ascii="仿宋" w:hAnsi="仿宋" w:eastAsia="仿宋" w:cs="仿宋"/>
          <w:kern w:val="0"/>
          <w:sz w:val="24"/>
          <w:szCs w:val="24"/>
          <w:highlight w:val="none"/>
        </w:rPr>
        <w:t>件和支付时间</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lang w:eastAsia="zh-CN"/>
        </w:rPr>
        <w:t>勘察人提交全部成果资料后15天内发包人向勘察人支付勘察费的60%;在本工程竣工验收合格后15天内一次付清</w:t>
      </w:r>
      <w:r>
        <w:rPr>
          <w:rFonts w:hint="eastAsia" w:ascii="仿宋" w:hAnsi="仿宋" w:eastAsia="仿宋" w:cs="仿宋"/>
          <w:kern w:val="0"/>
          <w:sz w:val="24"/>
          <w:szCs w:val="24"/>
          <w:highlight w:val="none"/>
          <w:lang w:eastAsia="zh-CN"/>
        </w:rPr>
        <w:t>。</w:t>
      </w:r>
      <w:r>
        <w:rPr>
          <w:rFonts w:hint="eastAsia" w:ascii="仿宋" w:hAnsi="仿宋" w:eastAsia="仿宋" w:cs="仿宋"/>
          <w:b/>
          <w:bCs/>
          <w:kern w:val="0"/>
          <w:sz w:val="24"/>
          <w:szCs w:val="24"/>
          <w:highlight w:val="none"/>
          <w:lang w:eastAsia="zh-CN"/>
        </w:rPr>
        <w:t>（本项目资金来源为申请中央财政支持实施城市更新行动专项资金及区县配套资金，如中央财政支持实施城市更新行动专项资金一年内未申请到位，投标人应考虑项目取消的风险。）</w:t>
      </w:r>
    </w:p>
    <w:p w14:paraId="05BFA6C0">
      <w:pPr>
        <w:keepNext w:val="0"/>
        <w:keepLines w:val="0"/>
        <w:pageBreakBefore w:val="0"/>
        <w:widowControl w:val="0"/>
        <w:tabs>
          <w:tab w:val="left" w:pos="1440"/>
        </w:tabs>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b w:val="0"/>
          <w:kern w:val="0"/>
          <w:sz w:val="24"/>
          <w:szCs w:val="24"/>
        </w:rPr>
      </w:pPr>
      <w:bookmarkStart w:id="231" w:name="_Toc457826233"/>
      <w:r>
        <w:rPr>
          <w:rFonts w:hint="eastAsia" w:ascii="仿宋" w:hAnsi="仿宋" w:eastAsia="仿宋" w:cs="仿宋"/>
          <w:kern w:val="0"/>
          <w:sz w:val="24"/>
          <w:szCs w:val="24"/>
        </w:rPr>
        <w:t>7.4 合同价款结算</w:t>
      </w:r>
      <w:bookmarkEnd w:id="231"/>
    </w:p>
    <w:p w14:paraId="0641B480">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最终合同价款支付的约定：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68FEB387">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32" w:name="_Toc457826234"/>
      <w:bookmarkStart w:id="233" w:name="_Toc406150501"/>
      <w:r>
        <w:rPr>
          <w:rFonts w:hint="eastAsia" w:ascii="仿宋" w:hAnsi="仿宋" w:eastAsia="仿宋" w:cs="仿宋"/>
          <w:sz w:val="24"/>
          <w:szCs w:val="24"/>
        </w:rPr>
        <w:t>第8条 变更与调整</w:t>
      </w:r>
      <w:bookmarkEnd w:id="232"/>
    </w:p>
    <w:p w14:paraId="021B4E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outlineLvl w:val="9"/>
        <w:rPr>
          <w:rFonts w:hint="eastAsia" w:ascii="仿宋" w:hAnsi="仿宋" w:eastAsia="仿宋" w:cs="仿宋"/>
          <w:b/>
          <w:bCs/>
          <w:sz w:val="24"/>
          <w:szCs w:val="24"/>
        </w:rPr>
      </w:pPr>
      <w:bookmarkStart w:id="234" w:name="_Toc457826235"/>
      <w:r>
        <w:rPr>
          <w:rFonts w:hint="eastAsia" w:ascii="仿宋" w:hAnsi="仿宋" w:eastAsia="仿宋" w:cs="仿宋"/>
          <w:b/>
          <w:bCs/>
          <w:kern w:val="0"/>
          <w:sz w:val="24"/>
          <w:szCs w:val="24"/>
        </w:rPr>
        <w:t>8.1  变更范围与确认</w:t>
      </w:r>
      <w:bookmarkEnd w:id="234"/>
    </w:p>
    <w:p w14:paraId="7C41A0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8.1.1 变更范围</w:t>
      </w:r>
    </w:p>
    <w:p w14:paraId="3BCEEE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u w:val="single"/>
          <w:lang w:eastAsia="zh-CN"/>
        </w:rPr>
      </w:pPr>
      <w:r>
        <w:rPr>
          <w:rFonts w:hint="eastAsia" w:ascii="仿宋" w:hAnsi="仿宋" w:eastAsia="仿宋" w:cs="仿宋"/>
          <w:kern w:val="0"/>
          <w:sz w:val="24"/>
          <w:szCs w:val="24"/>
        </w:rPr>
        <w:t>变更范围的其他约定：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203A2D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8.1.2 变更确认</w:t>
      </w:r>
    </w:p>
    <w:p w14:paraId="6887CA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kern w:val="0"/>
          <w:sz w:val="24"/>
          <w:szCs w:val="24"/>
        </w:rPr>
        <w:t>变更提出和确认期限的约定：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648100AB">
      <w:pPr>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仿宋"/>
          <w:kern w:val="0"/>
          <w:sz w:val="24"/>
          <w:szCs w:val="24"/>
        </w:rPr>
      </w:pPr>
      <w:bookmarkStart w:id="235" w:name="_Toc457826236"/>
      <w:r>
        <w:rPr>
          <w:rFonts w:hint="eastAsia" w:ascii="仿宋" w:hAnsi="仿宋" w:eastAsia="仿宋" w:cs="仿宋"/>
          <w:kern w:val="0"/>
          <w:sz w:val="24"/>
          <w:szCs w:val="24"/>
        </w:rPr>
        <w:t>8.2  变更合同价款确定</w:t>
      </w:r>
      <w:bookmarkEnd w:id="235"/>
    </w:p>
    <w:p w14:paraId="1AA18807">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8.2.2 提出变更合同价款报告期限的约定：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r>
        <w:rPr>
          <w:rFonts w:hint="eastAsia" w:ascii="仿宋" w:hAnsi="仿宋" w:eastAsia="仿宋" w:cs="仿宋"/>
          <w:sz w:val="24"/>
          <w:szCs w:val="24"/>
        </w:rPr>
        <w:t xml:space="preserve">                    </w:t>
      </w:r>
    </w:p>
    <w:p w14:paraId="3B63D569">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8.2.3 确认变更合同价款报告时限的约定：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r>
        <w:rPr>
          <w:rFonts w:hint="eastAsia" w:ascii="仿宋" w:hAnsi="仿宋" w:eastAsia="仿宋" w:cs="仿宋"/>
          <w:sz w:val="24"/>
          <w:szCs w:val="24"/>
        </w:rPr>
        <w:t xml:space="preserve">                     </w:t>
      </w:r>
    </w:p>
    <w:p w14:paraId="7A59561C">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仿宋" w:hAnsi="仿宋" w:eastAsia="仿宋" w:cs="仿宋"/>
          <w:sz w:val="24"/>
          <w:szCs w:val="24"/>
        </w:rPr>
      </w:pPr>
      <w:bookmarkStart w:id="236" w:name="_Toc457826237"/>
      <w:r>
        <w:rPr>
          <w:rFonts w:hint="eastAsia" w:ascii="仿宋" w:hAnsi="仿宋" w:eastAsia="仿宋" w:cs="仿宋"/>
          <w:sz w:val="24"/>
          <w:szCs w:val="24"/>
        </w:rPr>
        <w:t>第9条 知识产权</w:t>
      </w:r>
      <w:bookmarkEnd w:id="233"/>
      <w:bookmarkEnd w:id="236"/>
    </w:p>
    <w:p w14:paraId="2D346B8D">
      <w:pPr>
        <w:pageBreakBefore w:val="0"/>
        <w:widowControl w:val="0"/>
        <w:tabs>
          <w:tab w:val="left" w:pos="1260"/>
        </w:tabs>
        <w:kinsoku/>
        <w:wordWrap/>
        <w:overflowPunct/>
        <w:topLinePunct w:val="0"/>
        <w:autoSpaceDE/>
        <w:autoSpaceDN/>
        <w:bidi w:val="0"/>
        <w:adjustRightInd w:val="0"/>
        <w:snapToGrid w:val="0"/>
        <w:spacing w:line="360" w:lineRule="auto"/>
        <w:ind w:left="0" w:firstLine="482" w:firstLineChars="200"/>
        <w:textAlignment w:val="auto"/>
        <w:outlineLvl w:val="9"/>
        <w:rPr>
          <w:rFonts w:hint="eastAsia" w:ascii="仿宋" w:hAnsi="仿宋" w:eastAsia="仿宋" w:cs="仿宋"/>
          <w:b/>
          <w:color w:val="000000"/>
          <w:sz w:val="24"/>
          <w:szCs w:val="24"/>
          <w:u w:val="single"/>
          <w:lang w:eastAsia="zh-CN"/>
        </w:rPr>
      </w:pPr>
      <w:r>
        <w:rPr>
          <w:rFonts w:hint="eastAsia" w:ascii="仿宋" w:hAnsi="仿宋" w:eastAsia="仿宋" w:cs="仿宋"/>
          <w:b/>
          <w:bCs/>
          <w:color w:val="000000"/>
          <w:sz w:val="24"/>
          <w:szCs w:val="24"/>
        </w:rPr>
        <w:t>9.1</w:t>
      </w:r>
      <w:r>
        <w:rPr>
          <w:rFonts w:hint="eastAsia" w:ascii="仿宋" w:hAnsi="仿宋" w:eastAsia="仿宋" w:cs="仿宋"/>
          <w:color w:val="000000"/>
          <w:sz w:val="24"/>
          <w:szCs w:val="24"/>
        </w:rPr>
        <w:t>关于发包人提供给</w:t>
      </w:r>
      <w:r>
        <w:rPr>
          <w:rFonts w:hint="eastAsia" w:ascii="仿宋" w:hAnsi="仿宋" w:eastAsia="仿宋" w:cs="仿宋"/>
          <w:kern w:val="0"/>
          <w:sz w:val="24"/>
          <w:szCs w:val="24"/>
        </w:rPr>
        <w:t>勘察人</w:t>
      </w:r>
      <w:r>
        <w:rPr>
          <w:rFonts w:hint="eastAsia" w:ascii="仿宋" w:hAnsi="仿宋" w:eastAsia="仿宋" w:cs="仿宋"/>
          <w:color w:val="000000"/>
          <w:sz w:val="24"/>
          <w:szCs w:val="24"/>
        </w:rPr>
        <w:t>的图纸、发包人为实施工程自行编制或委托编制的反映发包人要求或其他类似性质的文件的著作权的归属</w:t>
      </w:r>
      <w:r>
        <w:rPr>
          <w:rFonts w:hint="eastAsia" w:ascii="仿宋" w:hAnsi="仿宋" w:eastAsia="仿宋" w:cs="仿宋"/>
          <w:color w:val="000000"/>
          <w:sz w:val="24"/>
          <w:szCs w:val="24"/>
          <w:lang w:eastAsia="zh-CN"/>
        </w:rPr>
        <w:t>：</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7125E578">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b/>
          <w:color w:val="000000"/>
          <w:sz w:val="24"/>
          <w:szCs w:val="24"/>
          <w:lang w:eastAsia="zh-CN"/>
        </w:rPr>
      </w:pPr>
      <w:r>
        <w:rPr>
          <w:rFonts w:hint="eastAsia" w:ascii="仿宋" w:hAnsi="仿宋" w:eastAsia="仿宋" w:cs="仿宋"/>
          <w:color w:val="000000"/>
          <w:sz w:val="24"/>
          <w:szCs w:val="24"/>
        </w:rPr>
        <w:t>关于发包人提供的上述文件的使用限制的要求</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eastAsia="zh-CN"/>
        </w:rPr>
        <w:t>至工程竣工验收。</w:t>
      </w:r>
    </w:p>
    <w:p w14:paraId="16E3FDDC">
      <w:pPr>
        <w:pageBreakBefore w:val="0"/>
        <w:widowControl w:val="0"/>
        <w:kinsoku/>
        <w:wordWrap/>
        <w:overflowPunct/>
        <w:topLinePunct w:val="0"/>
        <w:autoSpaceDE/>
        <w:autoSpaceDN/>
        <w:bidi w:val="0"/>
        <w:adjustRightInd w:val="0"/>
        <w:snapToGrid w:val="0"/>
        <w:spacing w:line="360" w:lineRule="auto"/>
        <w:ind w:left="0" w:firstLine="482"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b/>
          <w:bCs/>
          <w:kern w:val="0"/>
          <w:sz w:val="24"/>
          <w:szCs w:val="24"/>
        </w:rPr>
        <w:t>9.2</w:t>
      </w:r>
      <w:r>
        <w:rPr>
          <w:rFonts w:hint="eastAsia" w:ascii="仿宋" w:hAnsi="仿宋" w:eastAsia="仿宋" w:cs="仿宋"/>
          <w:color w:val="000000"/>
          <w:sz w:val="24"/>
          <w:szCs w:val="24"/>
        </w:rPr>
        <w:t>关于</w:t>
      </w:r>
      <w:r>
        <w:rPr>
          <w:rFonts w:hint="eastAsia" w:ascii="仿宋" w:hAnsi="仿宋" w:eastAsia="仿宋" w:cs="仿宋"/>
          <w:kern w:val="0"/>
          <w:sz w:val="24"/>
          <w:szCs w:val="24"/>
        </w:rPr>
        <w:t>勘察人</w:t>
      </w:r>
      <w:r>
        <w:rPr>
          <w:rFonts w:hint="eastAsia" w:ascii="仿宋" w:hAnsi="仿宋" w:eastAsia="仿宋" w:cs="仿宋"/>
          <w:color w:val="000000"/>
          <w:sz w:val="24"/>
          <w:szCs w:val="24"/>
        </w:rPr>
        <w:t>为实施工程所编制文件的著作权的归属</w:t>
      </w:r>
      <w:r>
        <w:rPr>
          <w:rFonts w:hint="eastAsia" w:ascii="仿宋" w:hAnsi="仿宋" w:eastAsia="仿宋" w:cs="仿宋"/>
          <w:color w:val="000000"/>
          <w:sz w:val="24"/>
          <w:szCs w:val="24"/>
          <w:lang w:eastAsia="zh-CN"/>
        </w:rPr>
        <w:t>：</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66D4F9FF">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color w:val="000000"/>
          <w:sz w:val="24"/>
          <w:szCs w:val="24"/>
        </w:rPr>
        <w:t>关于勘察人提供的上述文件的使用限制的要求</w:t>
      </w:r>
      <w:r>
        <w:rPr>
          <w:rFonts w:hint="eastAsia" w:ascii="仿宋" w:hAnsi="仿宋" w:eastAsia="仿宋" w:cs="仿宋"/>
          <w:color w:val="000000"/>
          <w:sz w:val="24"/>
          <w:szCs w:val="24"/>
          <w:lang w:eastAsia="zh-CN"/>
        </w:rPr>
        <w:t>：</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4FEA25AE">
      <w:pPr>
        <w:pageBreakBefore w:val="0"/>
        <w:widowControl w:val="0"/>
        <w:kinsoku/>
        <w:wordWrap/>
        <w:overflowPunct/>
        <w:topLinePunct w:val="0"/>
        <w:autoSpaceDE/>
        <w:autoSpaceDN/>
        <w:bidi w:val="0"/>
        <w:adjustRightInd w:val="0"/>
        <w:snapToGrid w:val="0"/>
        <w:spacing w:line="360" w:lineRule="auto"/>
        <w:ind w:left="0" w:firstLine="482" w:firstLineChars="200"/>
        <w:jc w:val="left"/>
        <w:textAlignment w:val="auto"/>
        <w:outlineLvl w:val="9"/>
        <w:rPr>
          <w:rFonts w:hint="eastAsia" w:ascii="仿宋" w:hAnsi="仿宋" w:eastAsia="仿宋" w:cs="仿宋"/>
          <w:b/>
          <w:color w:val="000000"/>
          <w:sz w:val="24"/>
          <w:szCs w:val="24"/>
          <w:lang w:eastAsia="zh-CN"/>
        </w:rPr>
      </w:pPr>
      <w:bookmarkStart w:id="237" w:name="_Toc406150503"/>
      <w:r>
        <w:rPr>
          <w:rFonts w:hint="eastAsia" w:ascii="仿宋" w:hAnsi="仿宋" w:eastAsia="仿宋" w:cs="仿宋"/>
          <w:b/>
          <w:kern w:val="0"/>
          <w:sz w:val="24"/>
          <w:szCs w:val="24"/>
        </w:rPr>
        <w:t xml:space="preserve">9.5  </w:t>
      </w:r>
      <w:bookmarkEnd w:id="237"/>
      <w:r>
        <w:rPr>
          <w:rFonts w:hint="eastAsia" w:ascii="仿宋" w:hAnsi="仿宋" w:eastAsia="仿宋" w:cs="仿宋"/>
          <w:color w:val="000000"/>
          <w:sz w:val="24"/>
          <w:szCs w:val="24"/>
        </w:rPr>
        <w:t>勘察人在工作过程中所采用的专利、专有技术、技术秘密的使用费的承担方式</w:t>
      </w:r>
      <w:r>
        <w:rPr>
          <w:rFonts w:hint="eastAsia" w:ascii="仿宋" w:hAnsi="仿宋" w:eastAsia="仿宋" w:cs="仿宋"/>
          <w:color w:val="000000"/>
          <w:sz w:val="24"/>
          <w:szCs w:val="24"/>
          <w:lang w:eastAsia="zh-CN"/>
        </w:rPr>
        <w:t>：</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0C665F54">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38" w:name="_Toc406150504"/>
      <w:bookmarkStart w:id="239" w:name="_Toc457826238"/>
      <w:r>
        <w:rPr>
          <w:rFonts w:hint="eastAsia" w:ascii="仿宋" w:hAnsi="仿宋" w:eastAsia="仿宋" w:cs="仿宋"/>
          <w:sz w:val="24"/>
          <w:szCs w:val="24"/>
        </w:rPr>
        <w:t>第10条 不可抗力</w:t>
      </w:r>
      <w:bookmarkEnd w:id="238"/>
      <w:bookmarkEnd w:id="239"/>
    </w:p>
    <w:p w14:paraId="6DFBA0DF">
      <w:pPr>
        <w:pageBreakBefore w:val="0"/>
        <w:widowControl w:val="0"/>
        <w:kinsoku/>
        <w:wordWrap/>
        <w:overflowPunct/>
        <w:topLinePunct w:val="0"/>
        <w:autoSpaceDE/>
        <w:autoSpaceDN/>
        <w:bidi w:val="0"/>
        <w:adjustRightInd w:val="0"/>
        <w:snapToGrid w:val="0"/>
        <w:spacing w:line="360" w:lineRule="auto"/>
        <w:ind w:left="0" w:firstLine="482" w:firstLineChars="200"/>
        <w:textAlignment w:val="auto"/>
        <w:outlineLvl w:val="9"/>
        <w:rPr>
          <w:rFonts w:hint="eastAsia" w:ascii="仿宋" w:hAnsi="仿宋" w:eastAsia="仿宋" w:cs="仿宋"/>
          <w:b/>
          <w:kern w:val="0"/>
          <w:sz w:val="24"/>
          <w:szCs w:val="24"/>
        </w:rPr>
      </w:pPr>
      <w:bookmarkStart w:id="240" w:name="_Toc457826239"/>
      <w:bookmarkStart w:id="241" w:name="_Toc406150505"/>
      <w:r>
        <w:rPr>
          <w:rFonts w:hint="eastAsia" w:ascii="仿宋" w:hAnsi="仿宋" w:eastAsia="仿宋" w:cs="仿宋"/>
          <w:b/>
          <w:color w:val="000000"/>
          <w:kern w:val="0"/>
          <w:sz w:val="24"/>
          <w:szCs w:val="24"/>
        </w:rPr>
        <w:t>10.1 不可抗力的确认</w:t>
      </w:r>
      <w:bookmarkEnd w:id="240"/>
      <w:bookmarkEnd w:id="241"/>
    </w:p>
    <w:p w14:paraId="328381DB">
      <w:pPr>
        <w:pageBreakBefore w:val="0"/>
        <w:widowControl w:val="0"/>
        <w:tabs>
          <w:tab w:val="left" w:pos="126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10.1.1 双方关于不可抗力的其他约定（如政府临时禁令）</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49EB1451">
      <w:pPr>
        <w:pageBreakBefore w:val="0"/>
        <w:widowControl w:val="0"/>
        <w:kinsoku/>
        <w:wordWrap/>
        <w:overflowPunct/>
        <w:topLinePunct w:val="0"/>
        <w:autoSpaceDE/>
        <w:autoSpaceDN/>
        <w:bidi w:val="0"/>
        <w:adjustRightInd w:val="0"/>
        <w:snapToGrid w:val="0"/>
        <w:spacing w:line="360" w:lineRule="auto"/>
        <w:ind w:left="0" w:firstLine="482" w:firstLineChars="200"/>
        <w:textAlignment w:val="auto"/>
        <w:outlineLvl w:val="9"/>
        <w:rPr>
          <w:rFonts w:hint="eastAsia" w:ascii="仿宋" w:hAnsi="仿宋" w:eastAsia="仿宋" w:cs="仿宋"/>
          <w:b/>
          <w:kern w:val="0"/>
          <w:sz w:val="24"/>
          <w:szCs w:val="24"/>
        </w:rPr>
      </w:pPr>
      <w:bookmarkStart w:id="242" w:name="_Toc457826240"/>
      <w:r>
        <w:rPr>
          <w:rFonts w:hint="eastAsia" w:ascii="仿宋" w:hAnsi="仿宋" w:eastAsia="仿宋" w:cs="仿宋"/>
          <w:b/>
          <w:color w:val="000000"/>
          <w:kern w:val="0"/>
          <w:sz w:val="24"/>
          <w:szCs w:val="24"/>
        </w:rPr>
        <w:t>10.2 不可抗力的通知</w:t>
      </w:r>
      <w:bookmarkEnd w:id="242"/>
    </w:p>
    <w:p w14:paraId="3FC95DF8">
      <w:pPr>
        <w:pageBreakBefore w:val="0"/>
        <w:widowControl w:val="0"/>
        <w:kinsoku/>
        <w:wordWrap/>
        <w:overflowPunct/>
        <w:topLinePunct w:val="0"/>
        <w:autoSpaceDE/>
        <w:autoSpaceDN/>
        <w:bidi w:val="0"/>
        <w:adjustRightInd w:val="0"/>
        <w:snapToGrid w:val="0"/>
        <w:spacing w:line="360" w:lineRule="auto"/>
        <w:ind w:left="479" w:leftChars="228" w:firstLine="0" w:firstLineChars="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10.2.1 不可抗力持续发生，勘察人报告受害损失期限的约定：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730B4FA4">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10.2.2 勘察人向发包人通报受害损失情况及费用期限的约定</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389B6BD8">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color w:val="000000"/>
          <w:sz w:val="24"/>
          <w:szCs w:val="24"/>
        </w:rPr>
      </w:pPr>
      <w:bookmarkStart w:id="243" w:name="_Toc406150506"/>
      <w:bookmarkStart w:id="244" w:name="_Toc457826241"/>
      <w:r>
        <w:rPr>
          <w:rFonts w:hint="eastAsia" w:ascii="仿宋" w:hAnsi="仿宋" w:eastAsia="仿宋" w:cs="仿宋"/>
          <w:color w:val="000000"/>
          <w:sz w:val="24"/>
          <w:szCs w:val="24"/>
        </w:rPr>
        <w:t>第13条 责任与保险</w:t>
      </w:r>
      <w:bookmarkEnd w:id="243"/>
      <w:bookmarkEnd w:id="244"/>
    </w:p>
    <w:p w14:paraId="7C5B65EB">
      <w:pPr>
        <w:pageBreakBefore w:val="0"/>
        <w:widowControl w:val="0"/>
        <w:tabs>
          <w:tab w:val="left" w:pos="1260"/>
        </w:tabs>
        <w:kinsoku/>
        <w:wordWrap/>
        <w:overflowPunct/>
        <w:topLinePunct w:val="0"/>
        <w:autoSpaceDE/>
        <w:autoSpaceDN/>
        <w:bidi w:val="0"/>
        <w:adjustRightInd w:val="0"/>
        <w:snapToGrid w:val="0"/>
        <w:spacing w:line="360" w:lineRule="auto"/>
        <w:ind w:left="0" w:firstLine="482"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b/>
          <w:color w:val="000000"/>
          <w:kern w:val="0"/>
          <w:sz w:val="24"/>
          <w:szCs w:val="24"/>
        </w:rPr>
        <w:t xml:space="preserve">13.2 </w:t>
      </w:r>
      <w:r>
        <w:rPr>
          <w:rFonts w:hint="eastAsia" w:ascii="仿宋" w:hAnsi="仿宋" w:eastAsia="仿宋" w:cs="仿宋"/>
          <w:bCs/>
          <w:color w:val="000000"/>
          <w:kern w:val="0"/>
          <w:sz w:val="24"/>
          <w:szCs w:val="24"/>
        </w:rPr>
        <w:t>工程勘察责任保险的约定：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1C341051">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45" w:name="_Toc406150507"/>
      <w:bookmarkStart w:id="246" w:name="_Toc457826242"/>
      <w:r>
        <w:rPr>
          <w:rFonts w:hint="eastAsia" w:ascii="仿宋" w:hAnsi="仿宋" w:eastAsia="仿宋" w:cs="仿宋"/>
          <w:sz w:val="24"/>
          <w:szCs w:val="24"/>
        </w:rPr>
        <w:t>第14条 违约</w:t>
      </w:r>
      <w:bookmarkEnd w:id="245"/>
      <w:bookmarkEnd w:id="246"/>
    </w:p>
    <w:p w14:paraId="5B9387EE">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47" w:name="_Toc406150508"/>
      <w:bookmarkStart w:id="248" w:name="_Toc457826243"/>
      <w:r>
        <w:rPr>
          <w:rFonts w:hint="eastAsia" w:ascii="仿宋" w:hAnsi="仿宋" w:eastAsia="仿宋" w:cs="仿宋"/>
          <w:kern w:val="0"/>
          <w:sz w:val="24"/>
          <w:szCs w:val="24"/>
        </w:rPr>
        <w:t>14.1 发包人违约</w:t>
      </w:r>
      <w:bookmarkEnd w:id="247"/>
      <w:bookmarkEnd w:id="248"/>
    </w:p>
    <w:p w14:paraId="376208B6">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14.1.2 发包人违约责任</w:t>
      </w:r>
    </w:p>
    <w:p w14:paraId="66306B2E">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（1）发包人支付勘察人的违约金：</w:t>
      </w:r>
      <w:r>
        <w:rPr>
          <w:rFonts w:hint="eastAsia" w:ascii="仿宋" w:hAnsi="仿宋" w:eastAsia="仿宋" w:cs="仿宋"/>
          <w:kern w:val="0"/>
          <w:sz w:val="24"/>
          <w:szCs w:val="24"/>
          <w:u w:val="single"/>
          <w:lang w:val="en-US" w:eastAsia="zh-CN"/>
        </w:rPr>
        <w:t xml:space="preserve">   无   。</w:t>
      </w:r>
    </w:p>
    <w:p w14:paraId="093A55D9">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（2）发包人发生其他违约情形应承担的违约责任</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无   。</w:t>
      </w:r>
    </w:p>
    <w:p w14:paraId="7AFD39C4">
      <w:pPr>
        <w:pageBreakBefore w:val="0"/>
        <w:widowControl w:val="0"/>
        <w:kinsoku/>
        <w:wordWrap/>
        <w:overflowPunct/>
        <w:topLinePunct w:val="0"/>
        <w:autoSpaceDE/>
        <w:autoSpaceDN/>
        <w:bidi w:val="0"/>
        <w:adjustRightInd w:val="0"/>
        <w:snapToGrid w:val="0"/>
        <w:spacing w:line="360" w:lineRule="auto"/>
        <w:ind w:left="0" w:firstLine="482" w:firstLineChars="200"/>
        <w:jc w:val="left"/>
        <w:textAlignment w:val="auto"/>
        <w:outlineLvl w:val="9"/>
        <w:rPr>
          <w:rFonts w:hint="eastAsia" w:ascii="仿宋" w:hAnsi="仿宋" w:eastAsia="仿宋" w:cs="仿宋"/>
          <w:b/>
          <w:kern w:val="0"/>
          <w:sz w:val="24"/>
          <w:szCs w:val="24"/>
        </w:rPr>
      </w:pPr>
      <w:bookmarkStart w:id="249" w:name="_Toc406150509"/>
      <w:bookmarkStart w:id="250" w:name="_Toc457826244"/>
      <w:r>
        <w:rPr>
          <w:rFonts w:hint="eastAsia" w:ascii="仿宋" w:hAnsi="仿宋" w:eastAsia="仿宋" w:cs="仿宋"/>
          <w:b/>
          <w:kern w:val="0"/>
          <w:sz w:val="24"/>
          <w:szCs w:val="24"/>
        </w:rPr>
        <w:t>14.2 勘察人违约</w:t>
      </w:r>
      <w:bookmarkEnd w:id="249"/>
      <w:bookmarkEnd w:id="250"/>
    </w:p>
    <w:p w14:paraId="292F3F40">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14.2.2勘察人违约责任</w:t>
      </w:r>
    </w:p>
    <w:p w14:paraId="7952C342">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none"/>
          <w:u w:val="none"/>
          <w:lang w:eastAsia="zh-CN"/>
        </w:rPr>
      </w:pPr>
      <w:r>
        <w:rPr>
          <w:rFonts w:hint="eastAsia" w:ascii="仿宋" w:hAnsi="仿宋" w:eastAsia="仿宋" w:cs="仿宋"/>
          <w:kern w:val="0"/>
          <w:sz w:val="24"/>
          <w:szCs w:val="24"/>
          <w:highlight w:val="none"/>
        </w:rPr>
        <w:t>（1）勘察人支付发包人的违约金：</w:t>
      </w:r>
      <w:r>
        <w:rPr>
          <w:rFonts w:hint="eastAsia" w:ascii="仿宋" w:hAnsi="仿宋" w:eastAsia="仿宋" w:cs="仿宋"/>
          <w:kern w:val="0"/>
          <w:sz w:val="24"/>
          <w:szCs w:val="24"/>
          <w:highlight w:val="none"/>
          <w:u w:val="single"/>
        </w:rPr>
        <w:t>合同价10%</w:t>
      </w:r>
      <w:r>
        <w:rPr>
          <w:rFonts w:hint="eastAsia" w:ascii="仿宋" w:hAnsi="仿宋" w:eastAsia="仿宋" w:cs="仿宋"/>
          <w:kern w:val="0"/>
          <w:sz w:val="24"/>
          <w:szCs w:val="24"/>
          <w:highlight w:val="none"/>
          <w:u w:val="none"/>
          <w:lang w:eastAsia="zh-CN"/>
        </w:rPr>
        <w:t>。</w:t>
      </w:r>
    </w:p>
    <w:p w14:paraId="0AF7F7B7">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none"/>
          <w:u w:val="none"/>
          <w:lang w:eastAsia="zh-CN"/>
        </w:rPr>
      </w:pPr>
      <w:r>
        <w:rPr>
          <w:rFonts w:hint="eastAsia" w:ascii="仿宋" w:hAnsi="仿宋" w:eastAsia="仿宋" w:cs="仿宋"/>
          <w:kern w:val="0"/>
          <w:sz w:val="24"/>
          <w:szCs w:val="24"/>
          <w:highlight w:val="none"/>
        </w:rPr>
        <w:t>（2）勘察人造成工期延误应承担的违约责任：</w:t>
      </w:r>
      <w:r>
        <w:rPr>
          <w:rFonts w:hint="eastAsia" w:ascii="仿宋" w:hAnsi="仿宋" w:eastAsia="仿宋" w:cs="仿宋"/>
          <w:kern w:val="0"/>
          <w:sz w:val="24"/>
          <w:szCs w:val="24"/>
          <w:highlight w:val="none"/>
          <w:u w:val="single"/>
        </w:rPr>
        <w:t>合同价10%</w:t>
      </w:r>
      <w:r>
        <w:rPr>
          <w:rFonts w:hint="eastAsia" w:ascii="仿宋" w:hAnsi="仿宋" w:eastAsia="仿宋" w:cs="仿宋"/>
          <w:kern w:val="0"/>
          <w:sz w:val="24"/>
          <w:szCs w:val="24"/>
          <w:highlight w:val="none"/>
          <w:u w:val="none"/>
          <w:lang w:eastAsia="zh-CN"/>
        </w:rPr>
        <w:t>。</w:t>
      </w:r>
    </w:p>
    <w:p w14:paraId="7FB24D5F">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none"/>
          <w:u w:val="none"/>
          <w:lang w:eastAsia="zh-CN"/>
        </w:rPr>
      </w:pPr>
      <w:r>
        <w:rPr>
          <w:rFonts w:hint="eastAsia" w:ascii="仿宋" w:hAnsi="仿宋" w:eastAsia="仿宋" w:cs="仿宋"/>
          <w:kern w:val="0"/>
          <w:sz w:val="24"/>
          <w:szCs w:val="24"/>
          <w:highlight w:val="none"/>
        </w:rPr>
        <w:t>（3）因勘察人原因导致工程质量</w:t>
      </w:r>
      <w:r>
        <w:rPr>
          <w:rFonts w:hint="eastAsia" w:ascii="仿宋" w:hAnsi="仿宋" w:eastAsia="仿宋" w:cs="仿宋"/>
          <w:kern w:val="0"/>
          <w:sz w:val="24"/>
          <w:szCs w:val="24"/>
          <w:highlight w:val="none"/>
          <w:lang w:eastAsia="zh-CN"/>
        </w:rPr>
        <w:t>安全</w:t>
      </w:r>
      <w:r>
        <w:rPr>
          <w:rFonts w:hint="eastAsia" w:ascii="仿宋" w:hAnsi="仿宋" w:eastAsia="仿宋" w:cs="仿宋"/>
          <w:kern w:val="0"/>
          <w:sz w:val="24"/>
          <w:szCs w:val="24"/>
          <w:highlight w:val="none"/>
        </w:rPr>
        <w:t>事故或其他事故时的赔偿金上限</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lang w:eastAsia="zh-CN"/>
        </w:rPr>
        <w:t>按照实际损失赔偿</w:t>
      </w:r>
      <w:r>
        <w:rPr>
          <w:rFonts w:hint="eastAsia" w:ascii="仿宋" w:hAnsi="仿宋" w:eastAsia="仿宋" w:cs="仿宋"/>
          <w:kern w:val="0"/>
          <w:sz w:val="24"/>
          <w:szCs w:val="24"/>
          <w:highlight w:val="none"/>
          <w:u w:val="none"/>
          <w:lang w:eastAsia="zh-CN"/>
        </w:rPr>
        <w:t>。</w:t>
      </w:r>
    </w:p>
    <w:p w14:paraId="5DD47F5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b w:val="0"/>
          <w:bCs/>
          <w:kern w:val="0"/>
          <w:sz w:val="24"/>
          <w:szCs w:val="24"/>
          <w:highlight w:val="none"/>
          <w:u w:val="none"/>
          <w:lang w:eastAsia="zh-CN"/>
        </w:rPr>
      </w:pPr>
      <w:r>
        <w:rPr>
          <w:rFonts w:hint="eastAsia" w:ascii="仿宋" w:hAnsi="仿宋" w:eastAsia="仿宋" w:cs="仿宋"/>
          <w:kern w:val="0"/>
          <w:sz w:val="24"/>
          <w:szCs w:val="24"/>
          <w:highlight w:val="none"/>
        </w:rPr>
        <w:t>（4）勘察人发生其他违约情形应承担的违约责任：</w:t>
      </w:r>
      <w:bookmarkStart w:id="251" w:name="_Toc457826245"/>
      <w:bookmarkStart w:id="252" w:name="_Toc406150510"/>
      <w:r>
        <w:rPr>
          <w:rFonts w:hint="eastAsia" w:ascii="仿宋" w:hAnsi="仿宋" w:eastAsia="仿宋" w:cs="仿宋"/>
          <w:b w:val="0"/>
          <w:bCs/>
          <w:kern w:val="0"/>
          <w:sz w:val="24"/>
          <w:szCs w:val="24"/>
          <w:highlight w:val="none"/>
          <w:u w:val="single"/>
        </w:rPr>
        <w:t>如合同履行过程中，勘察人擅自更换合同约定的人员，必须承担合同价20%且不低于2万元的违约金</w:t>
      </w:r>
      <w:r>
        <w:rPr>
          <w:rFonts w:hint="eastAsia" w:ascii="仿宋" w:hAnsi="仿宋" w:eastAsia="仿宋" w:cs="仿宋"/>
          <w:b w:val="0"/>
          <w:bCs/>
          <w:kern w:val="0"/>
          <w:sz w:val="24"/>
          <w:szCs w:val="24"/>
          <w:highlight w:val="none"/>
          <w:u w:val="none"/>
          <w:lang w:eastAsia="zh-CN"/>
        </w:rPr>
        <w:t>。</w:t>
      </w:r>
    </w:p>
    <w:p w14:paraId="4B235683">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u w:val="single"/>
        </w:rPr>
        <w:t>若勘察人擅自分包(法律允许范围内的劳务分包除外)，甲方有权解除合同，勘察人应支付合同价20%的违约金，并赔偿甲方因此造成的损失</w:t>
      </w:r>
      <w:r>
        <w:rPr>
          <w:rFonts w:hint="eastAsia" w:ascii="仿宋" w:hAnsi="仿宋" w:eastAsia="仿宋" w:cs="仿宋"/>
          <w:sz w:val="24"/>
          <w:szCs w:val="24"/>
        </w:rPr>
        <w:t>。</w:t>
      </w:r>
    </w:p>
    <w:p w14:paraId="56480E6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第15条 索赔</w:t>
      </w:r>
      <w:bookmarkEnd w:id="251"/>
    </w:p>
    <w:p w14:paraId="1DC5427F">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53" w:name="_Toc457826246"/>
      <w:r>
        <w:rPr>
          <w:rFonts w:hint="eastAsia" w:ascii="仿宋" w:hAnsi="仿宋" w:eastAsia="仿宋" w:cs="仿宋"/>
          <w:kern w:val="0"/>
          <w:sz w:val="24"/>
          <w:szCs w:val="24"/>
        </w:rPr>
        <w:t>15.1 发包人索赔</w:t>
      </w:r>
      <w:bookmarkEnd w:id="253"/>
    </w:p>
    <w:p w14:paraId="67F8832C">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u w:val="single"/>
        </w:rPr>
      </w:pPr>
      <w:r>
        <w:rPr>
          <w:rFonts w:hint="eastAsia" w:ascii="仿宋" w:hAnsi="仿宋" w:eastAsia="仿宋" w:cs="仿宋"/>
          <w:kern w:val="0"/>
          <w:sz w:val="24"/>
          <w:szCs w:val="24"/>
        </w:rPr>
        <w:t>索赔程序和期限的约定：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452CC1DE">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54" w:name="_Toc457826247"/>
      <w:r>
        <w:rPr>
          <w:rFonts w:hint="eastAsia" w:ascii="仿宋" w:hAnsi="仿宋" w:eastAsia="仿宋" w:cs="仿宋"/>
          <w:kern w:val="0"/>
          <w:sz w:val="24"/>
          <w:szCs w:val="24"/>
        </w:rPr>
        <w:t>15.2 勘察人索赔</w:t>
      </w:r>
      <w:bookmarkEnd w:id="254"/>
    </w:p>
    <w:p w14:paraId="08D42A56">
      <w:pPr>
        <w:pageBreakBefore w:val="0"/>
        <w:widowControl w:val="0"/>
        <w:tabs>
          <w:tab w:val="left" w:pos="126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sz w:val="24"/>
          <w:szCs w:val="24"/>
          <w:u w:val="single"/>
        </w:rPr>
      </w:pPr>
      <w:r>
        <w:rPr>
          <w:rFonts w:hint="eastAsia" w:ascii="仿宋" w:hAnsi="仿宋" w:eastAsia="仿宋" w:cs="仿宋"/>
          <w:kern w:val="0"/>
          <w:sz w:val="24"/>
          <w:szCs w:val="24"/>
        </w:rPr>
        <w:t>索赔程序和期限的约定：</w:t>
      </w:r>
      <w:r>
        <w:rPr>
          <w:rFonts w:hint="eastAsia" w:ascii="仿宋" w:hAnsi="仿宋" w:eastAsia="仿宋" w:cs="仿宋"/>
          <w:kern w:val="0"/>
          <w:sz w:val="24"/>
          <w:szCs w:val="24"/>
          <w:u w:val="single"/>
        </w:rPr>
        <w:t>执行通用条款</w:t>
      </w:r>
      <w:r>
        <w:rPr>
          <w:rFonts w:hint="eastAsia" w:ascii="仿宋" w:hAnsi="仿宋" w:eastAsia="仿宋" w:cs="仿宋"/>
          <w:kern w:val="0"/>
          <w:sz w:val="24"/>
          <w:szCs w:val="24"/>
          <w:u w:val="single"/>
          <w:lang w:eastAsia="zh-CN"/>
        </w:rPr>
        <w:t>。</w:t>
      </w:r>
    </w:p>
    <w:p w14:paraId="225CC9E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55" w:name="_Toc457826248"/>
      <w:r>
        <w:rPr>
          <w:rFonts w:hint="eastAsia" w:ascii="仿宋" w:hAnsi="仿宋" w:eastAsia="仿宋" w:cs="仿宋"/>
          <w:sz w:val="24"/>
          <w:szCs w:val="24"/>
        </w:rPr>
        <w:t>第16条 争议解决</w:t>
      </w:r>
      <w:bookmarkEnd w:id="252"/>
      <w:bookmarkEnd w:id="255"/>
    </w:p>
    <w:p w14:paraId="5238E86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kern w:val="0"/>
          <w:sz w:val="24"/>
          <w:szCs w:val="24"/>
        </w:rPr>
      </w:pPr>
      <w:bookmarkStart w:id="256" w:name="_Toc457826249"/>
      <w:bookmarkStart w:id="257" w:name="_Toc406150511"/>
      <w:r>
        <w:rPr>
          <w:rFonts w:hint="eastAsia" w:ascii="仿宋" w:hAnsi="仿宋" w:eastAsia="仿宋" w:cs="仿宋"/>
          <w:kern w:val="0"/>
          <w:sz w:val="24"/>
          <w:szCs w:val="24"/>
        </w:rPr>
        <w:t>16.3 仲裁或诉讼</w:t>
      </w:r>
      <w:bookmarkEnd w:id="256"/>
      <w:bookmarkEnd w:id="257"/>
    </w:p>
    <w:p w14:paraId="0C1065A2">
      <w:pPr>
        <w:pageBreakBefore w:val="0"/>
        <w:widowControl w:val="0"/>
        <w:tabs>
          <w:tab w:val="left" w:pos="126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双方约定在履行合同过程中产生争议时，采取下列第</w:t>
      </w:r>
      <w:r>
        <w:rPr>
          <w:rFonts w:hint="eastAsia" w:ascii="仿宋" w:hAnsi="仿宋" w:eastAsia="仿宋" w:cs="仿宋"/>
          <w:kern w:val="0"/>
          <w:sz w:val="24"/>
          <w:szCs w:val="24"/>
          <w:u w:val="single"/>
          <w:lang w:val="en-US" w:eastAsia="zh-CN"/>
        </w:rPr>
        <w:t xml:space="preserve">  2  </w:t>
      </w:r>
      <w:r>
        <w:rPr>
          <w:rFonts w:hint="eastAsia" w:ascii="仿宋" w:hAnsi="仿宋" w:eastAsia="仿宋" w:cs="仿宋"/>
          <w:kern w:val="0"/>
          <w:sz w:val="24"/>
          <w:szCs w:val="24"/>
        </w:rPr>
        <w:t>种方式解决：</w:t>
      </w:r>
    </w:p>
    <w:p w14:paraId="450B36E8">
      <w:pPr>
        <w:pageBreakBefore w:val="0"/>
        <w:widowControl w:val="0"/>
        <w:tabs>
          <w:tab w:val="left" w:pos="126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（1）向</w:t>
      </w:r>
      <w:r>
        <w:rPr>
          <w:rFonts w:hint="eastAsia" w:ascii="仿宋" w:hAnsi="仿宋" w:eastAsia="仿宋" w:cs="仿宋"/>
          <w:b/>
          <w:kern w:val="0"/>
          <w:sz w:val="24"/>
          <w:szCs w:val="24"/>
        </w:rPr>
        <w:t>________</w:t>
      </w:r>
      <w:r>
        <w:rPr>
          <w:rFonts w:hint="eastAsia" w:ascii="仿宋" w:hAnsi="仿宋" w:eastAsia="仿宋" w:cs="仿宋"/>
          <w:kern w:val="0"/>
          <w:sz w:val="24"/>
          <w:szCs w:val="24"/>
        </w:rPr>
        <w:t>仲裁委员会提请仲裁；</w:t>
      </w:r>
    </w:p>
    <w:p w14:paraId="47679516">
      <w:pPr>
        <w:pageBreakBefore w:val="0"/>
        <w:widowControl w:val="0"/>
        <w:tabs>
          <w:tab w:val="left" w:pos="1260"/>
        </w:tabs>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仿宋" w:hAnsi="仿宋" w:eastAsia="仿宋" w:cs="仿宋"/>
          <w:kern w:val="0"/>
          <w:sz w:val="24"/>
          <w:szCs w:val="24"/>
          <w:highlight w:val="yellow"/>
        </w:rPr>
      </w:pPr>
      <w:r>
        <w:rPr>
          <w:rFonts w:hint="eastAsia" w:ascii="仿宋" w:hAnsi="仿宋" w:eastAsia="仿宋" w:cs="仿宋"/>
          <w:kern w:val="0"/>
          <w:sz w:val="24"/>
          <w:szCs w:val="24"/>
          <w:highlight w:val="none"/>
        </w:rPr>
        <w:t>（2）向</w:t>
      </w:r>
      <w:r>
        <w:rPr>
          <w:rFonts w:hint="eastAsia" w:ascii="仿宋" w:hAnsi="仿宋" w:eastAsia="仿宋" w:cs="仿宋"/>
          <w:kern w:val="0"/>
          <w:sz w:val="24"/>
          <w:szCs w:val="24"/>
          <w:highlight w:val="none"/>
          <w:u w:val="single"/>
        </w:rPr>
        <w:t>发包人住所地有管辖权的</w:t>
      </w:r>
      <w:r>
        <w:rPr>
          <w:rFonts w:hint="eastAsia" w:ascii="仿宋" w:hAnsi="仿宋" w:eastAsia="仿宋" w:cs="仿宋"/>
          <w:kern w:val="0"/>
          <w:sz w:val="24"/>
          <w:szCs w:val="24"/>
          <w:highlight w:val="none"/>
        </w:rPr>
        <w:t>人民法院提起诉讼。</w:t>
      </w:r>
    </w:p>
    <w:p w14:paraId="7729470A">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firstLine="480" w:firstLineChars="200"/>
        <w:textAlignment w:val="auto"/>
        <w:outlineLvl w:val="9"/>
        <w:rPr>
          <w:rFonts w:hint="eastAsia" w:ascii="仿宋" w:hAnsi="仿宋" w:eastAsia="仿宋" w:cs="仿宋"/>
          <w:sz w:val="24"/>
          <w:szCs w:val="24"/>
        </w:rPr>
      </w:pPr>
      <w:bookmarkStart w:id="258" w:name="_Toc457826250"/>
      <w:bookmarkStart w:id="259" w:name="_Toc406150512"/>
      <w:r>
        <w:rPr>
          <w:rFonts w:hint="eastAsia" w:ascii="仿宋" w:hAnsi="仿宋" w:eastAsia="仿宋" w:cs="仿宋"/>
          <w:sz w:val="24"/>
          <w:szCs w:val="24"/>
        </w:rPr>
        <w:t>第17条 补充条款</w:t>
      </w:r>
      <w:bookmarkEnd w:id="258"/>
      <w:bookmarkEnd w:id="259"/>
    </w:p>
    <w:p w14:paraId="170D657B">
      <w:pPr>
        <w:kinsoku/>
        <w:topLinePunct w:val="0"/>
        <w:bidi w:val="0"/>
        <w:spacing w:line="360" w:lineRule="auto"/>
        <w:jc w:val="both"/>
        <w:textAlignment w:val="auto"/>
        <w:outlineLvl w:val="9"/>
        <w:rPr>
          <w:rFonts w:hint="eastAsia" w:ascii="仿宋" w:hAnsi="仿宋" w:eastAsia="仿宋" w:cs="仿宋"/>
          <w:lang w:eastAsia="zh-CN"/>
        </w:rPr>
      </w:pPr>
      <w:r>
        <w:rPr>
          <w:rFonts w:hint="eastAsia" w:ascii="仿宋" w:hAnsi="仿宋" w:eastAsia="仿宋" w:cs="仿宋"/>
          <w:kern w:val="0"/>
          <w:sz w:val="24"/>
          <w:szCs w:val="24"/>
        </w:rPr>
        <w:t>双方根据有关法律法规规定，结合实际经协商一致，补充约定如下：</w:t>
      </w:r>
      <w:r>
        <w:rPr>
          <w:rFonts w:hint="eastAsia" w:ascii="仿宋" w:hAnsi="仿宋" w:eastAsia="仿宋" w:cs="仿宋"/>
          <w:b/>
          <w:bCs/>
          <w:kern w:val="0"/>
          <w:sz w:val="24"/>
          <w:szCs w:val="24"/>
          <w:u w:val="single"/>
          <w:lang w:val="en-US" w:eastAsia="zh-CN"/>
        </w:rPr>
        <w:t>代为支付：发包人有权委托第三方代为向勘察人支付本合同项下的全部或部分酬金。勘察人确认，第三方代为支付的款项视为发包人已履行本合同项下的付款义务。勘察人不得因付款主体与合同约定不符而主张付款无效、拒绝开具发票或追究发包人违约责任</w:t>
      </w:r>
      <w:r>
        <w:rPr>
          <w:rFonts w:hint="eastAsia" w:ascii="仿宋" w:hAnsi="仿宋" w:eastAsia="仿宋" w:cs="仿宋"/>
          <w:b/>
          <w:bCs/>
          <w:kern w:val="0"/>
          <w:sz w:val="24"/>
          <w:szCs w:val="24"/>
          <w:lang w:val="en-US" w:eastAsia="zh-CN"/>
        </w:rPr>
        <w:t>。</w:t>
      </w:r>
      <w:r>
        <w:rPr>
          <w:rFonts w:hint="eastAsia" w:ascii="仿宋" w:hAnsi="仿宋" w:eastAsia="仿宋" w:cs="仿宋"/>
        </w:rPr>
        <w:t>　</w:t>
      </w:r>
    </w:p>
    <w:p w14:paraId="628F4316">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sz w:val="30"/>
          <w:szCs w:val="30"/>
          <w:highlight w:val="none"/>
        </w:rPr>
      </w:pPr>
    </w:p>
    <w:p w14:paraId="5D50D772">
      <w:pPr>
        <w:kinsoku/>
        <w:topLinePunct w:val="0"/>
        <w:bidi w:val="0"/>
        <w:textAlignment w:val="auto"/>
        <w:outlineLvl w:val="9"/>
        <w:rPr>
          <w:rFonts w:hint="eastAsia" w:ascii="仿宋" w:hAnsi="仿宋" w:eastAsia="仿宋" w:cs="仿宋"/>
          <w:highlight w:val="none"/>
        </w:rPr>
      </w:pPr>
    </w:p>
    <w:p w14:paraId="3F550F77">
      <w:pPr>
        <w:keepNext/>
        <w:keepLines/>
        <w:pageBreakBefore/>
        <w:widowControl w:val="0"/>
        <w:numPr>
          <w:ilvl w:val="0"/>
          <w:numId w:val="0"/>
        </w:numPr>
        <w:kinsoku/>
        <w:wordWrap/>
        <w:overflowPunct/>
        <w:topLinePunct w:val="0"/>
        <w:autoSpaceDE/>
        <w:autoSpaceDN/>
        <w:bidi w:val="0"/>
        <w:adjustRightInd/>
        <w:snapToGrid/>
        <w:spacing w:before="40" w:after="40" w:line="360" w:lineRule="auto"/>
        <w:ind w:leftChars="0"/>
        <w:jc w:val="center"/>
        <w:textAlignment w:val="auto"/>
        <w:outlineLvl w:val="0"/>
        <w:rPr>
          <w:rFonts w:hint="eastAsia" w:ascii="仿宋" w:hAnsi="仿宋" w:eastAsia="仿宋" w:cs="仿宋"/>
          <w:sz w:val="28"/>
          <w:highlight w:val="none"/>
        </w:rPr>
      </w:pPr>
      <w:bookmarkStart w:id="260" w:name="_Toc8868"/>
      <w:r>
        <w:rPr>
          <w:rFonts w:hint="eastAsia" w:ascii="仿宋" w:hAnsi="仿宋" w:eastAsia="仿宋" w:cs="仿宋"/>
          <w:b/>
          <w:bCs/>
          <w:sz w:val="28"/>
          <w:highlight w:val="none"/>
        </w:rPr>
        <w:t>第</w:t>
      </w:r>
      <w:r>
        <w:rPr>
          <w:rFonts w:hint="eastAsia" w:ascii="仿宋" w:hAnsi="仿宋" w:eastAsia="仿宋" w:cs="仿宋"/>
          <w:b/>
          <w:bCs/>
          <w:sz w:val="28"/>
          <w:highlight w:val="none"/>
          <w:lang w:val="en-US" w:eastAsia="zh-CN"/>
        </w:rPr>
        <w:t>五</w:t>
      </w:r>
      <w:r>
        <w:rPr>
          <w:rFonts w:hint="eastAsia" w:ascii="仿宋" w:hAnsi="仿宋" w:eastAsia="仿宋" w:cs="仿宋"/>
          <w:b/>
          <w:bCs/>
          <w:sz w:val="28"/>
          <w:highlight w:val="none"/>
        </w:rPr>
        <w:t>章</w:t>
      </w:r>
      <w:r>
        <w:rPr>
          <w:rFonts w:hint="eastAsia" w:ascii="仿宋" w:hAnsi="仿宋" w:eastAsia="仿宋" w:cs="仿宋"/>
          <w:b/>
          <w:bCs/>
          <w:sz w:val="28"/>
          <w:highlight w:val="none"/>
          <w:lang w:val="en-US" w:eastAsia="zh-CN"/>
        </w:rPr>
        <w:t xml:space="preserve">  </w:t>
      </w:r>
      <w:r>
        <w:rPr>
          <w:rFonts w:hint="eastAsia" w:ascii="仿宋" w:hAnsi="仿宋" w:eastAsia="仿宋" w:cs="仿宋"/>
          <w:b/>
          <w:bCs/>
          <w:sz w:val="28"/>
          <w:highlight w:val="none"/>
        </w:rPr>
        <w:t>响应文件组成</w:t>
      </w:r>
      <w:bookmarkEnd w:id="33"/>
      <w:bookmarkEnd w:id="260"/>
    </w:p>
    <w:p w14:paraId="54AD8EC9">
      <w:pPr>
        <w:pStyle w:val="18"/>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商务部分</w:t>
      </w:r>
    </w:p>
    <w:p w14:paraId="714C7591">
      <w:pPr>
        <w:pStyle w:val="18"/>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、磋商响应声明</w:t>
      </w:r>
    </w:p>
    <w:p w14:paraId="0DD4484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附件1－1法定代表人身份证明扫描件(法定代表人参加磋商) </w:t>
      </w:r>
    </w:p>
    <w:p w14:paraId="0910BE2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附件1－2法定代表人授权书(授权代表参加磋商)</w:t>
      </w:r>
    </w:p>
    <w:p w14:paraId="47A83C5A">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附件1－3授权委托书(适用于自然人委托磋商)</w:t>
      </w:r>
    </w:p>
    <w:p w14:paraId="6213B39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、报价一览表及分项价格表</w:t>
      </w:r>
    </w:p>
    <w:p w14:paraId="06C98F5C">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－1报价一览表</w:t>
      </w:r>
    </w:p>
    <w:p w14:paraId="521BB688">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附件2－2分项报价表</w:t>
      </w:r>
    </w:p>
    <w:p w14:paraId="56B0DDC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、商务条款偏离表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格式附后</w:t>
      </w:r>
      <w:r>
        <w:rPr>
          <w:rFonts w:hint="eastAsia" w:ascii="仿宋" w:hAnsi="仿宋" w:eastAsia="仿宋" w:cs="仿宋"/>
          <w:sz w:val="24"/>
          <w:szCs w:val="24"/>
          <w:highlight w:val="none"/>
          <w:lang w:eastAsia="zh-CN"/>
        </w:rPr>
        <w:t>）</w:t>
      </w:r>
    </w:p>
    <w:p w14:paraId="718EC1F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、磋商保证金</w:t>
      </w:r>
    </w:p>
    <w:p w14:paraId="15D58DC9">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5、供应商</w:t>
      </w:r>
      <w:r>
        <w:rPr>
          <w:rFonts w:hint="eastAsia" w:ascii="仿宋" w:hAnsi="仿宋" w:eastAsia="仿宋" w:cs="仿宋"/>
          <w:sz w:val="24"/>
          <w:szCs w:val="24"/>
          <w:highlight w:val="none"/>
        </w:rPr>
        <w:t>类似业绩</w:t>
      </w:r>
    </w:p>
    <w:p w14:paraId="52B2725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的资格证明材料</w:t>
      </w:r>
    </w:p>
    <w:p w14:paraId="0B2D8316">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 xml:space="preserve">6-1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基本情况表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格式附后</w:t>
      </w:r>
      <w:r>
        <w:rPr>
          <w:rFonts w:hint="eastAsia" w:ascii="仿宋" w:hAnsi="仿宋" w:eastAsia="仿宋" w:cs="仿宋"/>
          <w:sz w:val="24"/>
          <w:szCs w:val="24"/>
          <w:highlight w:val="none"/>
          <w:lang w:eastAsia="zh-CN"/>
        </w:rPr>
        <w:t>）</w:t>
      </w:r>
    </w:p>
    <w:p w14:paraId="3CE8A029">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附件6-2  参加政府采购活动近三年内在经营活动中没有重大违法记录的书面声明（格式附后）</w:t>
      </w:r>
    </w:p>
    <w:p w14:paraId="027158F4">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附件6-3  无不良信用记录承诺函（格式附后）</w:t>
      </w:r>
    </w:p>
    <w:p w14:paraId="313B23F0">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认为需提供的其他资料</w:t>
      </w:r>
    </w:p>
    <w:p w14:paraId="1C8DAFD6">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7-1  项目负责人</w:t>
      </w:r>
    </w:p>
    <w:p w14:paraId="575AB18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7-2  其他人员汇总表</w:t>
      </w:r>
    </w:p>
    <w:p w14:paraId="1195DB3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、符合政府采购政策的证明材料</w:t>
      </w:r>
      <w:r>
        <w:rPr>
          <w:rFonts w:hint="eastAsia" w:ascii="仿宋" w:hAnsi="仿宋" w:eastAsia="仿宋" w:cs="仿宋"/>
          <w:sz w:val="24"/>
          <w:szCs w:val="24"/>
          <w:highlight w:val="none"/>
          <w:lang w:eastAsia="zh-CN"/>
        </w:rPr>
        <w:t>（供应商根据自身情况自行选择）</w:t>
      </w:r>
    </w:p>
    <w:p w14:paraId="31CB9235">
      <w:pPr>
        <w:pStyle w:val="18"/>
        <w:kinsoku/>
        <w:topLinePunct w:val="0"/>
        <w:bidi w:val="0"/>
        <w:spacing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　中小企业声明函</w:t>
      </w:r>
    </w:p>
    <w:p w14:paraId="39B2727D">
      <w:pPr>
        <w:pStyle w:val="18"/>
        <w:kinsoku/>
        <w:topLinePunct w:val="0"/>
        <w:bidi w:val="0"/>
        <w:spacing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－2　监狱企业声明函</w:t>
      </w:r>
    </w:p>
    <w:p w14:paraId="6E279C12">
      <w:pPr>
        <w:pStyle w:val="18"/>
        <w:kinsoku/>
        <w:topLinePunct w:val="0"/>
        <w:bidi w:val="0"/>
        <w:spacing w:line="360" w:lineRule="auto"/>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－3  残疾人福利性单位声明函</w:t>
      </w:r>
    </w:p>
    <w:p w14:paraId="04ABD330">
      <w:pPr>
        <w:keepNext w:val="0"/>
        <w:keepLines w:val="0"/>
        <w:pageBreakBefore/>
        <w:widowControl w:val="0"/>
        <w:kinsoku/>
        <w:wordWrap/>
        <w:overflowPunct/>
        <w:topLinePunct w:val="0"/>
        <w:autoSpaceDE w:val="0"/>
        <w:autoSpaceDN w:val="0"/>
        <w:bidi w:val="0"/>
        <w:adjustRightInd/>
        <w:snapToGrid/>
        <w:spacing w:before="197" w:line="276" w:lineRule="auto"/>
        <w:ind w:right="890"/>
        <w:jc w:val="center"/>
        <w:textAlignment w:val="auto"/>
        <w:outlineLvl w:val="9"/>
        <w:rPr>
          <w:rFonts w:hint="eastAsia" w:ascii="仿宋" w:hAnsi="仿宋" w:eastAsia="仿宋" w:cs="仿宋"/>
          <w:b/>
          <w:bCs/>
          <w:spacing w:val="13"/>
          <w:kern w:val="0"/>
          <w:sz w:val="28"/>
          <w:szCs w:val="28"/>
        </w:rPr>
      </w:pPr>
      <w:r>
        <w:rPr>
          <w:rFonts w:hint="eastAsia" w:ascii="仿宋" w:hAnsi="仿宋" w:eastAsia="仿宋" w:cs="仿宋"/>
          <w:b/>
          <w:bCs/>
          <w:spacing w:val="13"/>
          <w:kern w:val="0"/>
          <w:sz w:val="28"/>
          <w:szCs w:val="28"/>
          <w:lang w:eastAsia="zh-CN"/>
        </w:rPr>
        <w:t>（</w:t>
      </w:r>
      <w:r>
        <w:rPr>
          <w:rFonts w:hint="eastAsia" w:ascii="仿宋" w:hAnsi="仿宋" w:eastAsia="仿宋" w:cs="仿宋"/>
          <w:b/>
          <w:bCs/>
          <w:spacing w:val="13"/>
          <w:kern w:val="0"/>
          <w:sz w:val="28"/>
          <w:szCs w:val="28"/>
        </w:rPr>
        <w:t>二</w:t>
      </w:r>
      <w:r>
        <w:rPr>
          <w:rFonts w:hint="eastAsia" w:ascii="仿宋" w:hAnsi="仿宋" w:eastAsia="仿宋" w:cs="仿宋"/>
          <w:b/>
          <w:bCs/>
          <w:spacing w:val="13"/>
          <w:kern w:val="0"/>
          <w:sz w:val="28"/>
          <w:szCs w:val="28"/>
          <w:lang w:eastAsia="zh-CN"/>
        </w:rPr>
        <w:t>）</w:t>
      </w:r>
      <w:r>
        <w:rPr>
          <w:rFonts w:hint="eastAsia" w:ascii="仿宋" w:hAnsi="仿宋" w:eastAsia="仿宋" w:cs="仿宋"/>
          <w:b/>
          <w:bCs/>
          <w:spacing w:val="13"/>
          <w:kern w:val="0"/>
          <w:sz w:val="28"/>
          <w:szCs w:val="28"/>
        </w:rPr>
        <w:t>技术部分</w:t>
      </w:r>
    </w:p>
    <w:p w14:paraId="4ED17CDA">
      <w:pPr>
        <w:pStyle w:val="12"/>
        <w:kinsoku/>
        <w:topLinePunct w:val="0"/>
        <w:bidi w:val="0"/>
        <w:textAlignment w:val="auto"/>
        <w:outlineLvl w:val="9"/>
        <w:rPr>
          <w:rFonts w:hint="eastAsia" w:ascii="仿宋" w:hAnsi="仿宋" w:eastAsia="仿宋" w:cs="仿宋"/>
          <w:sz w:val="28"/>
          <w:szCs w:val="28"/>
        </w:rPr>
      </w:pPr>
    </w:p>
    <w:p w14:paraId="55AF9BAC">
      <w:pPr>
        <w:pStyle w:val="12"/>
        <w:kinsoku/>
        <w:topLinePunct w:val="0"/>
        <w:bidi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1、技术响应与偏离表</w:t>
      </w:r>
    </w:p>
    <w:p w14:paraId="4CF40594">
      <w:pPr>
        <w:pStyle w:val="12"/>
        <w:kinsoku/>
        <w:topLinePunct w:val="0"/>
        <w:bidi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2、供应商认为有必要提供的声明及其他资料</w:t>
      </w:r>
    </w:p>
    <w:p w14:paraId="710FB3DD">
      <w:pPr>
        <w:pStyle w:val="18"/>
        <w:kinsoku/>
        <w:topLinePunct w:val="0"/>
        <w:bidi w:val="0"/>
        <w:spacing w:line="360" w:lineRule="auto"/>
        <w:ind w:firstLine="480" w:firstLineChars="200"/>
        <w:jc w:val="center"/>
        <w:textAlignment w:val="auto"/>
        <w:outlineLvl w:val="9"/>
        <w:rPr>
          <w:rFonts w:hint="eastAsia" w:ascii="仿宋" w:hAnsi="仿宋" w:eastAsia="仿宋" w:cs="仿宋"/>
          <w:sz w:val="24"/>
          <w:szCs w:val="24"/>
          <w:highlight w:val="none"/>
        </w:rPr>
      </w:pPr>
    </w:p>
    <w:p w14:paraId="56F40312">
      <w:pPr>
        <w:pStyle w:val="18"/>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sz w:val="24"/>
          <w:szCs w:val="24"/>
          <w:highlight w:val="none"/>
        </w:rPr>
      </w:pPr>
      <w:r>
        <w:rPr>
          <w:rFonts w:hint="eastAsia" w:ascii="仿宋" w:hAnsi="仿宋" w:eastAsia="仿宋" w:cs="仿宋"/>
          <w:b/>
          <w:sz w:val="28"/>
          <w:szCs w:val="28"/>
          <w:highlight w:val="none"/>
        </w:rPr>
        <w:t>一、磋商响应声明</w:t>
      </w:r>
    </w:p>
    <w:p w14:paraId="56EE2CFF">
      <w:pPr>
        <w:tabs>
          <w:tab w:val="left" w:pos="2193"/>
        </w:tabs>
        <w:kinsoku/>
        <w:topLinePunct w:val="0"/>
        <w:autoSpaceDE w:val="0"/>
        <w:autoSpaceDN w:val="0"/>
        <w:bidi w:val="0"/>
        <w:snapToGrid w:val="0"/>
        <w:spacing w:before="199"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ab/>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采购人或采购代理机构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p>
    <w:p w14:paraId="0A411AA4">
      <w:pPr>
        <w:tabs>
          <w:tab w:val="left" w:pos="4353"/>
          <w:tab w:val="left" w:pos="10203"/>
        </w:tabs>
        <w:kinsoku/>
        <w:topLinePunct w:val="0"/>
        <w:autoSpaceDE w:val="0"/>
        <w:autoSpaceDN w:val="0"/>
        <w:bidi w:val="0"/>
        <w:snapToGrid w:val="0"/>
        <w:spacing w:before="182" w:line="360" w:lineRule="auto"/>
        <w:ind w:right="38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我方已仔细研究了</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none"/>
          <w:lang w:val="en-US" w:eastAsia="zh-CN"/>
        </w:rPr>
        <w:t>（</w:t>
      </w:r>
      <w:r>
        <w:rPr>
          <w:rFonts w:hint="eastAsia" w:ascii="仿宋" w:hAnsi="仿宋" w:eastAsia="仿宋" w:cs="仿宋"/>
          <w:kern w:val="0"/>
          <w:sz w:val="24"/>
          <w:szCs w:val="24"/>
        </w:rPr>
        <w:t>项目名称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的竞争性采购文件</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项目编号：</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spacing w:val="-1"/>
          <w:kern w:val="0"/>
          <w:sz w:val="24"/>
          <w:szCs w:val="24"/>
          <w:lang w:eastAsia="zh-CN"/>
        </w:rPr>
        <w:t>）</w:t>
      </w:r>
      <w:r>
        <w:rPr>
          <w:rFonts w:hint="eastAsia" w:ascii="仿宋" w:hAnsi="仿宋" w:eastAsia="仿宋" w:cs="仿宋"/>
          <w:spacing w:val="-117"/>
          <w:kern w:val="0"/>
          <w:sz w:val="24"/>
          <w:szCs w:val="24"/>
        </w:rPr>
        <w:t xml:space="preserve"> </w:t>
      </w:r>
      <w:r>
        <w:rPr>
          <w:rFonts w:hint="eastAsia" w:ascii="仿宋" w:hAnsi="仿宋" w:eastAsia="仿宋" w:cs="仿宋"/>
          <w:spacing w:val="-1"/>
          <w:kern w:val="0"/>
          <w:sz w:val="24"/>
          <w:szCs w:val="24"/>
        </w:rPr>
        <w:t>的全部内容，知悉参加竞争性磋商的风险，我方承诺接受采购文件的</w:t>
      </w:r>
      <w:r>
        <w:rPr>
          <w:rFonts w:hint="eastAsia" w:ascii="仿宋" w:hAnsi="仿宋" w:eastAsia="仿宋" w:cs="仿宋"/>
          <w:kern w:val="0"/>
          <w:sz w:val="24"/>
          <w:szCs w:val="24"/>
        </w:rPr>
        <w:t>全部条款且无任何异议。</w:t>
      </w:r>
    </w:p>
    <w:p w14:paraId="7EA7BD8C">
      <w:pPr>
        <w:kinsoku/>
        <w:topLinePunct w:val="0"/>
        <w:autoSpaceDE w:val="0"/>
        <w:autoSpaceDN w:val="0"/>
        <w:bidi w:val="0"/>
        <w:snapToGrid w:val="0"/>
        <w:spacing w:before="1" w:line="360" w:lineRule="auto"/>
        <w:ind w:right="499"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一、我方同意在磋商响应有效期内遵守本响应文件中的承诺，且在此期限期满之前均具有法律约束力。</w:t>
      </w:r>
    </w:p>
    <w:p w14:paraId="041F9801">
      <w:pPr>
        <w:tabs>
          <w:tab w:val="left" w:pos="5112"/>
          <w:tab w:val="left" w:pos="6806"/>
          <w:tab w:val="left" w:pos="9238"/>
        </w:tabs>
        <w:kinsoku/>
        <w:topLinePunct w:val="0"/>
        <w:autoSpaceDE w:val="0"/>
        <w:autoSpaceDN w:val="0"/>
        <w:bidi w:val="0"/>
        <w:snapToGrid w:val="0"/>
        <w:spacing w:before="3"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二、我方提交纸质响应文件正本</w:t>
      </w:r>
      <w:r>
        <w:rPr>
          <w:rFonts w:hint="eastAsia" w:ascii="仿宋" w:hAnsi="仿宋" w:eastAsia="仿宋" w:cs="仿宋"/>
          <w:kern w:val="0"/>
          <w:sz w:val="24"/>
          <w:szCs w:val="24"/>
          <w:u w:val="single"/>
          <w:lang w:val="en-US" w:eastAsia="zh-CN"/>
        </w:rPr>
        <w:t xml:space="preserve"> / </w:t>
      </w:r>
      <w:r>
        <w:rPr>
          <w:rFonts w:hint="eastAsia" w:ascii="仿宋" w:hAnsi="仿宋" w:eastAsia="仿宋" w:cs="仿宋"/>
          <w:kern w:val="0"/>
          <w:sz w:val="24"/>
          <w:szCs w:val="24"/>
        </w:rPr>
        <w:t>份和副本</w:t>
      </w:r>
      <w:r>
        <w:rPr>
          <w:rFonts w:hint="eastAsia" w:ascii="仿宋" w:hAnsi="仿宋" w:eastAsia="仿宋" w:cs="仿宋"/>
          <w:kern w:val="0"/>
          <w:sz w:val="24"/>
          <w:szCs w:val="24"/>
          <w:u w:val="single"/>
          <w:lang w:val="en-US" w:eastAsia="zh-CN"/>
        </w:rPr>
        <w:t xml:space="preserve"> / </w:t>
      </w:r>
      <w:r>
        <w:rPr>
          <w:rFonts w:hint="eastAsia" w:ascii="仿宋" w:hAnsi="仿宋" w:eastAsia="仿宋" w:cs="仿宋"/>
          <w:kern w:val="0"/>
          <w:sz w:val="24"/>
          <w:szCs w:val="24"/>
        </w:rPr>
        <w:t>份，电子响应文件</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套，并保证响应文件提供的数据和材料是真实、准确的。否则，愿承担《政府采购法》第七十七条规定的法律责任。</w:t>
      </w:r>
    </w:p>
    <w:p w14:paraId="4B170075">
      <w:pPr>
        <w:tabs>
          <w:tab w:val="left" w:pos="4353"/>
          <w:tab w:val="left" w:pos="10203"/>
        </w:tabs>
        <w:kinsoku/>
        <w:topLinePunct w:val="0"/>
        <w:autoSpaceDE w:val="0"/>
        <w:autoSpaceDN w:val="0"/>
        <w:bidi w:val="0"/>
        <w:snapToGrid w:val="0"/>
        <w:spacing w:before="182" w:line="360" w:lineRule="auto"/>
        <w:ind w:right="380" w:firstLine="476" w:firstLineChars="200"/>
        <w:jc w:val="left"/>
        <w:textAlignment w:val="auto"/>
        <w:outlineLvl w:val="9"/>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三、我方愿意向贵方提供任何与本项采购有关的数据、情况和技术资料。若贵方需要， 我方愿意提供我方作出的一切承诺的证明材料。</w:t>
      </w:r>
    </w:p>
    <w:p w14:paraId="4C7954C8">
      <w:pPr>
        <w:tabs>
          <w:tab w:val="left" w:pos="4353"/>
          <w:tab w:val="left" w:pos="10203"/>
        </w:tabs>
        <w:kinsoku/>
        <w:topLinePunct w:val="0"/>
        <w:autoSpaceDE w:val="0"/>
        <w:autoSpaceDN w:val="0"/>
        <w:bidi w:val="0"/>
        <w:snapToGrid w:val="0"/>
        <w:spacing w:before="182" w:line="360" w:lineRule="auto"/>
        <w:ind w:right="380" w:firstLine="476" w:firstLineChars="200"/>
        <w:jc w:val="left"/>
        <w:textAlignment w:val="auto"/>
        <w:outlineLvl w:val="9"/>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四、我方愿意按采购文件规定和磋商小组要求重新提交响应文件和最后报价。</w:t>
      </w:r>
    </w:p>
    <w:p w14:paraId="65B6530C">
      <w:pPr>
        <w:tabs>
          <w:tab w:val="left" w:pos="4353"/>
          <w:tab w:val="left" w:pos="10203"/>
        </w:tabs>
        <w:kinsoku/>
        <w:topLinePunct w:val="0"/>
        <w:autoSpaceDE w:val="0"/>
        <w:autoSpaceDN w:val="0"/>
        <w:bidi w:val="0"/>
        <w:snapToGrid w:val="0"/>
        <w:spacing w:before="182" w:line="360" w:lineRule="auto"/>
        <w:ind w:right="380" w:firstLine="476" w:firstLineChars="200"/>
        <w:jc w:val="left"/>
        <w:textAlignment w:val="auto"/>
        <w:outlineLvl w:val="9"/>
        <w:rPr>
          <w:rFonts w:hint="eastAsia" w:ascii="仿宋" w:hAnsi="仿宋" w:eastAsia="仿宋" w:cs="仿宋"/>
          <w:spacing w:val="-1"/>
          <w:kern w:val="0"/>
          <w:sz w:val="24"/>
          <w:szCs w:val="24"/>
        </w:rPr>
      </w:pPr>
      <w:r>
        <w:rPr>
          <w:rFonts w:hint="eastAsia" w:ascii="仿宋" w:hAnsi="仿宋" w:eastAsia="仿宋" w:cs="仿宋"/>
          <w:spacing w:val="-1"/>
          <w:kern w:val="0"/>
          <w:sz w:val="24"/>
          <w:szCs w:val="24"/>
        </w:rPr>
        <w:t>五、我方承诺遵守《政府采购法》的有关规定，保证在获得成交资格后，按照采购文件确定的事项签订政府采购合同，履行双方所签订的合同，并承担合同规定的责任和义务。</w:t>
      </w:r>
    </w:p>
    <w:p w14:paraId="1E9CDDC3">
      <w:pPr>
        <w:tabs>
          <w:tab w:val="left" w:pos="4648"/>
        </w:tabs>
        <w:kinsoku/>
        <w:topLinePunct w:val="0"/>
        <w:autoSpaceDE w:val="0"/>
        <w:autoSpaceDN w:val="0"/>
        <w:bidi w:val="0"/>
        <w:snapToGrid w:val="0"/>
        <w:spacing w:line="360" w:lineRule="auto"/>
        <w:ind w:right="5810"/>
        <w:jc w:val="left"/>
        <w:textAlignment w:val="auto"/>
        <w:outlineLvl w:val="9"/>
        <w:rPr>
          <w:rFonts w:hint="eastAsia" w:ascii="仿宋" w:hAnsi="仿宋" w:eastAsia="仿宋" w:cs="仿宋"/>
          <w:spacing w:val="-117"/>
          <w:kern w:val="0"/>
          <w:sz w:val="24"/>
          <w:szCs w:val="24"/>
        </w:rPr>
      </w:pPr>
    </w:p>
    <w:p w14:paraId="02F4329F">
      <w:pPr>
        <w:tabs>
          <w:tab w:val="left" w:pos="4648"/>
        </w:tabs>
        <w:kinsoku/>
        <w:topLinePunct w:val="0"/>
        <w:autoSpaceDE w:val="0"/>
        <w:autoSpaceDN w:val="0"/>
        <w:bidi w:val="0"/>
        <w:snapToGrid w:val="0"/>
        <w:spacing w:line="360" w:lineRule="auto"/>
        <w:ind w:right="5810"/>
        <w:jc w:val="left"/>
        <w:textAlignment w:val="auto"/>
        <w:outlineLvl w:val="9"/>
        <w:rPr>
          <w:rFonts w:hint="eastAsia" w:ascii="仿宋" w:hAnsi="仿宋" w:eastAsia="仿宋" w:cs="仿宋"/>
          <w:spacing w:val="-117"/>
          <w:kern w:val="0"/>
          <w:sz w:val="24"/>
          <w:szCs w:val="24"/>
        </w:rPr>
      </w:pPr>
    </w:p>
    <w:p w14:paraId="6D46BAC0">
      <w:pPr>
        <w:tabs>
          <w:tab w:val="left" w:pos="4648"/>
        </w:tabs>
        <w:kinsoku/>
        <w:topLinePunct w:val="0"/>
        <w:autoSpaceDE w:val="0"/>
        <w:autoSpaceDN w:val="0"/>
        <w:bidi w:val="0"/>
        <w:snapToGrid w:val="0"/>
        <w:spacing w:line="360" w:lineRule="auto"/>
        <w:ind w:right="5810"/>
        <w:jc w:val="left"/>
        <w:textAlignment w:val="auto"/>
        <w:outlineLvl w:val="9"/>
        <w:rPr>
          <w:rFonts w:hint="eastAsia" w:ascii="仿宋" w:hAnsi="仿宋" w:eastAsia="仿宋" w:cs="仿宋"/>
          <w:spacing w:val="-117"/>
          <w:kern w:val="0"/>
          <w:sz w:val="24"/>
          <w:szCs w:val="24"/>
        </w:rPr>
      </w:pPr>
    </w:p>
    <w:p w14:paraId="4D775269">
      <w:pPr>
        <w:kinsoku/>
        <w:topLinePunct w:val="0"/>
        <w:autoSpaceDE w:val="0"/>
        <w:autoSpaceDN w:val="0"/>
        <w:bidi w:val="0"/>
        <w:snapToGrid w:val="0"/>
        <w:spacing w:line="360" w:lineRule="auto"/>
        <w:ind w:right="499"/>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供应商名称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公章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p>
    <w:p w14:paraId="75A15DE2">
      <w:pPr>
        <w:kinsoku/>
        <w:topLinePunct w:val="0"/>
        <w:autoSpaceDE w:val="0"/>
        <w:autoSpaceDN w:val="0"/>
        <w:bidi w:val="0"/>
        <w:snapToGrid w:val="0"/>
        <w:spacing w:line="360" w:lineRule="auto"/>
        <w:ind w:right="499"/>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法定代表人或授权代表</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签字或盖章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p>
    <w:p w14:paraId="4A9B9BD7">
      <w:pPr>
        <w:kinsoku/>
        <w:topLinePunct w:val="0"/>
        <w:autoSpaceDE w:val="0"/>
        <w:autoSpaceDN w:val="0"/>
        <w:bidi w:val="0"/>
        <w:snapToGrid w:val="0"/>
        <w:spacing w:line="360" w:lineRule="auto"/>
        <w:ind w:right="499"/>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w:t>
      </w:r>
      <w:r>
        <w:rPr>
          <w:rFonts w:hint="eastAsia" w:ascii="仿宋" w:hAnsi="仿宋" w:eastAsia="仿宋" w:cs="仿宋"/>
          <w:kern w:val="0"/>
          <w:sz w:val="24"/>
          <w:szCs w:val="24"/>
        </w:rPr>
        <w:tab/>
      </w:r>
      <w:r>
        <w:rPr>
          <w:rFonts w:hint="eastAsia" w:ascii="仿宋" w:hAnsi="仿宋" w:eastAsia="仿宋" w:cs="仿宋"/>
          <w:kern w:val="0"/>
          <w:sz w:val="24"/>
          <w:szCs w:val="24"/>
        </w:rPr>
        <w:t>年</w:t>
      </w:r>
      <w:r>
        <w:rPr>
          <w:rFonts w:hint="eastAsia" w:ascii="仿宋" w:hAnsi="仿宋" w:eastAsia="仿宋" w:cs="仿宋"/>
          <w:kern w:val="0"/>
          <w:sz w:val="24"/>
          <w:szCs w:val="24"/>
        </w:rPr>
        <w:tab/>
      </w:r>
      <w:r>
        <w:rPr>
          <w:rFonts w:hint="eastAsia" w:ascii="仿宋" w:hAnsi="仿宋" w:eastAsia="仿宋" w:cs="仿宋"/>
          <w:kern w:val="0"/>
          <w:sz w:val="24"/>
          <w:szCs w:val="24"/>
        </w:rPr>
        <w:t>月</w:t>
      </w:r>
      <w:r>
        <w:rPr>
          <w:rFonts w:hint="eastAsia" w:ascii="仿宋" w:hAnsi="仿宋" w:eastAsia="仿宋" w:cs="仿宋"/>
          <w:kern w:val="0"/>
          <w:sz w:val="24"/>
          <w:szCs w:val="24"/>
        </w:rPr>
        <w:tab/>
      </w:r>
      <w:r>
        <w:rPr>
          <w:rFonts w:hint="eastAsia" w:ascii="仿宋" w:hAnsi="仿宋" w:eastAsia="仿宋" w:cs="仿宋"/>
          <w:kern w:val="0"/>
          <w:sz w:val="24"/>
          <w:szCs w:val="24"/>
        </w:rPr>
        <w:t>日</w:t>
      </w:r>
    </w:p>
    <w:p w14:paraId="58E373FF">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7EC9EA1E">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03CFD5EC">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35CB9B0A">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4EFEA31A">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45B1F596">
      <w:pPr>
        <w:keepNext w:val="0"/>
        <w:keepLines w:val="0"/>
        <w:pageBreakBefore/>
        <w:widowControl w:val="0"/>
        <w:tabs>
          <w:tab w:val="left" w:pos="2733"/>
        </w:tabs>
        <w:kinsoku/>
        <w:wordWrap/>
        <w:overflowPunct/>
        <w:topLinePunct w:val="0"/>
        <w:autoSpaceDE w:val="0"/>
        <w:autoSpaceDN w:val="0"/>
        <w:bidi w:val="0"/>
        <w:adjustRightInd/>
        <w:snapToGrid/>
        <w:spacing w:before="100" w:line="360" w:lineRule="auto"/>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附件</w:t>
      </w:r>
      <w:r>
        <w:rPr>
          <w:rFonts w:hint="eastAsia" w:ascii="仿宋" w:hAnsi="仿宋" w:eastAsia="仿宋" w:cs="仿宋"/>
          <w:b/>
          <w:bCs/>
          <w:spacing w:val="-60"/>
          <w:kern w:val="0"/>
          <w:sz w:val="24"/>
          <w:szCs w:val="24"/>
        </w:rPr>
        <w:t xml:space="preserve"> </w:t>
      </w:r>
      <w:r>
        <w:rPr>
          <w:rFonts w:hint="eastAsia" w:ascii="仿宋" w:hAnsi="仿宋" w:eastAsia="仿宋" w:cs="仿宋"/>
          <w:b/>
          <w:bCs/>
          <w:kern w:val="0"/>
          <w:sz w:val="24"/>
          <w:szCs w:val="24"/>
        </w:rPr>
        <w:t>1－1 法定代表人身份证明(法定代表人参加磋商)</w:t>
      </w:r>
    </w:p>
    <w:p w14:paraId="572754E1">
      <w:pPr>
        <w:kinsoku/>
        <w:topLinePunct w:val="0"/>
        <w:autoSpaceDE w:val="0"/>
        <w:autoSpaceDN w:val="0"/>
        <w:bidi w:val="0"/>
        <w:adjustRightInd w:val="0"/>
        <w:spacing w:line="360" w:lineRule="auto"/>
        <w:jc w:val="center"/>
        <w:textAlignment w:val="auto"/>
        <w:outlineLvl w:val="9"/>
        <w:rPr>
          <w:rFonts w:hint="eastAsia" w:ascii="仿宋" w:hAnsi="仿宋" w:eastAsia="仿宋" w:cs="仿宋"/>
          <w:b/>
          <w:kern w:val="0"/>
          <w:sz w:val="24"/>
          <w:szCs w:val="24"/>
        </w:rPr>
      </w:pPr>
    </w:p>
    <w:p w14:paraId="1AF03054">
      <w:pPr>
        <w:kinsoku/>
        <w:topLinePunct w:val="0"/>
        <w:autoSpaceDE w:val="0"/>
        <w:autoSpaceDN w:val="0"/>
        <w:bidi w:val="0"/>
        <w:adjustRightInd w:val="0"/>
        <w:spacing w:line="360" w:lineRule="auto"/>
        <w:jc w:val="center"/>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1、法定代表人身份证明</w:t>
      </w:r>
    </w:p>
    <w:p w14:paraId="0B7AD246">
      <w:pPr>
        <w:kinsoku/>
        <w:topLinePunct w:val="0"/>
        <w:autoSpaceDE w:val="0"/>
        <w:autoSpaceDN w:val="0"/>
        <w:bidi w:val="0"/>
        <w:adjustRightInd w:val="0"/>
        <w:snapToGrid w:val="0"/>
        <w:spacing w:line="360" w:lineRule="auto"/>
        <w:ind w:firstLine="360" w:firstLineChars="150"/>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采购人：</w:t>
      </w:r>
      <w:r>
        <w:rPr>
          <w:rFonts w:hint="eastAsia" w:ascii="仿宋" w:hAnsi="仿宋" w:eastAsia="仿宋" w:cs="仿宋"/>
          <w:kern w:val="0"/>
          <w:sz w:val="24"/>
          <w:szCs w:val="24"/>
          <w:u w:val="single"/>
        </w:rPr>
        <w:t xml:space="preserve">                                            </w:t>
      </w:r>
    </w:p>
    <w:p w14:paraId="01E16D0C">
      <w:pPr>
        <w:kinsoku/>
        <w:topLinePunct w:val="0"/>
        <w:autoSpaceDE w:val="0"/>
        <w:autoSpaceDN w:val="0"/>
        <w:bidi w:val="0"/>
        <w:adjustRightInd w:val="0"/>
        <w:snapToGrid w:val="0"/>
        <w:spacing w:line="360" w:lineRule="auto"/>
        <w:ind w:firstLine="360" w:firstLineChars="15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兹证明</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同志在我单位任</w:t>
      </w:r>
      <w:r>
        <w:rPr>
          <w:rFonts w:hint="eastAsia" w:ascii="仿宋" w:hAnsi="仿宋" w:eastAsia="仿宋" w:cs="仿宋"/>
          <w:kern w:val="0"/>
          <w:sz w:val="24"/>
          <w:szCs w:val="24"/>
          <w:u w:val="single"/>
        </w:rPr>
        <w:t>（职务</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，是我单位的法定代表人。</w:t>
      </w:r>
    </w:p>
    <w:p w14:paraId="40211FE1">
      <w:pPr>
        <w:kinsoku/>
        <w:topLinePunct w:val="0"/>
        <w:autoSpaceDE w:val="0"/>
        <w:autoSpaceDN w:val="0"/>
        <w:bidi w:val="0"/>
        <w:adjustRightInd w:val="0"/>
        <w:snapToGrid w:val="0"/>
        <w:spacing w:line="360" w:lineRule="auto"/>
        <w:ind w:firstLine="360" w:firstLineChars="15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附法定代表人基本情况：</w:t>
      </w:r>
    </w:p>
    <w:p w14:paraId="51D0CF42">
      <w:pPr>
        <w:kinsoku/>
        <w:topLinePunct w:val="0"/>
        <w:autoSpaceDE w:val="0"/>
        <w:autoSpaceDN w:val="0"/>
        <w:bidi w:val="0"/>
        <w:adjustRightInd w:val="0"/>
        <w:snapToGrid w:val="0"/>
        <w:spacing w:line="360" w:lineRule="auto"/>
        <w:ind w:firstLine="360" w:firstLineChars="150"/>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姓名</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p>
    <w:p w14:paraId="52AC039F">
      <w:pPr>
        <w:kinsoku/>
        <w:topLinePunct w:val="0"/>
        <w:autoSpaceDE w:val="0"/>
        <w:autoSpaceDN w:val="0"/>
        <w:bidi w:val="0"/>
        <w:adjustRightInd w:val="0"/>
        <w:snapToGrid w:val="0"/>
        <w:spacing w:line="360" w:lineRule="auto"/>
        <w:ind w:firstLine="360" w:firstLineChars="150"/>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p>
    <w:p w14:paraId="2C13D323">
      <w:pPr>
        <w:kinsoku/>
        <w:topLinePunct w:val="0"/>
        <w:autoSpaceDE w:val="0"/>
        <w:autoSpaceDN w:val="0"/>
        <w:bidi w:val="0"/>
        <w:adjustRightInd w:val="0"/>
        <w:snapToGrid w:val="0"/>
        <w:spacing w:line="360" w:lineRule="auto"/>
        <w:ind w:firstLine="360" w:firstLineChars="150"/>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通讯地址：</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p>
    <w:p w14:paraId="0F97C088">
      <w:pPr>
        <w:kinsoku/>
        <w:topLinePunct w:val="0"/>
        <w:autoSpaceDE w:val="0"/>
        <w:autoSpaceDN w:val="0"/>
        <w:bidi w:val="0"/>
        <w:adjustRightInd w:val="0"/>
        <w:snapToGrid w:val="0"/>
        <w:spacing w:line="360" w:lineRule="auto"/>
        <w:ind w:firstLine="360" w:firstLineChars="150"/>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电话号码：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邮编：</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p>
    <w:p w14:paraId="4BC1DA93">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p>
    <w:p w14:paraId="66EB29F1">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p>
    <w:p w14:paraId="66B4FC02">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（全称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（盖章</w:t>
      </w:r>
      <w:r>
        <w:rPr>
          <w:rFonts w:hint="eastAsia" w:ascii="仿宋" w:hAnsi="仿宋" w:eastAsia="仿宋" w:cs="仿宋"/>
          <w:kern w:val="0"/>
          <w:sz w:val="24"/>
          <w:szCs w:val="24"/>
          <w:u w:val="single"/>
          <w:lang w:eastAsia="zh-CN"/>
        </w:rPr>
        <w:t>）</w:t>
      </w:r>
    </w:p>
    <w:p w14:paraId="4834C36D">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（签字或盖章</w:t>
      </w:r>
      <w:r>
        <w:rPr>
          <w:rFonts w:hint="eastAsia" w:ascii="仿宋" w:hAnsi="仿宋" w:eastAsia="仿宋" w:cs="仿宋"/>
          <w:kern w:val="0"/>
          <w:sz w:val="24"/>
          <w:szCs w:val="24"/>
          <w:u w:val="single"/>
          <w:lang w:eastAsia="zh-CN"/>
        </w:rPr>
        <w:t>）</w:t>
      </w:r>
    </w:p>
    <w:p w14:paraId="2B39F940">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A1BDF1E">
      <w:pPr>
        <w:kinsoku/>
        <w:topLinePunct w:val="0"/>
        <w:autoSpaceDE w:val="0"/>
        <w:autoSpaceDN w:val="0"/>
        <w:bidi w:val="0"/>
        <w:adjustRightInd w:val="0"/>
        <w:snapToGrid w:val="0"/>
        <w:spacing w:line="360" w:lineRule="auto"/>
        <w:ind w:firstLine="361" w:firstLineChars="150"/>
        <w:jc w:val="left"/>
        <w:textAlignment w:val="auto"/>
        <w:outlineLvl w:val="9"/>
        <w:rPr>
          <w:rFonts w:hint="eastAsia" w:ascii="仿宋" w:hAnsi="仿宋" w:eastAsia="仿宋" w:cs="仿宋"/>
          <w:b/>
          <w:kern w:val="0"/>
          <w:sz w:val="24"/>
          <w:szCs w:val="24"/>
        </w:rPr>
      </w:pPr>
      <w:r>
        <w:rPr>
          <w:rFonts w:hint="eastAsia" w:ascii="仿宋" w:hAnsi="仿宋" w:eastAsia="仿宋" w:cs="仿宋"/>
          <w:b/>
          <w:kern w:val="0"/>
          <w:sz w:val="24"/>
          <w:szCs w:val="24"/>
        </w:rPr>
        <w:t>附：法定代表人《居民身份证》扫描件正反面</w:t>
      </w:r>
    </w:p>
    <w:p w14:paraId="206057E8">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2ACFA11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487FE50B">
      <w:pPr>
        <w:kinsoku/>
        <w:topLinePunct w:val="0"/>
        <w:autoSpaceDE w:val="0"/>
        <w:autoSpaceDN w:val="0"/>
        <w:bidi w:val="0"/>
        <w:spacing w:before="74"/>
        <w:ind w:right="891"/>
        <w:jc w:val="both"/>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highlight w:val="none"/>
        </w:rPr>
        <w:br w:type="page"/>
      </w:r>
      <w:r>
        <w:rPr>
          <w:rFonts w:hint="eastAsia" w:ascii="仿宋" w:hAnsi="仿宋" w:eastAsia="仿宋" w:cs="仿宋"/>
          <w:b/>
          <w:bCs/>
          <w:spacing w:val="-3"/>
          <w:w w:val="95"/>
          <w:kern w:val="0"/>
          <w:sz w:val="24"/>
          <w:szCs w:val="24"/>
        </w:rPr>
        <w:t xml:space="preserve">附件 </w:t>
      </w:r>
      <w:r>
        <w:rPr>
          <w:rFonts w:hint="eastAsia" w:ascii="仿宋" w:hAnsi="仿宋" w:eastAsia="仿宋" w:cs="仿宋"/>
          <w:b/>
          <w:bCs/>
          <w:w w:val="95"/>
          <w:kern w:val="0"/>
          <w:sz w:val="24"/>
          <w:szCs w:val="24"/>
        </w:rPr>
        <w:t>1－2</w:t>
      </w:r>
      <w:r>
        <w:rPr>
          <w:rFonts w:hint="eastAsia" w:ascii="仿宋" w:hAnsi="仿宋" w:eastAsia="仿宋" w:cs="仿宋"/>
          <w:b/>
          <w:bCs/>
          <w:w w:val="95"/>
          <w:kern w:val="0"/>
          <w:sz w:val="24"/>
          <w:szCs w:val="24"/>
          <w:lang w:val="en-US" w:eastAsia="zh-CN"/>
        </w:rPr>
        <w:t xml:space="preserve">  </w:t>
      </w:r>
      <w:r>
        <w:rPr>
          <w:rFonts w:hint="eastAsia" w:ascii="仿宋" w:hAnsi="仿宋" w:eastAsia="仿宋" w:cs="仿宋"/>
          <w:b/>
          <w:bCs/>
          <w:w w:val="95"/>
          <w:kern w:val="0"/>
          <w:sz w:val="24"/>
          <w:szCs w:val="24"/>
        </w:rPr>
        <w:t>法定代表人授权委托书(授权代表参加磋商)</w:t>
      </w:r>
    </w:p>
    <w:p w14:paraId="2EC242B1">
      <w:pPr>
        <w:kinsoku/>
        <w:topLinePunct w:val="0"/>
        <w:autoSpaceDE w:val="0"/>
        <w:autoSpaceDN w:val="0"/>
        <w:bidi w:val="0"/>
        <w:spacing w:before="67"/>
        <w:jc w:val="left"/>
        <w:textAlignment w:val="auto"/>
        <w:outlineLvl w:val="9"/>
        <w:rPr>
          <w:rFonts w:hint="default" w:ascii="仿宋" w:hAnsi="仿宋" w:eastAsia="仿宋" w:cs="仿宋"/>
          <w:kern w:val="0"/>
          <w:sz w:val="24"/>
          <w:szCs w:val="24"/>
          <w:lang w:val="en-US" w:eastAsia="zh-CN"/>
        </w:rPr>
      </w:pPr>
    </w:p>
    <w:p w14:paraId="677DA15D">
      <w:pPr>
        <w:kinsoku/>
        <w:topLinePunct w:val="0"/>
        <w:autoSpaceDE w:val="0"/>
        <w:autoSpaceDN w:val="0"/>
        <w:bidi w:val="0"/>
        <w:spacing w:before="2"/>
        <w:jc w:val="left"/>
        <w:textAlignment w:val="auto"/>
        <w:outlineLvl w:val="9"/>
        <w:rPr>
          <w:rFonts w:hint="eastAsia" w:ascii="仿宋" w:hAnsi="仿宋" w:eastAsia="仿宋" w:cs="仿宋"/>
          <w:kern w:val="0"/>
          <w:sz w:val="24"/>
          <w:szCs w:val="24"/>
        </w:rPr>
      </w:pPr>
    </w:p>
    <w:p w14:paraId="59A463C5">
      <w:pPr>
        <w:kinsoku/>
        <w:topLinePunct w:val="0"/>
        <w:autoSpaceDE w:val="0"/>
        <w:autoSpaceDN w:val="0"/>
        <w:bidi w:val="0"/>
        <w:spacing w:before="74"/>
        <w:ind w:right="891"/>
        <w:jc w:val="center"/>
        <w:textAlignment w:val="auto"/>
        <w:outlineLvl w:val="9"/>
        <w:rPr>
          <w:rFonts w:hint="eastAsia" w:ascii="仿宋" w:hAnsi="仿宋" w:eastAsia="仿宋" w:cs="仿宋"/>
          <w:b/>
          <w:bCs/>
          <w:kern w:val="0"/>
          <w:sz w:val="24"/>
          <w:szCs w:val="24"/>
        </w:rPr>
      </w:pPr>
      <w:r>
        <w:rPr>
          <w:rFonts w:hint="eastAsia" w:ascii="仿宋" w:hAnsi="仿宋" w:eastAsia="仿宋" w:cs="仿宋"/>
          <w:b/>
          <w:bCs/>
          <w:w w:val="95"/>
          <w:kern w:val="0"/>
          <w:sz w:val="24"/>
          <w:szCs w:val="24"/>
        </w:rPr>
        <w:t>法定代表人授权委托书</w:t>
      </w:r>
    </w:p>
    <w:p w14:paraId="1294677E">
      <w:pPr>
        <w:kinsoku/>
        <w:topLinePunct w:val="0"/>
        <w:autoSpaceDE w:val="0"/>
        <w:autoSpaceDN w:val="0"/>
        <w:bidi w:val="0"/>
        <w:snapToGrid w:val="0"/>
        <w:spacing w:before="5" w:line="360" w:lineRule="auto"/>
        <w:jc w:val="left"/>
        <w:textAlignment w:val="auto"/>
        <w:outlineLvl w:val="9"/>
        <w:rPr>
          <w:rFonts w:hint="eastAsia" w:ascii="仿宋" w:hAnsi="仿宋" w:eastAsia="仿宋" w:cs="仿宋"/>
          <w:b/>
          <w:kern w:val="0"/>
          <w:sz w:val="24"/>
          <w:szCs w:val="24"/>
        </w:rPr>
      </w:pPr>
    </w:p>
    <w:p w14:paraId="625307F7">
      <w:pPr>
        <w:kinsoku/>
        <w:topLinePunct w:val="0"/>
        <w:autoSpaceDE w:val="0"/>
        <w:autoSpaceDN w:val="0"/>
        <w:bidi w:val="0"/>
        <w:adjustRightInd w:val="0"/>
        <w:snapToGrid w:val="0"/>
        <w:spacing w:line="360" w:lineRule="auto"/>
        <w:ind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本授权书声明：注册于</w:t>
      </w:r>
      <w:r>
        <w:rPr>
          <w:rFonts w:hint="eastAsia" w:ascii="仿宋" w:hAnsi="仿宋" w:eastAsia="仿宋" w:cs="仿宋"/>
          <w:kern w:val="0"/>
          <w:sz w:val="24"/>
          <w:szCs w:val="24"/>
          <w:u w:val="single"/>
        </w:rPr>
        <w:t>（地区的名称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rPr>
        <w:t>的</w:t>
      </w:r>
      <w:r>
        <w:rPr>
          <w:rFonts w:hint="eastAsia" w:ascii="仿宋" w:hAnsi="仿宋" w:eastAsia="仿宋" w:cs="仿宋"/>
          <w:kern w:val="0"/>
          <w:sz w:val="24"/>
          <w:szCs w:val="24"/>
          <w:u w:val="single"/>
        </w:rPr>
        <w:t>（公司名称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rPr>
        <w:t>，在下面盖章的法定代表人</w:t>
      </w:r>
      <w:r>
        <w:rPr>
          <w:rFonts w:hint="eastAsia" w:ascii="仿宋" w:hAnsi="仿宋" w:eastAsia="仿宋" w:cs="仿宋"/>
          <w:kern w:val="0"/>
          <w:sz w:val="24"/>
          <w:szCs w:val="24"/>
          <w:u w:val="single"/>
        </w:rPr>
        <w:t>（姓名、职务</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rPr>
        <w:t>，代表本公司委托在下面签字的</w:t>
      </w:r>
      <w:r>
        <w:rPr>
          <w:rFonts w:hint="eastAsia" w:ascii="仿宋" w:hAnsi="仿宋" w:eastAsia="仿宋" w:cs="仿宋"/>
          <w:kern w:val="0"/>
          <w:sz w:val="24"/>
          <w:szCs w:val="24"/>
          <w:u w:val="single"/>
        </w:rPr>
        <w:t>（被授权人的姓名、职务</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rPr>
        <w:t>为本公司的合法代理人，就</w:t>
      </w:r>
      <w:r>
        <w:rPr>
          <w:rFonts w:hint="eastAsia" w:ascii="仿宋" w:hAnsi="仿宋" w:eastAsia="仿宋" w:cs="仿宋"/>
          <w:kern w:val="0"/>
          <w:sz w:val="24"/>
          <w:szCs w:val="24"/>
          <w:u w:val="single"/>
        </w:rPr>
        <w:t>（项目名称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rPr>
        <w:t>的磋商，以本公司的名义处理一切与之有关的事务。</w:t>
      </w:r>
    </w:p>
    <w:p w14:paraId="26657B9A">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本授权书于  年  月  日签字生效，代理人无转委托权，特此声明。</w:t>
      </w:r>
    </w:p>
    <w:p w14:paraId="1E4399DD">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b/>
          <w:bCs/>
          <w:kern w:val="0"/>
          <w:sz w:val="24"/>
          <w:szCs w:val="24"/>
        </w:rPr>
        <w:t>附：被授权人的身份证扫描件（加盖单位公章</w:t>
      </w:r>
      <w:r>
        <w:rPr>
          <w:rFonts w:hint="eastAsia" w:ascii="仿宋" w:hAnsi="仿宋" w:eastAsia="仿宋" w:cs="仿宋"/>
          <w:b/>
          <w:bCs/>
          <w:kern w:val="0"/>
          <w:sz w:val="24"/>
          <w:szCs w:val="24"/>
          <w:lang w:eastAsia="zh-CN"/>
        </w:rPr>
        <w:t>）</w:t>
      </w:r>
    </w:p>
    <w:p w14:paraId="227281BD">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p>
    <w:p w14:paraId="1DE7E9F5">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p>
    <w:p w14:paraId="65071B9E">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p>
    <w:p w14:paraId="5CBB5E67">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（全称</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rPr>
        <w:t>（盖章</w:t>
      </w:r>
      <w:r>
        <w:rPr>
          <w:rFonts w:hint="eastAsia" w:ascii="仿宋" w:hAnsi="仿宋" w:eastAsia="仿宋" w:cs="仿宋"/>
          <w:kern w:val="0"/>
          <w:sz w:val="24"/>
          <w:szCs w:val="24"/>
          <w:u w:val="single"/>
          <w:lang w:eastAsia="zh-CN"/>
        </w:rPr>
        <w:t>）</w:t>
      </w:r>
    </w:p>
    <w:p w14:paraId="1B2185BD">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u w:val="single"/>
          <w:lang w:eastAsia="zh-CN"/>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（签字或盖章</w:t>
      </w:r>
      <w:r>
        <w:rPr>
          <w:rFonts w:hint="eastAsia" w:ascii="仿宋" w:hAnsi="仿宋" w:eastAsia="仿宋" w:cs="仿宋"/>
          <w:kern w:val="0"/>
          <w:sz w:val="24"/>
          <w:szCs w:val="24"/>
          <w:u w:val="single"/>
          <w:lang w:eastAsia="zh-CN"/>
        </w:rPr>
        <w:t>）</w:t>
      </w:r>
    </w:p>
    <w:p w14:paraId="701461D9">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58FAB8E4">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委托代理人签字：</w:t>
      </w:r>
      <w:r>
        <w:rPr>
          <w:rFonts w:hint="eastAsia" w:ascii="仿宋" w:hAnsi="仿宋" w:eastAsia="仿宋" w:cs="仿宋"/>
          <w:kern w:val="0"/>
          <w:sz w:val="24"/>
          <w:szCs w:val="24"/>
          <w:u w:val="single"/>
        </w:rPr>
        <w:t xml:space="preserve">             </w:t>
      </w:r>
    </w:p>
    <w:p w14:paraId="2593F4CC">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3822F427">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授权日期：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2FFD3EEE">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p>
    <w:p w14:paraId="2164043C">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p>
    <w:p w14:paraId="1503281F">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注：1.法定代表人盖章必须是相关主管行政部门备案的法定代表人印章。不得使用其他印章或是电子版签名。</w:t>
      </w:r>
    </w:p>
    <w:p w14:paraId="3526FB30">
      <w:pPr>
        <w:kinsoku/>
        <w:topLinePunct w:val="0"/>
        <w:autoSpaceDE w:val="0"/>
        <w:autoSpaceDN w:val="0"/>
        <w:bidi w:val="0"/>
        <w:adjustRightInd w:val="0"/>
        <w:snapToGrid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2、供应商的委托代理人作为公司的代表前来参加磋商的供应商，须提供此项证明文件。</w:t>
      </w:r>
    </w:p>
    <w:p w14:paraId="337F36AE">
      <w:pPr>
        <w:widowControl/>
        <w:kinsoku/>
        <w:topLinePunct w:val="0"/>
        <w:bidi w:val="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br w:type="page"/>
      </w:r>
    </w:p>
    <w:p w14:paraId="248B6223">
      <w:pPr>
        <w:pStyle w:val="1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附件1－3</w:t>
      </w:r>
    </w:p>
    <w:p w14:paraId="0266AB82">
      <w:pPr>
        <w:spacing w:line="480" w:lineRule="auto"/>
        <w:jc w:val="center"/>
        <w:rPr>
          <w:rFonts w:hint="eastAsia" w:ascii="仿宋" w:hAnsi="仿宋" w:eastAsia="仿宋" w:cs="仿宋"/>
          <w:b/>
          <w:bCs/>
          <w:sz w:val="28"/>
          <w:highlight w:val="none"/>
        </w:rPr>
      </w:pPr>
      <w:r>
        <w:rPr>
          <w:rFonts w:hint="eastAsia" w:ascii="仿宋" w:hAnsi="仿宋" w:eastAsia="仿宋" w:cs="仿宋"/>
          <w:b/>
          <w:bCs/>
          <w:sz w:val="24"/>
          <w:szCs w:val="21"/>
          <w:highlight w:val="none"/>
        </w:rPr>
        <w:t>授权委托书(适用于自然人磋商)</w:t>
      </w:r>
    </w:p>
    <w:p w14:paraId="60846599">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致：____________(采购人或采购代理机构)</w:t>
      </w:r>
    </w:p>
    <w:p w14:paraId="2F18574D">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我________(姓名)系自然人，现授权委托________(姓名)以本人名义参加____________(项目名称)的磋商活动，并代表本人全权办理针对上述项目的磋商、签约等具体事务和签署相关文件。</w:t>
      </w:r>
    </w:p>
    <w:p w14:paraId="29273253">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本人对被授权人的签字事项负全部责任。</w:t>
      </w:r>
    </w:p>
    <w:p w14:paraId="25F9F279">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授权委托代理期限：从年月日起至年月日止。</w:t>
      </w:r>
    </w:p>
    <w:p w14:paraId="154BECFF">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代理人无转委托权，特此委托。</w:t>
      </w:r>
    </w:p>
    <w:p w14:paraId="081D5E2C">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我已在下面签字，以资证明。</w:t>
      </w:r>
    </w:p>
    <w:p w14:paraId="66C3E887">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highlight w:val="none"/>
        </w:rPr>
        <w:t>自然人签字并在签名处加盖食指指印：年月日</w:t>
      </w:r>
    </w:p>
    <w:p w14:paraId="688BBF9A">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1B47BA06">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6958B28E">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2BE20838">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5DF7CD9E">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2C5BD0AB">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7AD198F2">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35960D17">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7AE4822B">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6EA58C8C">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007912E7">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7B65249F">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65ADF2DC">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7AFD1DC9">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7223FF78">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0A087FCC">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7942A445">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4BAC5176">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47FD8F5C">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59AAA296">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0C7F3A06">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122A74A5">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5B2A1B17">
      <w:pPr>
        <w:kinsoku/>
        <w:topLinePunct w:val="0"/>
        <w:autoSpaceDE w:val="0"/>
        <w:autoSpaceDN w:val="0"/>
        <w:bidi w:val="0"/>
        <w:spacing w:before="62"/>
        <w:jc w:val="left"/>
        <w:textAlignment w:val="auto"/>
        <w:outlineLvl w:val="9"/>
        <w:rPr>
          <w:rFonts w:hint="eastAsia" w:ascii="仿宋" w:hAnsi="仿宋" w:eastAsia="仿宋" w:cs="仿宋"/>
          <w:b/>
          <w:bCs/>
          <w:kern w:val="0"/>
          <w:sz w:val="24"/>
          <w:szCs w:val="24"/>
        </w:rPr>
      </w:pPr>
    </w:p>
    <w:p w14:paraId="32618DAC">
      <w:pPr>
        <w:keepNext w:val="0"/>
        <w:keepLines w:val="0"/>
        <w:pageBreakBefore w:val="0"/>
        <w:widowControl w:val="0"/>
        <w:kinsoku/>
        <w:wordWrap/>
        <w:overflowPunct/>
        <w:topLinePunct w:val="0"/>
        <w:autoSpaceDE w:val="0"/>
        <w:autoSpaceDN w:val="0"/>
        <w:bidi w:val="0"/>
        <w:adjustRightInd/>
        <w:snapToGrid/>
        <w:spacing w:before="62"/>
        <w:jc w:val="center"/>
        <w:textAlignment w:val="auto"/>
        <w:outlineLvl w:val="9"/>
        <w:rPr>
          <w:rFonts w:hint="default" w:ascii="仿宋" w:hAnsi="仿宋" w:eastAsia="仿宋" w:cs="仿宋"/>
          <w:b/>
          <w:bCs/>
          <w:kern w:val="0"/>
          <w:sz w:val="24"/>
          <w:szCs w:val="24"/>
          <w:lang w:val="en-US" w:eastAsia="zh-CN"/>
        </w:rPr>
      </w:pP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rPr>
        <w:t>、报价一览表</w:t>
      </w:r>
      <w:r>
        <w:rPr>
          <w:rFonts w:hint="eastAsia" w:ascii="仿宋" w:hAnsi="仿宋" w:eastAsia="仿宋" w:cs="仿宋"/>
          <w:b/>
          <w:bCs/>
          <w:kern w:val="0"/>
          <w:sz w:val="28"/>
          <w:szCs w:val="28"/>
          <w:lang w:val="en-US" w:eastAsia="zh-CN"/>
        </w:rPr>
        <w:t>及分项价格表</w:t>
      </w:r>
    </w:p>
    <w:p w14:paraId="7B66CD40">
      <w:pPr>
        <w:kinsoku/>
        <w:topLinePunct w:val="0"/>
        <w:autoSpaceDE w:val="0"/>
        <w:autoSpaceDN w:val="0"/>
        <w:bidi w:val="0"/>
        <w:jc w:val="left"/>
        <w:textAlignment w:val="auto"/>
        <w:outlineLvl w:val="9"/>
        <w:rPr>
          <w:rFonts w:hint="eastAsia" w:ascii="仿宋" w:hAnsi="仿宋" w:eastAsia="仿宋" w:cs="仿宋"/>
          <w:kern w:val="0"/>
          <w:sz w:val="24"/>
          <w:szCs w:val="24"/>
        </w:rPr>
      </w:pPr>
      <w:r>
        <w:rPr>
          <w:rFonts w:hint="eastAsia" w:ascii="仿宋" w:hAnsi="仿宋" w:eastAsia="仿宋" w:cs="仿宋"/>
          <w:b/>
          <w:bCs/>
          <w:kern w:val="0"/>
          <w:sz w:val="24"/>
          <w:szCs w:val="24"/>
        </w:rPr>
        <w:t>附件2－1</w:t>
      </w:r>
    </w:p>
    <w:p w14:paraId="31DD11F4">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0906814E">
      <w:pPr>
        <w:keepNext w:val="0"/>
        <w:keepLines w:val="0"/>
        <w:pageBreakBefore w:val="0"/>
        <w:widowControl w:val="0"/>
        <w:kinsoku/>
        <w:wordWrap/>
        <w:overflowPunct/>
        <w:topLinePunct w:val="0"/>
        <w:autoSpaceDE w:val="0"/>
        <w:autoSpaceDN w:val="0"/>
        <w:bidi w:val="0"/>
        <w:adjustRightInd/>
        <w:snapToGrid/>
        <w:ind w:right="0"/>
        <w:jc w:val="center"/>
        <w:textAlignment w:val="auto"/>
        <w:outlineLvl w:val="9"/>
        <w:rPr>
          <w:rFonts w:hint="eastAsia" w:ascii="仿宋" w:hAnsi="仿宋" w:eastAsia="仿宋" w:cs="仿宋"/>
          <w:kern w:val="0"/>
          <w:sz w:val="24"/>
          <w:szCs w:val="24"/>
        </w:rPr>
      </w:pPr>
      <w:r>
        <w:rPr>
          <w:rFonts w:hint="eastAsia" w:ascii="仿宋" w:hAnsi="仿宋" w:eastAsia="仿宋" w:cs="仿宋"/>
          <w:b/>
          <w:bCs/>
          <w:kern w:val="0"/>
          <w:sz w:val="24"/>
          <w:szCs w:val="24"/>
        </w:rPr>
        <w:t>报价一览表</w:t>
      </w:r>
    </w:p>
    <w:p w14:paraId="599B41A2">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3431DBD0">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77CA8CFB">
      <w:pPr>
        <w:kinsoku/>
        <w:topLinePunct w:val="0"/>
        <w:autoSpaceDE w:val="0"/>
        <w:autoSpaceDN w:val="0"/>
        <w:bidi w:val="0"/>
        <w:jc w:val="left"/>
        <w:textAlignment w:val="auto"/>
        <w:outlineLvl w:val="9"/>
        <w:rPr>
          <w:rFonts w:hint="eastAsia" w:ascii="仿宋" w:hAnsi="仿宋" w:eastAsia="仿宋" w:cs="仿宋"/>
          <w:kern w:val="0"/>
          <w:sz w:val="24"/>
          <w:szCs w:val="24"/>
        </w:rPr>
      </w:pPr>
    </w:p>
    <w:tbl>
      <w:tblPr>
        <w:tblStyle w:val="7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1"/>
        <w:gridCol w:w="2278"/>
        <w:gridCol w:w="2441"/>
        <w:gridCol w:w="1059"/>
        <w:gridCol w:w="1483"/>
      </w:tblGrid>
      <w:tr w14:paraId="124C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32" w:type="pct"/>
            <w:vAlign w:val="center"/>
          </w:tcPr>
          <w:p w14:paraId="308F71E5">
            <w:pPr>
              <w:kinsoku/>
              <w:topLinePunct w:val="0"/>
              <w:autoSpaceDE w:val="0"/>
              <w:autoSpaceDN w:val="0"/>
              <w:bidi w:val="0"/>
              <w:snapToGrid w:val="0"/>
              <w:ind w:right="196"/>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序号</w:t>
            </w:r>
          </w:p>
        </w:tc>
        <w:tc>
          <w:tcPr>
            <w:tcW w:w="1370" w:type="pct"/>
            <w:vAlign w:val="center"/>
          </w:tcPr>
          <w:p w14:paraId="0A1129A6">
            <w:pPr>
              <w:kinsoku/>
              <w:topLinePunct w:val="0"/>
              <w:autoSpaceDE w:val="0"/>
              <w:autoSpaceDN w:val="0"/>
              <w:bidi w:val="0"/>
              <w:snapToGrid w:val="0"/>
              <w:ind w:right="134"/>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项目名称</w:t>
            </w:r>
          </w:p>
        </w:tc>
        <w:tc>
          <w:tcPr>
            <w:tcW w:w="1468" w:type="pct"/>
            <w:vAlign w:val="center"/>
          </w:tcPr>
          <w:p w14:paraId="4F777568">
            <w:pPr>
              <w:kinsoku/>
              <w:topLinePunct w:val="0"/>
              <w:autoSpaceDE w:val="0"/>
              <w:autoSpaceDN w:val="0"/>
              <w:bidi w:val="0"/>
              <w:snapToGrid w:val="0"/>
              <w:jc w:val="center"/>
              <w:textAlignment w:val="auto"/>
              <w:outlineLvl w:val="9"/>
              <w:rPr>
                <w:rFonts w:hint="eastAsia" w:ascii="仿宋" w:hAnsi="仿宋" w:eastAsia="仿宋" w:cs="仿宋"/>
                <w:kern w:val="0"/>
                <w:szCs w:val="21"/>
                <w:lang w:eastAsia="en-US"/>
              </w:rPr>
            </w:pPr>
          </w:p>
        </w:tc>
        <w:tc>
          <w:tcPr>
            <w:tcW w:w="637" w:type="pct"/>
            <w:vAlign w:val="center"/>
          </w:tcPr>
          <w:p w14:paraId="34E00826">
            <w:pPr>
              <w:kinsoku/>
              <w:topLinePunct w:val="0"/>
              <w:autoSpaceDE w:val="0"/>
              <w:autoSpaceDN w:val="0"/>
              <w:bidi w:val="0"/>
              <w:snapToGrid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标项号</w:t>
            </w:r>
          </w:p>
        </w:tc>
        <w:tc>
          <w:tcPr>
            <w:tcW w:w="890" w:type="pct"/>
            <w:vAlign w:val="center"/>
          </w:tcPr>
          <w:p w14:paraId="11A56CD4">
            <w:pPr>
              <w:kinsoku/>
              <w:topLinePunct w:val="0"/>
              <w:autoSpaceDE w:val="0"/>
              <w:autoSpaceDN w:val="0"/>
              <w:bidi w:val="0"/>
              <w:snapToGrid w:val="0"/>
              <w:jc w:val="center"/>
              <w:textAlignment w:val="auto"/>
              <w:outlineLvl w:val="9"/>
              <w:rPr>
                <w:rFonts w:hint="eastAsia" w:ascii="仿宋" w:hAnsi="仿宋" w:eastAsia="仿宋" w:cs="仿宋"/>
                <w:kern w:val="0"/>
                <w:szCs w:val="21"/>
                <w:lang w:eastAsia="en-US"/>
              </w:rPr>
            </w:pPr>
          </w:p>
        </w:tc>
      </w:tr>
      <w:tr w14:paraId="154C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632" w:type="pct"/>
            <w:vAlign w:val="center"/>
          </w:tcPr>
          <w:p w14:paraId="25308660">
            <w:pPr>
              <w:kinsoku/>
              <w:topLinePunct w:val="0"/>
              <w:autoSpaceDE w:val="0"/>
              <w:autoSpaceDN w:val="0"/>
              <w:bidi w:val="0"/>
              <w:snapToGrid w:val="0"/>
              <w:spacing w:before="1"/>
              <w:jc w:val="center"/>
              <w:textAlignment w:val="auto"/>
              <w:outlineLvl w:val="9"/>
              <w:rPr>
                <w:rFonts w:hint="eastAsia" w:ascii="仿宋" w:hAnsi="仿宋" w:eastAsia="仿宋" w:cs="仿宋"/>
                <w:kern w:val="0"/>
                <w:szCs w:val="21"/>
                <w:lang w:eastAsia="en-US"/>
              </w:rPr>
            </w:pPr>
          </w:p>
          <w:p w14:paraId="519FE35F">
            <w:pPr>
              <w:kinsoku/>
              <w:topLinePunct w:val="0"/>
              <w:autoSpaceDE w:val="0"/>
              <w:autoSpaceDN w:val="0"/>
              <w:bidi w:val="0"/>
              <w:snapToGrid w:val="0"/>
              <w:spacing w:before="1"/>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1</w:t>
            </w:r>
          </w:p>
        </w:tc>
        <w:tc>
          <w:tcPr>
            <w:tcW w:w="1370" w:type="pct"/>
            <w:vAlign w:val="center"/>
          </w:tcPr>
          <w:p w14:paraId="7DE28CD3">
            <w:pPr>
              <w:kinsoku/>
              <w:topLinePunct w:val="0"/>
              <w:autoSpaceDE w:val="0"/>
              <w:autoSpaceDN w:val="0"/>
              <w:bidi w:val="0"/>
              <w:snapToGrid w:val="0"/>
              <w:spacing w:before="1"/>
              <w:jc w:val="center"/>
              <w:textAlignment w:val="auto"/>
              <w:outlineLvl w:val="9"/>
              <w:rPr>
                <w:rFonts w:hint="eastAsia" w:ascii="仿宋" w:hAnsi="仿宋" w:eastAsia="仿宋" w:cs="仿宋"/>
                <w:kern w:val="0"/>
                <w:szCs w:val="21"/>
                <w:lang w:eastAsia="en-US"/>
              </w:rPr>
            </w:pPr>
          </w:p>
          <w:p w14:paraId="77416845">
            <w:pPr>
              <w:kinsoku/>
              <w:topLinePunct w:val="0"/>
              <w:autoSpaceDE w:val="0"/>
              <w:autoSpaceDN w:val="0"/>
              <w:bidi w:val="0"/>
              <w:snapToGrid w:val="0"/>
              <w:spacing w:before="1"/>
              <w:ind w:right="134"/>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报价</w:t>
            </w:r>
          </w:p>
        </w:tc>
        <w:tc>
          <w:tcPr>
            <w:tcW w:w="2996" w:type="pct"/>
            <w:gridSpan w:val="3"/>
            <w:vAlign w:val="center"/>
          </w:tcPr>
          <w:p w14:paraId="234A1561">
            <w:pPr>
              <w:tabs>
                <w:tab w:val="left" w:pos="2267"/>
              </w:tabs>
              <w:kinsoku/>
              <w:topLinePunct w:val="0"/>
              <w:autoSpaceDE w:val="0"/>
              <w:autoSpaceDN w:val="0"/>
              <w:bidi w:val="0"/>
              <w:snapToGrid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大写：人民币</w:t>
            </w:r>
            <w:r>
              <w:rPr>
                <w:rFonts w:hint="eastAsia" w:ascii="仿宋" w:hAnsi="仿宋" w:eastAsia="仿宋" w:cs="仿宋"/>
                <w:kern w:val="0"/>
                <w:szCs w:val="21"/>
                <w:u w:val="single"/>
                <w:lang w:eastAsia="en-US"/>
              </w:rPr>
              <w:tab/>
            </w:r>
            <w:r>
              <w:rPr>
                <w:rFonts w:hint="eastAsia" w:ascii="仿宋" w:hAnsi="仿宋" w:eastAsia="仿宋" w:cs="仿宋"/>
                <w:kern w:val="0"/>
                <w:szCs w:val="21"/>
                <w:lang w:eastAsia="en-US"/>
              </w:rPr>
              <w:t>元</w:t>
            </w:r>
          </w:p>
          <w:p w14:paraId="6C22FCE2">
            <w:pPr>
              <w:tabs>
                <w:tab w:val="left" w:pos="1842"/>
              </w:tabs>
              <w:kinsoku/>
              <w:topLinePunct w:val="0"/>
              <w:autoSpaceDE w:val="0"/>
              <w:autoSpaceDN w:val="0"/>
              <w:bidi w:val="0"/>
              <w:snapToGrid w:val="0"/>
              <w:spacing w:before="161"/>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小写：￥</w:t>
            </w:r>
          </w:p>
        </w:tc>
      </w:tr>
      <w:tr w14:paraId="6A9CF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32" w:type="pct"/>
            <w:vAlign w:val="center"/>
          </w:tcPr>
          <w:p w14:paraId="2BD9CF3A">
            <w:pPr>
              <w:kinsoku/>
              <w:topLinePunct w:val="0"/>
              <w:autoSpaceDE w:val="0"/>
              <w:autoSpaceDN w:val="0"/>
              <w:bidi w:val="0"/>
              <w:snapToGrid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2</w:t>
            </w:r>
          </w:p>
        </w:tc>
        <w:tc>
          <w:tcPr>
            <w:tcW w:w="1370" w:type="pct"/>
            <w:vAlign w:val="center"/>
          </w:tcPr>
          <w:p w14:paraId="5DEF9C44">
            <w:pPr>
              <w:kinsoku/>
              <w:topLinePunct w:val="0"/>
              <w:autoSpaceDE w:val="0"/>
              <w:autoSpaceDN w:val="0"/>
              <w:bidi w:val="0"/>
              <w:snapToGrid w:val="0"/>
              <w:ind w:right="134"/>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合同履约期限</w:t>
            </w:r>
          </w:p>
        </w:tc>
        <w:tc>
          <w:tcPr>
            <w:tcW w:w="2996" w:type="pct"/>
            <w:gridSpan w:val="3"/>
            <w:vAlign w:val="center"/>
          </w:tcPr>
          <w:p w14:paraId="4C4ABF62">
            <w:pPr>
              <w:kinsoku/>
              <w:topLinePunct w:val="0"/>
              <w:autoSpaceDE w:val="0"/>
              <w:autoSpaceDN w:val="0"/>
              <w:bidi w:val="0"/>
              <w:snapToGrid w:val="0"/>
              <w:jc w:val="center"/>
              <w:textAlignment w:val="auto"/>
              <w:outlineLvl w:val="9"/>
              <w:rPr>
                <w:rFonts w:hint="eastAsia" w:ascii="仿宋" w:hAnsi="仿宋" w:eastAsia="仿宋" w:cs="仿宋"/>
                <w:kern w:val="0"/>
                <w:szCs w:val="21"/>
                <w:lang w:eastAsia="en-US"/>
              </w:rPr>
            </w:pPr>
          </w:p>
        </w:tc>
      </w:tr>
    </w:tbl>
    <w:p w14:paraId="29375E0C">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4C1FC0BC">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7931C5FC">
      <w:pPr>
        <w:kinsoku/>
        <w:topLinePunct w:val="0"/>
        <w:autoSpaceDE w:val="0"/>
        <w:autoSpaceDN w:val="0"/>
        <w:bidi w:val="0"/>
        <w:spacing w:before="3"/>
        <w:jc w:val="left"/>
        <w:textAlignment w:val="auto"/>
        <w:outlineLvl w:val="9"/>
        <w:rPr>
          <w:rFonts w:hint="eastAsia" w:ascii="仿宋" w:hAnsi="仿宋" w:eastAsia="仿宋" w:cs="仿宋"/>
          <w:kern w:val="0"/>
          <w:sz w:val="24"/>
          <w:szCs w:val="24"/>
        </w:rPr>
      </w:pPr>
    </w:p>
    <w:p w14:paraId="05853EA6">
      <w:pPr>
        <w:tabs>
          <w:tab w:val="left" w:pos="4648"/>
        </w:tabs>
        <w:kinsoku/>
        <w:topLinePunct w:val="0"/>
        <w:autoSpaceDE w:val="0"/>
        <w:autoSpaceDN w:val="0"/>
        <w:bidi w:val="0"/>
        <w:spacing w:before="74"/>
        <w:jc w:val="left"/>
        <w:textAlignment w:val="auto"/>
        <w:outlineLvl w:val="9"/>
        <w:rPr>
          <w:rFonts w:hint="eastAsia" w:ascii="仿宋" w:hAnsi="仿宋" w:eastAsia="仿宋" w:cs="仿宋"/>
          <w:kern w:val="0"/>
          <w:sz w:val="24"/>
          <w:szCs w:val="24"/>
        </w:rPr>
      </w:pPr>
      <w:r>
        <w:rPr>
          <w:rFonts w:hint="eastAsia" w:ascii="仿宋" w:hAnsi="仿宋" w:eastAsia="仿宋" w:cs="仿宋"/>
          <w:spacing w:val="-1"/>
          <w:kern w:val="0"/>
          <w:sz w:val="24"/>
          <w:szCs w:val="24"/>
        </w:rPr>
        <w:t>供</w:t>
      </w:r>
      <w:r>
        <w:rPr>
          <w:rFonts w:hint="eastAsia" w:ascii="仿宋" w:hAnsi="仿宋" w:eastAsia="仿宋" w:cs="仿宋"/>
          <w:kern w:val="0"/>
          <w:sz w:val="24"/>
          <w:szCs w:val="24"/>
        </w:rPr>
        <w:t>应商名称(公章)：</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rPr>
        <w:tab/>
      </w:r>
    </w:p>
    <w:p w14:paraId="63C12192">
      <w:pPr>
        <w:kinsoku/>
        <w:topLinePunct w:val="0"/>
        <w:autoSpaceDE w:val="0"/>
        <w:autoSpaceDN w:val="0"/>
        <w:bidi w:val="0"/>
        <w:spacing w:before="8"/>
        <w:jc w:val="left"/>
        <w:textAlignment w:val="auto"/>
        <w:outlineLvl w:val="9"/>
        <w:rPr>
          <w:rFonts w:hint="eastAsia" w:ascii="仿宋" w:hAnsi="仿宋" w:eastAsia="仿宋" w:cs="仿宋"/>
          <w:kern w:val="0"/>
          <w:sz w:val="24"/>
          <w:szCs w:val="24"/>
        </w:rPr>
      </w:pPr>
    </w:p>
    <w:p w14:paraId="0331D1E2">
      <w:pPr>
        <w:tabs>
          <w:tab w:val="left" w:pos="6808"/>
        </w:tabs>
        <w:kinsoku/>
        <w:topLinePunct w:val="0"/>
        <w:autoSpaceDE w:val="0"/>
        <w:autoSpaceDN w:val="0"/>
        <w:bidi w:val="0"/>
        <w:spacing w:before="74"/>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法定代表人或其授权代表(签字或盖章)：</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rPr>
        <w:tab/>
      </w:r>
    </w:p>
    <w:p w14:paraId="294D7789">
      <w:pPr>
        <w:kinsoku/>
        <w:topLinePunct w:val="0"/>
        <w:autoSpaceDE w:val="0"/>
        <w:autoSpaceDN w:val="0"/>
        <w:bidi w:val="0"/>
        <w:spacing w:before="8"/>
        <w:jc w:val="left"/>
        <w:textAlignment w:val="auto"/>
        <w:outlineLvl w:val="9"/>
        <w:rPr>
          <w:rFonts w:hint="eastAsia" w:ascii="仿宋" w:hAnsi="仿宋" w:eastAsia="仿宋" w:cs="仿宋"/>
          <w:kern w:val="0"/>
          <w:sz w:val="24"/>
          <w:szCs w:val="24"/>
        </w:rPr>
      </w:pPr>
    </w:p>
    <w:p w14:paraId="1BEF9199">
      <w:pPr>
        <w:tabs>
          <w:tab w:val="left" w:pos="2433"/>
          <w:tab w:val="left" w:pos="3153"/>
          <w:tab w:val="left" w:pos="3873"/>
        </w:tabs>
        <w:kinsoku/>
        <w:topLinePunct w:val="0"/>
        <w:autoSpaceDE w:val="0"/>
        <w:autoSpaceDN w:val="0"/>
        <w:bidi w:val="0"/>
        <w:spacing w:before="74"/>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14:paraId="50B1685B">
      <w:pPr>
        <w:kinsoku/>
        <w:topLinePunct w:val="0"/>
        <w:autoSpaceDE w:val="0"/>
        <w:autoSpaceDN w:val="0"/>
        <w:bidi w:val="0"/>
        <w:spacing w:before="6"/>
        <w:jc w:val="left"/>
        <w:textAlignment w:val="auto"/>
        <w:outlineLvl w:val="9"/>
        <w:rPr>
          <w:rFonts w:hint="eastAsia" w:ascii="仿宋" w:hAnsi="仿宋" w:eastAsia="仿宋" w:cs="仿宋"/>
          <w:kern w:val="0"/>
          <w:sz w:val="24"/>
          <w:szCs w:val="24"/>
        </w:rPr>
      </w:pPr>
    </w:p>
    <w:p w14:paraId="40FD59BA">
      <w:pPr>
        <w:kinsoku/>
        <w:topLinePunct w:val="0"/>
        <w:autoSpaceDE w:val="0"/>
        <w:autoSpaceDN w:val="0"/>
        <w:bidi w:val="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说明：授权用投标专用章的，与公章具有相同法律效力。</w:t>
      </w:r>
    </w:p>
    <w:p w14:paraId="19C062F0">
      <w:pPr>
        <w:pStyle w:val="12"/>
        <w:kinsoku/>
        <w:topLinePunct w:val="0"/>
        <w:bidi w:val="0"/>
        <w:textAlignment w:val="auto"/>
        <w:outlineLvl w:val="9"/>
        <w:rPr>
          <w:rFonts w:hint="eastAsia" w:ascii="仿宋" w:hAnsi="仿宋" w:eastAsia="仿宋" w:cs="仿宋"/>
        </w:rPr>
      </w:pPr>
    </w:p>
    <w:p w14:paraId="52681946">
      <w:pPr>
        <w:kinsoku/>
        <w:topLinePunct w:val="0"/>
        <w:autoSpaceDE w:val="0"/>
        <w:autoSpaceDN w:val="0"/>
        <w:bidi w:val="0"/>
        <w:jc w:val="left"/>
        <w:textAlignment w:val="auto"/>
        <w:outlineLvl w:val="9"/>
        <w:rPr>
          <w:rFonts w:hint="eastAsia" w:ascii="仿宋" w:hAnsi="仿宋" w:eastAsia="仿宋" w:cs="仿宋"/>
          <w:kern w:val="0"/>
          <w:sz w:val="24"/>
          <w:szCs w:val="24"/>
        </w:rPr>
        <w:sectPr>
          <w:headerReference r:id="rId7" w:type="default"/>
          <w:footerReference r:id="rId8" w:type="default"/>
          <w:pgSz w:w="11911" w:h="16838"/>
          <w:pgMar w:top="1440" w:right="1803" w:bottom="1440" w:left="1803" w:header="850" w:footer="1088" w:gutter="0"/>
          <w:cols w:space="0" w:num="1"/>
        </w:sectPr>
      </w:pPr>
    </w:p>
    <w:p w14:paraId="413B0886">
      <w:pPr>
        <w:pStyle w:val="18"/>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附件2－</w:t>
      </w:r>
      <w:r>
        <w:rPr>
          <w:rFonts w:hint="eastAsia" w:ascii="仿宋" w:hAnsi="仿宋" w:eastAsia="仿宋" w:cs="仿宋"/>
          <w:b/>
          <w:bCs/>
          <w:sz w:val="24"/>
          <w:szCs w:val="24"/>
          <w:highlight w:val="none"/>
          <w:lang w:val="en-US" w:eastAsia="zh-CN"/>
        </w:rPr>
        <w:t xml:space="preserve">2 </w:t>
      </w:r>
      <w:r>
        <w:rPr>
          <w:rFonts w:hint="eastAsia" w:ascii="仿宋_GB2312" w:hAnsi="宋体" w:eastAsia="仿宋_GB2312"/>
          <w:b/>
          <w:bCs/>
          <w:sz w:val="24"/>
          <w:highlight w:val="none"/>
        </w:rPr>
        <w:t>分项报价表</w:t>
      </w:r>
    </w:p>
    <w:p w14:paraId="59E4F286">
      <w:pPr>
        <w:pStyle w:val="18"/>
        <w:ind w:left="1080" w:leftChars="257" w:hanging="540"/>
        <w:rPr>
          <w:rFonts w:hint="eastAsia" w:ascii="仿宋_GB2312" w:eastAsia="仿宋_GB2312" w:cs="Times New Roman"/>
          <w:sz w:val="24"/>
          <w:highlight w:val="none"/>
        </w:rPr>
      </w:pPr>
    </w:p>
    <w:p w14:paraId="036F218F">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 勘察费用清单说明</w:t>
      </w:r>
    </w:p>
    <w:p w14:paraId="615F155E">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 勘察费用清单</w:t>
      </w:r>
    </w:p>
    <w:p w14:paraId="58847E1B">
      <w:pPr>
        <w:keepNext w:val="0"/>
        <w:keepLines w:val="0"/>
        <w:kinsoku/>
        <w:overflowPunct/>
        <w:topLinePunct w:val="0"/>
        <w:bidi w:val="0"/>
        <w:spacing w:line="360" w:lineRule="auto"/>
        <w:ind w:firstLine="480" w:firstLineChars="200"/>
        <w:jc w:val="righ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单位：人民币元</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3756"/>
        <w:gridCol w:w="2299"/>
        <w:gridCol w:w="1210"/>
        <w:gridCol w:w="652"/>
      </w:tblGrid>
      <w:tr w14:paraId="5BE3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23AF0F37">
            <w:pPr>
              <w:keepNext w:val="0"/>
              <w:keepLines w:val="0"/>
              <w:widowControl/>
              <w:kinsoku/>
              <w:overflowPunct/>
              <w:topLinePunct w:val="0"/>
              <w:bidi w:val="0"/>
              <w:spacing w:line="240" w:lineRule="auto"/>
              <w:textAlignment w:val="auto"/>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2204" w:type="pct"/>
            <w:noWrap w:val="0"/>
            <w:vAlign w:val="center"/>
          </w:tcPr>
          <w:p w14:paraId="5DE0D7D9">
            <w:pPr>
              <w:keepNext w:val="0"/>
              <w:keepLines w:val="0"/>
              <w:widowControl/>
              <w:kinsoku/>
              <w:overflowPunct/>
              <w:topLinePunct w:val="0"/>
              <w:bidi w:val="0"/>
              <w:spacing w:line="240" w:lineRule="auto"/>
              <w:textAlignment w:val="auto"/>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勘察费用分项名称</w:t>
            </w:r>
          </w:p>
        </w:tc>
        <w:tc>
          <w:tcPr>
            <w:tcW w:w="1349" w:type="pct"/>
            <w:noWrap w:val="0"/>
            <w:vAlign w:val="center"/>
          </w:tcPr>
          <w:p w14:paraId="03CA337C">
            <w:pPr>
              <w:keepNext w:val="0"/>
              <w:keepLines w:val="0"/>
              <w:widowControl/>
              <w:kinsoku/>
              <w:overflowPunct/>
              <w:topLinePunct w:val="0"/>
              <w:bidi w:val="0"/>
              <w:spacing w:line="240" w:lineRule="auto"/>
              <w:jc w:val="center"/>
              <w:textAlignment w:val="auto"/>
              <w:outlineLvl w:val="9"/>
              <w:rPr>
                <w:rFonts w:hint="eastAsia" w:ascii="仿宋" w:hAnsi="仿宋" w:eastAsia="仿宋" w:cs="仿宋"/>
                <w:b/>
                <w:color w:val="000000"/>
                <w:sz w:val="21"/>
                <w:szCs w:val="21"/>
                <w:lang w:eastAsia="zh-CN"/>
              </w:rPr>
            </w:pPr>
            <w:r>
              <w:rPr>
                <w:rFonts w:hint="eastAsia" w:ascii="仿宋" w:hAnsi="仿宋" w:eastAsia="仿宋" w:cs="仿宋"/>
                <w:b/>
                <w:color w:val="000000"/>
                <w:sz w:val="21"/>
                <w:szCs w:val="21"/>
                <w:lang w:eastAsia="zh-CN"/>
              </w:rPr>
              <w:t>计算依据、过程和</w:t>
            </w:r>
          </w:p>
          <w:p w14:paraId="12CE4C0C">
            <w:pPr>
              <w:keepNext w:val="0"/>
              <w:keepLines w:val="0"/>
              <w:widowControl/>
              <w:kinsoku/>
              <w:overflowPunct/>
              <w:topLinePunct w:val="0"/>
              <w:bidi w:val="0"/>
              <w:spacing w:line="240" w:lineRule="auto"/>
              <w:jc w:val="center"/>
              <w:textAlignment w:val="auto"/>
              <w:outlineLvl w:val="9"/>
              <w:rPr>
                <w:rFonts w:hint="eastAsia" w:ascii="仿宋" w:hAnsi="仿宋" w:eastAsia="仿宋" w:cs="仿宋"/>
                <w:b/>
                <w:color w:val="000000"/>
                <w:sz w:val="21"/>
                <w:szCs w:val="21"/>
                <w:lang w:eastAsia="zh-CN"/>
              </w:rPr>
            </w:pPr>
            <w:r>
              <w:rPr>
                <w:rFonts w:hint="eastAsia" w:ascii="仿宋" w:hAnsi="仿宋" w:eastAsia="仿宋" w:cs="仿宋"/>
                <w:b/>
                <w:color w:val="000000"/>
                <w:sz w:val="21"/>
                <w:szCs w:val="21"/>
                <w:lang w:eastAsia="zh-CN"/>
              </w:rPr>
              <w:t>公式</w:t>
            </w:r>
          </w:p>
        </w:tc>
        <w:tc>
          <w:tcPr>
            <w:tcW w:w="710" w:type="pct"/>
            <w:noWrap w:val="0"/>
            <w:vAlign w:val="center"/>
          </w:tcPr>
          <w:p w14:paraId="34D9E143">
            <w:pPr>
              <w:keepNext w:val="0"/>
              <w:keepLines w:val="0"/>
              <w:widowControl/>
              <w:kinsoku/>
              <w:overflowPunct/>
              <w:topLinePunct w:val="0"/>
              <w:bidi w:val="0"/>
              <w:spacing w:line="240" w:lineRule="auto"/>
              <w:jc w:val="center"/>
              <w:textAlignment w:val="auto"/>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金额（元）</w:t>
            </w:r>
          </w:p>
        </w:tc>
        <w:tc>
          <w:tcPr>
            <w:tcW w:w="382" w:type="pct"/>
            <w:noWrap w:val="0"/>
            <w:vAlign w:val="center"/>
          </w:tcPr>
          <w:p w14:paraId="3C87522E">
            <w:pPr>
              <w:keepNext w:val="0"/>
              <w:keepLines w:val="0"/>
              <w:widowControl/>
              <w:kinsoku/>
              <w:overflowPunct/>
              <w:topLinePunct w:val="0"/>
              <w:bidi w:val="0"/>
              <w:spacing w:line="240" w:lineRule="auto"/>
              <w:jc w:val="center"/>
              <w:textAlignment w:val="auto"/>
              <w:outlineLvl w:val="9"/>
              <w:rPr>
                <w:rFonts w:hint="eastAsia" w:ascii="仿宋" w:hAnsi="仿宋" w:eastAsia="仿宋" w:cs="仿宋"/>
                <w:b/>
                <w:color w:val="000000"/>
                <w:sz w:val="21"/>
                <w:szCs w:val="21"/>
              </w:rPr>
            </w:pPr>
            <w:r>
              <w:rPr>
                <w:rFonts w:hint="eastAsia" w:ascii="仿宋" w:hAnsi="仿宋" w:eastAsia="仿宋" w:cs="仿宋"/>
                <w:b/>
                <w:color w:val="000000"/>
                <w:sz w:val="21"/>
                <w:szCs w:val="21"/>
              </w:rPr>
              <w:t>备注</w:t>
            </w:r>
          </w:p>
        </w:tc>
      </w:tr>
      <w:tr w14:paraId="5CE7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47CCF7FC">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2204" w:type="pct"/>
            <w:noWrap w:val="0"/>
            <w:vAlign w:val="center"/>
          </w:tcPr>
          <w:p w14:paraId="2EDFDE4F">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勘探测量实物工作费</w:t>
            </w:r>
          </w:p>
        </w:tc>
        <w:tc>
          <w:tcPr>
            <w:tcW w:w="1349" w:type="pct"/>
            <w:noWrap w:val="0"/>
            <w:vAlign w:val="center"/>
          </w:tcPr>
          <w:p w14:paraId="55C9A710">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710" w:type="pct"/>
            <w:noWrap w:val="0"/>
            <w:vAlign w:val="center"/>
          </w:tcPr>
          <w:p w14:paraId="4A74ED8C">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382" w:type="pct"/>
            <w:noWrap w:val="0"/>
            <w:vAlign w:val="center"/>
          </w:tcPr>
          <w:p w14:paraId="2D1410D1">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r>
      <w:tr w14:paraId="457F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440C416B">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2204" w:type="pct"/>
            <w:noWrap w:val="0"/>
            <w:vAlign w:val="center"/>
          </w:tcPr>
          <w:p w14:paraId="684C1660">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勘探探井实物工作费</w:t>
            </w:r>
          </w:p>
        </w:tc>
        <w:tc>
          <w:tcPr>
            <w:tcW w:w="1349" w:type="pct"/>
            <w:noWrap w:val="0"/>
            <w:vAlign w:val="center"/>
          </w:tcPr>
          <w:p w14:paraId="1FED92D2">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710" w:type="pct"/>
            <w:noWrap w:val="0"/>
            <w:vAlign w:val="center"/>
          </w:tcPr>
          <w:p w14:paraId="1BA4119E">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382" w:type="pct"/>
            <w:noWrap w:val="0"/>
            <w:vAlign w:val="center"/>
          </w:tcPr>
          <w:p w14:paraId="30C6C89E">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r>
      <w:tr w14:paraId="26B2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25805DBB">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2204" w:type="pct"/>
            <w:noWrap w:val="0"/>
            <w:vAlign w:val="center"/>
          </w:tcPr>
          <w:p w14:paraId="3377ECBB">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勘探钻孔实物工作费</w:t>
            </w:r>
          </w:p>
        </w:tc>
        <w:tc>
          <w:tcPr>
            <w:tcW w:w="1349" w:type="pct"/>
            <w:noWrap w:val="0"/>
            <w:vAlign w:val="center"/>
          </w:tcPr>
          <w:p w14:paraId="4CACD298">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710" w:type="pct"/>
            <w:noWrap w:val="0"/>
            <w:vAlign w:val="center"/>
          </w:tcPr>
          <w:p w14:paraId="08A1B596">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382" w:type="pct"/>
            <w:noWrap w:val="0"/>
            <w:vAlign w:val="center"/>
          </w:tcPr>
          <w:p w14:paraId="29284C69">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r>
      <w:tr w14:paraId="7DA1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2CFCB874">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2204" w:type="pct"/>
            <w:noWrap w:val="0"/>
            <w:vAlign w:val="center"/>
          </w:tcPr>
          <w:p w14:paraId="1EAE5CC6">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取土、水、石试样实物工作费</w:t>
            </w:r>
          </w:p>
        </w:tc>
        <w:tc>
          <w:tcPr>
            <w:tcW w:w="1349" w:type="pct"/>
            <w:noWrap w:val="0"/>
            <w:vAlign w:val="center"/>
          </w:tcPr>
          <w:p w14:paraId="48D5D32A">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710" w:type="pct"/>
            <w:noWrap w:val="0"/>
            <w:vAlign w:val="center"/>
          </w:tcPr>
          <w:p w14:paraId="50FBD330">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382" w:type="pct"/>
            <w:noWrap w:val="0"/>
            <w:vAlign w:val="center"/>
          </w:tcPr>
          <w:p w14:paraId="0189F3DD">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r>
      <w:tr w14:paraId="6AA1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09A7C392">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2204" w:type="pct"/>
            <w:noWrap w:val="0"/>
            <w:vAlign w:val="center"/>
          </w:tcPr>
          <w:p w14:paraId="3BB3AD42">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原位测试实物工作费</w:t>
            </w:r>
          </w:p>
        </w:tc>
        <w:tc>
          <w:tcPr>
            <w:tcW w:w="1349" w:type="pct"/>
            <w:noWrap w:val="0"/>
            <w:vAlign w:val="center"/>
          </w:tcPr>
          <w:p w14:paraId="17B80CC3">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710" w:type="pct"/>
            <w:noWrap w:val="0"/>
            <w:vAlign w:val="center"/>
          </w:tcPr>
          <w:p w14:paraId="2CBD0FC9">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382" w:type="pct"/>
            <w:noWrap w:val="0"/>
            <w:vAlign w:val="center"/>
          </w:tcPr>
          <w:p w14:paraId="1B6A42B8">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r>
      <w:tr w14:paraId="0A2B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479FDB31">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2204" w:type="pct"/>
            <w:noWrap w:val="0"/>
            <w:vAlign w:val="center"/>
          </w:tcPr>
          <w:p w14:paraId="5CA262D4">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土工试验、水土质化学分析试验工作费</w:t>
            </w:r>
          </w:p>
        </w:tc>
        <w:tc>
          <w:tcPr>
            <w:tcW w:w="1349" w:type="pct"/>
            <w:noWrap w:val="0"/>
            <w:vAlign w:val="center"/>
          </w:tcPr>
          <w:p w14:paraId="3897305C">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710" w:type="pct"/>
            <w:noWrap w:val="0"/>
            <w:vAlign w:val="center"/>
          </w:tcPr>
          <w:p w14:paraId="1A8E7D68">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382" w:type="pct"/>
            <w:noWrap w:val="0"/>
            <w:vAlign w:val="center"/>
          </w:tcPr>
          <w:p w14:paraId="04F04CBD">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r>
      <w:tr w14:paraId="2DE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007BD97D">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2204" w:type="pct"/>
            <w:noWrap w:val="0"/>
            <w:vAlign w:val="center"/>
          </w:tcPr>
          <w:p w14:paraId="5DF79906">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岩土工程验槽费（包含全线所涉及到的验槽）</w:t>
            </w:r>
          </w:p>
        </w:tc>
        <w:tc>
          <w:tcPr>
            <w:tcW w:w="1349" w:type="pct"/>
            <w:noWrap w:val="0"/>
            <w:vAlign w:val="center"/>
          </w:tcPr>
          <w:p w14:paraId="5385BC8C">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710" w:type="pct"/>
            <w:noWrap w:val="0"/>
            <w:vAlign w:val="center"/>
          </w:tcPr>
          <w:p w14:paraId="09D2F0C8">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382" w:type="pct"/>
            <w:noWrap w:val="0"/>
            <w:vAlign w:val="center"/>
          </w:tcPr>
          <w:p w14:paraId="5227D9D9">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r>
      <w:tr w14:paraId="2D92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2D01D6A6">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2204" w:type="pct"/>
            <w:noWrap w:val="0"/>
            <w:vAlign w:val="center"/>
          </w:tcPr>
          <w:p w14:paraId="7C1D192F">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岩土工程勘察技术工作费</w:t>
            </w:r>
          </w:p>
        </w:tc>
        <w:tc>
          <w:tcPr>
            <w:tcW w:w="1349" w:type="pct"/>
            <w:noWrap w:val="0"/>
            <w:vAlign w:val="center"/>
          </w:tcPr>
          <w:p w14:paraId="13235681">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710" w:type="pct"/>
            <w:noWrap w:val="0"/>
            <w:vAlign w:val="center"/>
          </w:tcPr>
          <w:p w14:paraId="553F0BFF">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c>
          <w:tcPr>
            <w:tcW w:w="382" w:type="pct"/>
            <w:noWrap w:val="0"/>
            <w:vAlign w:val="center"/>
          </w:tcPr>
          <w:p w14:paraId="0145BCFE">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lang w:eastAsia="zh-CN"/>
              </w:rPr>
            </w:pPr>
          </w:p>
        </w:tc>
      </w:tr>
      <w:tr w14:paraId="3EF9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noWrap w:val="0"/>
            <w:vAlign w:val="center"/>
          </w:tcPr>
          <w:p w14:paraId="0F983548">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2204" w:type="pct"/>
            <w:noWrap w:val="0"/>
            <w:vAlign w:val="center"/>
          </w:tcPr>
          <w:p w14:paraId="126B6F23">
            <w:pPr>
              <w:keepNext w:val="0"/>
              <w:keepLines w:val="0"/>
              <w:kinsoku/>
              <w:overflowPunct/>
              <w:topLinePunct w:val="0"/>
              <w:bidi w:val="0"/>
              <w:spacing w:line="240" w:lineRule="auto"/>
              <w:textAlignment w:val="auto"/>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1349" w:type="pct"/>
            <w:noWrap w:val="0"/>
            <w:vAlign w:val="center"/>
          </w:tcPr>
          <w:p w14:paraId="77F0DCC7">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710" w:type="pct"/>
            <w:noWrap w:val="0"/>
            <w:vAlign w:val="center"/>
          </w:tcPr>
          <w:p w14:paraId="61A4A5D5">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382" w:type="pct"/>
            <w:noWrap w:val="0"/>
            <w:vAlign w:val="center"/>
          </w:tcPr>
          <w:p w14:paraId="36FCFC4F">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r>
      <w:tr w14:paraId="7A0B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6" w:type="pct"/>
            <w:gridSpan w:val="3"/>
            <w:noWrap w:val="0"/>
            <w:vAlign w:val="center"/>
          </w:tcPr>
          <w:p w14:paraId="7AE0D15E">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r>
              <w:rPr>
                <w:rFonts w:hint="eastAsia" w:ascii="仿宋" w:hAnsi="仿宋" w:eastAsia="仿宋" w:cs="仿宋"/>
                <w:b/>
                <w:color w:val="000000"/>
                <w:sz w:val="21"/>
                <w:szCs w:val="21"/>
              </w:rPr>
              <w:t>合计报价</w:t>
            </w:r>
          </w:p>
        </w:tc>
        <w:tc>
          <w:tcPr>
            <w:tcW w:w="710" w:type="pct"/>
            <w:noWrap w:val="0"/>
            <w:vAlign w:val="center"/>
          </w:tcPr>
          <w:p w14:paraId="166C14F6">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c>
          <w:tcPr>
            <w:tcW w:w="382" w:type="pct"/>
            <w:noWrap w:val="0"/>
            <w:vAlign w:val="center"/>
          </w:tcPr>
          <w:p w14:paraId="267F0C20">
            <w:pPr>
              <w:keepNext w:val="0"/>
              <w:keepLines w:val="0"/>
              <w:kinsoku/>
              <w:overflowPunct/>
              <w:topLinePunct w:val="0"/>
              <w:bidi w:val="0"/>
              <w:spacing w:line="240" w:lineRule="auto"/>
              <w:jc w:val="center"/>
              <w:textAlignment w:val="auto"/>
              <w:outlineLvl w:val="9"/>
              <w:rPr>
                <w:rFonts w:hint="eastAsia" w:ascii="仿宋" w:hAnsi="仿宋" w:eastAsia="仿宋" w:cs="仿宋"/>
                <w:color w:val="000000"/>
                <w:sz w:val="21"/>
                <w:szCs w:val="21"/>
              </w:rPr>
            </w:pPr>
          </w:p>
        </w:tc>
      </w:tr>
    </w:tbl>
    <w:p w14:paraId="7088BFBE">
      <w:pPr>
        <w:keepNext w:val="0"/>
        <w:keepLines w:val="0"/>
        <w:kinsoku/>
        <w:overflowPunct/>
        <w:topLinePunct w:val="0"/>
        <w:bidi w:val="0"/>
        <w:spacing w:line="360" w:lineRule="auto"/>
        <w:ind w:firstLine="482" w:firstLineChars="200"/>
        <w:textAlignment w:val="auto"/>
        <w:outlineLvl w:val="9"/>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注：</w:t>
      </w:r>
    </w:p>
    <w:p w14:paraId="69DF8CE1">
      <w:pPr>
        <w:keepNext w:val="0"/>
        <w:keepLines w:val="0"/>
        <w:kinsoku/>
        <w:overflowPunct/>
        <w:topLinePunct w:val="0"/>
        <w:bidi w:val="0"/>
        <w:spacing w:line="360" w:lineRule="auto"/>
        <w:ind w:firstLine="482" w:firstLineChars="200"/>
        <w:textAlignment w:val="auto"/>
        <w:outlineLvl w:val="9"/>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1、勘察费用清单包括但不限于以上内容，各</w:t>
      </w:r>
      <w:r>
        <w:rPr>
          <w:rFonts w:hint="eastAsia" w:ascii="仿宋" w:hAnsi="仿宋" w:eastAsia="仿宋" w:cs="仿宋"/>
          <w:b/>
          <w:color w:val="000000"/>
          <w:sz w:val="24"/>
          <w:szCs w:val="24"/>
          <w:lang w:val="en-US" w:eastAsia="zh-CN"/>
        </w:rPr>
        <w:t>供应商</w:t>
      </w:r>
      <w:r>
        <w:rPr>
          <w:rFonts w:hint="eastAsia" w:ascii="仿宋" w:hAnsi="仿宋" w:eastAsia="仿宋" w:cs="仿宋"/>
          <w:b/>
          <w:color w:val="000000"/>
          <w:sz w:val="24"/>
          <w:szCs w:val="24"/>
          <w:lang w:eastAsia="zh-CN"/>
        </w:rPr>
        <w:t>可根据企业情况填报。</w:t>
      </w:r>
    </w:p>
    <w:p w14:paraId="6F105564">
      <w:pPr>
        <w:keepNext w:val="0"/>
        <w:keepLines w:val="0"/>
        <w:kinsoku/>
        <w:overflowPunct/>
        <w:topLinePunct w:val="0"/>
        <w:bidi w:val="0"/>
        <w:spacing w:line="360" w:lineRule="auto"/>
        <w:ind w:firstLine="482" w:firstLineChars="200"/>
        <w:textAlignment w:val="auto"/>
        <w:outlineLvl w:val="9"/>
        <w:rPr>
          <w:rFonts w:hint="default" w:ascii="仿宋" w:hAnsi="仿宋" w:eastAsia="仿宋" w:cs="仿宋"/>
          <w:color w:val="000000"/>
          <w:sz w:val="24"/>
          <w:szCs w:val="24"/>
          <w:lang w:val="en-US" w:eastAsia="zh-CN"/>
        </w:rPr>
      </w:pPr>
      <w:bookmarkStart w:id="261" w:name="_bookmark157"/>
      <w:bookmarkEnd w:id="261"/>
      <w:r>
        <w:rPr>
          <w:rFonts w:hint="eastAsia" w:ascii="仿宋" w:hAnsi="仿宋" w:eastAsia="仿宋" w:cs="仿宋"/>
          <w:b/>
          <w:bCs/>
          <w:color w:val="000000"/>
          <w:sz w:val="24"/>
          <w:szCs w:val="24"/>
          <w:lang w:val="en-US" w:eastAsia="zh-CN"/>
        </w:rPr>
        <w:t>2、若勘察费用清单中勘察费用合计报价与报价一览表中的磋商总报价不一致时，以报价一览表中的磋商总报价为准。勘察企业可根据企业实际情况增加分项费用进行报价</w:t>
      </w:r>
      <w:r>
        <w:rPr>
          <w:rFonts w:hint="eastAsia" w:ascii="仿宋" w:hAnsi="仿宋" w:eastAsia="仿宋" w:cs="仿宋"/>
          <w:color w:val="000000"/>
          <w:sz w:val="24"/>
          <w:szCs w:val="24"/>
          <w:lang w:val="en-US" w:eastAsia="zh-CN"/>
        </w:rPr>
        <w:t>。</w:t>
      </w:r>
    </w:p>
    <w:p w14:paraId="05D36EE7">
      <w:pPr>
        <w:keepNext w:val="0"/>
        <w:keepLines w:val="0"/>
        <w:kinsoku/>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lang w:eastAsia="zh-CN"/>
        </w:rPr>
      </w:pPr>
    </w:p>
    <w:p w14:paraId="2EAE0CDB">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名称(公章)：____________</w:t>
      </w:r>
    </w:p>
    <w:p w14:paraId="22CCE932">
      <w:pPr>
        <w:pStyle w:val="1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法定代表人或其授权代表(签字或盖章)：____________</w:t>
      </w:r>
    </w:p>
    <w:p w14:paraId="7A5492D5">
      <w:pPr>
        <w:keepNext w:val="0"/>
        <w:keepLines w:val="0"/>
        <w:pageBreakBefore w:val="0"/>
        <w:widowControl w:val="0"/>
        <w:kinsoku/>
        <w:wordWrap/>
        <w:overflowPunct/>
        <w:topLinePunct w:val="0"/>
        <w:autoSpaceDE w:val="0"/>
        <w:autoSpaceDN w:val="0"/>
        <w:bidi w:val="0"/>
        <w:adjustRightInd/>
        <w:snapToGrid/>
        <w:spacing w:before="62"/>
        <w:ind w:firstLine="480" w:firstLineChars="200"/>
        <w:jc w:val="left"/>
        <w:textAlignment w:val="auto"/>
        <w:outlineLvl w:val="9"/>
        <w:rPr>
          <w:rFonts w:hint="eastAsia" w:ascii="仿宋" w:hAnsi="仿宋" w:eastAsia="仿宋" w:cs="仿宋"/>
          <w:b/>
          <w:bCs/>
          <w:spacing w:val="-1"/>
          <w:kern w:val="0"/>
          <w:sz w:val="24"/>
          <w:szCs w:val="24"/>
        </w:rPr>
      </w:pPr>
      <w:r>
        <w:rPr>
          <w:rFonts w:hint="eastAsia" w:ascii="仿宋" w:hAnsi="仿宋" w:eastAsia="仿宋" w:cs="仿宋"/>
          <w:sz w:val="24"/>
          <w:szCs w:val="24"/>
          <w:highlight w:val="none"/>
        </w:rPr>
        <w:t>日期：______年____月____日</w:t>
      </w:r>
    </w:p>
    <w:p w14:paraId="7E9E7110">
      <w:pPr>
        <w:keepNext w:val="0"/>
        <w:keepLines w:val="0"/>
        <w:pageBreakBefore/>
        <w:widowControl w:val="0"/>
        <w:kinsoku/>
        <w:wordWrap/>
        <w:overflowPunct/>
        <w:topLinePunct w:val="0"/>
        <w:autoSpaceDE w:val="0"/>
        <w:autoSpaceDN w:val="0"/>
        <w:bidi w:val="0"/>
        <w:adjustRightInd/>
        <w:snapToGrid/>
        <w:spacing w:before="62"/>
        <w:jc w:val="center"/>
        <w:textAlignment w:val="auto"/>
        <w:outlineLvl w:val="9"/>
        <w:rPr>
          <w:rFonts w:hint="eastAsia" w:ascii="仿宋" w:hAnsi="仿宋" w:eastAsia="仿宋" w:cs="仿宋"/>
          <w:b/>
          <w:bCs/>
          <w:kern w:val="0"/>
          <w:sz w:val="24"/>
          <w:szCs w:val="24"/>
        </w:rPr>
      </w:pPr>
      <w:r>
        <w:rPr>
          <w:rFonts w:hint="eastAsia" w:ascii="仿宋" w:hAnsi="仿宋" w:eastAsia="仿宋" w:cs="仿宋"/>
          <w:b/>
          <w:bCs/>
          <w:spacing w:val="-1"/>
          <w:kern w:val="0"/>
          <w:sz w:val="28"/>
          <w:szCs w:val="28"/>
          <w:lang w:val="en-US" w:eastAsia="zh-CN"/>
        </w:rPr>
        <w:t>三</w:t>
      </w:r>
      <w:r>
        <w:rPr>
          <w:rFonts w:hint="eastAsia" w:ascii="仿宋" w:hAnsi="仿宋" w:eastAsia="仿宋" w:cs="仿宋"/>
          <w:b/>
          <w:bCs/>
          <w:spacing w:val="-1"/>
          <w:kern w:val="0"/>
          <w:sz w:val="28"/>
          <w:szCs w:val="28"/>
        </w:rPr>
        <w:t>、商务条款偏离表</w:t>
      </w:r>
    </w:p>
    <w:p w14:paraId="1F645C77">
      <w:pPr>
        <w:kinsoku/>
        <w:topLinePunct w:val="0"/>
        <w:autoSpaceDE w:val="0"/>
        <w:autoSpaceDN w:val="0"/>
        <w:bidi w:val="0"/>
        <w:spacing w:before="4"/>
        <w:jc w:val="left"/>
        <w:textAlignment w:val="auto"/>
        <w:outlineLvl w:val="9"/>
        <w:rPr>
          <w:rFonts w:hint="eastAsia" w:ascii="仿宋" w:hAnsi="仿宋" w:eastAsia="仿宋" w:cs="仿宋"/>
          <w:kern w:val="0"/>
          <w:sz w:val="24"/>
          <w:szCs w:val="24"/>
          <w:highlight w:val="yellow"/>
        </w:rPr>
      </w:pPr>
    </w:p>
    <w:p w14:paraId="683BF933">
      <w:pPr>
        <w:keepNext w:val="0"/>
        <w:keepLines w:val="0"/>
        <w:pageBreakBefore w:val="0"/>
        <w:widowControl w:val="0"/>
        <w:kinsoku/>
        <w:wordWrap/>
        <w:overflowPunct/>
        <w:topLinePunct w:val="0"/>
        <w:autoSpaceDE w:val="0"/>
        <w:autoSpaceDN w:val="0"/>
        <w:bidi w:val="0"/>
        <w:adjustRightInd/>
        <w:snapToGrid/>
        <w:ind w:right="0"/>
        <w:jc w:val="center"/>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商务条款偏离表</w:t>
      </w:r>
    </w:p>
    <w:p w14:paraId="5FD40DAA">
      <w:pPr>
        <w:kinsoku/>
        <w:topLinePunct w:val="0"/>
        <w:autoSpaceDE w:val="0"/>
        <w:autoSpaceDN w:val="0"/>
        <w:bidi w:val="0"/>
        <w:spacing w:before="3"/>
        <w:jc w:val="left"/>
        <w:textAlignment w:val="auto"/>
        <w:outlineLvl w:val="9"/>
        <w:rPr>
          <w:rFonts w:hint="eastAsia" w:ascii="仿宋" w:hAnsi="仿宋" w:eastAsia="仿宋" w:cs="仿宋"/>
          <w:kern w:val="0"/>
          <w:sz w:val="24"/>
          <w:szCs w:val="24"/>
          <w:highlight w:val="yellow"/>
        </w:rPr>
      </w:pPr>
    </w:p>
    <w:p w14:paraId="651D216D">
      <w:pPr>
        <w:tabs>
          <w:tab w:val="left" w:pos="7234"/>
        </w:tabs>
        <w:kinsoku/>
        <w:topLinePunct w:val="0"/>
        <w:autoSpaceDE w:val="0"/>
        <w:autoSpaceDN w:val="0"/>
        <w:bidi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项目名称：</w:t>
      </w:r>
      <w:r>
        <w:rPr>
          <w:rFonts w:hint="eastAsia" w:ascii="仿宋" w:hAnsi="仿宋" w:eastAsia="仿宋" w:cs="仿宋"/>
          <w:kern w:val="0"/>
          <w:sz w:val="24"/>
          <w:szCs w:val="24"/>
        </w:rPr>
        <w:tab/>
      </w:r>
    </w:p>
    <w:p w14:paraId="2998374E">
      <w:pPr>
        <w:tabs>
          <w:tab w:val="left" w:pos="7234"/>
        </w:tabs>
        <w:kinsoku/>
        <w:topLinePunct w:val="0"/>
        <w:autoSpaceDE w:val="0"/>
        <w:autoSpaceDN w:val="0"/>
        <w:bidi w:val="0"/>
        <w:spacing w:line="36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标项号： </w:t>
      </w:r>
    </w:p>
    <w:tbl>
      <w:tblPr>
        <w:tblStyle w:val="7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0"/>
        <w:gridCol w:w="3126"/>
        <w:gridCol w:w="2687"/>
        <w:gridCol w:w="875"/>
        <w:gridCol w:w="774"/>
      </w:tblGrid>
      <w:tr w14:paraId="4BCB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11" w:type="pct"/>
            <w:vAlign w:val="center"/>
          </w:tcPr>
          <w:p w14:paraId="4F8E639B">
            <w:pPr>
              <w:kinsoku/>
              <w:topLinePunct w:val="0"/>
              <w:autoSpaceDE w:val="0"/>
              <w:autoSpaceDN w:val="0"/>
              <w:bidi w:val="0"/>
              <w:spacing w:before="1"/>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序号</w:t>
            </w:r>
          </w:p>
        </w:tc>
        <w:tc>
          <w:tcPr>
            <w:tcW w:w="1879" w:type="pct"/>
            <w:vAlign w:val="center"/>
          </w:tcPr>
          <w:p w14:paraId="24901AF6">
            <w:pPr>
              <w:kinsoku/>
              <w:topLinePunct w:val="0"/>
              <w:autoSpaceDE w:val="0"/>
              <w:autoSpaceDN w:val="0"/>
              <w:bidi w:val="0"/>
              <w:ind w:right="181"/>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采购文件的商务条款</w:t>
            </w:r>
          </w:p>
        </w:tc>
        <w:tc>
          <w:tcPr>
            <w:tcW w:w="1615" w:type="pct"/>
            <w:vAlign w:val="center"/>
          </w:tcPr>
          <w:p w14:paraId="47670730">
            <w:pPr>
              <w:kinsoku/>
              <w:topLinePunct w:val="0"/>
              <w:autoSpaceDE w:val="0"/>
              <w:autoSpaceDN w:val="0"/>
              <w:bidi w:val="0"/>
              <w:ind w:right="18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响应文件的商务条款</w:t>
            </w:r>
          </w:p>
        </w:tc>
        <w:tc>
          <w:tcPr>
            <w:tcW w:w="526" w:type="pct"/>
            <w:vAlign w:val="center"/>
          </w:tcPr>
          <w:p w14:paraId="45EB3E20">
            <w:pPr>
              <w:kinsoku/>
              <w:topLinePunct w:val="0"/>
              <w:autoSpaceDE w:val="0"/>
              <w:autoSpaceDN w:val="0"/>
              <w:bidi w:val="0"/>
              <w:spacing w:before="1"/>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偏离</w:t>
            </w:r>
          </w:p>
        </w:tc>
        <w:tc>
          <w:tcPr>
            <w:tcW w:w="465" w:type="pct"/>
            <w:vAlign w:val="center"/>
          </w:tcPr>
          <w:p w14:paraId="65035471">
            <w:pPr>
              <w:kinsoku/>
              <w:topLinePunct w:val="0"/>
              <w:autoSpaceDE w:val="0"/>
              <w:autoSpaceDN w:val="0"/>
              <w:bidi w:val="0"/>
              <w:spacing w:before="1"/>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说明</w:t>
            </w:r>
          </w:p>
        </w:tc>
      </w:tr>
      <w:tr w14:paraId="726E2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11" w:type="pct"/>
            <w:vAlign w:val="center"/>
          </w:tcPr>
          <w:p w14:paraId="5420382B">
            <w:pPr>
              <w:kinsoku/>
              <w:topLinePunct w:val="0"/>
              <w:autoSpaceDE w:val="0"/>
              <w:autoSpaceDN w:val="0"/>
              <w:bidi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1</w:t>
            </w:r>
          </w:p>
        </w:tc>
        <w:tc>
          <w:tcPr>
            <w:tcW w:w="1879" w:type="pct"/>
            <w:vAlign w:val="center"/>
          </w:tcPr>
          <w:p w14:paraId="7317A88D">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1615" w:type="pct"/>
            <w:vAlign w:val="center"/>
          </w:tcPr>
          <w:p w14:paraId="6DAA2EBE">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526" w:type="pct"/>
            <w:vAlign w:val="center"/>
          </w:tcPr>
          <w:p w14:paraId="34D0233D">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465" w:type="pct"/>
            <w:vAlign w:val="center"/>
          </w:tcPr>
          <w:p w14:paraId="2FE4AA83">
            <w:pPr>
              <w:kinsoku/>
              <w:topLinePunct w:val="0"/>
              <w:autoSpaceDE w:val="0"/>
              <w:autoSpaceDN w:val="0"/>
              <w:bidi w:val="0"/>
              <w:textAlignment w:val="auto"/>
              <w:outlineLvl w:val="9"/>
              <w:rPr>
                <w:rFonts w:hint="eastAsia" w:ascii="仿宋" w:hAnsi="仿宋" w:eastAsia="仿宋" w:cs="仿宋"/>
                <w:kern w:val="0"/>
                <w:szCs w:val="21"/>
                <w:lang w:eastAsia="en-US"/>
              </w:rPr>
            </w:pPr>
          </w:p>
        </w:tc>
      </w:tr>
      <w:tr w14:paraId="559C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511" w:type="pct"/>
            <w:vAlign w:val="center"/>
          </w:tcPr>
          <w:p w14:paraId="0685C12F">
            <w:pPr>
              <w:kinsoku/>
              <w:topLinePunct w:val="0"/>
              <w:autoSpaceDE w:val="0"/>
              <w:autoSpaceDN w:val="0"/>
              <w:bidi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2</w:t>
            </w:r>
          </w:p>
        </w:tc>
        <w:tc>
          <w:tcPr>
            <w:tcW w:w="1879" w:type="pct"/>
            <w:vAlign w:val="center"/>
          </w:tcPr>
          <w:p w14:paraId="5450E849">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1615" w:type="pct"/>
            <w:vAlign w:val="center"/>
          </w:tcPr>
          <w:p w14:paraId="3EEC2BE9">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526" w:type="pct"/>
            <w:vAlign w:val="center"/>
          </w:tcPr>
          <w:p w14:paraId="055D58FF">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465" w:type="pct"/>
            <w:vAlign w:val="center"/>
          </w:tcPr>
          <w:p w14:paraId="692BEFD2">
            <w:pPr>
              <w:kinsoku/>
              <w:topLinePunct w:val="0"/>
              <w:autoSpaceDE w:val="0"/>
              <w:autoSpaceDN w:val="0"/>
              <w:bidi w:val="0"/>
              <w:textAlignment w:val="auto"/>
              <w:outlineLvl w:val="9"/>
              <w:rPr>
                <w:rFonts w:hint="eastAsia" w:ascii="仿宋" w:hAnsi="仿宋" w:eastAsia="仿宋" w:cs="仿宋"/>
                <w:kern w:val="0"/>
                <w:szCs w:val="21"/>
                <w:lang w:eastAsia="en-US"/>
              </w:rPr>
            </w:pPr>
          </w:p>
        </w:tc>
      </w:tr>
      <w:tr w14:paraId="6108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511" w:type="pct"/>
            <w:vAlign w:val="center"/>
          </w:tcPr>
          <w:p w14:paraId="683130A2">
            <w:pPr>
              <w:kinsoku/>
              <w:topLinePunct w:val="0"/>
              <w:autoSpaceDE w:val="0"/>
              <w:autoSpaceDN w:val="0"/>
              <w:bidi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3</w:t>
            </w:r>
          </w:p>
        </w:tc>
        <w:tc>
          <w:tcPr>
            <w:tcW w:w="1879" w:type="pct"/>
            <w:vAlign w:val="center"/>
          </w:tcPr>
          <w:p w14:paraId="4223A346">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1615" w:type="pct"/>
            <w:vAlign w:val="center"/>
          </w:tcPr>
          <w:p w14:paraId="6C3B87E6">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526" w:type="pct"/>
            <w:vAlign w:val="center"/>
          </w:tcPr>
          <w:p w14:paraId="42D969BB">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465" w:type="pct"/>
            <w:vAlign w:val="center"/>
          </w:tcPr>
          <w:p w14:paraId="29BA096B">
            <w:pPr>
              <w:kinsoku/>
              <w:topLinePunct w:val="0"/>
              <w:autoSpaceDE w:val="0"/>
              <w:autoSpaceDN w:val="0"/>
              <w:bidi w:val="0"/>
              <w:textAlignment w:val="auto"/>
              <w:outlineLvl w:val="9"/>
              <w:rPr>
                <w:rFonts w:hint="eastAsia" w:ascii="仿宋" w:hAnsi="仿宋" w:eastAsia="仿宋" w:cs="仿宋"/>
                <w:kern w:val="0"/>
                <w:szCs w:val="21"/>
                <w:lang w:eastAsia="en-US"/>
              </w:rPr>
            </w:pPr>
          </w:p>
        </w:tc>
      </w:tr>
      <w:tr w14:paraId="62BDF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511" w:type="pct"/>
            <w:vAlign w:val="center"/>
          </w:tcPr>
          <w:p w14:paraId="11301F8F">
            <w:pPr>
              <w:kinsoku/>
              <w:topLinePunct w:val="0"/>
              <w:autoSpaceDE w:val="0"/>
              <w:autoSpaceDN w:val="0"/>
              <w:bidi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4</w:t>
            </w:r>
          </w:p>
        </w:tc>
        <w:tc>
          <w:tcPr>
            <w:tcW w:w="1879" w:type="pct"/>
            <w:vAlign w:val="center"/>
          </w:tcPr>
          <w:p w14:paraId="7E377009">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1615" w:type="pct"/>
            <w:vAlign w:val="center"/>
          </w:tcPr>
          <w:p w14:paraId="2FD2073A">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526" w:type="pct"/>
            <w:vAlign w:val="center"/>
          </w:tcPr>
          <w:p w14:paraId="276BFC96">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465" w:type="pct"/>
            <w:vAlign w:val="center"/>
          </w:tcPr>
          <w:p w14:paraId="74C5C907">
            <w:pPr>
              <w:kinsoku/>
              <w:topLinePunct w:val="0"/>
              <w:autoSpaceDE w:val="0"/>
              <w:autoSpaceDN w:val="0"/>
              <w:bidi w:val="0"/>
              <w:textAlignment w:val="auto"/>
              <w:outlineLvl w:val="9"/>
              <w:rPr>
                <w:rFonts w:hint="eastAsia" w:ascii="仿宋" w:hAnsi="仿宋" w:eastAsia="仿宋" w:cs="仿宋"/>
                <w:kern w:val="0"/>
                <w:szCs w:val="21"/>
                <w:lang w:eastAsia="en-US"/>
              </w:rPr>
            </w:pPr>
          </w:p>
        </w:tc>
      </w:tr>
      <w:tr w14:paraId="5E40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11" w:type="pct"/>
            <w:vAlign w:val="center"/>
          </w:tcPr>
          <w:p w14:paraId="2CB0CCB1">
            <w:pPr>
              <w:kinsoku/>
              <w:topLinePunct w:val="0"/>
              <w:autoSpaceDE w:val="0"/>
              <w:autoSpaceDN w:val="0"/>
              <w:bidi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5</w:t>
            </w:r>
          </w:p>
        </w:tc>
        <w:tc>
          <w:tcPr>
            <w:tcW w:w="1879" w:type="pct"/>
            <w:vAlign w:val="center"/>
          </w:tcPr>
          <w:p w14:paraId="15A97613">
            <w:pPr>
              <w:kinsoku/>
              <w:topLinePunct w:val="0"/>
              <w:autoSpaceDE w:val="0"/>
              <w:autoSpaceDN w:val="0"/>
              <w:bidi w:val="0"/>
              <w:spacing w:line="440" w:lineRule="exact"/>
              <w:textAlignment w:val="auto"/>
              <w:outlineLvl w:val="9"/>
              <w:rPr>
                <w:rFonts w:hint="eastAsia" w:ascii="仿宋" w:hAnsi="仿宋" w:eastAsia="仿宋" w:cs="仿宋"/>
                <w:kern w:val="0"/>
                <w:szCs w:val="21"/>
                <w:lang w:eastAsia="en-US"/>
              </w:rPr>
            </w:pPr>
          </w:p>
        </w:tc>
        <w:tc>
          <w:tcPr>
            <w:tcW w:w="1615" w:type="pct"/>
            <w:vAlign w:val="center"/>
          </w:tcPr>
          <w:p w14:paraId="21236D3A">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526" w:type="pct"/>
            <w:vAlign w:val="center"/>
          </w:tcPr>
          <w:p w14:paraId="672217FE">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465" w:type="pct"/>
            <w:vAlign w:val="center"/>
          </w:tcPr>
          <w:p w14:paraId="21FF67E2">
            <w:pPr>
              <w:kinsoku/>
              <w:topLinePunct w:val="0"/>
              <w:autoSpaceDE w:val="0"/>
              <w:autoSpaceDN w:val="0"/>
              <w:bidi w:val="0"/>
              <w:textAlignment w:val="auto"/>
              <w:outlineLvl w:val="9"/>
              <w:rPr>
                <w:rFonts w:hint="eastAsia" w:ascii="仿宋" w:hAnsi="仿宋" w:eastAsia="仿宋" w:cs="仿宋"/>
                <w:kern w:val="0"/>
                <w:szCs w:val="21"/>
                <w:lang w:eastAsia="en-US"/>
              </w:rPr>
            </w:pPr>
          </w:p>
        </w:tc>
      </w:tr>
      <w:tr w14:paraId="2A1E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11" w:type="pct"/>
            <w:vAlign w:val="center"/>
          </w:tcPr>
          <w:p w14:paraId="7E8B26E8">
            <w:pPr>
              <w:kinsoku/>
              <w:topLinePunct w:val="0"/>
              <w:autoSpaceDE w:val="0"/>
              <w:autoSpaceDN w:val="0"/>
              <w:bidi w:val="0"/>
              <w:jc w:val="center"/>
              <w:textAlignment w:val="auto"/>
              <w:outlineLvl w:val="9"/>
              <w:rPr>
                <w:rFonts w:hint="eastAsia" w:ascii="仿宋" w:hAnsi="仿宋" w:eastAsia="仿宋" w:cs="仿宋"/>
                <w:kern w:val="0"/>
                <w:szCs w:val="21"/>
                <w:lang w:eastAsia="en-US"/>
              </w:rPr>
            </w:pPr>
            <w:r>
              <w:rPr>
                <w:rFonts w:hint="eastAsia" w:ascii="仿宋" w:hAnsi="仿宋" w:eastAsia="仿宋" w:cs="仿宋"/>
                <w:kern w:val="0"/>
                <w:szCs w:val="21"/>
                <w:lang w:eastAsia="en-US"/>
              </w:rPr>
              <w:t>6</w:t>
            </w:r>
          </w:p>
        </w:tc>
        <w:tc>
          <w:tcPr>
            <w:tcW w:w="1879" w:type="pct"/>
            <w:vAlign w:val="center"/>
          </w:tcPr>
          <w:p w14:paraId="3B609B40">
            <w:pPr>
              <w:pStyle w:val="76"/>
              <w:widowControl w:val="0"/>
              <w:kinsoku/>
              <w:topLinePunct w:val="0"/>
              <w:bidi w:val="0"/>
              <w:ind w:firstLine="0" w:firstLineChars="0"/>
              <w:jc w:val="both"/>
              <w:textAlignment w:val="auto"/>
              <w:outlineLvl w:val="9"/>
              <w:rPr>
                <w:rFonts w:hint="eastAsia" w:ascii="仿宋" w:hAnsi="仿宋" w:eastAsia="仿宋" w:cs="仿宋"/>
                <w:sz w:val="21"/>
                <w:lang w:eastAsia="en-US"/>
              </w:rPr>
            </w:pPr>
          </w:p>
        </w:tc>
        <w:tc>
          <w:tcPr>
            <w:tcW w:w="1615" w:type="pct"/>
            <w:vAlign w:val="center"/>
          </w:tcPr>
          <w:p w14:paraId="0430C197">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526" w:type="pct"/>
            <w:vAlign w:val="center"/>
          </w:tcPr>
          <w:p w14:paraId="5D7F8170">
            <w:pPr>
              <w:kinsoku/>
              <w:topLinePunct w:val="0"/>
              <w:autoSpaceDE w:val="0"/>
              <w:autoSpaceDN w:val="0"/>
              <w:bidi w:val="0"/>
              <w:textAlignment w:val="auto"/>
              <w:outlineLvl w:val="9"/>
              <w:rPr>
                <w:rFonts w:hint="eastAsia" w:ascii="仿宋" w:hAnsi="仿宋" w:eastAsia="仿宋" w:cs="仿宋"/>
                <w:kern w:val="0"/>
                <w:szCs w:val="21"/>
                <w:lang w:eastAsia="en-US"/>
              </w:rPr>
            </w:pPr>
          </w:p>
        </w:tc>
        <w:tc>
          <w:tcPr>
            <w:tcW w:w="465" w:type="pct"/>
            <w:vAlign w:val="center"/>
          </w:tcPr>
          <w:p w14:paraId="7F959FBE">
            <w:pPr>
              <w:kinsoku/>
              <w:topLinePunct w:val="0"/>
              <w:autoSpaceDE w:val="0"/>
              <w:autoSpaceDN w:val="0"/>
              <w:bidi w:val="0"/>
              <w:textAlignment w:val="auto"/>
              <w:outlineLvl w:val="9"/>
              <w:rPr>
                <w:rFonts w:hint="eastAsia" w:ascii="仿宋" w:hAnsi="仿宋" w:eastAsia="仿宋" w:cs="仿宋"/>
                <w:kern w:val="0"/>
                <w:szCs w:val="21"/>
                <w:lang w:eastAsia="en-US"/>
              </w:rPr>
            </w:pPr>
          </w:p>
        </w:tc>
      </w:tr>
    </w:tbl>
    <w:p w14:paraId="645B35DA">
      <w:pPr>
        <w:kinsoku/>
        <w:topLinePunct w:val="0"/>
        <w:autoSpaceDE w:val="0"/>
        <w:autoSpaceDN w:val="0"/>
        <w:bidi w:val="0"/>
        <w:spacing w:before="163"/>
        <w:jc w:val="left"/>
        <w:textAlignment w:val="auto"/>
        <w:outlineLvl w:val="9"/>
        <w:rPr>
          <w:rFonts w:hint="eastAsia" w:ascii="仿宋" w:hAnsi="仿宋" w:eastAsia="仿宋" w:cs="仿宋"/>
          <w:kern w:val="0"/>
          <w:sz w:val="24"/>
          <w:szCs w:val="24"/>
        </w:rPr>
      </w:pPr>
      <w:r>
        <w:rPr>
          <w:rFonts w:hint="eastAsia" w:ascii="仿宋" w:hAnsi="仿宋" w:eastAsia="仿宋" w:cs="仿宋"/>
          <w:spacing w:val="-8"/>
          <w:kern w:val="0"/>
          <w:sz w:val="24"/>
          <w:szCs w:val="24"/>
        </w:rPr>
        <w:t>说明：如有偏离，则必须注明“偏离”</w:t>
      </w:r>
      <w:r>
        <w:rPr>
          <w:rFonts w:hint="eastAsia" w:ascii="仿宋" w:hAnsi="仿宋" w:eastAsia="仿宋" w:cs="仿宋"/>
          <w:spacing w:val="-8"/>
          <w:kern w:val="0"/>
          <w:sz w:val="24"/>
          <w:szCs w:val="24"/>
          <w:lang w:eastAsia="zh-CN"/>
        </w:rPr>
        <w:t>；</w:t>
      </w:r>
      <w:r>
        <w:rPr>
          <w:rFonts w:hint="eastAsia" w:ascii="仿宋" w:hAnsi="仿宋" w:eastAsia="仿宋" w:cs="仿宋"/>
          <w:spacing w:val="-8"/>
          <w:kern w:val="0"/>
          <w:sz w:val="24"/>
          <w:szCs w:val="24"/>
        </w:rPr>
        <w:t>未注明偏离的，视为完全响应。</w:t>
      </w:r>
    </w:p>
    <w:p w14:paraId="1A2DE86E">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6E3A7D94">
      <w:pPr>
        <w:kinsoku/>
        <w:topLinePunct w:val="0"/>
        <w:autoSpaceDE w:val="0"/>
        <w:autoSpaceDN w:val="0"/>
        <w:bidi w:val="0"/>
        <w:spacing w:before="7"/>
        <w:jc w:val="left"/>
        <w:textAlignment w:val="auto"/>
        <w:outlineLvl w:val="9"/>
        <w:rPr>
          <w:rFonts w:hint="eastAsia" w:ascii="仿宋" w:hAnsi="仿宋" w:eastAsia="仿宋" w:cs="仿宋"/>
          <w:kern w:val="0"/>
          <w:sz w:val="24"/>
          <w:szCs w:val="24"/>
        </w:rPr>
      </w:pPr>
    </w:p>
    <w:p w14:paraId="54F08AC1">
      <w:pPr>
        <w:tabs>
          <w:tab w:val="left" w:pos="6088"/>
        </w:tabs>
        <w:kinsoku/>
        <w:topLinePunct w:val="0"/>
        <w:autoSpaceDE w:val="0"/>
        <w:autoSpaceDN w:val="0"/>
        <w:bidi w:val="0"/>
        <w:jc w:val="left"/>
        <w:textAlignment w:val="auto"/>
        <w:outlineLvl w:val="9"/>
        <w:rPr>
          <w:rFonts w:hint="eastAsia" w:ascii="仿宋" w:hAnsi="仿宋" w:eastAsia="仿宋" w:cs="仿宋"/>
          <w:kern w:val="0"/>
          <w:sz w:val="24"/>
          <w:szCs w:val="24"/>
        </w:rPr>
      </w:pPr>
      <w:r>
        <w:rPr>
          <w:rFonts w:hint="eastAsia" w:ascii="仿宋" w:hAnsi="仿宋" w:eastAsia="仿宋" w:cs="仿宋"/>
          <w:spacing w:val="-1"/>
          <w:kern w:val="0"/>
          <w:sz w:val="24"/>
          <w:szCs w:val="24"/>
        </w:rPr>
        <w:t>供</w:t>
      </w:r>
      <w:r>
        <w:rPr>
          <w:rFonts w:hint="eastAsia" w:ascii="仿宋" w:hAnsi="仿宋" w:eastAsia="仿宋" w:cs="仿宋"/>
          <w:kern w:val="0"/>
          <w:sz w:val="24"/>
          <w:szCs w:val="24"/>
        </w:rPr>
        <w:t>应商名称(公章)：</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rPr>
        <w:tab/>
      </w:r>
    </w:p>
    <w:p w14:paraId="2B07EED9">
      <w:pPr>
        <w:kinsoku/>
        <w:topLinePunct w:val="0"/>
        <w:autoSpaceDE w:val="0"/>
        <w:autoSpaceDN w:val="0"/>
        <w:bidi w:val="0"/>
        <w:spacing w:before="8"/>
        <w:jc w:val="left"/>
        <w:textAlignment w:val="auto"/>
        <w:outlineLvl w:val="9"/>
        <w:rPr>
          <w:rFonts w:hint="eastAsia" w:ascii="仿宋" w:hAnsi="仿宋" w:eastAsia="仿宋" w:cs="仿宋"/>
          <w:kern w:val="0"/>
          <w:sz w:val="24"/>
          <w:szCs w:val="24"/>
        </w:rPr>
      </w:pPr>
    </w:p>
    <w:p w14:paraId="6A62C16A">
      <w:pPr>
        <w:tabs>
          <w:tab w:val="left" w:pos="8008"/>
        </w:tabs>
        <w:kinsoku/>
        <w:topLinePunct w:val="0"/>
        <w:autoSpaceDE w:val="0"/>
        <w:autoSpaceDN w:val="0"/>
        <w:bidi w:val="0"/>
        <w:spacing w:before="74"/>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法定代表人或授权代表(签字或盖章)：</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rPr>
        <w:tab/>
      </w:r>
    </w:p>
    <w:p w14:paraId="69A2DD64">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28143606">
      <w:pPr>
        <w:kinsoku/>
        <w:topLinePunct w:val="0"/>
        <w:autoSpaceDE w:val="0"/>
        <w:autoSpaceDN w:val="0"/>
        <w:bidi w:val="0"/>
        <w:jc w:val="left"/>
        <w:textAlignment w:val="auto"/>
        <w:outlineLvl w:val="9"/>
        <w:rPr>
          <w:rFonts w:hint="eastAsia" w:ascii="仿宋" w:hAnsi="仿宋" w:eastAsia="仿宋" w:cs="仿宋"/>
          <w:kern w:val="0"/>
          <w:sz w:val="24"/>
          <w:szCs w:val="24"/>
        </w:rPr>
      </w:pPr>
    </w:p>
    <w:p w14:paraId="2A693EDA">
      <w:pPr>
        <w:kinsoku/>
        <w:topLinePunct w:val="0"/>
        <w:autoSpaceDE w:val="0"/>
        <w:autoSpaceDN w:val="0"/>
        <w:bidi w:val="0"/>
        <w:spacing w:before="7"/>
        <w:jc w:val="left"/>
        <w:textAlignment w:val="auto"/>
        <w:outlineLvl w:val="9"/>
        <w:rPr>
          <w:rFonts w:hint="eastAsia" w:ascii="仿宋" w:hAnsi="仿宋" w:eastAsia="仿宋" w:cs="仿宋"/>
          <w:kern w:val="0"/>
          <w:sz w:val="24"/>
          <w:szCs w:val="24"/>
        </w:rPr>
      </w:pPr>
    </w:p>
    <w:p w14:paraId="229CED4A">
      <w:pPr>
        <w:kinsoku/>
        <w:topLinePunct w:val="0"/>
        <w:autoSpaceDE w:val="0"/>
        <w:autoSpaceDN w:val="0"/>
        <w:bidi w:val="0"/>
        <w:spacing w:before="7"/>
        <w:jc w:val="left"/>
        <w:textAlignment w:val="auto"/>
        <w:outlineLvl w:val="9"/>
        <w:rPr>
          <w:rFonts w:hint="eastAsia" w:ascii="仿宋" w:hAnsi="仿宋" w:eastAsia="仿宋" w:cs="仿宋"/>
          <w:kern w:val="0"/>
          <w:sz w:val="24"/>
          <w:szCs w:val="24"/>
        </w:rPr>
      </w:pPr>
    </w:p>
    <w:p w14:paraId="7947FD48">
      <w:pPr>
        <w:tabs>
          <w:tab w:val="left" w:pos="720"/>
          <w:tab w:val="left" w:pos="1440"/>
          <w:tab w:val="left" w:pos="2160"/>
        </w:tabs>
        <w:kinsoku/>
        <w:topLinePunct w:val="0"/>
        <w:autoSpaceDE w:val="0"/>
        <w:autoSpaceDN w:val="0"/>
        <w:bidi w:val="0"/>
        <w:spacing w:before="74"/>
        <w:ind w:right="500"/>
        <w:jc w:val="righ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rPr>
        <w:tab/>
      </w:r>
      <w:r>
        <w:rPr>
          <w:rFonts w:hint="eastAsia" w:ascii="仿宋" w:hAnsi="仿宋" w:eastAsia="仿宋" w:cs="仿宋"/>
          <w:kern w:val="0"/>
          <w:sz w:val="24"/>
          <w:szCs w:val="24"/>
        </w:rPr>
        <w:t>年</w:t>
      </w:r>
      <w:r>
        <w:rPr>
          <w:rFonts w:hint="eastAsia" w:ascii="仿宋" w:hAnsi="仿宋" w:eastAsia="仿宋" w:cs="仿宋"/>
          <w:kern w:val="0"/>
          <w:sz w:val="24"/>
          <w:szCs w:val="24"/>
          <w:u w:val="single"/>
        </w:rPr>
        <w:tab/>
      </w:r>
      <w:r>
        <w:rPr>
          <w:rFonts w:hint="eastAsia" w:ascii="仿宋" w:hAnsi="仿宋" w:eastAsia="仿宋" w:cs="仿宋"/>
          <w:kern w:val="0"/>
          <w:sz w:val="24"/>
          <w:szCs w:val="24"/>
        </w:rPr>
        <w:t>月</w:t>
      </w:r>
      <w:r>
        <w:rPr>
          <w:rFonts w:hint="eastAsia" w:ascii="仿宋" w:hAnsi="仿宋" w:eastAsia="仿宋" w:cs="仿宋"/>
          <w:kern w:val="0"/>
          <w:sz w:val="24"/>
          <w:szCs w:val="24"/>
          <w:u w:val="single"/>
        </w:rPr>
        <w:tab/>
      </w:r>
      <w:r>
        <w:rPr>
          <w:rFonts w:hint="eastAsia" w:ascii="仿宋" w:hAnsi="仿宋" w:eastAsia="仿宋" w:cs="仿宋"/>
          <w:kern w:val="0"/>
          <w:sz w:val="24"/>
          <w:szCs w:val="24"/>
        </w:rPr>
        <w:t>日</w:t>
      </w:r>
    </w:p>
    <w:p w14:paraId="117B978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60467DAF">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27FB5BE9">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67465B25">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700B9070">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174F3E28">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6242518C">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068DDA36">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0CC196E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8"/>
          <w:szCs w:val="28"/>
          <w:lang w:val="en-US" w:eastAsia="zh-CN"/>
        </w:rPr>
        <w:t>四</w:t>
      </w:r>
      <w:r>
        <w:rPr>
          <w:rFonts w:hint="eastAsia" w:ascii="仿宋" w:hAnsi="仿宋" w:eastAsia="仿宋" w:cs="仿宋"/>
          <w:b/>
          <w:bCs/>
          <w:kern w:val="0"/>
          <w:sz w:val="28"/>
          <w:szCs w:val="28"/>
        </w:rPr>
        <w:t>、磋商保证金</w:t>
      </w:r>
    </w:p>
    <w:p w14:paraId="6B06F3F4">
      <w:pPr>
        <w:kinsoku/>
        <w:topLinePunct w:val="0"/>
        <w:autoSpaceDE w:val="0"/>
        <w:autoSpaceDN w:val="0"/>
        <w:bidi w:val="0"/>
        <w:spacing w:before="1" w:line="360" w:lineRule="auto"/>
        <w:jc w:val="left"/>
        <w:textAlignment w:val="auto"/>
        <w:outlineLvl w:val="9"/>
        <w:rPr>
          <w:rFonts w:hint="eastAsia" w:ascii="仿宋" w:hAnsi="仿宋" w:eastAsia="仿宋" w:cs="仿宋"/>
          <w:kern w:val="0"/>
          <w:sz w:val="24"/>
          <w:szCs w:val="24"/>
        </w:rPr>
      </w:pPr>
    </w:p>
    <w:p w14:paraId="31A2E76D">
      <w:pPr>
        <w:keepNext w:val="0"/>
        <w:keepLines w:val="0"/>
        <w:pageBreakBefore w:val="0"/>
        <w:widowControl w:val="0"/>
        <w:kinsoku/>
        <w:wordWrap/>
        <w:overflowPunct/>
        <w:topLinePunct w:val="0"/>
        <w:autoSpaceDE w:val="0"/>
        <w:autoSpaceDN w:val="0"/>
        <w:bidi w:val="0"/>
        <w:adjustRightInd/>
        <w:snapToGrid/>
        <w:spacing w:before="67" w:line="360" w:lineRule="auto"/>
        <w:ind w:right="890"/>
        <w:jc w:val="center"/>
        <w:textAlignment w:val="auto"/>
        <w:outlineLvl w:val="9"/>
        <w:rPr>
          <w:rFonts w:hint="eastAsia" w:ascii="仿宋" w:hAnsi="仿宋" w:eastAsia="仿宋" w:cs="仿宋"/>
          <w:b/>
          <w:bCs/>
          <w:kern w:val="0"/>
          <w:sz w:val="24"/>
          <w:szCs w:val="24"/>
        </w:rPr>
      </w:pPr>
      <w:r>
        <w:rPr>
          <w:rFonts w:hint="eastAsia" w:ascii="仿宋" w:hAnsi="仿宋" w:eastAsia="仿宋" w:cs="仿宋"/>
          <w:b/>
          <w:bCs/>
          <w:kern w:val="0"/>
          <w:sz w:val="24"/>
          <w:szCs w:val="24"/>
        </w:rPr>
        <w:t>保证金汇款声明函(适用银行转账)</w:t>
      </w:r>
    </w:p>
    <w:p w14:paraId="1B8BC939">
      <w:pPr>
        <w:kinsoku/>
        <w:topLinePunct w:val="0"/>
        <w:autoSpaceDE w:val="0"/>
        <w:autoSpaceDN w:val="0"/>
        <w:bidi w:val="0"/>
        <w:spacing w:before="1" w:line="360" w:lineRule="auto"/>
        <w:jc w:val="left"/>
        <w:textAlignment w:val="auto"/>
        <w:outlineLvl w:val="9"/>
        <w:rPr>
          <w:rFonts w:hint="eastAsia" w:ascii="仿宋" w:hAnsi="仿宋" w:eastAsia="仿宋" w:cs="仿宋"/>
          <w:b/>
          <w:kern w:val="0"/>
          <w:sz w:val="24"/>
          <w:szCs w:val="24"/>
        </w:rPr>
      </w:pPr>
    </w:p>
    <w:p w14:paraId="13886E2F">
      <w:pPr>
        <w:kinsoku/>
        <w:topLinePunct w:val="0"/>
        <w:autoSpaceDE w:val="0"/>
        <w:autoSpaceDN w:val="0"/>
        <w:bidi w:val="0"/>
        <w:spacing w:before="3"/>
        <w:jc w:val="left"/>
        <w:textAlignment w:val="auto"/>
        <w:outlineLvl w:val="9"/>
        <w:rPr>
          <w:rFonts w:hint="eastAsia" w:ascii="仿宋" w:hAnsi="仿宋" w:eastAsia="仿宋" w:cs="仿宋"/>
          <w:kern w:val="0"/>
          <w:sz w:val="24"/>
          <w:szCs w:val="24"/>
        </w:rPr>
      </w:pPr>
    </w:p>
    <w:tbl>
      <w:tblPr>
        <w:tblStyle w:val="29"/>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14:paraId="4E4BF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14:paraId="38A1EE10">
            <w:pPr>
              <w:pStyle w:val="18"/>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汇款单或转账凭证复印件</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保函</w:t>
            </w:r>
            <w:r>
              <w:rPr>
                <w:rFonts w:hint="eastAsia" w:ascii="仿宋" w:hAnsi="仿宋" w:eastAsia="仿宋" w:cs="仿宋"/>
                <w:sz w:val="24"/>
                <w:szCs w:val="24"/>
                <w:highlight w:val="none"/>
                <w:lang w:val="en-US" w:eastAsia="zh-CN"/>
              </w:rPr>
              <w:t>扫描件</w:t>
            </w:r>
          </w:p>
        </w:tc>
      </w:tr>
    </w:tbl>
    <w:p w14:paraId="120342A5">
      <w:pPr>
        <w:kinsoku/>
        <w:topLinePunct w:val="0"/>
        <w:autoSpaceDE w:val="0"/>
        <w:autoSpaceDN w:val="0"/>
        <w:bidi w:val="0"/>
        <w:spacing w:before="3"/>
        <w:jc w:val="left"/>
        <w:textAlignment w:val="auto"/>
        <w:outlineLvl w:val="9"/>
        <w:rPr>
          <w:rFonts w:hint="eastAsia" w:ascii="仿宋" w:hAnsi="仿宋" w:eastAsia="仿宋" w:cs="仿宋"/>
          <w:kern w:val="0"/>
          <w:sz w:val="24"/>
          <w:szCs w:val="24"/>
        </w:rPr>
      </w:pPr>
    </w:p>
    <w:p w14:paraId="026345DC">
      <w:pPr>
        <w:kinsoku/>
        <w:topLinePunct w:val="0"/>
        <w:autoSpaceDE w:val="0"/>
        <w:autoSpaceDN w:val="0"/>
        <w:bidi w:val="0"/>
        <w:spacing w:before="3"/>
        <w:jc w:val="left"/>
        <w:textAlignment w:val="auto"/>
        <w:outlineLvl w:val="9"/>
        <w:rPr>
          <w:rFonts w:hint="eastAsia" w:ascii="仿宋" w:hAnsi="仿宋" w:eastAsia="仿宋" w:cs="仿宋"/>
          <w:kern w:val="0"/>
          <w:sz w:val="24"/>
          <w:szCs w:val="24"/>
        </w:rPr>
      </w:pPr>
    </w:p>
    <w:p w14:paraId="7AA39E85">
      <w:pPr>
        <w:keepNext w:val="0"/>
        <w:keepLines w:val="0"/>
        <w:pageBreakBefore/>
        <w:widowControl w:val="0"/>
        <w:kinsoku/>
        <w:wordWrap/>
        <w:overflowPunct/>
        <w:topLinePunct w:val="0"/>
        <w:autoSpaceDE w:val="0"/>
        <w:autoSpaceDN w:val="0"/>
        <w:bidi w:val="0"/>
        <w:adjustRightInd/>
        <w:snapToGrid/>
        <w:spacing w:before="62" w:line="360" w:lineRule="auto"/>
        <w:jc w:val="center"/>
        <w:textAlignment w:val="auto"/>
        <w:outlineLvl w:val="9"/>
        <w:rPr>
          <w:rFonts w:hint="eastAsia" w:ascii="仿宋" w:hAnsi="仿宋" w:eastAsia="仿宋" w:cs="仿宋"/>
          <w:b/>
          <w:bCs/>
          <w:kern w:val="0"/>
          <w:sz w:val="24"/>
          <w:szCs w:val="24"/>
          <w:lang w:val="en-US" w:eastAsia="zh-CN"/>
        </w:rPr>
      </w:pPr>
      <w:r>
        <w:rPr>
          <w:rFonts w:hint="eastAsia" w:ascii="仿宋" w:hAnsi="仿宋" w:eastAsia="仿宋" w:cs="仿宋"/>
          <w:b/>
          <w:bCs/>
          <w:kern w:val="0"/>
          <w:sz w:val="28"/>
          <w:szCs w:val="28"/>
          <w:lang w:val="en-US" w:eastAsia="zh-CN"/>
        </w:rPr>
        <w:t>五、供应商类似业绩</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6266"/>
      </w:tblGrid>
      <w:tr w14:paraId="5216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3DC9180D">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3677" w:type="pct"/>
            <w:vAlign w:val="center"/>
          </w:tcPr>
          <w:p w14:paraId="41FE9A7E">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2016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62E6FB5B">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项目所在地</w:t>
            </w:r>
          </w:p>
        </w:tc>
        <w:tc>
          <w:tcPr>
            <w:tcW w:w="3677" w:type="pct"/>
            <w:vAlign w:val="center"/>
          </w:tcPr>
          <w:p w14:paraId="15A81738">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5AF7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377A8ABD">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采购人名称</w:t>
            </w:r>
          </w:p>
        </w:tc>
        <w:tc>
          <w:tcPr>
            <w:tcW w:w="3677" w:type="pct"/>
            <w:vAlign w:val="center"/>
          </w:tcPr>
          <w:p w14:paraId="7EFC74B6">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53FF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7E8AE31F">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采购人地址</w:t>
            </w:r>
          </w:p>
        </w:tc>
        <w:tc>
          <w:tcPr>
            <w:tcW w:w="3677" w:type="pct"/>
            <w:vAlign w:val="center"/>
          </w:tcPr>
          <w:p w14:paraId="73AD863C">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7504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22" w:type="pct"/>
            <w:vAlign w:val="center"/>
          </w:tcPr>
          <w:p w14:paraId="58AAC089">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采购人联系人及电话</w:t>
            </w:r>
          </w:p>
        </w:tc>
        <w:tc>
          <w:tcPr>
            <w:tcW w:w="3677" w:type="pct"/>
            <w:vAlign w:val="center"/>
          </w:tcPr>
          <w:p w14:paraId="41B5C24D">
            <w:pPr>
              <w:tabs>
                <w:tab w:val="left" w:pos="1660"/>
                <w:tab w:val="left" w:pos="9453"/>
              </w:tabs>
              <w:kinsoku/>
              <w:topLinePunct w:val="0"/>
              <w:bidi w:val="0"/>
              <w:spacing w:line="240" w:lineRule="auto"/>
              <w:textAlignment w:val="auto"/>
              <w:outlineLvl w:val="9"/>
              <w:rPr>
                <w:rFonts w:hint="eastAsia" w:ascii="仿宋" w:hAnsi="仿宋" w:eastAsia="仿宋" w:cs="仿宋"/>
                <w:sz w:val="21"/>
                <w:szCs w:val="21"/>
                <w:highlight w:val="none"/>
              </w:rPr>
            </w:pPr>
          </w:p>
        </w:tc>
      </w:tr>
      <w:tr w14:paraId="2FF1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214D8F5D">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合同价格</w:t>
            </w:r>
          </w:p>
        </w:tc>
        <w:tc>
          <w:tcPr>
            <w:tcW w:w="3677" w:type="pct"/>
            <w:vAlign w:val="center"/>
          </w:tcPr>
          <w:p w14:paraId="09C68036">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290F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1C677FF7">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服务期限</w:t>
            </w:r>
          </w:p>
        </w:tc>
        <w:tc>
          <w:tcPr>
            <w:tcW w:w="3677" w:type="pct"/>
            <w:vAlign w:val="center"/>
          </w:tcPr>
          <w:p w14:paraId="1DFECDBC">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7547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48932C6F">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项目负责人</w:t>
            </w:r>
          </w:p>
        </w:tc>
        <w:tc>
          <w:tcPr>
            <w:tcW w:w="3677" w:type="pct"/>
            <w:vAlign w:val="center"/>
          </w:tcPr>
          <w:p w14:paraId="499A9078">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13BE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22" w:type="pct"/>
            <w:vAlign w:val="center"/>
          </w:tcPr>
          <w:p w14:paraId="6BEA05C9">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项目描述</w:t>
            </w:r>
          </w:p>
        </w:tc>
        <w:tc>
          <w:tcPr>
            <w:tcW w:w="3677" w:type="pct"/>
            <w:vAlign w:val="center"/>
          </w:tcPr>
          <w:p w14:paraId="52FDCDBE">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r w14:paraId="47ED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22" w:type="pct"/>
            <w:vAlign w:val="center"/>
          </w:tcPr>
          <w:p w14:paraId="0B82BAFA">
            <w:pPr>
              <w:tabs>
                <w:tab w:val="left" w:pos="1660"/>
                <w:tab w:val="left" w:pos="9453"/>
              </w:tabs>
              <w:kinsoku/>
              <w:topLinePunct w:val="0"/>
              <w:bidi w:val="0"/>
              <w:spacing w:line="240" w:lineRule="auto"/>
              <w:jc w:val="center"/>
              <w:textAlignment w:val="auto"/>
              <w:outlineLvl w:val="9"/>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c>
          <w:tcPr>
            <w:tcW w:w="3677" w:type="pct"/>
            <w:vAlign w:val="center"/>
          </w:tcPr>
          <w:p w14:paraId="759FA900">
            <w:pPr>
              <w:tabs>
                <w:tab w:val="left" w:pos="1660"/>
                <w:tab w:val="left" w:pos="9453"/>
              </w:tabs>
              <w:kinsoku/>
              <w:topLinePunct w:val="0"/>
              <w:bidi w:val="0"/>
              <w:spacing w:line="240" w:lineRule="auto"/>
              <w:ind w:left="2610" w:hanging="2089"/>
              <w:textAlignment w:val="auto"/>
              <w:outlineLvl w:val="9"/>
              <w:rPr>
                <w:rFonts w:hint="eastAsia" w:ascii="仿宋" w:hAnsi="仿宋" w:eastAsia="仿宋" w:cs="仿宋"/>
                <w:sz w:val="21"/>
                <w:szCs w:val="21"/>
                <w:highlight w:val="none"/>
              </w:rPr>
            </w:pPr>
          </w:p>
        </w:tc>
      </w:tr>
    </w:tbl>
    <w:p w14:paraId="2DDED124">
      <w:pPr>
        <w:pStyle w:val="18"/>
        <w:kinsoku/>
        <w:topLinePunct w:val="0"/>
        <w:bidi w:val="0"/>
        <w:spacing w:line="360" w:lineRule="auto"/>
        <w:ind w:left="720" w:hanging="720" w:hanging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备注：1、类似项目业绩为：使用功能、</w:t>
      </w:r>
      <w:r>
        <w:rPr>
          <w:rFonts w:hint="eastAsia" w:ascii="仿宋" w:hAnsi="仿宋" w:eastAsia="仿宋" w:cs="仿宋"/>
          <w:sz w:val="24"/>
          <w:szCs w:val="24"/>
          <w:highlight w:val="none"/>
          <w:lang w:val="en-US" w:eastAsia="zh-CN"/>
        </w:rPr>
        <w:t>技术参数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或服务的内容、质量、标准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相同或相近的项目。</w:t>
      </w:r>
    </w:p>
    <w:p w14:paraId="2AD239F1">
      <w:pPr>
        <w:pStyle w:val="18"/>
        <w:numPr>
          <w:ilvl w:val="0"/>
          <w:numId w:val="2"/>
        </w:numPr>
        <w:kinsoku/>
        <w:topLinePunct w:val="0"/>
        <w:bidi w:val="0"/>
        <w:spacing w:line="360" w:lineRule="auto"/>
        <w:ind w:left="735" w:leftChars="3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本表后附</w:t>
      </w:r>
      <w:r>
        <w:rPr>
          <w:rFonts w:hint="eastAsia" w:ascii="仿宋" w:hAnsi="仿宋" w:eastAsia="仿宋" w:cs="仿宋"/>
          <w:sz w:val="24"/>
          <w:szCs w:val="24"/>
          <w:highlight w:val="none"/>
          <w:lang w:val="en-US" w:eastAsia="zh-CN"/>
        </w:rPr>
        <w:t>提供相关合同或协议关键页（至少包括首页、签章页，体现签订日期、服务内容）</w:t>
      </w:r>
      <w:r>
        <w:rPr>
          <w:rFonts w:hint="eastAsia" w:ascii="仿宋" w:hAnsi="仿宋" w:eastAsia="仿宋" w:cs="仿宋"/>
          <w:sz w:val="24"/>
          <w:szCs w:val="24"/>
          <w:highlight w:val="none"/>
        </w:rPr>
        <w:t>。每张表格只填写一个项目，并标明序号。</w:t>
      </w:r>
    </w:p>
    <w:p w14:paraId="7734100D">
      <w:pPr>
        <w:pStyle w:val="18"/>
        <w:numPr>
          <w:ilvl w:val="0"/>
          <w:numId w:val="2"/>
        </w:numPr>
        <w:kinsoku/>
        <w:topLinePunct w:val="0"/>
        <w:bidi w:val="0"/>
        <w:spacing w:line="360" w:lineRule="auto"/>
        <w:ind w:left="735" w:leftChars="3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应根据</w:t>
      </w:r>
      <w:r>
        <w:rPr>
          <w:rFonts w:hint="eastAsia" w:ascii="仿宋" w:hAnsi="仿宋" w:eastAsia="仿宋" w:cs="仿宋"/>
          <w:sz w:val="24"/>
          <w:szCs w:val="24"/>
          <w:highlight w:val="none"/>
          <w:lang w:val="en-US" w:eastAsia="zh-CN"/>
        </w:rPr>
        <w:t>磋商文件中评分标准</w:t>
      </w:r>
      <w:r>
        <w:rPr>
          <w:rFonts w:hint="eastAsia" w:ascii="仿宋" w:hAnsi="仿宋" w:eastAsia="仿宋" w:cs="仿宋"/>
          <w:sz w:val="24"/>
          <w:szCs w:val="24"/>
          <w:highlight w:val="none"/>
        </w:rPr>
        <w:t>的要求在本表后附相关证明材料。</w:t>
      </w:r>
    </w:p>
    <w:p w14:paraId="07F4B754">
      <w:pPr>
        <w:pStyle w:val="18"/>
        <w:kinsoku/>
        <w:topLinePunct w:val="0"/>
        <w:bidi w:val="0"/>
        <w:ind w:firstLine="422" w:firstLineChars="200"/>
        <w:textAlignment w:val="auto"/>
        <w:outlineLvl w:val="9"/>
        <w:rPr>
          <w:rFonts w:hint="eastAsia" w:ascii="仿宋" w:hAnsi="仿宋" w:eastAsia="仿宋" w:cs="仿宋"/>
          <w:b/>
          <w:bCs/>
          <w:szCs w:val="22"/>
          <w:highlight w:val="none"/>
        </w:rPr>
      </w:pPr>
    </w:p>
    <w:p w14:paraId="3C81E5A0">
      <w:pPr>
        <w:pStyle w:val="18"/>
        <w:kinsoku/>
        <w:topLinePunct w:val="0"/>
        <w:bidi w:val="0"/>
        <w:ind w:firstLine="422" w:firstLineChars="200"/>
        <w:textAlignment w:val="auto"/>
        <w:outlineLvl w:val="9"/>
        <w:rPr>
          <w:rFonts w:hint="eastAsia" w:ascii="仿宋" w:hAnsi="仿宋" w:eastAsia="仿宋" w:cs="仿宋"/>
          <w:b/>
          <w:bCs/>
          <w:szCs w:val="22"/>
          <w:highlight w:val="none"/>
        </w:rPr>
      </w:pPr>
    </w:p>
    <w:p w14:paraId="54FE9AD2">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：____________________</w:t>
      </w:r>
    </w:p>
    <w:p w14:paraId="35EF423F">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：____________________</w:t>
      </w:r>
    </w:p>
    <w:p w14:paraId="1DA3672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日期：______年____月____日</w:t>
      </w:r>
    </w:p>
    <w:p w14:paraId="00F287B9">
      <w:pPr>
        <w:pStyle w:val="18"/>
        <w:kinsoku/>
        <w:topLinePunct w:val="0"/>
        <w:bidi w:val="0"/>
        <w:spacing w:line="360" w:lineRule="auto"/>
        <w:ind w:firstLine="482" w:firstLineChars="200"/>
        <w:textAlignment w:val="auto"/>
        <w:outlineLvl w:val="9"/>
        <w:rPr>
          <w:rFonts w:hint="eastAsia" w:ascii="仿宋" w:hAnsi="仿宋" w:eastAsia="仿宋" w:cs="仿宋"/>
          <w:b/>
          <w:sz w:val="24"/>
          <w:szCs w:val="24"/>
          <w:highlight w:val="none"/>
          <w:lang w:val="en-US" w:eastAsia="zh-CN"/>
        </w:rPr>
      </w:pPr>
    </w:p>
    <w:p w14:paraId="3D4BE466">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4C7BB75C">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45DCB22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016FE4B6">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08F365C7">
      <w:pPr>
        <w:pStyle w:val="18"/>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sz w:val="24"/>
          <w:szCs w:val="24"/>
          <w:highlight w:val="none"/>
        </w:rPr>
      </w:pP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的资格证明材料</w:t>
      </w:r>
    </w:p>
    <w:p w14:paraId="049DD7AB">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500D7BE7">
      <w:pPr>
        <w:pStyle w:val="65"/>
        <w:kinsoku/>
        <w:topLinePunct w:val="0"/>
        <w:bidi w:val="0"/>
        <w:spacing w:line="360" w:lineRule="auto"/>
        <w:ind w:firstLine="560"/>
        <w:textAlignment w:val="auto"/>
        <w:outlineLvl w:val="9"/>
        <w:rPr>
          <w:rFonts w:hint="eastAsia" w:ascii="仿宋" w:hAnsi="仿宋" w:eastAsia="仿宋" w:cs="仿宋"/>
          <w:color w:val="auto"/>
          <w:sz w:val="24"/>
          <w:szCs w:val="24"/>
        </w:rPr>
      </w:pPr>
      <w:r>
        <w:rPr>
          <w:rFonts w:hint="eastAsia" w:ascii="仿宋" w:hAnsi="仿宋" w:eastAsia="仿宋" w:cs="仿宋"/>
          <w:b/>
          <w:sz w:val="24"/>
          <w:szCs w:val="24"/>
        </w:rPr>
        <w:t>资格证明</w:t>
      </w:r>
      <w:r>
        <w:rPr>
          <w:rFonts w:hint="eastAsia" w:ascii="仿宋" w:hAnsi="仿宋" w:eastAsia="仿宋" w:cs="仿宋"/>
          <w:b/>
          <w:sz w:val="24"/>
          <w:szCs w:val="24"/>
          <w:lang w:val="en-US" w:eastAsia="zh-CN"/>
        </w:rPr>
        <w:t>材料</w:t>
      </w:r>
      <w:r>
        <w:rPr>
          <w:rFonts w:hint="eastAsia" w:ascii="仿宋" w:hAnsi="仿宋" w:eastAsia="仿宋" w:cs="仿宋"/>
          <w:b/>
          <w:sz w:val="24"/>
          <w:szCs w:val="24"/>
        </w:rPr>
        <w:t>内容：</w:t>
      </w:r>
      <w:r>
        <w:rPr>
          <w:rFonts w:hint="eastAsia" w:ascii="仿宋" w:hAnsi="仿宋" w:eastAsia="仿宋" w:cs="仿宋"/>
          <w:color w:val="auto"/>
          <w:sz w:val="24"/>
          <w:szCs w:val="24"/>
        </w:rPr>
        <w:t>(以下文件必须在有效期内)</w:t>
      </w:r>
    </w:p>
    <w:p w14:paraId="4EE638E0">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一、满足《中华人民共和国政府采购法》第二十二条规定</w:t>
      </w:r>
      <w:r>
        <w:rPr>
          <w:rFonts w:hint="eastAsia" w:ascii="仿宋" w:hAnsi="仿宋" w:eastAsia="仿宋" w:cs="仿宋"/>
          <w:kern w:val="0"/>
          <w:sz w:val="24"/>
          <w:szCs w:val="24"/>
          <w:lang w:eastAsia="zh-CN"/>
        </w:rPr>
        <w:t>；</w:t>
      </w:r>
    </w:p>
    <w:p w14:paraId="1EAC4000">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1、具有独立承担民事责任的能力</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（供应商为企业（包括合伙企业</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的，应提供有效的“营业执照”</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供应商是非企业机构的，应提供有效的“执业许可证”、“登记证书”等证明文件;供应商是个体工商户的，应提供有效的“个体工商户营业执照”</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供应商是自然人的，应提供有效的自然人身份证明。”（上述资料须复印件加盖印章</w:t>
      </w:r>
      <w:r>
        <w:rPr>
          <w:rFonts w:hint="eastAsia" w:ascii="仿宋" w:hAnsi="仿宋" w:eastAsia="仿宋" w:cs="仿宋"/>
          <w:kern w:val="0"/>
          <w:sz w:val="24"/>
          <w:szCs w:val="24"/>
          <w:lang w:eastAsia="zh-CN"/>
        </w:rPr>
        <w:t>）</w:t>
      </w:r>
    </w:p>
    <w:p w14:paraId="15B46798">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分支机构参加投标的，应提供该分支机构或其所属法人/其他组织的相应证明文件</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同时还应提供其所属法人/其他组织出具的授权其参与本项目的授权书（格式自拟，须加盖其所属法人/其他组织的印章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对于银行、保险、石油石化、电力、电信等行业的分支机构，可以提供上述授权，也可以提供其所属法人/其他组织的有关文件或制度等能够证明授权其独立开展业务的证明材料。</w:t>
      </w:r>
      <w:r>
        <w:rPr>
          <w:rFonts w:hint="eastAsia" w:ascii="仿宋" w:hAnsi="仿宋" w:eastAsia="仿宋" w:cs="仿宋"/>
          <w:kern w:val="0"/>
          <w:sz w:val="24"/>
          <w:szCs w:val="24"/>
          <w:lang w:eastAsia="zh-CN"/>
        </w:rPr>
        <w:t>）；</w:t>
      </w:r>
    </w:p>
    <w:p w14:paraId="6EEA9028">
      <w:pPr>
        <w:pStyle w:val="65"/>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rPr>
      </w:pPr>
      <w:r>
        <w:rPr>
          <w:rFonts w:hint="eastAsia" w:ascii="仿宋" w:hAnsi="仿宋" w:eastAsia="仿宋" w:cs="仿宋"/>
          <w:kern w:val="0"/>
          <w:sz w:val="24"/>
          <w:szCs w:val="24"/>
        </w:rPr>
        <w:t>2、具有良好的商业信誉和健全的财务会计制度</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（须提供本单位2024年度或2025年度的财务审计报告或财务报表或提供开标日前三个月内银行出具的资信证明</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（供应商成立不足一年的提供截止开标前近3个月任意一个月的财务报表和截止开标前近1个月基本开户银行出具的资信证明</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w:t>
      </w:r>
    </w:p>
    <w:p w14:paraId="57A814AB">
      <w:pPr>
        <w:kinsoku/>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rPr>
        <w:t>3、具有履行合同所</w:t>
      </w:r>
      <w:r>
        <w:rPr>
          <w:rFonts w:hint="eastAsia" w:ascii="仿宋" w:hAnsi="仿宋" w:eastAsia="仿宋" w:cs="仿宋"/>
          <w:color w:val="000000"/>
          <w:kern w:val="0"/>
          <w:sz w:val="24"/>
          <w:szCs w:val="24"/>
        </w:rPr>
        <w:t>必需的设备和专业技术能力</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（须提供具备履行合同所必需的设备和专业技术能力的证明材料或承诺书</w:t>
      </w:r>
      <w:r>
        <w:rPr>
          <w:rFonts w:hint="eastAsia" w:ascii="仿宋" w:hAnsi="仿宋" w:eastAsia="仿宋" w:cs="仿宋"/>
          <w:color w:val="000000"/>
          <w:kern w:val="0"/>
          <w:sz w:val="24"/>
          <w:szCs w:val="24"/>
          <w:lang w:eastAsia="zh-CN"/>
        </w:rPr>
        <w:t>）</w:t>
      </w:r>
    </w:p>
    <w:p w14:paraId="7B79852F">
      <w:pPr>
        <w:kinsoku/>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4、有依法缴纳税收和社会保障资金的良好记录（</w:t>
      </w:r>
      <w:r>
        <w:rPr>
          <w:rFonts w:hint="eastAsia" w:ascii="仿宋" w:hAnsi="仿宋" w:eastAsia="仿宋" w:cs="仿宋"/>
          <w:bCs/>
          <w:sz w:val="24"/>
          <w:szCs w:val="24"/>
        </w:rPr>
        <w:t>须提供响应文件递交截止日期之前6个月内任意一个月</w:t>
      </w:r>
      <w:r>
        <w:rPr>
          <w:rFonts w:hint="eastAsia" w:ascii="仿宋" w:hAnsi="仿宋" w:eastAsia="仿宋" w:cs="仿宋"/>
          <w:color w:val="000000"/>
          <w:kern w:val="0"/>
          <w:sz w:val="24"/>
          <w:szCs w:val="24"/>
        </w:rPr>
        <w:t>的完税证明及缴纳社保记录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w:t>
      </w:r>
      <w:r>
        <w:rPr>
          <w:rFonts w:hint="eastAsia" w:ascii="仿宋" w:hAnsi="仿宋" w:eastAsia="仿宋" w:cs="仿宋"/>
          <w:bCs/>
          <w:sz w:val="24"/>
          <w:szCs w:val="24"/>
        </w:rPr>
        <w:t>依法免税、依法不需要缴纳社会保障资金的应提供相应文件说明</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p>
    <w:p w14:paraId="64E355EA">
      <w:pPr>
        <w:kinsoku/>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5、参加政府采购活动前三年内，‌在经营活动中没有重大违法记录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w:t>
      </w:r>
      <w:r>
        <w:rPr>
          <w:rFonts w:hint="eastAsia" w:ascii="仿宋" w:hAnsi="仿宋" w:eastAsia="仿宋" w:cs="仿宋"/>
          <w:bCs/>
          <w:sz w:val="24"/>
          <w:szCs w:val="24"/>
        </w:rPr>
        <w:t>须提供供应商声明函原件扫描件</w:t>
      </w:r>
      <w:r>
        <w:rPr>
          <w:rFonts w:hint="eastAsia" w:ascii="仿宋" w:hAnsi="仿宋" w:eastAsia="仿宋" w:cs="仿宋"/>
          <w:color w:val="000000"/>
          <w:kern w:val="0"/>
          <w:sz w:val="24"/>
          <w:szCs w:val="24"/>
          <w:lang w:eastAsia="zh-CN"/>
        </w:rPr>
        <w:t>）</w:t>
      </w:r>
    </w:p>
    <w:p w14:paraId="1B528FA4">
      <w:pPr>
        <w:kinsoku/>
        <w:topLinePunct w:val="0"/>
        <w:bidi w:val="0"/>
        <w:snapToGrid w:val="0"/>
        <w:spacing w:line="360" w:lineRule="auto"/>
        <w:ind w:firstLine="480" w:firstLineChars="200"/>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6、法律、行政法规规定的其他条件。（提供承诺函</w:t>
      </w:r>
      <w:r>
        <w:rPr>
          <w:rFonts w:hint="eastAsia" w:ascii="仿宋" w:hAnsi="仿宋" w:eastAsia="仿宋" w:cs="仿宋"/>
          <w:color w:val="000000"/>
          <w:kern w:val="0"/>
          <w:sz w:val="24"/>
          <w:szCs w:val="24"/>
          <w:lang w:eastAsia="zh-CN"/>
        </w:rPr>
        <w:t>）</w:t>
      </w:r>
    </w:p>
    <w:p w14:paraId="5F76A28A">
      <w:pPr>
        <w:pStyle w:val="65"/>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lang w:eastAsia="zh-CN"/>
        </w:rPr>
      </w:pPr>
      <w:r>
        <w:rPr>
          <w:rFonts w:hint="eastAsia" w:ascii="仿宋" w:hAnsi="仿宋" w:eastAsia="仿宋" w:cs="仿宋"/>
          <w:bCs/>
          <w:kern w:val="0"/>
          <w:sz w:val="24"/>
          <w:szCs w:val="24"/>
        </w:rPr>
        <w:t>二、</w:t>
      </w:r>
      <w:r>
        <w:rPr>
          <w:rFonts w:hint="eastAsia" w:ascii="仿宋" w:hAnsi="仿宋" w:eastAsia="仿宋" w:cs="仿宋"/>
          <w:bCs/>
          <w:sz w:val="24"/>
          <w:szCs w:val="24"/>
        </w:rPr>
        <w:t>磋商保证金缴纳凭证</w:t>
      </w:r>
      <w:r>
        <w:rPr>
          <w:rFonts w:hint="eastAsia" w:ascii="仿宋" w:hAnsi="仿宋" w:eastAsia="仿宋" w:cs="仿宋"/>
          <w:bCs/>
          <w:sz w:val="24"/>
          <w:szCs w:val="24"/>
          <w:lang w:eastAsia="zh-CN"/>
        </w:rPr>
        <w:t>；</w:t>
      </w:r>
      <w:r>
        <w:rPr>
          <w:rFonts w:hint="eastAsia" w:ascii="仿宋" w:hAnsi="仿宋" w:eastAsia="仿宋" w:cs="仿宋"/>
          <w:bCs/>
          <w:sz w:val="24"/>
          <w:szCs w:val="24"/>
        </w:rPr>
        <w:t>（磋商保证金磋商保证金以电汇、网银等转账方式缴纳的，上传汇款凭证</w:t>
      </w:r>
      <w:r>
        <w:rPr>
          <w:rFonts w:hint="eastAsia" w:ascii="仿宋" w:hAnsi="仿宋" w:eastAsia="仿宋" w:cs="仿宋"/>
          <w:bCs/>
          <w:sz w:val="24"/>
          <w:szCs w:val="24"/>
          <w:lang w:eastAsia="zh-CN"/>
        </w:rPr>
        <w:t>；</w:t>
      </w:r>
      <w:r>
        <w:rPr>
          <w:rFonts w:hint="eastAsia" w:ascii="仿宋" w:hAnsi="仿宋" w:eastAsia="仿宋" w:cs="仿宋"/>
          <w:bCs/>
          <w:sz w:val="24"/>
          <w:szCs w:val="24"/>
        </w:rPr>
        <w:t>投标保证金以保函形式缴纳的，须上传保函扫描件，保函的有效期少于投标有效期</w:t>
      </w:r>
      <w:r>
        <w:rPr>
          <w:rFonts w:hint="eastAsia" w:ascii="仿宋" w:hAnsi="仿宋" w:eastAsia="仿宋" w:cs="仿宋"/>
          <w:bCs/>
          <w:sz w:val="24"/>
          <w:szCs w:val="24"/>
          <w:lang w:val="en-US" w:eastAsia="zh-CN"/>
        </w:rPr>
        <w:t>60</w:t>
      </w:r>
      <w:r>
        <w:rPr>
          <w:rFonts w:hint="eastAsia" w:ascii="仿宋" w:hAnsi="仿宋" w:eastAsia="仿宋" w:cs="仿宋"/>
          <w:bCs/>
          <w:sz w:val="24"/>
          <w:szCs w:val="24"/>
        </w:rPr>
        <w:t>日历天的，其保函无效。</w:t>
      </w:r>
      <w:r>
        <w:rPr>
          <w:rFonts w:hint="eastAsia" w:ascii="仿宋" w:hAnsi="仿宋" w:eastAsia="仿宋" w:cs="仿宋"/>
          <w:bCs/>
          <w:sz w:val="24"/>
          <w:szCs w:val="24"/>
          <w:lang w:eastAsia="zh-CN"/>
        </w:rPr>
        <w:t>）</w:t>
      </w:r>
    </w:p>
    <w:p w14:paraId="50C59355">
      <w:pPr>
        <w:pStyle w:val="65"/>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rPr>
        <w:t>三、供应商须在信用中国”（www.creditchina.gov.cn</w:t>
      </w:r>
      <w:r>
        <w:rPr>
          <w:rFonts w:hint="eastAsia" w:ascii="仿宋" w:hAnsi="仿宋" w:eastAsia="仿宋" w:cs="仿宋"/>
          <w:bCs/>
          <w:sz w:val="24"/>
          <w:szCs w:val="24"/>
          <w:lang w:eastAsia="zh-CN"/>
        </w:rPr>
        <w:t>）</w:t>
      </w:r>
      <w:r>
        <w:rPr>
          <w:rFonts w:hint="eastAsia" w:ascii="仿宋" w:hAnsi="仿宋" w:eastAsia="仿宋" w:cs="仿宋"/>
          <w:bCs/>
          <w:sz w:val="24"/>
          <w:szCs w:val="24"/>
        </w:rPr>
        <w:t>未被列入重大税收违法失信主体、“中国执行信息公开网”（http://zxgk.court.gov.cn/</w:t>
      </w:r>
      <w:r>
        <w:rPr>
          <w:rFonts w:hint="eastAsia" w:ascii="仿宋" w:hAnsi="仿宋" w:eastAsia="仿宋" w:cs="仿宋"/>
          <w:bCs/>
          <w:sz w:val="24"/>
          <w:szCs w:val="24"/>
          <w:lang w:eastAsia="zh-CN"/>
        </w:rPr>
        <w:t>）</w:t>
      </w:r>
      <w:r>
        <w:rPr>
          <w:rFonts w:hint="eastAsia" w:ascii="仿宋" w:hAnsi="仿宋" w:eastAsia="仿宋" w:cs="仿宋"/>
          <w:bCs/>
          <w:sz w:val="24"/>
          <w:szCs w:val="24"/>
        </w:rPr>
        <w:t>未被列入失信被执行人、“中国政府采购网”（www.ccgp.gov.cn</w:t>
      </w:r>
      <w:r>
        <w:rPr>
          <w:rFonts w:hint="eastAsia" w:ascii="仿宋" w:hAnsi="仿宋" w:eastAsia="仿宋" w:cs="仿宋"/>
          <w:bCs/>
          <w:sz w:val="24"/>
          <w:szCs w:val="24"/>
          <w:lang w:eastAsia="zh-CN"/>
        </w:rPr>
        <w:t>）</w:t>
      </w:r>
      <w:r>
        <w:rPr>
          <w:rFonts w:hint="eastAsia" w:ascii="仿宋" w:hAnsi="仿宋" w:eastAsia="仿宋" w:cs="仿宋"/>
          <w:bCs/>
          <w:sz w:val="24"/>
          <w:szCs w:val="24"/>
        </w:rPr>
        <w:t>未被列入政府采购严重违法失信行为记录名单</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“国家企业信用信息公示系统”（http://www.gsxt.gov.cn）未被列入经营异常名录、严重违法失信名单（尚在处罚期内的）</w:t>
      </w:r>
      <w:r>
        <w:rPr>
          <w:rFonts w:hint="eastAsia" w:ascii="仿宋" w:hAnsi="仿宋" w:eastAsia="仿宋" w:cs="仿宋"/>
          <w:bCs/>
          <w:sz w:val="24"/>
          <w:szCs w:val="24"/>
        </w:rPr>
        <w:t>（查询时间为自公告发布之日后</w:t>
      </w:r>
      <w:r>
        <w:rPr>
          <w:rFonts w:hint="eastAsia" w:ascii="仿宋" w:hAnsi="仿宋" w:eastAsia="仿宋" w:cs="仿宋"/>
          <w:bCs/>
          <w:sz w:val="24"/>
          <w:szCs w:val="24"/>
          <w:lang w:eastAsia="zh-CN"/>
        </w:rPr>
        <w:t>）；</w:t>
      </w:r>
      <w:r>
        <w:rPr>
          <w:rFonts w:hint="eastAsia" w:ascii="仿宋" w:hAnsi="仿宋" w:eastAsia="仿宋" w:cs="仿宋"/>
          <w:bCs/>
          <w:sz w:val="24"/>
          <w:szCs w:val="24"/>
        </w:rPr>
        <w:t>（提供查询结果的网页打印页作为查询记录和证据，放入响应文件中。查询结果以采购人或采购代理机构查询结果为准</w:t>
      </w:r>
      <w:r>
        <w:rPr>
          <w:rFonts w:hint="eastAsia" w:ascii="仿宋" w:hAnsi="仿宋" w:eastAsia="仿宋" w:cs="仿宋"/>
          <w:bCs/>
          <w:sz w:val="24"/>
          <w:szCs w:val="24"/>
          <w:lang w:eastAsia="zh-CN"/>
        </w:rPr>
        <w:t>）</w:t>
      </w:r>
    </w:p>
    <w:p w14:paraId="58993258">
      <w:pPr>
        <w:pStyle w:val="65"/>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rPr>
        <w:t>四、其他说明：（A</w:t>
      </w:r>
      <w:r>
        <w:rPr>
          <w:rFonts w:hint="eastAsia" w:ascii="仿宋" w:hAnsi="仿宋" w:eastAsia="仿宋" w:cs="仿宋"/>
          <w:bCs/>
          <w:sz w:val="24"/>
          <w:szCs w:val="24"/>
          <w:lang w:eastAsia="zh-CN"/>
        </w:rPr>
        <w:t>）</w:t>
      </w:r>
      <w:r>
        <w:rPr>
          <w:rFonts w:hint="eastAsia" w:ascii="仿宋" w:hAnsi="仿宋" w:eastAsia="仿宋" w:cs="仿宋"/>
          <w:bCs/>
          <w:sz w:val="24"/>
          <w:szCs w:val="24"/>
        </w:rPr>
        <w:t>与采购人存在利害关系可能影响采购公正性的法人、其他组织或者个人，不得参加本次采购活动。（B</w:t>
      </w:r>
      <w:r>
        <w:rPr>
          <w:rFonts w:hint="eastAsia" w:ascii="仿宋" w:hAnsi="仿宋" w:eastAsia="仿宋" w:cs="仿宋"/>
          <w:bCs/>
          <w:sz w:val="24"/>
          <w:szCs w:val="24"/>
          <w:lang w:eastAsia="zh-CN"/>
        </w:rPr>
        <w:t>）</w:t>
      </w:r>
      <w:r>
        <w:rPr>
          <w:rFonts w:hint="eastAsia" w:ascii="仿宋" w:hAnsi="仿宋" w:eastAsia="仿宋" w:cs="仿宋"/>
          <w:bCs/>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bCs/>
          <w:sz w:val="24"/>
          <w:szCs w:val="24"/>
          <w:lang w:eastAsia="zh-CN"/>
        </w:rPr>
        <w:t>；</w:t>
      </w:r>
      <w:r>
        <w:rPr>
          <w:rFonts w:hint="eastAsia" w:ascii="仿宋" w:hAnsi="仿宋" w:eastAsia="仿宋" w:cs="仿宋"/>
          <w:bCs/>
          <w:sz w:val="24"/>
          <w:szCs w:val="24"/>
        </w:rPr>
        <w:t>（须提供供应商声明函原件扫描件</w:t>
      </w:r>
      <w:r>
        <w:rPr>
          <w:rFonts w:hint="eastAsia" w:ascii="仿宋" w:hAnsi="仿宋" w:eastAsia="仿宋" w:cs="仿宋"/>
          <w:bCs/>
          <w:sz w:val="24"/>
          <w:szCs w:val="24"/>
          <w:lang w:eastAsia="zh-CN"/>
        </w:rPr>
        <w:t>）</w:t>
      </w:r>
    </w:p>
    <w:p w14:paraId="56F8BD91">
      <w:pPr>
        <w:pStyle w:val="65"/>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五、供应商认为有必要提供的声明及其他资料。</w:t>
      </w:r>
    </w:p>
    <w:p w14:paraId="0774D621">
      <w:pPr>
        <w:pStyle w:val="65"/>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rPr>
        <w:t>落实政府采购政策需满足的资格要求</w:t>
      </w:r>
      <w:r>
        <w:rPr>
          <w:rFonts w:hint="eastAsia" w:ascii="仿宋" w:hAnsi="仿宋" w:eastAsia="仿宋" w:cs="仿宋"/>
          <w:bCs/>
          <w:sz w:val="24"/>
          <w:szCs w:val="24"/>
          <w:lang w:eastAsia="zh-CN"/>
        </w:rPr>
        <w:t>；</w:t>
      </w:r>
      <w:r>
        <w:rPr>
          <w:rFonts w:hint="eastAsia" w:ascii="仿宋" w:hAnsi="仿宋" w:eastAsia="仿宋" w:cs="仿宋"/>
          <w:bCs/>
          <w:sz w:val="24"/>
          <w:szCs w:val="24"/>
        </w:rPr>
        <w:t>（提供《中小企业声明函》原件扫描件</w:t>
      </w:r>
      <w:r>
        <w:rPr>
          <w:rFonts w:hint="eastAsia" w:ascii="仿宋" w:hAnsi="仿宋" w:eastAsia="仿宋" w:cs="仿宋"/>
          <w:bCs/>
          <w:sz w:val="24"/>
          <w:szCs w:val="24"/>
          <w:lang w:eastAsia="zh-CN"/>
        </w:rPr>
        <w:t>）</w:t>
      </w:r>
    </w:p>
    <w:p w14:paraId="56F93DB9">
      <w:pPr>
        <w:numPr>
          <w:ilvl w:val="0"/>
          <w:numId w:val="0"/>
        </w:numPr>
        <w:kinsoku/>
        <w:topLinePunct w:val="0"/>
        <w:autoSpaceDE w:val="0"/>
        <w:autoSpaceDN w:val="0"/>
        <w:bidi w:val="0"/>
        <w:spacing w:before="3" w:line="360" w:lineRule="auto"/>
        <w:ind w:firstLine="480" w:firstLineChars="200"/>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六、供应商须具备有效的资质证书，且具备（满足其中一条要求即可）：①[勘察]综合资质(综合资质)甲级资质；②[勘察]岩土工程(专业类资质) 乙级及以上资质；③[勘察]岩土工程勘察(专业类资质)乙级及以上资质。</w:t>
      </w:r>
    </w:p>
    <w:p w14:paraId="39DFBD7D">
      <w:pPr>
        <w:pStyle w:val="65"/>
        <w:kinsoku/>
        <w:topLinePunct w:val="0"/>
        <w:bidi w:val="0"/>
        <w:snapToGrid w:val="0"/>
        <w:spacing w:line="360" w:lineRule="auto"/>
        <w:ind w:firstLine="480" w:firstLineChars="200"/>
        <w:textAlignment w:val="auto"/>
        <w:outlineLvl w:val="9"/>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七、项目负责人要求：[岩土]注册土木工程师，本单位注册。</w:t>
      </w:r>
    </w:p>
    <w:p w14:paraId="5A6DF495">
      <w:pPr>
        <w:pStyle w:val="18"/>
        <w:kinsoku/>
        <w:topLinePunct w:val="0"/>
        <w:bidi w:val="0"/>
        <w:spacing w:line="360" w:lineRule="auto"/>
        <w:ind w:firstLine="482" w:firstLineChars="200"/>
        <w:textAlignment w:val="auto"/>
        <w:outlineLvl w:val="9"/>
        <w:rPr>
          <w:rFonts w:hint="eastAsia" w:ascii="仿宋" w:hAnsi="仿宋" w:eastAsia="仿宋" w:cs="仿宋"/>
          <w:b/>
          <w:bCs/>
          <w:sz w:val="24"/>
          <w:szCs w:val="24"/>
          <w:highlight w:val="none"/>
        </w:rPr>
      </w:pPr>
    </w:p>
    <w:p w14:paraId="14B30C33">
      <w:pPr>
        <w:pStyle w:val="18"/>
        <w:kinsoku/>
        <w:topLinePunct w:val="0"/>
        <w:bidi w:val="0"/>
        <w:spacing w:line="360" w:lineRule="auto"/>
        <w:ind w:firstLine="482" w:firstLineChars="200"/>
        <w:textAlignment w:val="auto"/>
        <w:outlineLvl w:val="9"/>
        <w:rPr>
          <w:rFonts w:hint="eastAsia" w:ascii="仿宋" w:hAnsi="仿宋" w:eastAsia="仿宋" w:cs="仿宋"/>
          <w:b/>
          <w:bCs/>
          <w:sz w:val="24"/>
          <w:szCs w:val="24"/>
          <w:highlight w:val="none"/>
        </w:rPr>
      </w:pPr>
    </w:p>
    <w:p w14:paraId="1970C428">
      <w:pPr>
        <w:pStyle w:val="18"/>
        <w:keepNext w:val="0"/>
        <w:keepLines w:val="0"/>
        <w:pageBreakBefore/>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6-1</w:t>
      </w:r>
    </w:p>
    <w:p w14:paraId="2766A86A">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sz w:val="24"/>
          <w:szCs w:val="24"/>
          <w:highlight w:val="non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基本情况表</w:t>
      </w:r>
    </w:p>
    <w:p w14:paraId="48343F40">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公章</w:t>
      </w:r>
      <w:r>
        <w:rPr>
          <w:rFonts w:hint="eastAsia" w:ascii="仿宋" w:hAnsi="仿宋" w:eastAsia="仿宋" w:cs="仿宋"/>
          <w:sz w:val="24"/>
          <w:szCs w:val="24"/>
          <w:highlight w:val="none"/>
          <w:lang w:eastAsia="zh-CN"/>
        </w:rPr>
        <w:t>）</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3047"/>
        <w:gridCol w:w="1713"/>
        <w:gridCol w:w="1708"/>
      </w:tblGrid>
      <w:tr w14:paraId="19C3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7D1F6FF8">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名称</w:t>
            </w:r>
          </w:p>
        </w:tc>
        <w:tc>
          <w:tcPr>
            <w:tcW w:w="3794" w:type="pct"/>
            <w:gridSpan w:val="3"/>
            <w:vAlign w:val="center"/>
          </w:tcPr>
          <w:p w14:paraId="4B12AF2F">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59D4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2051B1B0">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注册地址</w:t>
            </w:r>
          </w:p>
        </w:tc>
        <w:tc>
          <w:tcPr>
            <w:tcW w:w="3794" w:type="pct"/>
            <w:gridSpan w:val="3"/>
            <w:vAlign w:val="center"/>
          </w:tcPr>
          <w:p w14:paraId="36DD5F81">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2641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4E6FE3E8">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办公地址</w:t>
            </w:r>
          </w:p>
        </w:tc>
        <w:tc>
          <w:tcPr>
            <w:tcW w:w="3794" w:type="pct"/>
            <w:gridSpan w:val="3"/>
            <w:vAlign w:val="center"/>
          </w:tcPr>
          <w:p w14:paraId="5E7CF7B4">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73BB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1A6C0601">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法定代表人</w:t>
            </w:r>
          </w:p>
        </w:tc>
        <w:tc>
          <w:tcPr>
            <w:tcW w:w="1788" w:type="pct"/>
            <w:vAlign w:val="center"/>
          </w:tcPr>
          <w:p w14:paraId="5251C873">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c>
          <w:tcPr>
            <w:tcW w:w="1005" w:type="pct"/>
            <w:vAlign w:val="center"/>
          </w:tcPr>
          <w:p w14:paraId="0CABB551">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联系人</w:t>
            </w:r>
          </w:p>
        </w:tc>
        <w:tc>
          <w:tcPr>
            <w:tcW w:w="999" w:type="pct"/>
            <w:vAlign w:val="center"/>
          </w:tcPr>
          <w:p w14:paraId="28506668">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705F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472416FA">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电话</w:t>
            </w:r>
          </w:p>
        </w:tc>
        <w:tc>
          <w:tcPr>
            <w:tcW w:w="1788" w:type="pct"/>
            <w:vAlign w:val="center"/>
          </w:tcPr>
          <w:p w14:paraId="77639AD3">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c>
          <w:tcPr>
            <w:tcW w:w="1005" w:type="pct"/>
            <w:vAlign w:val="center"/>
          </w:tcPr>
          <w:p w14:paraId="3C376A65">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传真</w:t>
            </w:r>
          </w:p>
        </w:tc>
        <w:tc>
          <w:tcPr>
            <w:tcW w:w="999" w:type="pct"/>
            <w:vAlign w:val="center"/>
          </w:tcPr>
          <w:p w14:paraId="6E715222">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6C17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634C4409">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邮政编码</w:t>
            </w:r>
          </w:p>
        </w:tc>
        <w:tc>
          <w:tcPr>
            <w:tcW w:w="1788" w:type="pct"/>
            <w:vAlign w:val="center"/>
          </w:tcPr>
          <w:p w14:paraId="0FE92C8E">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c>
          <w:tcPr>
            <w:tcW w:w="1005" w:type="pct"/>
            <w:vAlign w:val="center"/>
          </w:tcPr>
          <w:p w14:paraId="4D9707FB">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E-Mail</w:t>
            </w:r>
          </w:p>
        </w:tc>
        <w:tc>
          <w:tcPr>
            <w:tcW w:w="999" w:type="pct"/>
            <w:vAlign w:val="center"/>
          </w:tcPr>
          <w:p w14:paraId="6CBED4EA">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55D9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503ED023">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社会统一信用代码</w:t>
            </w:r>
          </w:p>
        </w:tc>
        <w:tc>
          <w:tcPr>
            <w:tcW w:w="3794" w:type="pct"/>
            <w:gridSpan w:val="3"/>
            <w:vAlign w:val="center"/>
          </w:tcPr>
          <w:p w14:paraId="504CE075">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75E2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6DDEFA59">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资质等级</w:t>
            </w:r>
          </w:p>
        </w:tc>
        <w:tc>
          <w:tcPr>
            <w:tcW w:w="3794" w:type="pct"/>
            <w:gridSpan w:val="3"/>
            <w:vAlign w:val="center"/>
          </w:tcPr>
          <w:p w14:paraId="175417DF">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43CC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650A1A81">
            <w:pPr>
              <w:kinsoku/>
              <w:topLinePunct w:val="0"/>
              <w:autoSpaceDE w:val="0"/>
              <w:autoSpaceDN w:val="0"/>
              <w:bidi w:val="0"/>
              <w:adjustRightInd w:val="0"/>
              <w:jc w:val="center"/>
              <w:textAlignment w:val="auto"/>
              <w:outlineLvl w:val="9"/>
              <w:rPr>
                <w:rFonts w:hint="eastAsia" w:ascii="仿宋" w:hAnsi="仿宋" w:eastAsia="仿宋" w:cs="仿宋"/>
                <w:kern w:val="0"/>
                <w:szCs w:val="21"/>
                <w:lang w:eastAsia="zh-CN"/>
              </w:rPr>
            </w:pPr>
            <w:r>
              <w:rPr>
                <w:rFonts w:hint="eastAsia" w:ascii="仿宋" w:hAnsi="仿宋" w:eastAsia="仿宋" w:cs="仿宋"/>
                <w:kern w:val="0"/>
                <w:szCs w:val="21"/>
              </w:rPr>
              <w:t>注册资金（万元</w:t>
            </w:r>
            <w:r>
              <w:rPr>
                <w:rFonts w:hint="eastAsia" w:ascii="仿宋" w:hAnsi="仿宋" w:eastAsia="仿宋" w:cs="仿宋"/>
                <w:kern w:val="0"/>
                <w:szCs w:val="21"/>
                <w:lang w:eastAsia="zh-CN"/>
              </w:rPr>
              <w:t>）</w:t>
            </w:r>
          </w:p>
        </w:tc>
        <w:tc>
          <w:tcPr>
            <w:tcW w:w="1788" w:type="pct"/>
            <w:vAlign w:val="center"/>
          </w:tcPr>
          <w:p w14:paraId="7957CA36">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c>
          <w:tcPr>
            <w:tcW w:w="1005" w:type="pct"/>
            <w:vAlign w:val="center"/>
          </w:tcPr>
          <w:p w14:paraId="5E063561">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专业人员数量</w:t>
            </w:r>
          </w:p>
        </w:tc>
        <w:tc>
          <w:tcPr>
            <w:tcW w:w="999" w:type="pct"/>
            <w:vAlign w:val="center"/>
          </w:tcPr>
          <w:p w14:paraId="7F63211C">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0FA0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5" w:type="pct"/>
            <w:vAlign w:val="center"/>
          </w:tcPr>
          <w:p w14:paraId="3F2BD438">
            <w:pPr>
              <w:kinsoku/>
              <w:topLinePunct w:val="0"/>
              <w:autoSpaceDE w:val="0"/>
              <w:autoSpaceDN w:val="0"/>
              <w:bidi w:val="0"/>
              <w:adjustRightInd w:val="0"/>
              <w:jc w:val="center"/>
              <w:textAlignment w:val="auto"/>
              <w:outlineLvl w:val="9"/>
              <w:rPr>
                <w:rFonts w:hint="eastAsia" w:ascii="仿宋" w:hAnsi="仿宋" w:eastAsia="仿宋" w:cs="仿宋"/>
                <w:kern w:val="0"/>
                <w:szCs w:val="21"/>
              </w:rPr>
            </w:pPr>
            <w:r>
              <w:rPr>
                <w:rFonts w:hint="eastAsia" w:ascii="仿宋" w:hAnsi="仿宋" w:eastAsia="仿宋" w:cs="仿宋"/>
                <w:kern w:val="0"/>
                <w:szCs w:val="21"/>
              </w:rPr>
              <w:t>经营范围</w:t>
            </w:r>
          </w:p>
        </w:tc>
        <w:tc>
          <w:tcPr>
            <w:tcW w:w="3794" w:type="pct"/>
            <w:gridSpan w:val="3"/>
            <w:vAlign w:val="center"/>
          </w:tcPr>
          <w:p w14:paraId="18FD6C92">
            <w:pPr>
              <w:kinsoku/>
              <w:topLinePunct w:val="0"/>
              <w:autoSpaceDE w:val="0"/>
              <w:autoSpaceDN w:val="0"/>
              <w:bidi w:val="0"/>
              <w:adjustRightInd w:val="0"/>
              <w:jc w:val="center"/>
              <w:textAlignment w:val="auto"/>
              <w:outlineLvl w:val="9"/>
              <w:rPr>
                <w:rFonts w:hint="eastAsia" w:ascii="仿宋" w:hAnsi="仿宋" w:eastAsia="仿宋" w:cs="仿宋"/>
                <w:kern w:val="0"/>
                <w:szCs w:val="21"/>
              </w:rPr>
            </w:pPr>
          </w:p>
        </w:tc>
      </w:tr>
      <w:tr w14:paraId="261C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Pr>
          <w:p w14:paraId="38B4421E">
            <w:pPr>
              <w:kinsoku/>
              <w:topLinePunct w:val="0"/>
              <w:autoSpaceDE w:val="0"/>
              <w:autoSpaceDN w:val="0"/>
              <w:bidi w:val="0"/>
              <w:adjustRightInd w:val="0"/>
              <w:textAlignment w:val="auto"/>
              <w:outlineLvl w:val="9"/>
              <w:rPr>
                <w:rFonts w:hint="eastAsia" w:ascii="仿宋" w:hAnsi="仿宋" w:eastAsia="仿宋" w:cs="仿宋"/>
                <w:kern w:val="0"/>
                <w:szCs w:val="21"/>
              </w:rPr>
            </w:pPr>
            <w:r>
              <w:rPr>
                <w:rFonts w:hint="eastAsia" w:ascii="仿宋" w:hAnsi="仿宋" w:eastAsia="仿宋" w:cs="仿宋"/>
                <w:kern w:val="0"/>
                <w:szCs w:val="21"/>
              </w:rPr>
              <w:t>机构简况：</w:t>
            </w:r>
          </w:p>
          <w:p w14:paraId="13B23D25">
            <w:pPr>
              <w:pStyle w:val="12"/>
              <w:kinsoku/>
              <w:topLinePunct w:val="0"/>
              <w:bidi w:val="0"/>
              <w:textAlignment w:val="auto"/>
              <w:outlineLvl w:val="9"/>
              <w:rPr>
                <w:rFonts w:hint="eastAsia" w:ascii="仿宋" w:hAnsi="仿宋" w:eastAsia="仿宋" w:cs="仿宋"/>
                <w:kern w:val="0"/>
                <w:szCs w:val="21"/>
              </w:rPr>
            </w:pPr>
          </w:p>
          <w:p w14:paraId="7AF094CA">
            <w:pPr>
              <w:pStyle w:val="15"/>
              <w:kinsoku/>
              <w:topLinePunct w:val="0"/>
              <w:bidi w:val="0"/>
              <w:ind w:firstLine="210"/>
              <w:textAlignment w:val="auto"/>
              <w:outlineLvl w:val="9"/>
              <w:rPr>
                <w:rFonts w:hint="eastAsia" w:ascii="仿宋" w:hAnsi="仿宋" w:eastAsia="仿宋" w:cs="仿宋"/>
                <w:kern w:val="0"/>
                <w:szCs w:val="21"/>
              </w:rPr>
            </w:pPr>
          </w:p>
          <w:p w14:paraId="15FD06C3">
            <w:pPr>
              <w:pStyle w:val="16"/>
              <w:kinsoku/>
              <w:topLinePunct w:val="0"/>
              <w:bidi w:val="0"/>
              <w:textAlignment w:val="auto"/>
              <w:outlineLvl w:val="9"/>
              <w:rPr>
                <w:rFonts w:hint="eastAsia" w:ascii="仿宋" w:hAnsi="仿宋" w:eastAsia="仿宋" w:cs="仿宋"/>
                <w:kern w:val="0"/>
                <w:szCs w:val="21"/>
              </w:rPr>
            </w:pPr>
          </w:p>
          <w:p w14:paraId="64AF9FC6">
            <w:pPr>
              <w:kinsoku/>
              <w:topLinePunct w:val="0"/>
              <w:bidi w:val="0"/>
              <w:textAlignment w:val="auto"/>
              <w:outlineLvl w:val="9"/>
              <w:rPr>
                <w:rFonts w:hint="eastAsia" w:ascii="仿宋" w:hAnsi="仿宋" w:eastAsia="仿宋" w:cs="仿宋"/>
                <w:kern w:val="0"/>
                <w:szCs w:val="21"/>
              </w:rPr>
            </w:pPr>
          </w:p>
          <w:p w14:paraId="019E65D0">
            <w:pPr>
              <w:pStyle w:val="12"/>
              <w:kinsoku/>
              <w:topLinePunct w:val="0"/>
              <w:bidi w:val="0"/>
              <w:textAlignment w:val="auto"/>
              <w:outlineLvl w:val="9"/>
              <w:rPr>
                <w:rFonts w:hint="eastAsia" w:ascii="仿宋" w:hAnsi="仿宋" w:eastAsia="仿宋" w:cs="仿宋"/>
                <w:kern w:val="0"/>
                <w:szCs w:val="21"/>
              </w:rPr>
            </w:pPr>
          </w:p>
          <w:p w14:paraId="2EE0BE4F">
            <w:pPr>
              <w:pStyle w:val="15"/>
              <w:kinsoku/>
              <w:topLinePunct w:val="0"/>
              <w:bidi w:val="0"/>
              <w:ind w:firstLine="210"/>
              <w:textAlignment w:val="auto"/>
              <w:outlineLvl w:val="9"/>
              <w:rPr>
                <w:rFonts w:hint="eastAsia" w:ascii="仿宋" w:hAnsi="仿宋" w:eastAsia="仿宋" w:cs="仿宋"/>
                <w:kern w:val="0"/>
                <w:szCs w:val="21"/>
              </w:rPr>
            </w:pPr>
          </w:p>
          <w:p w14:paraId="38FAE07F">
            <w:pPr>
              <w:pStyle w:val="16"/>
              <w:kinsoku/>
              <w:topLinePunct w:val="0"/>
              <w:bidi w:val="0"/>
              <w:textAlignment w:val="auto"/>
              <w:outlineLvl w:val="9"/>
              <w:rPr>
                <w:rFonts w:hint="eastAsia" w:ascii="仿宋" w:hAnsi="仿宋" w:eastAsia="仿宋" w:cs="仿宋"/>
                <w:kern w:val="0"/>
                <w:szCs w:val="21"/>
              </w:rPr>
            </w:pPr>
          </w:p>
          <w:p w14:paraId="44359FF3">
            <w:pPr>
              <w:kinsoku/>
              <w:topLinePunct w:val="0"/>
              <w:bidi w:val="0"/>
              <w:textAlignment w:val="auto"/>
              <w:outlineLvl w:val="9"/>
              <w:rPr>
                <w:rFonts w:hint="eastAsia" w:ascii="仿宋" w:hAnsi="仿宋" w:eastAsia="仿宋" w:cs="仿宋"/>
              </w:rPr>
            </w:pPr>
          </w:p>
        </w:tc>
      </w:tr>
    </w:tbl>
    <w:p w14:paraId="63946B98">
      <w:pPr>
        <w:pStyle w:val="18"/>
        <w:kinsoku/>
        <w:topLinePunct w:val="0"/>
        <w:bidi w:val="0"/>
        <w:spacing w:line="360" w:lineRule="auto"/>
        <w:ind w:firstLine="482" w:firstLineChars="200"/>
        <w:textAlignment w:val="auto"/>
        <w:outlineLvl w:val="9"/>
        <w:rPr>
          <w:rFonts w:hint="eastAsia" w:ascii="仿宋" w:hAnsi="仿宋" w:eastAsia="仿宋" w:cs="仿宋"/>
          <w:b/>
          <w:bCs/>
          <w:sz w:val="24"/>
          <w:szCs w:val="24"/>
          <w:highlight w:val="none"/>
        </w:rPr>
      </w:pPr>
    </w:p>
    <w:p w14:paraId="05E01178">
      <w:pPr>
        <w:pStyle w:val="18"/>
        <w:kinsoku/>
        <w:topLinePunct w:val="0"/>
        <w:bidi w:val="0"/>
        <w:spacing w:line="360" w:lineRule="auto"/>
        <w:ind w:firstLine="482" w:firstLineChars="200"/>
        <w:textAlignment w:val="auto"/>
        <w:outlineLvl w:val="9"/>
        <w:rPr>
          <w:rFonts w:hint="eastAsia" w:ascii="仿宋" w:hAnsi="仿宋" w:eastAsia="仿宋" w:cs="仿宋"/>
          <w:b/>
          <w:bCs/>
          <w:sz w:val="24"/>
          <w:szCs w:val="24"/>
          <w:highlight w:val="none"/>
        </w:rPr>
      </w:pPr>
    </w:p>
    <w:p w14:paraId="72A55D5A">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72940C97">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050FA072">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1153CF7B">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502EB662">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7622A5ED">
      <w:pPr>
        <w:pStyle w:val="18"/>
        <w:kinsoku/>
        <w:topLinePunct w:val="0"/>
        <w:bidi w:val="0"/>
        <w:spacing w:line="360" w:lineRule="auto"/>
        <w:ind w:firstLine="480" w:firstLineChars="200"/>
        <w:textAlignment w:val="auto"/>
        <w:outlineLvl w:val="9"/>
        <w:rPr>
          <w:rFonts w:hint="eastAsia" w:ascii="仿宋" w:hAnsi="仿宋" w:eastAsia="仿宋" w:cs="仿宋"/>
          <w:sz w:val="24"/>
          <w:szCs w:val="24"/>
          <w:highlight w:val="none"/>
        </w:rPr>
      </w:pPr>
    </w:p>
    <w:p w14:paraId="1C3FCD11">
      <w:pPr>
        <w:pStyle w:val="18"/>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2   参加政府采购活动近三年内在经营活动中没有重大违法记录的书面声明</w:t>
      </w:r>
    </w:p>
    <w:p w14:paraId="1C447045">
      <w:pPr>
        <w:bidi w:val="0"/>
        <w:rPr>
          <w:rFonts w:hint="eastAsia"/>
          <w:lang w:val="en-US" w:eastAsia="zh-CN"/>
        </w:rPr>
      </w:pPr>
    </w:p>
    <w:p w14:paraId="195ABF0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参加政府采购活动近三年内在经营活动中</w:t>
      </w:r>
    </w:p>
    <w:p w14:paraId="235BC3F3">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没有重大违法记录的书面声明</w:t>
      </w:r>
    </w:p>
    <w:p w14:paraId="2B600438">
      <w:pPr>
        <w:pageBreakBefore w:val="0"/>
        <w:kinsoku/>
        <w:overflowPunct/>
        <w:topLinePunct w:val="0"/>
        <w:bidi w:val="0"/>
        <w:spacing w:line="36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75A871F7">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本单位郑重声明：</w:t>
      </w:r>
    </w:p>
    <w:p w14:paraId="2F49674B">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我单位在参加采购活动前三年内在经营活动中没有《中华人民共和国政府采购法》第二十二条第一款第(五)项所称重大违法记录，包括：</w:t>
      </w:r>
    </w:p>
    <w:p w14:paraId="77C8466C">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37BA1E17">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特此声明！</w:t>
      </w:r>
    </w:p>
    <w:p w14:paraId="7D3A1139">
      <w:pPr>
        <w:pageBreakBefore w:val="0"/>
        <w:kinsoku/>
        <w:overflowPunct/>
        <w:topLinePunct w:val="0"/>
        <w:bidi w:val="0"/>
        <w:spacing w:line="36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2A5CD5D8">
      <w:pPr>
        <w:pStyle w:val="12"/>
        <w:pageBreakBefore w:val="0"/>
        <w:kinsoku/>
        <w:overflowPunct/>
        <w:topLinePunct w:val="0"/>
        <w:bidi w:val="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4FE1E95F">
      <w:pPr>
        <w:pageBreakBefore w:val="0"/>
        <w:kinsoku/>
        <w:overflowPunct/>
        <w:topLinePunct w:val="0"/>
        <w:bidi w:val="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3BD445BD">
      <w:pPr>
        <w:pStyle w:val="12"/>
        <w:pageBreakBefore w:val="0"/>
        <w:kinsoku/>
        <w:overflowPunct/>
        <w:topLinePunct w:val="0"/>
        <w:bidi w:val="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5969B19D">
      <w:pPr>
        <w:pageBreakBefore w:val="0"/>
        <w:kinsoku/>
        <w:overflowPunct/>
        <w:topLinePunct w:val="0"/>
        <w:bidi w:val="0"/>
        <w:textAlignment w:val="auto"/>
        <w:outlineLvl w:val="9"/>
        <w:rPr>
          <w:rFonts w:hint="eastAsia"/>
          <w:highlight w:val="none"/>
        </w:rPr>
      </w:pPr>
    </w:p>
    <w:p w14:paraId="623A5155">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供应商名称(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盖</w:t>
      </w:r>
      <w:r>
        <w:rPr>
          <w:rFonts w:hint="eastAsia" w:ascii="仿宋" w:hAnsi="仿宋" w:eastAsia="仿宋" w:cs="仿宋"/>
          <w:color w:val="000000" w:themeColor="text1"/>
          <w:kern w:val="0"/>
          <w:sz w:val="24"/>
          <w:szCs w:val="24"/>
          <w:highlight w:val="none"/>
          <w14:textFill>
            <w14:solidFill>
              <w14:schemeClr w14:val="tx1"/>
            </w14:solidFill>
          </w14:textFill>
        </w:rPr>
        <w:t>章)：____________</w:t>
      </w:r>
    </w:p>
    <w:p w14:paraId="273EA696">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法定代表人或其授权代表(签字或盖章)：____________</w:t>
      </w:r>
    </w:p>
    <w:p w14:paraId="6B6E8FC0">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日期：______年____月____日</w:t>
      </w:r>
    </w:p>
    <w:p w14:paraId="7EB084E8">
      <w:pPr>
        <w:tabs>
          <w:tab w:val="left" w:pos="3620"/>
        </w:tabs>
        <w:bidi w:val="0"/>
        <w:jc w:val="center"/>
        <w:rPr>
          <w:rFonts w:hint="eastAsia"/>
          <w:lang w:val="en-US" w:eastAsia="zh-CN"/>
        </w:rPr>
      </w:pPr>
    </w:p>
    <w:p w14:paraId="45CCFE6D">
      <w:pPr>
        <w:pStyle w:val="18"/>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3   无不良信用记录承诺函</w:t>
      </w:r>
    </w:p>
    <w:p w14:paraId="3F24D1E7">
      <w:pPr>
        <w:bidi w:val="0"/>
        <w:rPr>
          <w:rFonts w:hint="eastAsia"/>
          <w:lang w:val="en-US" w:eastAsia="zh-CN"/>
        </w:rPr>
      </w:pPr>
    </w:p>
    <w:p w14:paraId="1D241FD9">
      <w:pPr>
        <w:bidi w:val="0"/>
        <w:rPr>
          <w:rFonts w:hint="eastAsia"/>
          <w:lang w:val="en-US" w:eastAsia="zh-CN"/>
        </w:rPr>
      </w:pPr>
    </w:p>
    <w:p w14:paraId="18FA0A4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无不良信用记录承诺函</w:t>
      </w:r>
    </w:p>
    <w:p w14:paraId="1C5318FB">
      <w:pPr>
        <w:pageBreakBefore w:val="0"/>
        <w:kinsoku/>
        <w:overflowPunct/>
        <w:topLinePunct w:val="0"/>
        <w:bidi w:val="0"/>
        <w:spacing w:line="360" w:lineRule="auto"/>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338AAEEE">
      <w:pPr>
        <w:pageBreakBefore w:val="0"/>
        <w:kinsoku/>
        <w:overflowPunct/>
        <w:topLinePunct w:val="0"/>
        <w:bidi w:val="0"/>
        <w:spacing w:line="480" w:lineRule="auto"/>
        <w:textAlignment w:val="auto"/>
        <w:outlineLvl w:val="9"/>
        <w:rPr>
          <w:rFonts w:hint="default" w:ascii="仿宋" w:hAnsi="仿宋" w:eastAsia="仿宋" w:cs="仿宋"/>
          <w:color w:val="000000" w:themeColor="text1"/>
          <w:kern w:val="0"/>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致(采购人或采购代理机构)：</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p>
    <w:p w14:paraId="7E267C60">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本单位郑重承诺，我单位无以下不良信用记录情形：</w:t>
      </w:r>
    </w:p>
    <w:p w14:paraId="17C1AE14">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1.被人民法院列入失信被执行人；</w:t>
      </w:r>
    </w:p>
    <w:p w14:paraId="395BCD10">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2.被税务部门列入重大税收违法失信主体；</w:t>
      </w:r>
    </w:p>
    <w:p w14:paraId="249D8732">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3.被政府采购监管部门列入政府采购严重违法失信行为记录名单；</w:t>
      </w:r>
    </w:p>
    <w:p w14:paraId="03976084">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4.不符合《中华人民共和国政府采购法》第二十二条规定的条件。</w:t>
      </w:r>
    </w:p>
    <w:p w14:paraId="2AE71AF6">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我单位已就上述不良信用行为按照</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采购文件</w:t>
      </w:r>
      <w:r>
        <w:rPr>
          <w:rFonts w:hint="eastAsia" w:ascii="仿宋" w:hAnsi="仿宋" w:eastAsia="仿宋" w:cs="仿宋"/>
          <w:color w:val="000000" w:themeColor="text1"/>
          <w:kern w:val="0"/>
          <w:sz w:val="24"/>
          <w:szCs w:val="24"/>
          <w:highlight w:val="none"/>
          <w14:textFill>
            <w14:solidFill>
              <w14:schemeClr w14:val="tx1"/>
            </w14:solidFill>
          </w14:textFill>
        </w:rPr>
        <w:t>中供应商须知前附表规定进行了查询。我单位承诺：合同签订前，若我单位具有不良信用记录情形，贵方可取消我单位中标资格或者不授予合同，所有责任由我单位自行承担。同时我单位愿意无条件接受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相关</w:t>
      </w:r>
      <w:r>
        <w:rPr>
          <w:rFonts w:hint="eastAsia" w:ascii="仿宋" w:hAnsi="仿宋" w:eastAsia="仿宋" w:cs="仿宋"/>
          <w:color w:val="000000" w:themeColor="text1"/>
          <w:kern w:val="0"/>
          <w:sz w:val="24"/>
          <w:szCs w:val="24"/>
          <w:highlight w:val="none"/>
          <w14:textFill>
            <w14:solidFill>
              <w14:schemeClr w14:val="tx1"/>
            </w14:solidFill>
          </w14:textFill>
        </w:rPr>
        <w:t>监管部门的调查处理。</w:t>
      </w:r>
    </w:p>
    <w:p w14:paraId="799D174D">
      <w:pPr>
        <w:pageBreakBefore w:val="0"/>
        <w:kinsoku/>
        <w:overflowPunct/>
        <w:topLinePunct w:val="0"/>
        <w:bidi w:val="0"/>
        <w:spacing w:line="36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32231812">
      <w:pPr>
        <w:pStyle w:val="12"/>
        <w:pageBreakBefore w:val="0"/>
        <w:kinsoku/>
        <w:overflowPunct/>
        <w:topLinePunct w:val="0"/>
        <w:bidi w:val="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p>
    <w:p w14:paraId="1E2ACAF4">
      <w:pPr>
        <w:pageBreakBefore w:val="0"/>
        <w:kinsoku/>
        <w:overflowPunct/>
        <w:topLinePunct w:val="0"/>
        <w:bidi w:val="0"/>
        <w:textAlignment w:val="auto"/>
        <w:outlineLvl w:val="9"/>
        <w:rPr>
          <w:rFonts w:hint="eastAsia"/>
          <w:highlight w:val="none"/>
        </w:rPr>
      </w:pPr>
    </w:p>
    <w:p w14:paraId="41379CF6">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供应商名称(盖公章)：____________</w:t>
      </w:r>
    </w:p>
    <w:p w14:paraId="306507C0">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法定代表人或其授权代表(签字或盖章)：____________</w:t>
      </w:r>
    </w:p>
    <w:p w14:paraId="296453B6">
      <w:pPr>
        <w:pageBreakBefore w:val="0"/>
        <w:kinsoku/>
        <w:overflowPunct/>
        <w:topLinePunct w:val="0"/>
        <w:bidi w:val="0"/>
        <w:spacing w:line="480" w:lineRule="auto"/>
        <w:ind w:firstLine="480" w:firstLineChars="200"/>
        <w:textAlignment w:val="auto"/>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日期：______年____月____日</w:t>
      </w:r>
    </w:p>
    <w:p w14:paraId="680D117C">
      <w:pPr>
        <w:bidi w:val="0"/>
        <w:jc w:val="center"/>
        <w:rPr>
          <w:rFonts w:hint="eastAsia"/>
          <w:lang w:val="en-US" w:eastAsia="zh-CN"/>
        </w:rPr>
      </w:pPr>
    </w:p>
    <w:p w14:paraId="3390296A">
      <w:pPr>
        <w:pStyle w:val="18"/>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七、供应商认为需提供的其他资料</w:t>
      </w:r>
    </w:p>
    <w:p w14:paraId="52DCA948">
      <w:pPr>
        <w:pStyle w:val="18"/>
        <w:kinsoku/>
        <w:topLinePunct w:val="0"/>
        <w:bidi w:val="0"/>
        <w:spacing w:line="360" w:lineRule="auto"/>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附件7-1</w:t>
      </w:r>
    </w:p>
    <w:p w14:paraId="011E0462">
      <w:pPr>
        <w:pStyle w:val="18"/>
        <w:kinsoku/>
        <w:topLinePunct w:val="0"/>
        <w:bidi w:val="0"/>
        <w:spacing w:line="360" w:lineRule="auto"/>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项目负责人简历表</w:t>
      </w:r>
    </w:p>
    <w:tbl>
      <w:tblPr>
        <w:tblStyle w:val="2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169"/>
        <w:gridCol w:w="1171"/>
        <w:gridCol w:w="1614"/>
        <w:gridCol w:w="1489"/>
        <w:gridCol w:w="1500"/>
      </w:tblGrid>
      <w:tr w14:paraId="552F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21" w:type="pct"/>
            <w:noWrap w:val="0"/>
            <w:vAlign w:val="center"/>
          </w:tcPr>
          <w:p w14:paraId="03BCA8BF">
            <w:pPr>
              <w:kinsoku/>
              <w:overflowPunct/>
              <w:topLinePunct w:val="0"/>
              <w:bidi w:val="0"/>
              <w:jc w:val="center"/>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姓名</w:t>
            </w:r>
          </w:p>
        </w:tc>
        <w:tc>
          <w:tcPr>
            <w:tcW w:w="687" w:type="pct"/>
            <w:noWrap w:val="0"/>
            <w:vAlign w:val="center"/>
          </w:tcPr>
          <w:p w14:paraId="438CE4C2">
            <w:pPr>
              <w:kinsoku/>
              <w:overflowPunct/>
              <w:topLinePunct w:val="0"/>
              <w:bidi w:val="0"/>
              <w:jc w:val="center"/>
              <w:textAlignment w:val="auto"/>
              <w:outlineLvl w:val="9"/>
              <w:rPr>
                <w:rFonts w:hint="eastAsia" w:ascii="仿宋" w:hAnsi="仿宋" w:eastAsia="仿宋" w:cs="仿宋"/>
                <w:color w:val="000000"/>
                <w:szCs w:val="21"/>
                <w:highlight w:val="none"/>
              </w:rPr>
            </w:pPr>
          </w:p>
        </w:tc>
        <w:tc>
          <w:tcPr>
            <w:tcW w:w="687" w:type="pct"/>
            <w:noWrap w:val="0"/>
            <w:vAlign w:val="center"/>
          </w:tcPr>
          <w:p w14:paraId="1906A9F8">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年龄</w:t>
            </w:r>
          </w:p>
        </w:tc>
        <w:tc>
          <w:tcPr>
            <w:tcW w:w="948" w:type="pct"/>
            <w:noWrap w:val="0"/>
            <w:vAlign w:val="center"/>
          </w:tcPr>
          <w:p w14:paraId="642D3E64">
            <w:pPr>
              <w:kinsoku/>
              <w:overflowPunct/>
              <w:topLinePunct w:val="0"/>
              <w:bidi w:val="0"/>
              <w:jc w:val="center"/>
              <w:textAlignment w:val="auto"/>
              <w:outlineLvl w:val="9"/>
              <w:rPr>
                <w:rFonts w:hint="eastAsia" w:ascii="仿宋" w:hAnsi="仿宋" w:eastAsia="仿宋" w:cs="仿宋"/>
                <w:color w:val="000000"/>
                <w:szCs w:val="21"/>
                <w:highlight w:val="none"/>
              </w:rPr>
            </w:pPr>
          </w:p>
        </w:tc>
        <w:tc>
          <w:tcPr>
            <w:tcW w:w="875" w:type="pct"/>
            <w:noWrap w:val="0"/>
            <w:vAlign w:val="center"/>
          </w:tcPr>
          <w:p w14:paraId="2D5B4F79">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执业资格证书（或上岗证书）名称</w:t>
            </w:r>
          </w:p>
        </w:tc>
        <w:tc>
          <w:tcPr>
            <w:tcW w:w="880" w:type="pct"/>
            <w:noWrap w:val="0"/>
            <w:vAlign w:val="center"/>
          </w:tcPr>
          <w:p w14:paraId="3140AE6D">
            <w:pPr>
              <w:kinsoku/>
              <w:overflowPunct/>
              <w:topLinePunct w:val="0"/>
              <w:bidi w:val="0"/>
              <w:jc w:val="center"/>
              <w:textAlignment w:val="auto"/>
              <w:outlineLvl w:val="9"/>
              <w:rPr>
                <w:rFonts w:hint="eastAsia" w:ascii="仿宋" w:hAnsi="仿宋" w:eastAsia="仿宋" w:cs="仿宋"/>
                <w:color w:val="000000"/>
                <w:szCs w:val="21"/>
                <w:highlight w:val="none"/>
              </w:rPr>
            </w:pPr>
          </w:p>
        </w:tc>
      </w:tr>
      <w:tr w14:paraId="7844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21" w:type="pct"/>
            <w:noWrap w:val="0"/>
            <w:vAlign w:val="center"/>
          </w:tcPr>
          <w:p w14:paraId="22483FF3">
            <w:pPr>
              <w:kinsoku/>
              <w:overflowPunct/>
              <w:topLinePunct w:val="0"/>
              <w:bidi w:val="0"/>
              <w:jc w:val="center"/>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职称</w:t>
            </w:r>
          </w:p>
        </w:tc>
        <w:tc>
          <w:tcPr>
            <w:tcW w:w="1375" w:type="pct"/>
            <w:gridSpan w:val="2"/>
            <w:noWrap w:val="0"/>
            <w:vAlign w:val="center"/>
          </w:tcPr>
          <w:p w14:paraId="5AB4F3E2">
            <w:pPr>
              <w:kinsoku/>
              <w:overflowPunct/>
              <w:topLinePunct w:val="0"/>
              <w:bidi w:val="0"/>
              <w:jc w:val="center"/>
              <w:textAlignment w:val="auto"/>
              <w:outlineLvl w:val="9"/>
              <w:rPr>
                <w:rFonts w:hint="eastAsia" w:ascii="仿宋" w:hAnsi="仿宋" w:eastAsia="仿宋" w:cs="仿宋"/>
                <w:color w:val="000000"/>
                <w:szCs w:val="21"/>
                <w:highlight w:val="none"/>
              </w:rPr>
            </w:pPr>
          </w:p>
        </w:tc>
        <w:tc>
          <w:tcPr>
            <w:tcW w:w="948" w:type="pct"/>
            <w:noWrap w:val="0"/>
            <w:vAlign w:val="center"/>
          </w:tcPr>
          <w:p w14:paraId="00FDE357">
            <w:pPr>
              <w:kinsoku/>
              <w:overflowPunct/>
              <w:topLinePunct w:val="0"/>
              <w:bidi w:val="0"/>
              <w:jc w:val="center"/>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学历</w:t>
            </w:r>
          </w:p>
        </w:tc>
        <w:tc>
          <w:tcPr>
            <w:tcW w:w="1755" w:type="pct"/>
            <w:gridSpan w:val="2"/>
            <w:noWrap w:val="0"/>
            <w:vAlign w:val="center"/>
          </w:tcPr>
          <w:p w14:paraId="08889591">
            <w:pPr>
              <w:kinsoku/>
              <w:overflowPunct/>
              <w:topLinePunct w:val="0"/>
              <w:bidi w:val="0"/>
              <w:jc w:val="center"/>
              <w:textAlignment w:val="auto"/>
              <w:outlineLvl w:val="9"/>
              <w:rPr>
                <w:rFonts w:hint="eastAsia" w:ascii="仿宋" w:hAnsi="仿宋" w:eastAsia="仿宋" w:cs="仿宋"/>
                <w:color w:val="000000"/>
                <w:szCs w:val="21"/>
                <w:highlight w:val="none"/>
              </w:rPr>
            </w:pPr>
          </w:p>
        </w:tc>
      </w:tr>
      <w:tr w14:paraId="111D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21" w:type="pct"/>
            <w:noWrap w:val="0"/>
            <w:vAlign w:val="center"/>
          </w:tcPr>
          <w:p w14:paraId="1410B36B">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工作年限</w:t>
            </w:r>
          </w:p>
        </w:tc>
        <w:tc>
          <w:tcPr>
            <w:tcW w:w="1375" w:type="pct"/>
            <w:gridSpan w:val="2"/>
            <w:noWrap w:val="0"/>
            <w:vAlign w:val="center"/>
          </w:tcPr>
          <w:p w14:paraId="46E76467">
            <w:pPr>
              <w:kinsoku/>
              <w:overflowPunct/>
              <w:topLinePunct w:val="0"/>
              <w:bidi w:val="0"/>
              <w:jc w:val="center"/>
              <w:textAlignment w:val="auto"/>
              <w:outlineLvl w:val="9"/>
              <w:rPr>
                <w:rFonts w:hint="eastAsia" w:ascii="仿宋" w:hAnsi="仿宋" w:eastAsia="仿宋" w:cs="仿宋"/>
                <w:color w:val="000000"/>
                <w:szCs w:val="21"/>
                <w:highlight w:val="none"/>
              </w:rPr>
            </w:pPr>
          </w:p>
        </w:tc>
        <w:tc>
          <w:tcPr>
            <w:tcW w:w="948" w:type="pct"/>
            <w:noWrap w:val="0"/>
            <w:vAlign w:val="center"/>
          </w:tcPr>
          <w:p w14:paraId="54A6321C">
            <w:pPr>
              <w:kinsoku/>
              <w:overflowPunct/>
              <w:topLinePunct w:val="0"/>
              <w:bidi w:val="0"/>
              <w:jc w:val="center"/>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从事</w:t>
            </w:r>
            <w:r>
              <w:rPr>
                <w:rFonts w:hint="eastAsia" w:ascii="仿宋" w:hAnsi="仿宋" w:eastAsia="仿宋" w:cs="仿宋"/>
                <w:color w:val="000000"/>
                <w:szCs w:val="21"/>
                <w:highlight w:val="none"/>
                <w:lang w:val="en-US" w:eastAsia="zh-CN"/>
              </w:rPr>
              <w:t>造价咨询</w:t>
            </w:r>
            <w:r>
              <w:rPr>
                <w:rFonts w:hint="eastAsia" w:ascii="仿宋" w:hAnsi="仿宋" w:eastAsia="仿宋" w:cs="仿宋"/>
                <w:color w:val="000000"/>
                <w:szCs w:val="21"/>
                <w:highlight w:val="none"/>
              </w:rPr>
              <w:t>工作年限</w:t>
            </w:r>
          </w:p>
        </w:tc>
        <w:tc>
          <w:tcPr>
            <w:tcW w:w="1755" w:type="pct"/>
            <w:gridSpan w:val="2"/>
            <w:noWrap w:val="0"/>
            <w:vAlign w:val="center"/>
          </w:tcPr>
          <w:p w14:paraId="06CA3D82">
            <w:pPr>
              <w:kinsoku/>
              <w:overflowPunct/>
              <w:topLinePunct w:val="0"/>
              <w:bidi w:val="0"/>
              <w:jc w:val="center"/>
              <w:textAlignment w:val="auto"/>
              <w:outlineLvl w:val="9"/>
              <w:rPr>
                <w:rFonts w:hint="eastAsia" w:ascii="仿宋" w:hAnsi="仿宋" w:eastAsia="仿宋" w:cs="仿宋"/>
                <w:color w:val="000000"/>
                <w:szCs w:val="21"/>
                <w:highlight w:val="none"/>
              </w:rPr>
            </w:pPr>
          </w:p>
        </w:tc>
      </w:tr>
      <w:tr w14:paraId="2031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21" w:type="pct"/>
            <w:noWrap w:val="0"/>
            <w:vAlign w:val="center"/>
          </w:tcPr>
          <w:p w14:paraId="73D8B0A8">
            <w:pPr>
              <w:kinsoku/>
              <w:overflowPunct/>
              <w:topLinePunct w:val="0"/>
              <w:bidi w:val="0"/>
              <w:jc w:val="center"/>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毕业学校</w:t>
            </w:r>
          </w:p>
        </w:tc>
        <w:tc>
          <w:tcPr>
            <w:tcW w:w="4078" w:type="pct"/>
            <w:gridSpan w:val="5"/>
            <w:noWrap w:val="0"/>
            <w:vAlign w:val="center"/>
          </w:tcPr>
          <w:p w14:paraId="3C3C8085">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年毕业于               学校        专业    </w:t>
            </w:r>
          </w:p>
        </w:tc>
      </w:tr>
      <w:tr w14:paraId="4726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000" w:type="pct"/>
            <w:gridSpan w:val="6"/>
            <w:noWrap w:val="0"/>
            <w:vAlign w:val="center"/>
          </w:tcPr>
          <w:p w14:paraId="0CD61E5D">
            <w:pPr>
              <w:kinsoku/>
              <w:overflowPunct/>
              <w:topLinePunct w:val="0"/>
              <w:bidi w:val="0"/>
              <w:jc w:val="left"/>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主要工作经历</w:t>
            </w:r>
          </w:p>
        </w:tc>
      </w:tr>
      <w:tr w14:paraId="1CE6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21" w:type="pct"/>
            <w:noWrap w:val="0"/>
            <w:vAlign w:val="center"/>
          </w:tcPr>
          <w:p w14:paraId="5FE566AE">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时间</w:t>
            </w:r>
          </w:p>
        </w:tc>
        <w:tc>
          <w:tcPr>
            <w:tcW w:w="1375" w:type="pct"/>
            <w:gridSpan w:val="2"/>
            <w:noWrap w:val="0"/>
            <w:vAlign w:val="center"/>
          </w:tcPr>
          <w:p w14:paraId="1F151C6A">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参加过的类似项目</w:t>
            </w:r>
          </w:p>
        </w:tc>
        <w:tc>
          <w:tcPr>
            <w:tcW w:w="948" w:type="pct"/>
            <w:noWrap w:val="0"/>
            <w:vAlign w:val="center"/>
          </w:tcPr>
          <w:p w14:paraId="419A2E6F">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担任职务</w:t>
            </w:r>
          </w:p>
        </w:tc>
        <w:tc>
          <w:tcPr>
            <w:tcW w:w="1755" w:type="pct"/>
            <w:gridSpan w:val="2"/>
            <w:noWrap w:val="0"/>
            <w:vAlign w:val="center"/>
          </w:tcPr>
          <w:p w14:paraId="3C44E4A1">
            <w:pPr>
              <w:kinsoku/>
              <w:overflowPunct/>
              <w:topLinePunct w:val="0"/>
              <w:bidi w:val="0"/>
              <w:jc w:val="center"/>
              <w:textAlignment w:val="auto"/>
              <w:outlineLvl w:val="9"/>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发包人及联系电话</w:t>
            </w:r>
          </w:p>
        </w:tc>
      </w:tr>
      <w:tr w14:paraId="0FD9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21" w:type="pct"/>
            <w:noWrap w:val="0"/>
            <w:vAlign w:val="center"/>
          </w:tcPr>
          <w:p w14:paraId="5A1B22D6">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375" w:type="pct"/>
            <w:gridSpan w:val="2"/>
            <w:noWrap w:val="0"/>
            <w:vAlign w:val="center"/>
          </w:tcPr>
          <w:p w14:paraId="65F1AE1E">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948" w:type="pct"/>
            <w:noWrap w:val="0"/>
            <w:vAlign w:val="center"/>
          </w:tcPr>
          <w:p w14:paraId="45D40210">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755" w:type="pct"/>
            <w:gridSpan w:val="2"/>
            <w:noWrap w:val="0"/>
            <w:vAlign w:val="center"/>
          </w:tcPr>
          <w:p w14:paraId="5549E5DB">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r>
      <w:tr w14:paraId="3A67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21" w:type="pct"/>
            <w:noWrap w:val="0"/>
            <w:vAlign w:val="center"/>
          </w:tcPr>
          <w:p w14:paraId="0F123188">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375" w:type="pct"/>
            <w:gridSpan w:val="2"/>
            <w:noWrap w:val="0"/>
            <w:vAlign w:val="center"/>
          </w:tcPr>
          <w:p w14:paraId="10E6A211">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948" w:type="pct"/>
            <w:noWrap w:val="0"/>
            <w:vAlign w:val="center"/>
          </w:tcPr>
          <w:p w14:paraId="655AF002">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755" w:type="pct"/>
            <w:gridSpan w:val="2"/>
            <w:noWrap w:val="0"/>
            <w:vAlign w:val="center"/>
          </w:tcPr>
          <w:p w14:paraId="532A68EA">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r>
      <w:tr w14:paraId="5E50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21" w:type="pct"/>
            <w:noWrap w:val="0"/>
            <w:vAlign w:val="center"/>
          </w:tcPr>
          <w:p w14:paraId="3EADA0B1">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375" w:type="pct"/>
            <w:gridSpan w:val="2"/>
            <w:noWrap w:val="0"/>
            <w:vAlign w:val="center"/>
          </w:tcPr>
          <w:p w14:paraId="7F3A3AA2">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948" w:type="pct"/>
            <w:noWrap w:val="0"/>
            <w:vAlign w:val="center"/>
          </w:tcPr>
          <w:p w14:paraId="5F77E1D6">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755" w:type="pct"/>
            <w:gridSpan w:val="2"/>
            <w:noWrap w:val="0"/>
            <w:vAlign w:val="center"/>
          </w:tcPr>
          <w:p w14:paraId="7BA0AE35">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r>
      <w:tr w14:paraId="3484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21" w:type="pct"/>
            <w:noWrap w:val="0"/>
            <w:vAlign w:val="center"/>
          </w:tcPr>
          <w:p w14:paraId="66960A7B">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375" w:type="pct"/>
            <w:gridSpan w:val="2"/>
            <w:noWrap w:val="0"/>
            <w:vAlign w:val="center"/>
          </w:tcPr>
          <w:p w14:paraId="085B6878">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948" w:type="pct"/>
            <w:noWrap w:val="0"/>
            <w:vAlign w:val="center"/>
          </w:tcPr>
          <w:p w14:paraId="08D0FC4A">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755" w:type="pct"/>
            <w:gridSpan w:val="2"/>
            <w:noWrap w:val="0"/>
            <w:vAlign w:val="center"/>
          </w:tcPr>
          <w:p w14:paraId="0B9BE26A">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r>
      <w:tr w14:paraId="1614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21" w:type="pct"/>
            <w:noWrap w:val="0"/>
            <w:vAlign w:val="center"/>
          </w:tcPr>
          <w:p w14:paraId="7201CE92">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375" w:type="pct"/>
            <w:gridSpan w:val="2"/>
            <w:noWrap w:val="0"/>
            <w:vAlign w:val="center"/>
          </w:tcPr>
          <w:p w14:paraId="22DE9CCE">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948" w:type="pct"/>
            <w:noWrap w:val="0"/>
            <w:vAlign w:val="center"/>
          </w:tcPr>
          <w:p w14:paraId="31E09990">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755" w:type="pct"/>
            <w:gridSpan w:val="2"/>
            <w:noWrap w:val="0"/>
            <w:vAlign w:val="center"/>
          </w:tcPr>
          <w:p w14:paraId="5815817F">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r>
      <w:tr w14:paraId="5667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21" w:type="pct"/>
            <w:noWrap w:val="0"/>
            <w:vAlign w:val="center"/>
          </w:tcPr>
          <w:p w14:paraId="0FD949D4">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375" w:type="pct"/>
            <w:gridSpan w:val="2"/>
            <w:noWrap w:val="0"/>
            <w:vAlign w:val="center"/>
          </w:tcPr>
          <w:p w14:paraId="750E0C22">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948" w:type="pct"/>
            <w:noWrap w:val="0"/>
            <w:vAlign w:val="center"/>
          </w:tcPr>
          <w:p w14:paraId="4CFE209D">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c>
          <w:tcPr>
            <w:tcW w:w="1755" w:type="pct"/>
            <w:gridSpan w:val="2"/>
            <w:noWrap w:val="0"/>
            <w:vAlign w:val="center"/>
          </w:tcPr>
          <w:p w14:paraId="25E55A31">
            <w:pPr>
              <w:kinsoku/>
              <w:overflowPunct/>
              <w:topLinePunct w:val="0"/>
              <w:bidi w:val="0"/>
              <w:jc w:val="center"/>
              <w:textAlignment w:val="auto"/>
              <w:outlineLvl w:val="9"/>
              <w:rPr>
                <w:rFonts w:hint="eastAsia" w:ascii="仿宋" w:hAnsi="仿宋" w:eastAsia="仿宋" w:cs="仿宋"/>
                <w:color w:val="000000"/>
                <w:szCs w:val="21"/>
                <w:highlight w:val="none"/>
                <w:lang w:val="en-US" w:eastAsia="zh-CN"/>
              </w:rPr>
            </w:pPr>
          </w:p>
        </w:tc>
      </w:tr>
    </w:tbl>
    <w:p w14:paraId="4B0A16C2">
      <w:pPr>
        <w:kinsoku/>
        <w:topLinePunct w:val="0"/>
        <w:bidi w:val="0"/>
        <w:spacing w:line="440" w:lineRule="exact"/>
        <w:ind w:firstLine="120" w:firstLineChars="50"/>
        <w:textAlignment w:val="auto"/>
        <w:outlineLvl w:val="9"/>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供应商应根据磋商文件“第二章 供应商须知前附表”中的供应商资格条件和“磋商评审方法及标准”中评分标准的要求在本表后附相关证明材料。</w:t>
      </w:r>
    </w:p>
    <w:p w14:paraId="3C88B4ED">
      <w:pPr>
        <w:kinsoku/>
        <w:topLinePunct w:val="0"/>
        <w:bidi w:val="0"/>
        <w:spacing w:line="440" w:lineRule="exact"/>
        <w:ind w:firstLine="120" w:firstLineChars="50"/>
        <w:textAlignment w:val="auto"/>
        <w:outlineLvl w:val="9"/>
        <w:rPr>
          <w:rFonts w:hint="eastAsia" w:ascii="仿宋" w:hAnsi="仿宋" w:eastAsia="仿宋" w:cs="仿宋"/>
          <w:b/>
          <w:sz w:val="24"/>
          <w:szCs w:val="24"/>
          <w:highlight w:val="none"/>
        </w:rPr>
      </w:pPr>
    </w:p>
    <w:p w14:paraId="3767F7C8">
      <w:pPr>
        <w:kinsoku/>
        <w:topLinePunct w:val="0"/>
        <w:bidi w:val="0"/>
        <w:spacing w:line="440" w:lineRule="exact"/>
        <w:ind w:firstLine="120" w:firstLineChars="50"/>
        <w:textAlignment w:val="auto"/>
        <w:outlineLvl w:val="9"/>
        <w:rPr>
          <w:rFonts w:hint="eastAsia" w:ascii="仿宋" w:hAnsi="仿宋" w:eastAsia="仿宋" w:cs="仿宋"/>
          <w:b/>
          <w:sz w:val="24"/>
          <w:szCs w:val="24"/>
          <w:highlight w:val="none"/>
        </w:rPr>
      </w:pPr>
    </w:p>
    <w:p w14:paraId="663C9CC9">
      <w:pPr>
        <w:keepNext w:val="0"/>
        <w:keepLines w:val="0"/>
        <w:pageBreakBefore/>
        <w:widowControl w:val="0"/>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附件7-2</w:t>
      </w:r>
    </w:p>
    <w:p w14:paraId="46B5732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sz w:val="24"/>
          <w:szCs w:val="24"/>
          <w:highlight w:val="none"/>
          <w:lang w:val="en-US" w:eastAsia="zh-CN"/>
        </w:rPr>
      </w:pPr>
      <w:r>
        <w:rPr>
          <w:rFonts w:hint="eastAsia" w:ascii="仿宋" w:hAnsi="仿宋" w:eastAsia="仿宋" w:cs="仿宋"/>
          <w:b/>
          <w:bCs/>
          <w:color w:val="000000"/>
          <w:sz w:val="24"/>
          <w:highlight w:val="none"/>
          <w:lang w:val="en-US" w:eastAsia="zh-CN"/>
        </w:rPr>
        <w:t>其他人员汇总</w:t>
      </w:r>
      <w:r>
        <w:rPr>
          <w:rFonts w:hint="eastAsia" w:ascii="仿宋" w:hAnsi="仿宋" w:eastAsia="仿宋" w:cs="仿宋"/>
          <w:b/>
          <w:bCs/>
          <w:color w:val="000000"/>
          <w:sz w:val="24"/>
          <w:highlight w:val="none"/>
        </w:rPr>
        <w:t>表</w:t>
      </w:r>
    </w:p>
    <w:tbl>
      <w:tblPr>
        <w:tblStyle w:val="29"/>
        <w:tblpPr w:leftFromText="180" w:rightFromText="180" w:vertAnchor="text" w:horzAnchor="margin" w:tblpXSpec="center" w:tblpY="1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75"/>
        <w:gridCol w:w="761"/>
        <w:gridCol w:w="763"/>
        <w:gridCol w:w="1185"/>
        <w:gridCol w:w="1105"/>
        <w:gridCol w:w="1142"/>
        <w:gridCol w:w="1064"/>
        <w:gridCol w:w="912"/>
      </w:tblGrid>
      <w:tr w14:paraId="4538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vMerge w:val="restart"/>
            <w:noWrap w:val="0"/>
            <w:vAlign w:val="center"/>
          </w:tcPr>
          <w:p w14:paraId="2CC54C31">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r>
              <w:rPr>
                <w:rFonts w:hint="eastAsia" w:ascii="仿宋" w:hAnsi="仿宋" w:eastAsia="仿宋" w:cs="仿宋"/>
                <w:highlight w:val="none"/>
                <w:lang w:val="en-US" w:eastAsia="zh-CN"/>
              </w:rPr>
              <w:t>序号</w:t>
            </w:r>
          </w:p>
        </w:tc>
        <w:tc>
          <w:tcPr>
            <w:tcW w:w="514" w:type="pct"/>
            <w:vMerge w:val="restart"/>
            <w:noWrap w:val="0"/>
            <w:vAlign w:val="center"/>
          </w:tcPr>
          <w:p w14:paraId="0737B1D8">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r>
              <w:rPr>
                <w:rFonts w:hint="eastAsia" w:ascii="仿宋" w:hAnsi="仿宋" w:eastAsia="仿宋" w:cs="仿宋"/>
                <w:highlight w:val="none"/>
                <w:lang w:val="en-US" w:eastAsia="zh-CN"/>
              </w:rPr>
              <w:t>本项目任职</w:t>
            </w:r>
          </w:p>
        </w:tc>
        <w:tc>
          <w:tcPr>
            <w:tcW w:w="447" w:type="pct"/>
            <w:vMerge w:val="restart"/>
            <w:noWrap w:val="0"/>
            <w:vAlign w:val="center"/>
          </w:tcPr>
          <w:p w14:paraId="29062FFA">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r>
              <w:rPr>
                <w:rFonts w:hint="eastAsia" w:ascii="仿宋" w:hAnsi="仿宋" w:eastAsia="仿宋" w:cs="仿宋"/>
                <w:highlight w:val="none"/>
                <w:lang w:val="en-US" w:eastAsia="zh-CN"/>
              </w:rPr>
              <w:t>姓名</w:t>
            </w:r>
          </w:p>
        </w:tc>
        <w:tc>
          <w:tcPr>
            <w:tcW w:w="448" w:type="pct"/>
            <w:vMerge w:val="restart"/>
            <w:noWrap w:val="0"/>
            <w:vAlign w:val="center"/>
          </w:tcPr>
          <w:p w14:paraId="5A6F49AA">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r>
              <w:rPr>
                <w:rFonts w:hint="eastAsia" w:ascii="仿宋" w:hAnsi="仿宋" w:eastAsia="仿宋" w:cs="仿宋"/>
                <w:highlight w:val="none"/>
                <w:lang w:val="en-US" w:eastAsia="zh-CN"/>
              </w:rPr>
              <w:t>职称</w:t>
            </w:r>
          </w:p>
        </w:tc>
        <w:tc>
          <w:tcPr>
            <w:tcW w:w="696" w:type="pct"/>
            <w:vMerge w:val="restart"/>
            <w:noWrap w:val="0"/>
            <w:vAlign w:val="center"/>
          </w:tcPr>
          <w:p w14:paraId="510F6D1E">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r>
              <w:rPr>
                <w:rFonts w:hint="eastAsia" w:ascii="仿宋" w:hAnsi="仿宋" w:eastAsia="仿宋" w:cs="仿宋"/>
                <w:highlight w:val="none"/>
                <w:lang w:val="en-US" w:eastAsia="zh-CN"/>
              </w:rPr>
              <w:t>专业</w:t>
            </w:r>
          </w:p>
        </w:tc>
        <w:tc>
          <w:tcPr>
            <w:tcW w:w="1945" w:type="pct"/>
            <w:gridSpan w:val="3"/>
            <w:noWrap w:val="0"/>
            <w:vAlign w:val="center"/>
          </w:tcPr>
          <w:p w14:paraId="40B15523">
            <w:pPr>
              <w:pStyle w:val="62"/>
              <w:kinsoku/>
              <w:overflowPunct/>
              <w:topLinePunct w:val="0"/>
              <w:bidi w:val="0"/>
              <w:spacing w:line="240" w:lineRule="auto"/>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执业或职业资格证明</w:t>
            </w:r>
          </w:p>
        </w:tc>
        <w:tc>
          <w:tcPr>
            <w:tcW w:w="535" w:type="pct"/>
            <w:vMerge w:val="restart"/>
            <w:noWrap w:val="0"/>
            <w:vAlign w:val="center"/>
          </w:tcPr>
          <w:p w14:paraId="55FCE905">
            <w:pPr>
              <w:pStyle w:val="62"/>
              <w:kinsoku/>
              <w:overflowPunct/>
              <w:topLinePunct w:val="0"/>
              <w:bidi w:val="0"/>
              <w:spacing w:line="240" w:lineRule="auto"/>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备注</w:t>
            </w:r>
          </w:p>
        </w:tc>
      </w:tr>
      <w:tr w14:paraId="6F4F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vMerge w:val="continue"/>
            <w:noWrap w:val="0"/>
            <w:vAlign w:val="center"/>
          </w:tcPr>
          <w:p w14:paraId="74F06B1C">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p>
        </w:tc>
        <w:tc>
          <w:tcPr>
            <w:tcW w:w="514" w:type="pct"/>
            <w:vMerge w:val="continue"/>
            <w:noWrap w:val="0"/>
            <w:vAlign w:val="center"/>
          </w:tcPr>
          <w:p w14:paraId="7562195F">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p>
        </w:tc>
        <w:tc>
          <w:tcPr>
            <w:tcW w:w="447" w:type="pct"/>
            <w:vMerge w:val="continue"/>
            <w:noWrap w:val="0"/>
            <w:vAlign w:val="center"/>
          </w:tcPr>
          <w:p w14:paraId="6FB36970">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p>
        </w:tc>
        <w:tc>
          <w:tcPr>
            <w:tcW w:w="448" w:type="pct"/>
            <w:vMerge w:val="continue"/>
            <w:noWrap w:val="0"/>
            <w:vAlign w:val="center"/>
          </w:tcPr>
          <w:p w14:paraId="4F213B93">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p>
        </w:tc>
        <w:tc>
          <w:tcPr>
            <w:tcW w:w="696" w:type="pct"/>
            <w:vMerge w:val="continue"/>
            <w:noWrap w:val="0"/>
            <w:vAlign w:val="center"/>
          </w:tcPr>
          <w:p w14:paraId="13A81B03">
            <w:pPr>
              <w:pStyle w:val="62"/>
              <w:kinsoku/>
              <w:overflowPunct/>
              <w:topLinePunct w:val="0"/>
              <w:bidi w:val="0"/>
              <w:spacing w:line="240" w:lineRule="auto"/>
              <w:textAlignment w:val="auto"/>
              <w:outlineLvl w:val="9"/>
              <w:rPr>
                <w:rFonts w:hint="eastAsia" w:ascii="仿宋" w:hAnsi="仿宋" w:eastAsia="仿宋" w:cs="仿宋"/>
                <w:b/>
                <w:color w:val="000000"/>
                <w:kern w:val="2"/>
                <w:sz w:val="21"/>
                <w:szCs w:val="21"/>
                <w:highlight w:val="none"/>
                <w:lang w:val="en-US" w:eastAsia="zh-CN" w:bidi="ar-SA"/>
              </w:rPr>
            </w:pPr>
          </w:p>
        </w:tc>
        <w:tc>
          <w:tcPr>
            <w:tcW w:w="649" w:type="pct"/>
            <w:noWrap w:val="0"/>
            <w:vAlign w:val="center"/>
          </w:tcPr>
          <w:p w14:paraId="3DA44401">
            <w:pPr>
              <w:pStyle w:val="62"/>
              <w:kinsoku/>
              <w:overflowPunct/>
              <w:topLinePunct w:val="0"/>
              <w:bidi w:val="0"/>
              <w:spacing w:line="240" w:lineRule="auto"/>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证书名称</w:t>
            </w:r>
          </w:p>
        </w:tc>
        <w:tc>
          <w:tcPr>
            <w:tcW w:w="671" w:type="pct"/>
            <w:noWrap w:val="0"/>
            <w:vAlign w:val="center"/>
          </w:tcPr>
          <w:p w14:paraId="7D5641F0">
            <w:pPr>
              <w:pStyle w:val="62"/>
              <w:kinsoku/>
              <w:overflowPunct/>
              <w:topLinePunct w:val="0"/>
              <w:bidi w:val="0"/>
              <w:spacing w:line="240" w:lineRule="auto"/>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级别</w:t>
            </w:r>
          </w:p>
        </w:tc>
        <w:tc>
          <w:tcPr>
            <w:tcW w:w="625" w:type="pct"/>
            <w:noWrap w:val="0"/>
            <w:vAlign w:val="center"/>
          </w:tcPr>
          <w:p w14:paraId="12AB7188">
            <w:pPr>
              <w:pStyle w:val="62"/>
              <w:kinsoku/>
              <w:overflowPunct/>
              <w:topLinePunct w:val="0"/>
              <w:bidi w:val="0"/>
              <w:spacing w:line="240" w:lineRule="auto"/>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证号</w:t>
            </w:r>
          </w:p>
        </w:tc>
        <w:tc>
          <w:tcPr>
            <w:tcW w:w="535" w:type="pct"/>
            <w:vMerge w:val="continue"/>
            <w:noWrap w:val="0"/>
            <w:vAlign w:val="center"/>
          </w:tcPr>
          <w:p w14:paraId="0EBE4DF7">
            <w:pPr>
              <w:pStyle w:val="62"/>
              <w:kinsoku/>
              <w:overflowPunct/>
              <w:topLinePunct w:val="0"/>
              <w:bidi w:val="0"/>
              <w:spacing w:line="240" w:lineRule="auto"/>
              <w:textAlignment w:val="auto"/>
              <w:outlineLvl w:val="9"/>
              <w:rPr>
                <w:rFonts w:hint="eastAsia" w:ascii="仿宋" w:hAnsi="仿宋" w:eastAsia="仿宋" w:cs="仿宋"/>
                <w:highlight w:val="none"/>
              </w:rPr>
            </w:pPr>
          </w:p>
        </w:tc>
      </w:tr>
      <w:tr w14:paraId="7A21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4A17A054">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039DCB44">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12612569">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24FC5EC8">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70E1839F">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656E8D44">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0B6B915E">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3754D2E4">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5A13D6D6">
            <w:pPr>
              <w:pStyle w:val="62"/>
              <w:kinsoku/>
              <w:overflowPunct/>
              <w:topLinePunct w:val="0"/>
              <w:bidi w:val="0"/>
              <w:textAlignment w:val="auto"/>
              <w:outlineLvl w:val="9"/>
              <w:rPr>
                <w:rFonts w:hint="eastAsia" w:ascii="仿宋" w:hAnsi="仿宋" w:eastAsia="仿宋" w:cs="仿宋"/>
                <w:highlight w:val="none"/>
              </w:rPr>
            </w:pPr>
          </w:p>
        </w:tc>
      </w:tr>
      <w:tr w14:paraId="5407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7021F00D">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663DE091">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23860B61">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7B785735">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0A82449E">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1BF75AB2">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2ADDA6BE">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0DD6A0DF">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23D15C72">
            <w:pPr>
              <w:pStyle w:val="62"/>
              <w:kinsoku/>
              <w:overflowPunct/>
              <w:topLinePunct w:val="0"/>
              <w:bidi w:val="0"/>
              <w:textAlignment w:val="auto"/>
              <w:outlineLvl w:val="9"/>
              <w:rPr>
                <w:rFonts w:hint="eastAsia" w:ascii="仿宋" w:hAnsi="仿宋" w:eastAsia="仿宋" w:cs="仿宋"/>
                <w:highlight w:val="none"/>
              </w:rPr>
            </w:pPr>
          </w:p>
        </w:tc>
      </w:tr>
      <w:tr w14:paraId="3201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62010118">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268FA67C">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4DB2B434">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6AE4EF71">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0697413E">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5DF1F31A">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235E9695">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0CDD868A">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509BEBB0">
            <w:pPr>
              <w:pStyle w:val="62"/>
              <w:kinsoku/>
              <w:overflowPunct/>
              <w:topLinePunct w:val="0"/>
              <w:bidi w:val="0"/>
              <w:textAlignment w:val="auto"/>
              <w:outlineLvl w:val="9"/>
              <w:rPr>
                <w:rFonts w:hint="eastAsia" w:ascii="仿宋" w:hAnsi="仿宋" w:eastAsia="仿宋" w:cs="仿宋"/>
                <w:highlight w:val="none"/>
              </w:rPr>
            </w:pPr>
          </w:p>
        </w:tc>
      </w:tr>
      <w:tr w14:paraId="2567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1673C5ED">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19B70E83">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055F0B6E">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797360BE">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79075A31">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616BC9DC">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6C4372DA">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2162C268">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5DF676B1">
            <w:pPr>
              <w:pStyle w:val="62"/>
              <w:kinsoku/>
              <w:overflowPunct/>
              <w:topLinePunct w:val="0"/>
              <w:bidi w:val="0"/>
              <w:textAlignment w:val="auto"/>
              <w:outlineLvl w:val="9"/>
              <w:rPr>
                <w:rFonts w:hint="eastAsia" w:ascii="仿宋" w:hAnsi="仿宋" w:eastAsia="仿宋" w:cs="仿宋"/>
                <w:highlight w:val="none"/>
              </w:rPr>
            </w:pPr>
          </w:p>
        </w:tc>
      </w:tr>
      <w:tr w14:paraId="0CFC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4E23F5B0">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62201374">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04BE62B6">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1DF44734">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668DFCB8">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0AFA38CC">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07B0A1E7">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2F73F662">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050340FF">
            <w:pPr>
              <w:pStyle w:val="62"/>
              <w:kinsoku/>
              <w:overflowPunct/>
              <w:topLinePunct w:val="0"/>
              <w:bidi w:val="0"/>
              <w:textAlignment w:val="auto"/>
              <w:outlineLvl w:val="9"/>
              <w:rPr>
                <w:rFonts w:hint="eastAsia" w:ascii="仿宋" w:hAnsi="仿宋" w:eastAsia="仿宋" w:cs="仿宋"/>
                <w:highlight w:val="none"/>
              </w:rPr>
            </w:pPr>
          </w:p>
        </w:tc>
      </w:tr>
      <w:tr w14:paraId="262D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7811105B">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0C6B0B97">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6F53B3CB">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74C53698">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3F2BE714">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3EBE50BB">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071D1D6A">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45E761E4">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2B34533D">
            <w:pPr>
              <w:pStyle w:val="62"/>
              <w:kinsoku/>
              <w:overflowPunct/>
              <w:topLinePunct w:val="0"/>
              <w:bidi w:val="0"/>
              <w:textAlignment w:val="auto"/>
              <w:outlineLvl w:val="9"/>
              <w:rPr>
                <w:rFonts w:hint="eastAsia" w:ascii="仿宋" w:hAnsi="仿宋" w:eastAsia="仿宋" w:cs="仿宋"/>
                <w:highlight w:val="none"/>
              </w:rPr>
            </w:pPr>
          </w:p>
        </w:tc>
      </w:tr>
      <w:tr w14:paraId="292A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57905689">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22DDC890">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13AEB741">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37FA06AD">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76C7B576">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087E5370">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1F0377FB">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09C13C83">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2F8A59BB">
            <w:pPr>
              <w:pStyle w:val="62"/>
              <w:kinsoku/>
              <w:overflowPunct/>
              <w:topLinePunct w:val="0"/>
              <w:bidi w:val="0"/>
              <w:textAlignment w:val="auto"/>
              <w:outlineLvl w:val="9"/>
              <w:rPr>
                <w:rFonts w:hint="eastAsia" w:ascii="仿宋" w:hAnsi="仿宋" w:eastAsia="仿宋" w:cs="仿宋"/>
                <w:highlight w:val="none"/>
              </w:rPr>
            </w:pPr>
          </w:p>
        </w:tc>
      </w:tr>
      <w:tr w14:paraId="7391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1A2DA3B8">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53AD7366">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006C7964">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66D32037">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6B79903E">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30D1CE11">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4D8FCF19">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70F6893D">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5F97399C">
            <w:pPr>
              <w:pStyle w:val="62"/>
              <w:kinsoku/>
              <w:overflowPunct/>
              <w:topLinePunct w:val="0"/>
              <w:bidi w:val="0"/>
              <w:textAlignment w:val="auto"/>
              <w:outlineLvl w:val="9"/>
              <w:rPr>
                <w:rFonts w:hint="eastAsia" w:ascii="仿宋" w:hAnsi="仿宋" w:eastAsia="仿宋" w:cs="仿宋"/>
                <w:highlight w:val="none"/>
              </w:rPr>
            </w:pPr>
          </w:p>
        </w:tc>
      </w:tr>
      <w:tr w14:paraId="1DC2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48DE1A94">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516EFD44">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704779A8">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0C17D03D">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1675B3D8">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60F476A0">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587A72A9">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58AFF1C7">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67ED2840">
            <w:pPr>
              <w:pStyle w:val="62"/>
              <w:kinsoku/>
              <w:overflowPunct/>
              <w:topLinePunct w:val="0"/>
              <w:bidi w:val="0"/>
              <w:textAlignment w:val="auto"/>
              <w:outlineLvl w:val="9"/>
              <w:rPr>
                <w:rFonts w:hint="eastAsia" w:ascii="仿宋" w:hAnsi="仿宋" w:eastAsia="仿宋" w:cs="仿宋"/>
                <w:highlight w:val="none"/>
              </w:rPr>
            </w:pPr>
          </w:p>
        </w:tc>
      </w:tr>
      <w:tr w14:paraId="3E72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209F1529">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169D250B">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41E35A57">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7226FB77">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5625C395">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21DBD046">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400C84D3">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5416C687">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660973A0">
            <w:pPr>
              <w:pStyle w:val="62"/>
              <w:kinsoku/>
              <w:overflowPunct/>
              <w:topLinePunct w:val="0"/>
              <w:bidi w:val="0"/>
              <w:textAlignment w:val="auto"/>
              <w:outlineLvl w:val="9"/>
              <w:rPr>
                <w:rFonts w:hint="eastAsia" w:ascii="仿宋" w:hAnsi="仿宋" w:eastAsia="仿宋" w:cs="仿宋"/>
                <w:highlight w:val="none"/>
              </w:rPr>
            </w:pPr>
          </w:p>
        </w:tc>
      </w:tr>
      <w:tr w14:paraId="75F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4B93C774">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71F0EBB3">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0D789686">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36456567">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383B6F1C">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5210DDD4">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1A7217A4">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53BD3652">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7FCF06FB">
            <w:pPr>
              <w:pStyle w:val="62"/>
              <w:kinsoku/>
              <w:overflowPunct/>
              <w:topLinePunct w:val="0"/>
              <w:bidi w:val="0"/>
              <w:textAlignment w:val="auto"/>
              <w:outlineLvl w:val="9"/>
              <w:rPr>
                <w:rFonts w:hint="eastAsia" w:ascii="仿宋" w:hAnsi="仿宋" w:eastAsia="仿宋" w:cs="仿宋"/>
                <w:highlight w:val="none"/>
              </w:rPr>
            </w:pPr>
          </w:p>
        </w:tc>
      </w:tr>
      <w:tr w14:paraId="1E45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6CF4FF98">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05DFAD70">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3754D1D0">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7DF56B50">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3FB08654">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3A19E3D8">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292CFEA1">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22E7E4D5">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57633405">
            <w:pPr>
              <w:pStyle w:val="62"/>
              <w:kinsoku/>
              <w:overflowPunct/>
              <w:topLinePunct w:val="0"/>
              <w:bidi w:val="0"/>
              <w:textAlignment w:val="auto"/>
              <w:outlineLvl w:val="9"/>
              <w:rPr>
                <w:rFonts w:hint="eastAsia" w:ascii="仿宋" w:hAnsi="仿宋" w:eastAsia="仿宋" w:cs="仿宋"/>
                <w:highlight w:val="none"/>
              </w:rPr>
            </w:pPr>
          </w:p>
        </w:tc>
      </w:tr>
      <w:tr w14:paraId="53D3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1E9914C2">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617DB93C">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6D3B8A88">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6D05847A">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3CF0BEBD">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73D01A2C">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7EFD3A45">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20883480">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2D2CC8F5">
            <w:pPr>
              <w:pStyle w:val="62"/>
              <w:kinsoku/>
              <w:overflowPunct/>
              <w:topLinePunct w:val="0"/>
              <w:bidi w:val="0"/>
              <w:textAlignment w:val="auto"/>
              <w:outlineLvl w:val="9"/>
              <w:rPr>
                <w:rFonts w:hint="eastAsia" w:ascii="仿宋" w:hAnsi="仿宋" w:eastAsia="仿宋" w:cs="仿宋"/>
                <w:highlight w:val="none"/>
              </w:rPr>
            </w:pPr>
          </w:p>
        </w:tc>
      </w:tr>
      <w:tr w14:paraId="642F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2CECA7C9">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2E5C8D21">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500ED891">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312A39FA">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0C66DBFC">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132A597E">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31D6E96B">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1DE953B6">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19B5804E">
            <w:pPr>
              <w:pStyle w:val="62"/>
              <w:kinsoku/>
              <w:overflowPunct/>
              <w:topLinePunct w:val="0"/>
              <w:bidi w:val="0"/>
              <w:textAlignment w:val="auto"/>
              <w:outlineLvl w:val="9"/>
              <w:rPr>
                <w:rFonts w:hint="eastAsia" w:ascii="仿宋" w:hAnsi="仿宋" w:eastAsia="仿宋" w:cs="仿宋"/>
                <w:highlight w:val="none"/>
              </w:rPr>
            </w:pPr>
          </w:p>
        </w:tc>
      </w:tr>
      <w:tr w14:paraId="7FF9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4" w:type="pct"/>
            <w:noWrap w:val="0"/>
            <w:vAlign w:val="center"/>
          </w:tcPr>
          <w:p w14:paraId="32C0CE53">
            <w:pPr>
              <w:pStyle w:val="62"/>
              <w:kinsoku/>
              <w:overflowPunct/>
              <w:topLinePunct w:val="0"/>
              <w:bidi w:val="0"/>
              <w:textAlignment w:val="auto"/>
              <w:outlineLvl w:val="9"/>
              <w:rPr>
                <w:rFonts w:hint="eastAsia" w:ascii="仿宋" w:hAnsi="仿宋" w:eastAsia="仿宋" w:cs="仿宋"/>
                <w:highlight w:val="none"/>
              </w:rPr>
            </w:pPr>
          </w:p>
        </w:tc>
        <w:tc>
          <w:tcPr>
            <w:tcW w:w="514" w:type="pct"/>
            <w:noWrap w:val="0"/>
            <w:vAlign w:val="center"/>
          </w:tcPr>
          <w:p w14:paraId="71C21A0E">
            <w:pPr>
              <w:pStyle w:val="62"/>
              <w:kinsoku/>
              <w:overflowPunct/>
              <w:topLinePunct w:val="0"/>
              <w:bidi w:val="0"/>
              <w:textAlignment w:val="auto"/>
              <w:outlineLvl w:val="9"/>
              <w:rPr>
                <w:rFonts w:hint="eastAsia" w:ascii="仿宋" w:hAnsi="仿宋" w:eastAsia="仿宋" w:cs="仿宋"/>
                <w:highlight w:val="none"/>
              </w:rPr>
            </w:pPr>
          </w:p>
        </w:tc>
        <w:tc>
          <w:tcPr>
            <w:tcW w:w="447" w:type="pct"/>
            <w:noWrap w:val="0"/>
            <w:vAlign w:val="center"/>
          </w:tcPr>
          <w:p w14:paraId="3357048B">
            <w:pPr>
              <w:pStyle w:val="62"/>
              <w:kinsoku/>
              <w:overflowPunct/>
              <w:topLinePunct w:val="0"/>
              <w:bidi w:val="0"/>
              <w:textAlignment w:val="auto"/>
              <w:outlineLvl w:val="9"/>
              <w:rPr>
                <w:rFonts w:hint="eastAsia" w:ascii="仿宋" w:hAnsi="仿宋" w:eastAsia="仿宋" w:cs="仿宋"/>
                <w:highlight w:val="none"/>
              </w:rPr>
            </w:pPr>
          </w:p>
        </w:tc>
        <w:tc>
          <w:tcPr>
            <w:tcW w:w="448" w:type="pct"/>
            <w:noWrap w:val="0"/>
            <w:vAlign w:val="center"/>
          </w:tcPr>
          <w:p w14:paraId="4453C41A">
            <w:pPr>
              <w:pStyle w:val="62"/>
              <w:kinsoku/>
              <w:overflowPunct/>
              <w:topLinePunct w:val="0"/>
              <w:bidi w:val="0"/>
              <w:textAlignment w:val="auto"/>
              <w:outlineLvl w:val="9"/>
              <w:rPr>
                <w:rFonts w:hint="eastAsia" w:ascii="仿宋" w:hAnsi="仿宋" w:eastAsia="仿宋" w:cs="仿宋"/>
                <w:highlight w:val="none"/>
              </w:rPr>
            </w:pPr>
          </w:p>
        </w:tc>
        <w:tc>
          <w:tcPr>
            <w:tcW w:w="696" w:type="pct"/>
            <w:noWrap w:val="0"/>
            <w:vAlign w:val="center"/>
          </w:tcPr>
          <w:p w14:paraId="4F2B45AF">
            <w:pPr>
              <w:pStyle w:val="62"/>
              <w:kinsoku/>
              <w:overflowPunct/>
              <w:topLinePunct w:val="0"/>
              <w:bidi w:val="0"/>
              <w:textAlignment w:val="auto"/>
              <w:outlineLvl w:val="9"/>
              <w:rPr>
                <w:rFonts w:hint="eastAsia" w:ascii="仿宋" w:hAnsi="仿宋" w:eastAsia="仿宋" w:cs="仿宋"/>
                <w:highlight w:val="none"/>
              </w:rPr>
            </w:pPr>
          </w:p>
        </w:tc>
        <w:tc>
          <w:tcPr>
            <w:tcW w:w="649" w:type="pct"/>
            <w:noWrap w:val="0"/>
            <w:vAlign w:val="center"/>
          </w:tcPr>
          <w:p w14:paraId="47939BF9">
            <w:pPr>
              <w:pStyle w:val="62"/>
              <w:kinsoku/>
              <w:overflowPunct/>
              <w:topLinePunct w:val="0"/>
              <w:bidi w:val="0"/>
              <w:textAlignment w:val="auto"/>
              <w:outlineLvl w:val="9"/>
              <w:rPr>
                <w:rFonts w:hint="eastAsia" w:ascii="仿宋" w:hAnsi="仿宋" w:eastAsia="仿宋" w:cs="仿宋"/>
                <w:highlight w:val="none"/>
              </w:rPr>
            </w:pPr>
          </w:p>
        </w:tc>
        <w:tc>
          <w:tcPr>
            <w:tcW w:w="671" w:type="pct"/>
            <w:noWrap w:val="0"/>
            <w:vAlign w:val="center"/>
          </w:tcPr>
          <w:p w14:paraId="67967D54">
            <w:pPr>
              <w:pStyle w:val="62"/>
              <w:kinsoku/>
              <w:overflowPunct/>
              <w:topLinePunct w:val="0"/>
              <w:bidi w:val="0"/>
              <w:textAlignment w:val="auto"/>
              <w:outlineLvl w:val="9"/>
              <w:rPr>
                <w:rFonts w:hint="eastAsia" w:ascii="仿宋" w:hAnsi="仿宋" w:eastAsia="仿宋" w:cs="仿宋"/>
                <w:highlight w:val="none"/>
              </w:rPr>
            </w:pPr>
          </w:p>
        </w:tc>
        <w:tc>
          <w:tcPr>
            <w:tcW w:w="625" w:type="pct"/>
            <w:noWrap w:val="0"/>
            <w:vAlign w:val="center"/>
          </w:tcPr>
          <w:p w14:paraId="70A51FCC">
            <w:pPr>
              <w:pStyle w:val="62"/>
              <w:kinsoku/>
              <w:overflowPunct/>
              <w:topLinePunct w:val="0"/>
              <w:bidi w:val="0"/>
              <w:textAlignment w:val="auto"/>
              <w:outlineLvl w:val="9"/>
              <w:rPr>
                <w:rFonts w:hint="eastAsia" w:ascii="仿宋" w:hAnsi="仿宋" w:eastAsia="仿宋" w:cs="仿宋"/>
                <w:highlight w:val="none"/>
              </w:rPr>
            </w:pPr>
          </w:p>
        </w:tc>
        <w:tc>
          <w:tcPr>
            <w:tcW w:w="535" w:type="pct"/>
            <w:noWrap w:val="0"/>
            <w:vAlign w:val="center"/>
          </w:tcPr>
          <w:p w14:paraId="46129EB6">
            <w:pPr>
              <w:pStyle w:val="62"/>
              <w:kinsoku/>
              <w:overflowPunct/>
              <w:topLinePunct w:val="0"/>
              <w:bidi w:val="0"/>
              <w:textAlignment w:val="auto"/>
              <w:outlineLvl w:val="9"/>
              <w:rPr>
                <w:rFonts w:hint="eastAsia" w:ascii="仿宋" w:hAnsi="仿宋" w:eastAsia="仿宋" w:cs="仿宋"/>
                <w:highlight w:val="none"/>
              </w:rPr>
            </w:pPr>
          </w:p>
        </w:tc>
      </w:tr>
      <w:tr w14:paraId="2E6A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000" w:type="pct"/>
            <w:gridSpan w:val="9"/>
            <w:noWrap w:val="0"/>
            <w:vAlign w:val="center"/>
          </w:tcPr>
          <w:p w14:paraId="5C969CDF">
            <w:pPr>
              <w:pStyle w:val="62"/>
              <w:kinsoku/>
              <w:overflowPunct/>
              <w:topLinePunct w:val="0"/>
              <w:bidi w:val="0"/>
              <w:jc w:val="both"/>
              <w:textAlignment w:val="auto"/>
              <w:outlineLvl w:val="9"/>
              <w:rPr>
                <w:rFonts w:hint="eastAsia" w:ascii="仿宋" w:hAnsi="仿宋" w:eastAsia="仿宋" w:cs="仿宋"/>
                <w:highlight w:val="none"/>
              </w:rPr>
            </w:pPr>
            <w:r>
              <w:rPr>
                <w:rFonts w:hint="eastAsia" w:ascii="仿宋" w:hAnsi="仿宋" w:eastAsia="仿宋" w:cs="仿宋"/>
                <w:b w:val="0"/>
                <w:bCs/>
                <w:highlight w:val="none"/>
              </w:rPr>
              <w:t>注：</w:t>
            </w:r>
            <w:r>
              <w:rPr>
                <w:rFonts w:hint="eastAsia" w:ascii="仿宋" w:hAnsi="仿宋" w:eastAsia="仿宋" w:cs="仿宋"/>
                <w:b w:val="0"/>
                <w:bCs/>
                <w:highlight w:val="none"/>
                <w:lang w:val="en-US" w:eastAsia="zh-CN"/>
              </w:rPr>
              <w:t>供应商</w:t>
            </w:r>
            <w:r>
              <w:rPr>
                <w:rFonts w:hint="eastAsia" w:ascii="仿宋" w:hAnsi="仿宋" w:eastAsia="仿宋" w:cs="仿宋"/>
                <w:b w:val="0"/>
                <w:bCs/>
                <w:highlight w:val="none"/>
              </w:rPr>
              <w:t>应根据</w:t>
            </w:r>
            <w:r>
              <w:rPr>
                <w:rFonts w:hint="eastAsia" w:ascii="仿宋" w:hAnsi="仿宋" w:eastAsia="仿宋" w:cs="仿宋"/>
                <w:b w:val="0"/>
                <w:bCs/>
                <w:highlight w:val="none"/>
                <w:lang w:val="en-US" w:eastAsia="zh-CN"/>
              </w:rPr>
              <w:t>磋商文件中评分标准</w:t>
            </w:r>
            <w:r>
              <w:rPr>
                <w:rFonts w:hint="eastAsia" w:ascii="仿宋" w:hAnsi="仿宋" w:eastAsia="仿宋" w:cs="仿宋"/>
                <w:b w:val="0"/>
                <w:bCs/>
                <w:highlight w:val="none"/>
              </w:rPr>
              <w:t>的要求在本表后附相关证明材料。</w:t>
            </w:r>
          </w:p>
        </w:tc>
      </w:tr>
    </w:tbl>
    <w:p w14:paraId="2340E9A4">
      <w:pPr>
        <w:kinsoku/>
        <w:topLinePunct w:val="0"/>
        <w:bidi w:val="0"/>
        <w:spacing w:line="440" w:lineRule="exact"/>
        <w:ind w:firstLine="120" w:firstLineChars="50"/>
        <w:textAlignment w:val="auto"/>
        <w:outlineLvl w:val="9"/>
        <w:rPr>
          <w:rFonts w:hint="eastAsia" w:ascii="仿宋" w:hAnsi="仿宋" w:eastAsia="仿宋" w:cs="仿宋"/>
          <w:b/>
          <w:sz w:val="24"/>
          <w:szCs w:val="24"/>
          <w:highlight w:val="none"/>
        </w:rPr>
      </w:pPr>
    </w:p>
    <w:p w14:paraId="2F3CE574">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八、符合政府采购政策的证明材料（供应商根据自身情况自行选择）</w:t>
      </w:r>
    </w:p>
    <w:p w14:paraId="0E0E9E4F">
      <w:pPr>
        <w:kinsoku/>
        <w:topLinePunct w:val="0"/>
        <w:bidi w:val="0"/>
        <w:snapToGrid w:val="0"/>
        <w:spacing w:before="191" w:line="360" w:lineRule="auto"/>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1</w:t>
      </w:r>
    </w:p>
    <w:p w14:paraId="1CB847DE">
      <w:pPr>
        <w:kinsoku/>
        <w:topLinePunct w:val="0"/>
        <w:bidi w:val="0"/>
        <w:snapToGrid w:val="0"/>
        <w:spacing w:before="191" w:line="360" w:lineRule="auto"/>
        <w:jc w:val="center"/>
        <w:textAlignment w:val="auto"/>
        <w:outlineLvl w:val="9"/>
        <w:rPr>
          <w:rFonts w:hint="eastAsia" w:ascii="仿宋" w:hAnsi="仿宋" w:eastAsia="仿宋" w:cs="仿宋"/>
          <w:sz w:val="24"/>
          <w:szCs w:val="24"/>
          <w:lang w:eastAsia="zh-CN"/>
        </w:rPr>
      </w:pPr>
      <w:r>
        <w:rPr>
          <w:rFonts w:hint="eastAsia" w:ascii="仿宋" w:hAnsi="仿宋" w:eastAsia="仿宋" w:cs="仿宋"/>
          <w:spacing w:val="5"/>
          <w:sz w:val="24"/>
          <w:szCs w:val="24"/>
          <w14:textOutline w14:w="6540" w14:cap="sq" w14:cmpd="sng" w14:algn="ctr">
            <w14:solidFill>
              <w14:srgbClr w14:val="000000"/>
            </w14:solidFill>
            <w14:prstDash w14:val="solid"/>
            <w14:bevel/>
          </w14:textOutline>
        </w:rPr>
        <w:t>中小企业声明函（工程、服务</w:t>
      </w:r>
      <w:r>
        <w:rPr>
          <w:rFonts w:hint="eastAsia" w:ascii="仿宋" w:hAnsi="仿宋" w:eastAsia="仿宋" w:cs="仿宋"/>
          <w:spacing w:val="5"/>
          <w:sz w:val="24"/>
          <w:szCs w:val="24"/>
          <w:lang w:eastAsia="zh-CN"/>
          <w14:textOutline w14:w="6540" w14:cap="sq" w14:cmpd="sng" w14:algn="ctr">
            <w14:solidFill>
              <w14:srgbClr w14:val="000000"/>
            </w14:solidFill>
            <w14:prstDash w14:val="solid"/>
            <w14:bevel/>
          </w14:textOutline>
        </w:rPr>
        <w:t>）</w:t>
      </w:r>
    </w:p>
    <w:p w14:paraId="4EAD60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 郑重声明， 根据《政府采购促进中小企业发展管理办法》（财库﹝2020﹞46号）的规定，本公司（联合体）参加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（采购人）      </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rPr>
        <w:t>采购活动，工程的施工单位全部为符合政策要求的中小企业（或者：服务全部由符合政策要求的中小企业承接）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相关企业（含联合体中的中小企业、 签订分包意向协议的中小企业）的具体情况如下：</w:t>
      </w:r>
    </w:p>
    <w:p w14:paraId="2ED07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万元，资产总额为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CBB268C">
      <w:pPr>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（标的名称）</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rPr>
        <w:t>属于</w:t>
      </w:r>
      <w:r>
        <w:rPr>
          <w:rFonts w:hint="eastAsia" w:ascii="仿宋" w:hAnsi="仿宋" w:eastAsia="仿宋" w:cs="仿宋"/>
          <w:sz w:val="24"/>
          <w:szCs w:val="24"/>
          <w:highlight w:val="none"/>
          <w:u w:val="single"/>
        </w:rPr>
        <w:t>（采购文件中明确的所属行业）</w:t>
      </w:r>
      <w:r>
        <w:rPr>
          <w:rFonts w:hint="eastAsia" w:ascii="仿宋" w:hAnsi="仿宋" w:eastAsia="仿宋" w:cs="仿宋"/>
          <w:sz w:val="24"/>
          <w:szCs w:val="24"/>
          <w:highlight w:val="none"/>
        </w:rPr>
        <w:t>；承建（承接）企业为</w:t>
      </w:r>
      <w:r>
        <w:rPr>
          <w:rFonts w:hint="eastAsia" w:ascii="仿宋" w:hAnsi="仿宋" w:eastAsia="仿宋" w:cs="仿宋"/>
          <w:sz w:val="24"/>
          <w:szCs w:val="24"/>
          <w:highlight w:val="none"/>
          <w:u w:val="single"/>
        </w:rPr>
        <w:t>（企业名称）</w:t>
      </w:r>
      <w:r>
        <w:rPr>
          <w:rFonts w:hint="eastAsia" w:ascii="仿宋" w:hAnsi="仿宋" w:eastAsia="仿宋" w:cs="仿宋"/>
          <w:sz w:val="24"/>
          <w:szCs w:val="24"/>
          <w:highlight w:val="none"/>
        </w:rPr>
        <w:t>，从业人员</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人，营业收入为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资产总额为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万元，属于</w:t>
      </w:r>
      <w:r>
        <w:rPr>
          <w:rFonts w:hint="eastAsia" w:ascii="仿宋" w:hAnsi="仿宋" w:eastAsia="仿宋" w:cs="仿宋"/>
          <w:sz w:val="24"/>
          <w:szCs w:val="24"/>
          <w:highlight w:val="none"/>
          <w:u w:val="single"/>
        </w:rPr>
        <w:t>（中型企业、小型企业、微型企业）</w:t>
      </w:r>
      <w:r>
        <w:rPr>
          <w:rFonts w:hint="eastAsia" w:ascii="仿宋" w:hAnsi="仿宋" w:eastAsia="仿宋" w:cs="仿宋"/>
          <w:sz w:val="24"/>
          <w:szCs w:val="24"/>
          <w:highlight w:val="none"/>
        </w:rPr>
        <w:t>；</w:t>
      </w:r>
    </w:p>
    <w:p w14:paraId="6260E7DE">
      <w:pPr>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02EF9E13">
      <w:pPr>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16A1284A">
      <w:pPr>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77FB5130">
      <w:pPr>
        <w:kinsoku/>
        <w:topLinePunct w:val="0"/>
        <w:bidi w:val="0"/>
        <w:spacing w:line="287" w:lineRule="auto"/>
        <w:textAlignment w:val="auto"/>
        <w:outlineLvl w:val="9"/>
        <w:rPr>
          <w:rFonts w:hint="eastAsia" w:ascii="仿宋" w:hAnsi="仿宋" w:eastAsia="仿宋" w:cs="仿宋"/>
        </w:rPr>
      </w:pPr>
    </w:p>
    <w:p w14:paraId="1E266542">
      <w:pPr>
        <w:pStyle w:val="12"/>
        <w:kinsoku/>
        <w:topLinePunct w:val="0"/>
        <w:bidi w:val="0"/>
        <w:spacing w:before="75" w:line="306" w:lineRule="auto"/>
        <w:ind w:left="36" w:right="115" w:firstLine="640"/>
        <w:textAlignment w:val="auto"/>
        <w:outlineLvl w:val="9"/>
        <w:rPr>
          <w:rFonts w:hint="eastAsia" w:ascii="仿宋" w:hAnsi="仿宋" w:eastAsia="仿宋" w:cs="仿宋"/>
          <w:spacing w:val="3"/>
          <w:sz w:val="24"/>
          <w:szCs w:val="24"/>
        </w:rPr>
      </w:pPr>
      <w:r>
        <w:rPr>
          <w:rFonts w:hint="eastAsia" w:ascii="仿宋" w:hAnsi="仿宋" w:eastAsia="仿宋" w:cs="仿宋"/>
          <w:spacing w:val="3"/>
          <w:sz w:val="24"/>
          <w:szCs w:val="24"/>
        </w:rPr>
        <w:t xml:space="preserve">企业名称(盖章): </w:t>
      </w:r>
    </w:p>
    <w:p w14:paraId="4207447B">
      <w:pPr>
        <w:pStyle w:val="12"/>
        <w:kinsoku/>
        <w:topLinePunct w:val="0"/>
        <w:bidi w:val="0"/>
        <w:spacing w:before="75" w:line="306" w:lineRule="auto"/>
        <w:ind w:left="36" w:right="115" w:firstLine="640"/>
        <w:textAlignment w:val="auto"/>
        <w:outlineLvl w:val="9"/>
        <w:rPr>
          <w:rFonts w:hint="eastAsia" w:ascii="仿宋" w:hAnsi="仿宋" w:eastAsia="仿宋" w:cs="仿宋"/>
          <w:spacing w:val="3"/>
          <w:sz w:val="24"/>
          <w:szCs w:val="24"/>
        </w:rPr>
      </w:pPr>
      <w:r>
        <w:rPr>
          <w:rFonts w:hint="eastAsia" w:ascii="仿宋" w:hAnsi="仿宋" w:eastAsia="仿宋" w:cs="仿宋"/>
          <w:spacing w:val="3"/>
          <w:sz w:val="24"/>
          <w:szCs w:val="24"/>
        </w:rPr>
        <w:t>日期:</w:t>
      </w:r>
    </w:p>
    <w:p w14:paraId="0C0227C0">
      <w:pPr>
        <w:pStyle w:val="12"/>
        <w:kinsoku/>
        <w:topLinePunct w:val="0"/>
        <w:bidi w:val="0"/>
        <w:spacing w:before="75" w:line="232" w:lineRule="auto"/>
        <w:textAlignment w:val="auto"/>
        <w:outlineLvl w:val="9"/>
        <w:rPr>
          <w:rFonts w:hint="eastAsia" w:ascii="仿宋" w:hAnsi="仿宋" w:eastAsia="仿宋" w:cs="仿宋"/>
          <w:sz w:val="23"/>
          <w:szCs w:val="23"/>
        </w:rPr>
      </w:pPr>
      <w:r>
        <w:rPr>
          <w:rFonts w:hint="eastAsia" w:ascii="仿宋" w:hAnsi="仿宋" w:eastAsia="仿宋" w:cs="仿宋"/>
          <w:spacing w:val="-13"/>
          <w:sz w:val="23"/>
          <w:szCs w:val="23"/>
        </w:rPr>
        <w:t>注：</w:t>
      </w:r>
    </w:p>
    <w:p w14:paraId="49BBAB1E">
      <w:pPr>
        <w:pStyle w:val="12"/>
        <w:kinsoku/>
        <w:topLinePunct w:val="0"/>
        <w:bidi w:val="0"/>
        <w:spacing w:before="181" w:line="367" w:lineRule="auto"/>
        <w:ind w:right="43" w:firstLine="17"/>
        <w:textAlignment w:val="auto"/>
        <w:outlineLvl w:val="9"/>
        <w:rPr>
          <w:rFonts w:hint="eastAsia" w:ascii="仿宋" w:hAnsi="仿宋" w:eastAsia="仿宋" w:cs="仿宋"/>
          <w:sz w:val="23"/>
          <w:szCs w:val="23"/>
        </w:rPr>
      </w:pPr>
      <w:r>
        <w:rPr>
          <w:rFonts w:hint="eastAsia" w:ascii="仿宋" w:hAnsi="仿宋" w:eastAsia="仿宋" w:cs="仿宋"/>
          <w:spacing w:val="6"/>
          <w:sz w:val="23"/>
          <w:szCs w:val="23"/>
        </w:rPr>
        <w:t>1.从业人员、营业收入，资产总额填报上一年度数据，无上一年数据的新成立企业可不填报。</w:t>
      </w:r>
      <w:r>
        <w:rPr>
          <w:rFonts w:hint="eastAsia" w:ascii="仿宋" w:hAnsi="仿宋" w:eastAsia="仿宋" w:cs="仿宋"/>
          <w:spacing w:val="10"/>
          <w:sz w:val="23"/>
          <w:szCs w:val="23"/>
        </w:rPr>
        <w:t>2.供应商符合《工业和信息化部、国家统计局、国家发展和改革委员会、财政部关于印发中</w:t>
      </w:r>
      <w:r>
        <w:rPr>
          <w:rFonts w:hint="eastAsia" w:ascii="仿宋" w:hAnsi="仿宋" w:eastAsia="仿宋" w:cs="仿宋"/>
          <w:spacing w:val="8"/>
          <w:sz w:val="23"/>
          <w:szCs w:val="23"/>
        </w:rPr>
        <w:t>小企业划型标准规定的通知》（工信部联企业〔2011〕300号</w:t>
      </w:r>
      <w:r>
        <w:rPr>
          <w:rFonts w:hint="eastAsia" w:ascii="仿宋" w:hAnsi="仿宋" w:eastAsia="仿宋" w:cs="仿宋"/>
          <w:spacing w:val="8"/>
          <w:sz w:val="23"/>
          <w:szCs w:val="23"/>
          <w:lang w:eastAsia="zh-CN"/>
        </w:rPr>
        <w:t>）</w:t>
      </w:r>
      <w:r>
        <w:rPr>
          <w:rFonts w:hint="eastAsia" w:ascii="仿宋" w:hAnsi="仿宋" w:eastAsia="仿宋" w:cs="仿宋"/>
          <w:spacing w:val="8"/>
          <w:sz w:val="23"/>
          <w:szCs w:val="23"/>
        </w:rPr>
        <w:t>规定的划</w:t>
      </w:r>
      <w:r>
        <w:rPr>
          <w:rFonts w:hint="eastAsia" w:ascii="仿宋" w:hAnsi="仿宋" w:eastAsia="仿宋" w:cs="仿宋"/>
          <w:spacing w:val="7"/>
          <w:sz w:val="23"/>
          <w:szCs w:val="23"/>
        </w:rPr>
        <w:t>分标准为中小型企业</w:t>
      </w:r>
      <w:r>
        <w:rPr>
          <w:rFonts w:hint="eastAsia" w:ascii="仿宋" w:hAnsi="仿宋" w:eastAsia="仿宋" w:cs="仿宋"/>
          <w:spacing w:val="-5"/>
          <w:sz w:val="23"/>
          <w:szCs w:val="23"/>
        </w:rPr>
        <w:t>适用。</w:t>
      </w:r>
    </w:p>
    <w:p w14:paraId="3FA08AD8">
      <w:pPr>
        <w:pStyle w:val="11"/>
        <w:kinsoku/>
        <w:topLinePunct w:val="0"/>
        <w:bidi w:val="0"/>
        <w:snapToGrid w:val="0"/>
        <w:spacing w:line="360" w:lineRule="auto"/>
        <w:ind w:left="0"/>
        <w:textAlignment w:val="auto"/>
        <w:outlineLvl w:val="9"/>
        <w:rPr>
          <w:rFonts w:hint="eastAsia" w:ascii="仿宋" w:hAnsi="仿宋" w:eastAsia="仿宋" w:cs="仿宋"/>
          <w:kern w:val="0"/>
          <w:sz w:val="24"/>
          <w:szCs w:val="24"/>
        </w:rPr>
      </w:pPr>
      <w:r>
        <w:rPr>
          <w:rFonts w:hint="eastAsia" w:ascii="仿宋" w:hAnsi="仿宋" w:eastAsia="仿宋" w:cs="仿宋"/>
          <w:b/>
          <w:bCs/>
          <w:spacing w:val="8"/>
          <w:sz w:val="23"/>
          <w:szCs w:val="23"/>
        </w:rPr>
        <w:t>3.标的名称：填写标项名称</w:t>
      </w:r>
      <w:r>
        <w:rPr>
          <w:rFonts w:hint="eastAsia" w:ascii="仿宋" w:hAnsi="仿宋" w:eastAsia="仿宋" w:cs="仿宋"/>
          <w:b/>
          <w:bCs/>
          <w:spacing w:val="8"/>
          <w:sz w:val="23"/>
          <w:szCs w:val="23"/>
          <w:lang w:eastAsia="zh-CN"/>
        </w:rPr>
        <w:t>；</w:t>
      </w:r>
      <w:r>
        <w:rPr>
          <w:rFonts w:hint="eastAsia" w:ascii="仿宋" w:hAnsi="仿宋" w:eastAsia="仿宋" w:cs="仿宋"/>
          <w:b/>
          <w:bCs/>
          <w:spacing w:val="8"/>
          <w:sz w:val="23"/>
          <w:szCs w:val="23"/>
        </w:rPr>
        <w:t>采购文件中明确的</w:t>
      </w:r>
      <w:r>
        <w:rPr>
          <w:rFonts w:hint="eastAsia" w:ascii="仿宋" w:hAnsi="仿宋" w:eastAsia="仿宋" w:cs="仿宋"/>
          <w:b/>
          <w:bCs/>
          <w:spacing w:val="7"/>
          <w:sz w:val="23"/>
          <w:szCs w:val="23"/>
        </w:rPr>
        <w:t>所属行业：填写</w:t>
      </w:r>
      <w:r>
        <w:rPr>
          <w:rFonts w:hint="eastAsia" w:ascii="仿宋" w:hAnsi="仿宋" w:eastAsia="仿宋" w:cs="仿宋"/>
          <w:b/>
          <w:bCs/>
          <w:spacing w:val="7"/>
          <w:sz w:val="23"/>
          <w:szCs w:val="23"/>
          <w:u w:val="single"/>
        </w:rPr>
        <w:t>其他未列明行业</w:t>
      </w:r>
      <w:r>
        <w:rPr>
          <w:rFonts w:hint="eastAsia" w:ascii="仿宋" w:hAnsi="仿宋" w:eastAsia="仿宋" w:cs="仿宋"/>
          <w:b/>
          <w:bCs/>
          <w:spacing w:val="7"/>
          <w:sz w:val="23"/>
          <w:szCs w:val="23"/>
        </w:rPr>
        <w:t>。</w:t>
      </w:r>
    </w:p>
    <w:p w14:paraId="2D9B9FD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kern w:val="0"/>
          <w:sz w:val="24"/>
          <w:szCs w:val="24"/>
        </w:rPr>
      </w:pPr>
    </w:p>
    <w:p w14:paraId="306601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b/>
          <w:bCs/>
          <w:kern w:val="0"/>
          <w:sz w:val="24"/>
          <w:szCs w:val="24"/>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2</w:t>
      </w:r>
    </w:p>
    <w:p w14:paraId="0CFB5E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监狱企业声明函（如有</w:t>
      </w:r>
      <w:r>
        <w:rPr>
          <w:rFonts w:hint="eastAsia" w:ascii="仿宋" w:hAnsi="仿宋" w:eastAsia="仿宋" w:cs="仿宋"/>
          <w:b/>
          <w:bCs/>
          <w:kern w:val="0"/>
          <w:sz w:val="24"/>
          <w:szCs w:val="24"/>
          <w:lang w:eastAsia="zh-CN"/>
        </w:rPr>
        <w:t>）</w:t>
      </w:r>
    </w:p>
    <w:p w14:paraId="225F9364">
      <w:pPr>
        <w:widowControl/>
        <w:kinsoku/>
        <w:topLinePunct w:val="0"/>
        <w:bidi w:val="0"/>
        <w:snapToGrid w:val="0"/>
        <w:spacing w:line="360" w:lineRule="auto"/>
        <w:ind w:firstLine="480" w:firstLineChars="20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(监狱企业适用)</w:t>
      </w:r>
    </w:p>
    <w:p w14:paraId="47A61DFF">
      <w:pPr>
        <w:pStyle w:val="14"/>
        <w:tabs>
          <w:tab w:val="left" w:pos="720"/>
          <w:tab w:val="left" w:pos="900"/>
          <w:tab w:val="left" w:pos="1260"/>
          <w:tab w:val="left" w:pos="2160"/>
          <w:tab w:val="left" w:pos="2880"/>
          <w:tab w:val="left" w:pos="3600"/>
          <w:tab w:val="left" w:pos="4320"/>
          <w:tab w:val="left" w:pos="5040"/>
          <w:tab w:val="left" w:pos="5760"/>
        </w:tabs>
        <w:kinsoku/>
        <w:topLinePunct w:val="0"/>
        <w:bidi w:val="0"/>
        <w:snapToGrid w:val="0"/>
        <w:spacing w:line="360" w:lineRule="auto"/>
        <w:ind w:firstLine="480"/>
        <w:textAlignment w:val="auto"/>
        <w:outlineLvl w:val="9"/>
        <w:rPr>
          <w:rFonts w:hint="eastAsia" w:ascii="仿宋" w:hAnsi="仿宋" w:eastAsia="仿宋" w:cs="仿宋"/>
          <w:kern w:val="0"/>
          <w:sz w:val="24"/>
          <w:szCs w:val="24"/>
        </w:rPr>
      </w:pPr>
    </w:p>
    <w:p w14:paraId="4AD9A218">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监狱企业声明函【服务类，监狱企业如需享受优惠政策，还须另行提供省级以上监狱管理局、戒毒管理局（含新疆生产建设兵团</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出具的监狱企业证明文件】</w:t>
      </w:r>
    </w:p>
    <w:p w14:paraId="1A2C401F">
      <w:pPr>
        <w:kinsoku/>
        <w:topLinePunct w:val="0"/>
        <w:bidi w:val="0"/>
        <w:snapToGrid w:val="0"/>
        <w:spacing w:line="360" w:lineRule="auto"/>
        <w:textAlignment w:val="auto"/>
        <w:outlineLvl w:val="9"/>
        <w:rPr>
          <w:rFonts w:hint="eastAsia" w:ascii="仿宋" w:hAnsi="仿宋" w:eastAsia="仿宋" w:cs="仿宋"/>
          <w:kern w:val="0"/>
          <w:sz w:val="24"/>
          <w:szCs w:val="24"/>
        </w:rPr>
      </w:pPr>
    </w:p>
    <w:p w14:paraId="2EA4B117">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本供应商郑重声明，根据《财政部司法部关于政府采购支持监狱企业发展有关问题的通知》（财库〔2014〕68号</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的规定，本供应商参加（采购人名称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的（项目名称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采购活动，服务全部由符合政策要求的监狱企业承接。相关监狱企业的具体情况如下：</w:t>
      </w:r>
    </w:p>
    <w:p w14:paraId="7F2A924C">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1. （标的名称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，承接单位为（企业名称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，属于监狱企业</w:t>
      </w:r>
      <w:r>
        <w:rPr>
          <w:rFonts w:hint="eastAsia" w:ascii="仿宋" w:hAnsi="仿宋" w:eastAsia="仿宋" w:cs="仿宋"/>
          <w:kern w:val="0"/>
          <w:sz w:val="24"/>
          <w:szCs w:val="24"/>
          <w:lang w:eastAsia="zh-CN"/>
        </w:rPr>
        <w:t>；</w:t>
      </w:r>
    </w:p>
    <w:p w14:paraId="1F3B70BC">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 （标的名称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，承接单位为（企业名称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，属于监狱企业。</w:t>
      </w:r>
    </w:p>
    <w:p w14:paraId="4660B157">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068036AB">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本供应商对上述声明内容的真实性负责。如有虚假，将依法承担相应责任。</w:t>
      </w:r>
    </w:p>
    <w:p w14:paraId="7FBDEC59">
      <w:pPr>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附：省级以上监狱管理局、戒毒管理局（含新疆生产建设兵团</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出具的监狱企业证明文件。</w:t>
      </w:r>
    </w:p>
    <w:p w14:paraId="3421154F">
      <w:pPr>
        <w:widowControl/>
        <w:kinsoku/>
        <w:topLinePunct w:val="0"/>
        <w:bidi w:val="0"/>
        <w:snapToGrid w:val="0"/>
        <w:spacing w:line="360" w:lineRule="auto"/>
        <w:ind w:firstLine="480" w:firstLineChars="200"/>
        <w:textAlignment w:val="auto"/>
        <w:outlineLvl w:val="9"/>
        <w:rPr>
          <w:rFonts w:hint="eastAsia" w:ascii="仿宋" w:hAnsi="仿宋" w:eastAsia="仿宋" w:cs="仿宋"/>
          <w:kern w:val="0"/>
          <w:sz w:val="24"/>
          <w:szCs w:val="24"/>
        </w:rPr>
      </w:pPr>
    </w:p>
    <w:p w14:paraId="743B3EA7">
      <w:pPr>
        <w:widowControl/>
        <w:kinsoku/>
        <w:topLinePunct w:val="0"/>
        <w:bidi w:val="0"/>
        <w:snapToGrid w:val="0"/>
        <w:spacing w:line="360" w:lineRule="auto"/>
        <w:textAlignment w:val="auto"/>
        <w:outlineLvl w:val="9"/>
        <w:rPr>
          <w:rFonts w:hint="eastAsia" w:ascii="仿宋" w:hAnsi="仿宋" w:eastAsia="仿宋" w:cs="仿宋"/>
          <w:kern w:val="0"/>
          <w:sz w:val="24"/>
          <w:szCs w:val="24"/>
        </w:rPr>
      </w:pPr>
    </w:p>
    <w:p w14:paraId="1FDF8D66">
      <w:pPr>
        <w:widowControl/>
        <w:kinsoku/>
        <w:topLinePunct w:val="0"/>
        <w:bidi w:val="0"/>
        <w:snapToGrid w:val="0"/>
        <w:spacing w:line="360" w:lineRule="auto"/>
        <w:ind w:firstLine="3840" w:firstLineChars="16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企业名称(盖公章):</w:t>
      </w:r>
    </w:p>
    <w:p w14:paraId="5E4037ED">
      <w:pPr>
        <w:widowControl/>
        <w:kinsoku/>
        <w:topLinePunct w:val="0"/>
        <w:bidi w:val="0"/>
        <w:snapToGrid w:val="0"/>
        <w:spacing w:line="360" w:lineRule="auto"/>
        <w:ind w:firstLine="3120" w:firstLineChars="13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法定代表人(负责人)或其授权代表(签字):</w:t>
      </w:r>
    </w:p>
    <w:p w14:paraId="60AE6FF0">
      <w:pPr>
        <w:widowControl/>
        <w:kinsoku/>
        <w:topLinePunct w:val="0"/>
        <w:bidi w:val="0"/>
        <w:snapToGrid w:val="0"/>
        <w:spacing w:line="360" w:lineRule="auto"/>
        <w:ind w:firstLine="4800" w:firstLineChars="20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w:t>
      </w:r>
    </w:p>
    <w:p w14:paraId="1F093929">
      <w:pPr>
        <w:pStyle w:val="12"/>
        <w:kinsoku/>
        <w:topLinePunct w:val="0"/>
        <w:bidi w:val="0"/>
        <w:textAlignment w:val="auto"/>
        <w:outlineLvl w:val="9"/>
        <w:rPr>
          <w:rFonts w:hint="eastAsia" w:ascii="仿宋" w:hAnsi="仿宋" w:eastAsia="仿宋" w:cs="仿宋"/>
          <w:sz w:val="28"/>
          <w:szCs w:val="28"/>
        </w:rPr>
      </w:pPr>
    </w:p>
    <w:p w14:paraId="3FE28DBF">
      <w:pPr>
        <w:pStyle w:val="12"/>
        <w:kinsoku/>
        <w:topLinePunct w:val="0"/>
        <w:bidi w:val="0"/>
        <w:textAlignment w:val="auto"/>
        <w:outlineLvl w:val="9"/>
        <w:rPr>
          <w:rFonts w:hint="eastAsia" w:ascii="仿宋" w:hAnsi="仿宋" w:eastAsia="仿宋" w:cs="仿宋"/>
          <w:sz w:val="28"/>
          <w:szCs w:val="28"/>
        </w:rPr>
      </w:pPr>
    </w:p>
    <w:p w14:paraId="7164A689">
      <w:pPr>
        <w:pStyle w:val="12"/>
        <w:kinsoku/>
        <w:topLinePunct w:val="0"/>
        <w:bidi w:val="0"/>
        <w:textAlignment w:val="auto"/>
        <w:outlineLvl w:val="9"/>
        <w:rPr>
          <w:rFonts w:hint="eastAsia" w:ascii="仿宋" w:hAnsi="仿宋" w:eastAsia="仿宋" w:cs="仿宋"/>
          <w:sz w:val="28"/>
          <w:szCs w:val="28"/>
        </w:rPr>
      </w:pPr>
    </w:p>
    <w:p w14:paraId="7471D7F8">
      <w:pPr>
        <w:kinsoku/>
        <w:topLinePunct w:val="0"/>
        <w:bidi w:val="0"/>
        <w:textAlignment w:val="auto"/>
        <w:outlineLvl w:val="9"/>
        <w:rPr>
          <w:rFonts w:hint="eastAsia" w:ascii="仿宋" w:hAnsi="仿宋" w:eastAsia="仿宋" w:cs="仿宋"/>
          <w:b/>
          <w:bCs/>
          <w:kern w:val="0"/>
          <w:sz w:val="24"/>
          <w:szCs w:val="24"/>
        </w:rPr>
      </w:pPr>
    </w:p>
    <w:p w14:paraId="08AD87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kern w:val="0"/>
          <w:sz w:val="24"/>
          <w:szCs w:val="24"/>
        </w:rPr>
      </w:pPr>
    </w:p>
    <w:p w14:paraId="78BF0E9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kern w:val="0"/>
          <w:sz w:val="24"/>
          <w:szCs w:val="24"/>
        </w:rPr>
      </w:pPr>
    </w:p>
    <w:p w14:paraId="3B52FA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kern w:val="0"/>
          <w:sz w:val="24"/>
          <w:szCs w:val="24"/>
        </w:rPr>
      </w:pPr>
    </w:p>
    <w:p w14:paraId="0EBA67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kern w:val="0"/>
          <w:sz w:val="24"/>
          <w:szCs w:val="24"/>
        </w:rPr>
      </w:pPr>
    </w:p>
    <w:p w14:paraId="67B7A42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bCs/>
          <w:kern w:val="0"/>
          <w:sz w:val="24"/>
          <w:szCs w:val="24"/>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3</w:t>
      </w:r>
    </w:p>
    <w:p w14:paraId="4E7742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残疾人福利性单位声明函（如有</w:t>
      </w:r>
      <w:r>
        <w:rPr>
          <w:rFonts w:hint="eastAsia" w:ascii="仿宋" w:hAnsi="仿宋" w:eastAsia="仿宋" w:cs="仿宋"/>
          <w:b/>
          <w:bCs/>
          <w:kern w:val="0"/>
          <w:sz w:val="24"/>
          <w:szCs w:val="24"/>
          <w:lang w:eastAsia="zh-CN"/>
        </w:rPr>
        <w:t>）</w:t>
      </w:r>
    </w:p>
    <w:p w14:paraId="504E4A7E">
      <w:pPr>
        <w:widowControl/>
        <w:kinsoku/>
        <w:topLinePunct w:val="0"/>
        <w:bidi w:val="0"/>
        <w:spacing w:line="360" w:lineRule="auto"/>
        <w:jc w:val="center"/>
        <w:textAlignment w:val="auto"/>
        <w:outlineLvl w:val="9"/>
        <w:rPr>
          <w:rFonts w:hint="eastAsia" w:ascii="仿宋" w:hAnsi="仿宋" w:eastAsia="仿宋" w:cs="仿宋"/>
          <w:kern w:val="0"/>
          <w:sz w:val="28"/>
          <w:szCs w:val="28"/>
        </w:rPr>
      </w:pPr>
    </w:p>
    <w:p w14:paraId="668CB4EA">
      <w:pPr>
        <w:widowControl/>
        <w:kinsoku/>
        <w:topLinePunct w:val="0"/>
        <w:bidi w:val="0"/>
        <w:spacing w:line="360" w:lineRule="auto"/>
        <w:jc w:val="center"/>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残疾人福利性单位声明函</w:t>
      </w:r>
    </w:p>
    <w:p w14:paraId="3F05597D">
      <w:pPr>
        <w:kinsoku/>
        <w:topLinePunct w:val="0"/>
        <w:bidi w:val="0"/>
        <w:spacing w:line="360" w:lineRule="auto"/>
        <w:textAlignment w:val="auto"/>
        <w:outlineLvl w:val="9"/>
        <w:rPr>
          <w:rFonts w:hint="eastAsia" w:ascii="仿宋" w:hAnsi="仿宋" w:eastAsia="仿宋" w:cs="仿宋"/>
          <w:b/>
          <w:bCs/>
          <w:sz w:val="24"/>
          <w:szCs w:val="24"/>
        </w:rPr>
      </w:pPr>
    </w:p>
    <w:p w14:paraId="4B46DA24">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p>
    <w:p w14:paraId="782B66B9">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本供应商郑重声明，根据《财政部民政部中国残疾人联合会关于促进残疾人就业政府采购政策的通知》（财库〔2017〕141 号</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的规定，本供应商参加（采购人名称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的（项目名称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采购活动，服务全部由符合政策要求的残疾人福利性单位承接。相关残疾人福利性单位的具体情况如下：</w:t>
      </w:r>
    </w:p>
    <w:p w14:paraId="3410CAA2">
      <w:pPr>
        <w:kinsoku/>
        <w:topLinePunct w:val="0"/>
        <w:bidi w:val="0"/>
        <w:spacing w:line="360" w:lineRule="auto"/>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1. （标的名称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，承接企业为（单位名称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，属于残疾人福利性单位</w:t>
      </w:r>
      <w:r>
        <w:rPr>
          <w:rFonts w:hint="eastAsia" w:ascii="仿宋" w:hAnsi="仿宋" w:eastAsia="仿宋" w:cs="仿宋"/>
          <w:kern w:val="0"/>
          <w:sz w:val="24"/>
          <w:szCs w:val="24"/>
          <w:lang w:eastAsia="zh-CN"/>
        </w:rPr>
        <w:t>；</w:t>
      </w:r>
    </w:p>
    <w:p w14:paraId="033A7369">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2. （标的名称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，承接企业为（单位名称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，属于残疾人福利性单位。</w:t>
      </w:r>
    </w:p>
    <w:p w14:paraId="746A2C5A">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28347528">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本供应商已知悉《财政部民政部中国残疾人联合会关于促进残疾人就业政府采购政策的通知》（财库〔2017〕141 号</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的规定，承诺提供的声明函内容是真实的，如提供声明函内容不实，则依法追究相关法律责任。</w:t>
      </w:r>
    </w:p>
    <w:p w14:paraId="7F7F3EB1">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p>
    <w:p w14:paraId="4F951139">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企业名称(盖公章):</w:t>
      </w:r>
    </w:p>
    <w:p w14:paraId="24C29A8A">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法定代表人(负责人)或其授权代表(签字):</w:t>
      </w:r>
    </w:p>
    <w:p w14:paraId="58AF6A03">
      <w:pPr>
        <w:kinsoku/>
        <w:topLinePunct w:val="0"/>
        <w:bidi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w:t>
      </w:r>
    </w:p>
    <w:p w14:paraId="3BC9F60E">
      <w:pPr>
        <w:pageBreakBefore w:val="0"/>
        <w:kinsoku/>
        <w:overflowPunct/>
        <w:topLinePunct w:val="0"/>
        <w:bidi w:val="0"/>
        <w:spacing w:line="360" w:lineRule="auto"/>
        <w:ind w:firstLine="360" w:firstLineChars="15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p w14:paraId="040AB01B">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二、技术部分</w:t>
      </w:r>
    </w:p>
    <w:p w14:paraId="2912B5CE">
      <w:pPr>
        <w:kinsoku/>
        <w:topLinePunct w:val="0"/>
        <w:bidi w:val="0"/>
        <w:adjustRightInd w:val="0"/>
        <w:snapToGrid w:val="0"/>
        <w:spacing w:line="360" w:lineRule="auto"/>
        <w:ind w:firstLine="964" w:firstLineChars="4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技术响应与偏离表</w:t>
      </w:r>
    </w:p>
    <w:p w14:paraId="4DD569F1">
      <w:pPr>
        <w:kinsoku/>
        <w:topLinePunct w:val="0"/>
        <w:bidi w:val="0"/>
        <w:adjustRightInd w:val="0"/>
        <w:snapToGrid w:val="0"/>
        <w:spacing w:line="360" w:lineRule="auto"/>
        <w:ind w:firstLine="964" w:firstLineChars="400"/>
        <w:textAlignment w:val="auto"/>
        <w:outlineLvl w:val="9"/>
        <w:rPr>
          <w:rFonts w:hint="eastAsia" w:ascii="仿宋" w:hAnsi="仿宋" w:eastAsia="仿宋" w:cs="仿宋"/>
          <w:b/>
          <w:bCs/>
          <w:w w:val="95"/>
          <w:kern w:val="0"/>
          <w:sz w:val="24"/>
          <w:szCs w:val="24"/>
          <w:highlight w:val="none"/>
        </w:rPr>
        <w:sectPr>
          <w:pgSz w:w="11911" w:h="16838"/>
          <w:pgMar w:top="1440" w:right="1803" w:bottom="1440" w:left="1803" w:header="850" w:footer="1088" w:gutter="0"/>
          <w:cols w:space="0" w:num="1"/>
        </w:sect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供应商认为有必要提供的声明及其他资料</w:t>
      </w:r>
    </w:p>
    <w:p w14:paraId="0F4E0E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技术响应与偏离表</w:t>
      </w:r>
    </w:p>
    <w:p w14:paraId="4095F1AB">
      <w:pPr>
        <w:kinsoku/>
        <w:topLinePunct w:val="0"/>
        <w:autoSpaceDE w:val="0"/>
        <w:autoSpaceDN w:val="0"/>
        <w:bidi w:val="0"/>
        <w:jc w:val="left"/>
        <w:textAlignment w:val="auto"/>
        <w:outlineLvl w:val="9"/>
        <w:rPr>
          <w:rFonts w:hint="eastAsia" w:ascii="仿宋" w:hAnsi="仿宋" w:eastAsia="仿宋" w:cs="仿宋"/>
          <w:b/>
          <w:kern w:val="0"/>
          <w:sz w:val="20"/>
        </w:rPr>
      </w:pPr>
    </w:p>
    <w:p w14:paraId="5364F966">
      <w:pPr>
        <w:kinsoku/>
        <w:topLinePunct w:val="0"/>
        <w:bidi w:val="0"/>
        <w:spacing w:line="360" w:lineRule="atLeast"/>
        <w:ind w:firstLine="723"/>
        <w:jc w:val="center"/>
        <w:textAlignment w:val="auto"/>
        <w:outlineLvl w:val="9"/>
        <w:rPr>
          <w:rFonts w:hint="eastAsia" w:ascii="仿宋" w:hAnsi="仿宋" w:eastAsia="仿宋" w:cs="仿宋"/>
          <w:color w:val="000000"/>
          <w:sz w:val="28"/>
          <w:szCs w:val="16"/>
        </w:rPr>
      </w:pPr>
    </w:p>
    <w:p w14:paraId="63C09472">
      <w:pPr>
        <w:kinsoku/>
        <w:topLinePunct w:val="0"/>
        <w:bidi w:val="0"/>
        <w:spacing w:line="360" w:lineRule="atLeast"/>
        <w:ind w:right="352"/>
        <w:jc w:val="left"/>
        <w:textAlignment w:val="auto"/>
        <w:outlineLvl w:val="9"/>
        <w:rPr>
          <w:rFonts w:hint="eastAsia" w:ascii="仿宋" w:hAnsi="仿宋" w:eastAsia="仿宋" w:cs="仿宋"/>
          <w:color w:val="000000"/>
          <w:sz w:val="28"/>
        </w:rPr>
      </w:pPr>
      <w:r>
        <w:rPr>
          <w:rFonts w:hint="eastAsia" w:ascii="仿宋" w:hAnsi="仿宋" w:eastAsia="仿宋" w:cs="仿宋"/>
          <w:color w:val="000000"/>
          <w:sz w:val="24"/>
          <w:szCs w:val="18"/>
        </w:rPr>
        <w:t>项目</w:t>
      </w:r>
      <w:r>
        <w:rPr>
          <w:rFonts w:hint="eastAsia" w:ascii="仿宋" w:hAnsi="仿宋" w:eastAsia="仿宋" w:cs="仿宋"/>
          <w:color w:val="000000"/>
          <w:sz w:val="24"/>
          <w:szCs w:val="18"/>
          <w:lang w:val="en-US" w:eastAsia="zh-CN"/>
        </w:rPr>
        <w:t>名称</w:t>
      </w:r>
      <w:r>
        <w:rPr>
          <w:rFonts w:hint="eastAsia" w:ascii="仿宋" w:hAnsi="仿宋" w:eastAsia="仿宋" w:cs="仿宋"/>
          <w:color w:val="000000"/>
          <w:sz w:val="24"/>
          <w:szCs w:val="18"/>
        </w:rPr>
        <w:t xml:space="preserve">：    </w:t>
      </w:r>
      <w:r>
        <w:rPr>
          <w:rFonts w:hint="eastAsia" w:ascii="仿宋" w:hAnsi="仿宋" w:eastAsia="仿宋" w:cs="仿宋"/>
          <w:color w:val="000000"/>
          <w:sz w:val="24"/>
          <w:szCs w:val="18"/>
          <w:lang w:val="en-US" w:eastAsia="zh-CN"/>
        </w:rPr>
        <w:t xml:space="preserve">       </w:t>
      </w:r>
      <w:r>
        <w:rPr>
          <w:rFonts w:hint="eastAsia" w:ascii="仿宋" w:hAnsi="仿宋" w:eastAsia="仿宋" w:cs="仿宋"/>
          <w:color w:val="000000"/>
          <w:sz w:val="28"/>
        </w:rPr>
        <w:t xml:space="preserve">                                            </w:t>
      </w:r>
    </w:p>
    <w:tbl>
      <w:tblPr>
        <w:tblStyle w:val="29"/>
        <w:tblW w:w="4998" w:type="pct"/>
        <w:jc w:val="center"/>
        <w:tblLayout w:type="autofit"/>
        <w:tblCellMar>
          <w:top w:w="0" w:type="dxa"/>
          <w:left w:w="108" w:type="dxa"/>
          <w:bottom w:w="0" w:type="dxa"/>
          <w:right w:w="108" w:type="dxa"/>
        </w:tblCellMar>
      </w:tblPr>
      <w:tblGrid>
        <w:gridCol w:w="466"/>
        <w:gridCol w:w="2903"/>
        <w:gridCol w:w="2019"/>
        <w:gridCol w:w="1852"/>
        <w:gridCol w:w="1278"/>
      </w:tblGrid>
      <w:tr w14:paraId="3096B6B5">
        <w:tblPrEx>
          <w:tblCellMar>
            <w:top w:w="0" w:type="dxa"/>
            <w:left w:w="108" w:type="dxa"/>
            <w:bottom w:w="0" w:type="dxa"/>
            <w:right w:w="108" w:type="dxa"/>
          </w:tblCellMar>
        </w:tblPrEx>
        <w:trPr>
          <w:trHeight w:val="626" w:hRule="atLeast"/>
          <w:jc w:val="center"/>
        </w:trPr>
        <w:tc>
          <w:tcPr>
            <w:tcW w:w="274" w:type="pct"/>
            <w:tcBorders>
              <w:top w:val="single" w:color="auto" w:sz="6" w:space="0"/>
              <w:left w:val="single" w:color="auto" w:sz="6" w:space="0"/>
              <w:bottom w:val="single" w:color="auto" w:sz="6" w:space="0"/>
              <w:right w:val="single" w:color="auto" w:sz="6" w:space="0"/>
            </w:tcBorders>
            <w:vAlign w:val="center"/>
          </w:tcPr>
          <w:p w14:paraId="6E0BC3CF">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序号</w:t>
            </w:r>
          </w:p>
        </w:tc>
        <w:tc>
          <w:tcPr>
            <w:tcW w:w="1704" w:type="pct"/>
            <w:tcBorders>
              <w:top w:val="single" w:color="auto" w:sz="6" w:space="0"/>
              <w:left w:val="single" w:color="auto" w:sz="6" w:space="0"/>
              <w:bottom w:val="single" w:color="auto" w:sz="6" w:space="0"/>
              <w:right w:val="single" w:color="auto" w:sz="6" w:space="0"/>
            </w:tcBorders>
            <w:vAlign w:val="center"/>
          </w:tcPr>
          <w:p w14:paraId="5463D9B4">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技术条款</w:t>
            </w:r>
          </w:p>
        </w:tc>
        <w:tc>
          <w:tcPr>
            <w:tcW w:w="1185" w:type="pct"/>
            <w:tcBorders>
              <w:top w:val="single" w:color="auto" w:sz="6" w:space="0"/>
              <w:left w:val="single" w:color="auto" w:sz="6" w:space="0"/>
              <w:bottom w:val="single" w:color="auto" w:sz="6" w:space="0"/>
              <w:right w:val="single" w:color="auto" w:sz="6" w:space="0"/>
            </w:tcBorders>
            <w:vAlign w:val="center"/>
          </w:tcPr>
          <w:p w14:paraId="15A3B1D3">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响应条款</w:t>
            </w:r>
          </w:p>
        </w:tc>
        <w:tc>
          <w:tcPr>
            <w:tcW w:w="1087" w:type="pct"/>
            <w:tcBorders>
              <w:top w:val="single" w:color="auto" w:sz="6" w:space="0"/>
              <w:left w:val="single" w:color="auto" w:sz="6" w:space="0"/>
              <w:bottom w:val="single" w:color="auto" w:sz="6" w:space="0"/>
              <w:right w:val="single" w:color="auto" w:sz="6" w:space="0"/>
            </w:tcBorders>
            <w:vAlign w:val="center"/>
          </w:tcPr>
          <w:p w14:paraId="43E9A08D">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响应/偏离</w:t>
            </w:r>
          </w:p>
        </w:tc>
        <w:tc>
          <w:tcPr>
            <w:tcW w:w="748" w:type="pct"/>
            <w:tcBorders>
              <w:top w:val="single" w:color="auto" w:sz="6" w:space="0"/>
              <w:left w:val="single" w:color="auto" w:sz="6" w:space="0"/>
              <w:bottom w:val="single" w:color="auto" w:sz="6" w:space="0"/>
              <w:right w:val="single" w:color="auto" w:sz="6" w:space="0"/>
            </w:tcBorders>
            <w:vAlign w:val="center"/>
          </w:tcPr>
          <w:p w14:paraId="74C12433">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相关证明材料对应页码</w:t>
            </w:r>
          </w:p>
        </w:tc>
      </w:tr>
      <w:tr w14:paraId="6299BE56">
        <w:tblPrEx>
          <w:tblCellMar>
            <w:top w:w="0" w:type="dxa"/>
            <w:left w:w="108" w:type="dxa"/>
            <w:bottom w:w="0" w:type="dxa"/>
            <w:right w:w="108" w:type="dxa"/>
          </w:tblCellMar>
        </w:tblPrEx>
        <w:trPr>
          <w:trHeight w:val="891" w:hRule="atLeast"/>
          <w:jc w:val="center"/>
        </w:trPr>
        <w:tc>
          <w:tcPr>
            <w:tcW w:w="274" w:type="pct"/>
            <w:tcBorders>
              <w:top w:val="single" w:color="auto" w:sz="6" w:space="0"/>
              <w:left w:val="single" w:color="auto" w:sz="6" w:space="0"/>
              <w:bottom w:val="single" w:color="auto" w:sz="6" w:space="0"/>
              <w:right w:val="single" w:color="auto" w:sz="6" w:space="0"/>
            </w:tcBorders>
            <w:vAlign w:val="center"/>
          </w:tcPr>
          <w:p w14:paraId="20EC1319">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w:t>
            </w:r>
          </w:p>
        </w:tc>
        <w:tc>
          <w:tcPr>
            <w:tcW w:w="1704" w:type="pct"/>
            <w:tcBorders>
              <w:top w:val="single" w:color="auto" w:sz="6" w:space="0"/>
              <w:left w:val="single" w:color="auto" w:sz="6" w:space="0"/>
              <w:bottom w:val="single" w:color="auto" w:sz="6" w:space="0"/>
              <w:right w:val="single" w:color="auto" w:sz="6" w:space="0"/>
            </w:tcBorders>
            <w:vAlign w:val="center"/>
          </w:tcPr>
          <w:p w14:paraId="1BA57BA7">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c>
          <w:tcPr>
            <w:tcW w:w="1185" w:type="pct"/>
            <w:tcBorders>
              <w:top w:val="single" w:color="auto" w:sz="6" w:space="0"/>
              <w:left w:val="single" w:color="auto" w:sz="6" w:space="0"/>
              <w:bottom w:val="single" w:color="auto" w:sz="6" w:space="0"/>
              <w:right w:val="single" w:color="auto" w:sz="6" w:space="0"/>
            </w:tcBorders>
            <w:vAlign w:val="center"/>
          </w:tcPr>
          <w:p w14:paraId="368579C7">
            <w:pPr>
              <w:kinsoku/>
              <w:topLinePunct w:val="0"/>
              <w:bidi w:val="0"/>
              <w:snapToGrid w:val="0"/>
              <w:spacing w:line="240" w:lineRule="auto"/>
              <w:ind w:firstLine="420"/>
              <w:jc w:val="center"/>
              <w:textAlignment w:val="auto"/>
              <w:outlineLvl w:val="9"/>
              <w:rPr>
                <w:rFonts w:hint="eastAsia" w:ascii="仿宋" w:hAnsi="仿宋" w:eastAsia="仿宋" w:cs="仿宋"/>
                <w:color w:val="000000"/>
                <w:sz w:val="21"/>
                <w:szCs w:val="21"/>
              </w:rPr>
            </w:pPr>
          </w:p>
        </w:tc>
        <w:tc>
          <w:tcPr>
            <w:tcW w:w="1087" w:type="pct"/>
            <w:tcBorders>
              <w:top w:val="single" w:color="auto" w:sz="6" w:space="0"/>
              <w:left w:val="single" w:color="auto" w:sz="6" w:space="0"/>
              <w:bottom w:val="single" w:color="auto" w:sz="6" w:space="0"/>
              <w:right w:val="single" w:color="auto" w:sz="6" w:space="0"/>
            </w:tcBorders>
            <w:vAlign w:val="center"/>
          </w:tcPr>
          <w:p w14:paraId="399DA567">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c>
          <w:tcPr>
            <w:tcW w:w="748" w:type="pct"/>
            <w:tcBorders>
              <w:top w:val="single" w:color="auto" w:sz="6" w:space="0"/>
              <w:left w:val="single" w:color="auto" w:sz="6" w:space="0"/>
              <w:bottom w:val="single" w:color="auto" w:sz="6" w:space="0"/>
              <w:right w:val="single" w:color="auto" w:sz="6" w:space="0"/>
            </w:tcBorders>
            <w:vAlign w:val="center"/>
          </w:tcPr>
          <w:p w14:paraId="6FDF3FA6">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r>
      <w:tr w14:paraId="38B5E4FD">
        <w:tblPrEx>
          <w:tblCellMar>
            <w:top w:w="0" w:type="dxa"/>
            <w:left w:w="108" w:type="dxa"/>
            <w:bottom w:w="0" w:type="dxa"/>
            <w:right w:w="108" w:type="dxa"/>
          </w:tblCellMar>
        </w:tblPrEx>
        <w:trPr>
          <w:trHeight w:val="839" w:hRule="atLeast"/>
          <w:jc w:val="center"/>
        </w:trPr>
        <w:tc>
          <w:tcPr>
            <w:tcW w:w="274" w:type="pct"/>
            <w:tcBorders>
              <w:top w:val="single" w:color="auto" w:sz="6" w:space="0"/>
              <w:left w:val="single" w:color="auto" w:sz="6" w:space="0"/>
              <w:bottom w:val="single" w:color="auto" w:sz="6" w:space="0"/>
              <w:right w:val="single" w:color="auto" w:sz="6" w:space="0"/>
            </w:tcBorders>
            <w:vAlign w:val="center"/>
          </w:tcPr>
          <w:p w14:paraId="3F27CCF9">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2</w:t>
            </w:r>
          </w:p>
        </w:tc>
        <w:tc>
          <w:tcPr>
            <w:tcW w:w="1704" w:type="pct"/>
            <w:tcBorders>
              <w:top w:val="single" w:color="auto" w:sz="6" w:space="0"/>
              <w:left w:val="single" w:color="auto" w:sz="6" w:space="0"/>
              <w:bottom w:val="single" w:color="auto" w:sz="6" w:space="0"/>
              <w:right w:val="single" w:color="auto" w:sz="6" w:space="0"/>
            </w:tcBorders>
            <w:vAlign w:val="center"/>
          </w:tcPr>
          <w:p w14:paraId="74EF3D3A">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c>
          <w:tcPr>
            <w:tcW w:w="1185" w:type="pct"/>
            <w:tcBorders>
              <w:top w:val="single" w:color="auto" w:sz="6" w:space="0"/>
              <w:left w:val="single" w:color="auto" w:sz="6" w:space="0"/>
              <w:bottom w:val="single" w:color="auto" w:sz="6" w:space="0"/>
              <w:right w:val="single" w:color="auto" w:sz="6" w:space="0"/>
            </w:tcBorders>
            <w:vAlign w:val="center"/>
          </w:tcPr>
          <w:p w14:paraId="190CD2EF">
            <w:pPr>
              <w:kinsoku/>
              <w:topLinePunct w:val="0"/>
              <w:bidi w:val="0"/>
              <w:snapToGrid w:val="0"/>
              <w:spacing w:line="240" w:lineRule="auto"/>
              <w:ind w:firstLine="420"/>
              <w:jc w:val="center"/>
              <w:textAlignment w:val="auto"/>
              <w:outlineLvl w:val="9"/>
              <w:rPr>
                <w:rFonts w:hint="eastAsia" w:ascii="仿宋" w:hAnsi="仿宋" w:eastAsia="仿宋" w:cs="仿宋"/>
                <w:color w:val="000000"/>
                <w:sz w:val="21"/>
                <w:szCs w:val="21"/>
              </w:rPr>
            </w:pPr>
          </w:p>
        </w:tc>
        <w:tc>
          <w:tcPr>
            <w:tcW w:w="1087" w:type="pct"/>
            <w:tcBorders>
              <w:top w:val="single" w:color="auto" w:sz="6" w:space="0"/>
              <w:left w:val="single" w:color="auto" w:sz="6" w:space="0"/>
              <w:bottom w:val="single" w:color="auto" w:sz="6" w:space="0"/>
              <w:right w:val="single" w:color="auto" w:sz="6" w:space="0"/>
            </w:tcBorders>
            <w:vAlign w:val="center"/>
          </w:tcPr>
          <w:p w14:paraId="1C04CDDA">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c>
          <w:tcPr>
            <w:tcW w:w="748" w:type="pct"/>
            <w:tcBorders>
              <w:top w:val="single" w:color="auto" w:sz="6" w:space="0"/>
              <w:left w:val="single" w:color="auto" w:sz="6" w:space="0"/>
              <w:bottom w:val="single" w:color="auto" w:sz="6" w:space="0"/>
              <w:right w:val="single" w:color="auto" w:sz="6" w:space="0"/>
            </w:tcBorders>
            <w:vAlign w:val="center"/>
          </w:tcPr>
          <w:p w14:paraId="7F59F26B">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r>
      <w:tr w14:paraId="4B65C4DC">
        <w:tblPrEx>
          <w:tblCellMar>
            <w:top w:w="0" w:type="dxa"/>
            <w:left w:w="108" w:type="dxa"/>
            <w:bottom w:w="0" w:type="dxa"/>
            <w:right w:w="108" w:type="dxa"/>
          </w:tblCellMar>
        </w:tblPrEx>
        <w:trPr>
          <w:trHeight w:val="923" w:hRule="atLeast"/>
          <w:jc w:val="center"/>
        </w:trPr>
        <w:tc>
          <w:tcPr>
            <w:tcW w:w="274" w:type="pct"/>
            <w:tcBorders>
              <w:top w:val="single" w:color="auto" w:sz="6" w:space="0"/>
              <w:left w:val="single" w:color="auto" w:sz="6" w:space="0"/>
              <w:bottom w:val="single" w:color="auto" w:sz="6" w:space="0"/>
              <w:right w:val="single" w:color="auto" w:sz="6" w:space="0"/>
            </w:tcBorders>
            <w:vAlign w:val="center"/>
          </w:tcPr>
          <w:p w14:paraId="351E89F7">
            <w:pPr>
              <w:kinsoku/>
              <w:topLinePunct w:val="0"/>
              <w:bidi w:val="0"/>
              <w:snapToGrid w:val="0"/>
              <w:spacing w:line="240" w:lineRule="auto"/>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3</w:t>
            </w:r>
          </w:p>
        </w:tc>
        <w:tc>
          <w:tcPr>
            <w:tcW w:w="1704" w:type="pct"/>
            <w:tcBorders>
              <w:top w:val="single" w:color="auto" w:sz="6" w:space="0"/>
              <w:left w:val="single" w:color="auto" w:sz="6" w:space="0"/>
              <w:bottom w:val="single" w:color="auto" w:sz="6" w:space="0"/>
              <w:right w:val="single" w:color="auto" w:sz="6" w:space="0"/>
            </w:tcBorders>
            <w:vAlign w:val="center"/>
          </w:tcPr>
          <w:p w14:paraId="6F9F8A37">
            <w:pPr>
              <w:kinsoku/>
              <w:topLinePunct w:val="0"/>
              <w:bidi w:val="0"/>
              <w:snapToGrid w:val="0"/>
              <w:spacing w:line="240" w:lineRule="auto"/>
              <w:jc w:val="center"/>
              <w:textAlignment w:val="auto"/>
              <w:outlineLvl w:val="9"/>
              <w:rPr>
                <w:rFonts w:hint="eastAsia" w:ascii="仿宋" w:hAnsi="仿宋" w:eastAsia="仿宋" w:cs="仿宋"/>
                <w:sz w:val="21"/>
                <w:szCs w:val="21"/>
              </w:rPr>
            </w:pPr>
          </w:p>
        </w:tc>
        <w:tc>
          <w:tcPr>
            <w:tcW w:w="1185" w:type="pct"/>
            <w:tcBorders>
              <w:top w:val="single" w:color="auto" w:sz="6" w:space="0"/>
              <w:left w:val="single" w:color="auto" w:sz="6" w:space="0"/>
              <w:bottom w:val="single" w:color="auto" w:sz="6" w:space="0"/>
              <w:right w:val="single" w:color="auto" w:sz="6" w:space="0"/>
            </w:tcBorders>
            <w:vAlign w:val="center"/>
          </w:tcPr>
          <w:p w14:paraId="568656BE">
            <w:pPr>
              <w:kinsoku/>
              <w:topLinePunct w:val="0"/>
              <w:bidi w:val="0"/>
              <w:snapToGrid w:val="0"/>
              <w:spacing w:line="240" w:lineRule="auto"/>
              <w:ind w:firstLine="420"/>
              <w:jc w:val="center"/>
              <w:textAlignment w:val="auto"/>
              <w:outlineLvl w:val="9"/>
              <w:rPr>
                <w:rFonts w:hint="eastAsia" w:ascii="仿宋" w:hAnsi="仿宋" w:eastAsia="仿宋" w:cs="仿宋"/>
                <w:color w:val="000000"/>
                <w:sz w:val="21"/>
                <w:szCs w:val="21"/>
              </w:rPr>
            </w:pPr>
          </w:p>
        </w:tc>
        <w:tc>
          <w:tcPr>
            <w:tcW w:w="1087" w:type="pct"/>
            <w:tcBorders>
              <w:top w:val="single" w:color="auto" w:sz="6" w:space="0"/>
              <w:left w:val="single" w:color="auto" w:sz="6" w:space="0"/>
              <w:bottom w:val="single" w:color="auto" w:sz="6" w:space="0"/>
              <w:right w:val="single" w:color="auto" w:sz="6" w:space="0"/>
            </w:tcBorders>
            <w:vAlign w:val="center"/>
          </w:tcPr>
          <w:p w14:paraId="7ABA8D1D">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c>
          <w:tcPr>
            <w:tcW w:w="748" w:type="pct"/>
            <w:tcBorders>
              <w:top w:val="single" w:color="auto" w:sz="6" w:space="0"/>
              <w:left w:val="single" w:color="auto" w:sz="6" w:space="0"/>
              <w:bottom w:val="single" w:color="auto" w:sz="6" w:space="0"/>
              <w:right w:val="single" w:color="auto" w:sz="6" w:space="0"/>
            </w:tcBorders>
            <w:vAlign w:val="center"/>
          </w:tcPr>
          <w:p w14:paraId="61C4866C">
            <w:pPr>
              <w:kinsoku/>
              <w:topLinePunct w:val="0"/>
              <w:bidi w:val="0"/>
              <w:snapToGrid w:val="0"/>
              <w:spacing w:line="240" w:lineRule="auto"/>
              <w:jc w:val="center"/>
              <w:textAlignment w:val="auto"/>
              <w:outlineLvl w:val="9"/>
              <w:rPr>
                <w:rFonts w:hint="eastAsia" w:ascii="仿宋" w:hAnsi="仿宋" w:eastAsia="仿宋" w:cs="仿宋"/>
                <w:color w:val="000000"/>
                <w:sz w:val="21"/>
                <w:szCs w:val="21"/>
              </w:rPr>
            </w:pPr>
          </w:p>
        </w:tc>
      </w:tr>
      <w:tr w14:paraId="59A36DAC">
        <w:tblPrEx>
          <w:tblCellMar>
            <w:top w:w="0" w:type="dxa"/>
            <w:left w:w="108" w:type="dxa"/>
            <w:bottom w:w="0" w:type="dxa"/>
            <w:right w:w="108" w:type="dxa"/>
          </w:tblCellMar>
        </w:tblPrEx>
        <w:trPr>
          <w:trHeight w:val="804" w:hRule="atLeast"/>
          <w:jc w:val="center"/>
        </w:trPr>
        <w:tc>
          <w:tcPr>
            <w:tcW w:w="5000" w:type="pct"/>
            <w:gridSpan w:val="5"/>
            <w:tcBorders>
              <w:top w:val="single" w:color="auto" w:sz="6" w:space="0"/>
              <w:left w:val="single" w:color="auto" w:sz="6" w:space="0"/>
              <w:bottom w:val="single" w:color="auto" w:sz="6" w:space="0"/>
              <w:right w:val="single" w:color="auto" w:sz="6" w:space="0"/>
            </w:tcBorders>
            <w:vAlign w:val="center"/>
          </w:tcPr>
          <w:p w14:paraId="1A3E0DC8">
            <w:pPr>
              <w:kinsoku/>
              <w:topLinePunct w:val="0"/>
              <w:bidi w:val="0"/>
              <w:snapToGrid w:val="0"/>
              <w:spacing w:line="240" w:lineRule="auto"/>
              <w:jc w:val="left"/>
              <w:textAlignment w:val="auto"/>
              <w:outlineLvl w:val="9"/>
              <w:rPr>
                <w:rFonts w:hint="eastAsia" w:ascii="仿宋" w:hAnsi="仿宋" w:eastAsia="仿宋" w:cs="仿宋"/>
                <w:color w:val="000000"/>
                <w:sz w:val="21"/>
                <w:szCs w:val="21"/>
                <w:lang w:eastAsia="zh-CN"/>
              </w:rPr>
            </w:pPr>
            <w:r>
              <w:rPr>
                <w:rFonts w:hint="eastAsia" w:ascii="仿宋" w:hAnsi="仿宋" w:eastAsia="仿宋" w:cs="仿宋"/>
                <w:b/>
                <w:bCs/>
                <w:sz w:val="21"/>
                <w:szCs w:val="21"/>
                <w:lang w:bidi="ar"/>
              </w:rPr>
              <w:t>（备注：所有技术指标按本表响应内容为准，不接受负偏离，否则视为未实质性响应采购文件要求，将被否决磋商</w:t>
            </w:r>
            <w:r>
              <w:rPr>
                <w:rFonts w:hint="eastAsia" w:ascii="仿宋" w:hAnsi="仿宋" w:eastAsia="仿宋" w:cs="仿宋"/>
                <w:b/>
                <w:bCs/>
                <w:sz w:val="21"/>
                <w:szCs w:val="21"/>
                <w:lang w:eastAsia="zh-CN" w:bidi="ar"/>
              </w:rPr>
              <w:t>）</w:t>
            </w:r>
          </w:p>
        </w:tc>
      </w:tr>
    </w:tbl>
    <w:p w14:paraId="6DB34C47">
      <w:pPr>
        <w:kinsoku/>
        <w:topLinePunct w:val="0"/>
        <w:bidi w:val="0"/>
        <w:snapToGrid w:val="0"/>
        <w:spacing w:line="360" w:lineRule="auto"/>
        <w:ind w:firstLine="62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说明：</w:t>
      </w:r>
      <w:r>
        <w:rPr>
          <w:rFonts w:hint="eastAsia" w:ascii="仿宋" w:hAnsi="仿宋" w:eastAsia="仿宋" w:cs="仿宋"/>
          <w:b/>
          <w:bCs/>
          <w:color w:val="000000"/>
          <w:sz w:val="24"/>
          <w:szCs w:val="24"/>
        </w:rPr>
        <w:t>按照磋商文件第</w:t>
      </w:r>
      <w:r>
        <w:rPr>
          <w:rFonts w:hint="eastAsia" w:ascii="仿宋" w:hAnsi="仿宋" w:eastAsia="仿宋" w:cs="仿宋"/>
          <w:b/>
          <w:bCs/>
          <w:color w:val="000000"/>
          <w:sz w:val="24"/>
          <w:szCs w:val="24"/>
          <w:lang w:val="en-US" w:eastAsia="zh-CN"/>
        </w:rPr>
        <w:t>三章</w:t>
      </w:r>
      <w:r>
        <w:rPr>
          <w:rFonts w:hint="eastAsia" w:ascii="仿宋" w:hAnsi="仿宋" w:eastAsia="仿宋" w:cs="仿宋"/>
          <w:b/>
          <w:bCs/>
          <w:color w:val="000000"/>
          <w:sz w:val="24"/>
          <w:szCs w:val="24"/>
        </w:rPr>
        <w:t>采购需求中的技术条款逐条响应</w:t>
      </w:r>
      <w:r>
        <w:rPr>
          <w:rFonts w:hint="eastAsia" w:ascii="仿宋" w:hAnsi="仿宋" w:eastAsia="仿宋" w:cs="仿宋"/>
          <w:color w:val="000000"/>
          <w:sz w:val="24"/>
          <w:szCs w:val="24"/>
        </w:rPr>
        <w:t>，如有偏离，则必须注明“偏离”</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未注明偏离的，视为完全响应。</w:t>
      </w:r>
    </w:p>
    <w:p w14:paraId="1282361C">
      <w:pPr>
        <w:kinsoku/>
        <w:topLinePunct w:val="0"/>
        <w:bidi w:val="0"/>
        <w:snapToGrid w:val="0"/>
        <w:spacing w:line="360" w:lineRule="auto"/>
        <w:ind w:firstLine="620"/>
        <w:textAlignment w:val="auto"/>
        <w:outlineLvl w:val="9"/>
        <w:rPr>
          <w:rFonts w:hint="eastAsia" w:ascii="仿宋" w:hAnsi="仿宋" w:eastAsia="仿宋" w:cs="仿宋"/>
          <w:color w:val="000000"/>
          <w:sz w:val="24"/>
          <w:szCs w:val="24"/>
        </w:rPr>
      </w:pPr>
    </w:p>
    <w:p w14:paraId="28627C75">
      <w:pPr>
        <w:kinsoku/>
        <w:topLinePunct w:val="0"/>
        <w:bidi w:val="0"/>
        <w:snapToGrid w:val="0"/>
        <w:spacing w:line="360" w:lineRule="auto"/>
        <w:ind w:right="10" w:firstLine="56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供应商法定代表人签字或盖章：                                          </w:t>
      </w:r>
    </w:p>
    <w:p w14:paraId="6830428C">
      <w:pPr>
        <w:kinsoku/>
        <w:topLinePunct w:val="0"/>
        <w:bidi w:val="0"/>
        <w:snapToGrid w:val="0"/>
        <w:spacing w:line="360" w:lineRule="auto"/>
        <w:ind w:right="1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供应商公章：</w:t>
      </w:r>
    </w:p>
    <w:p w14:paraId="654D5564">
      <w:pPr>
        <w:kinsoku/>
        <w:topLinePunct w:val="0"/>
        <w:bidi w:val="0"/>
        <w:snapToGrid w:val="0"/>
        <w:spacing w:line="360" w:lineRule="auto"/>
        <w:ind w:right="10" w:firstLine="480" w:firstLineChars="200"/>
        <w:textAlignment w:val="auto"/>
        <w:outlineLvl w:val="9"/>
        <w:rPr>
          <w:rFonts w:hint="eastAsia" w:ascii="仿宋" w:hAnsi="仿宋" w:eastAsia="仿宋" w:cs="仿宋"/>
          <w:color w:val="000000"/>
          <w:sz w:val="24"/>
          <w:szCs w:val="24"/>
        </w:rPr>
        <w:sectPr>
          <w:footerReference r:id="rId11" w:type="first"/>
          <w:headerReference r:id="rId9" w:type="default"/>
          <w:footerReference r:id="rId10" w:type="default"/>
          <w:pgSz w:w="11911" w:h="16838"/>
          <w:pgMar w:top="1440" w:right="1803" w:bottom="1440" w:left="1803" w:header="850" w:footer="1088" w:gutter="0"/>
          <w:cols w:space="0" w:num="1"/>
          <w:docGrid w:linePitch="312" w:charSpace="0"/>
        </w:sectPr>
      </w:pPr>
      <w:r>
        <w:rPr>
          <w:rFonts w:hint="eastAsia" w:ascii="仿宋" w:hAnsi="仿宋" w:eastAsia="仿宋" w:cs="仿宋"/>
          <w:color w:val="000000" w:themeColor="text1"/>
          <w:kern w:val="0"/>
          <w:sz w:val="24"/>
          <w:szCs w:val="24"/>
          <w:highlight w:val="none"/>
          <w14:textFill>
            <w14:solidFill>
              <w14:schemeClr w14:val="tx1"/>
            </w14:solidFill>
          </w14:textFill>
        </w:rPr>
        <w:t>日期：______年____月____日</w:t>
      </w:r>
    </w:p>
    <w:p w14:paraId="62D1C2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供应商认为有必要提供的声明及其他资料</w:t>
      </w:r>
    </w:p>
    <w:p w14:paraId="10D6AB09">
      <w:pPr>
        <w:pStyle w:val="18"/>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勘察纲要应包括但不限于以下内容:</w:t>
      </w:r>
    </w:p>
    <w:p w14:paraId="76DB4D80">
      <w:pPr>
        <w:pStyle w:val="18"/>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1）项目了解与分析</w:t>
      </w:r>
    </w:p>
    <w:p w14:paraId="763B4BAF">
      <w:pPr>
        <w:pStyle w:val="18"/>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2）实施计划方案</w:t>
      </w:r>
    </w:p>
    <w:p w14:paraId="41EB6F6C">
      <w:pPr>
        <w:pStyle w:val="18"/>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3）勘察进度方案</w:t>
      </w:r>
    </w:p>
    <w:p w14:paraId="313A1F03">
      <w:pPr>
        <w:pStyle w:val="18"/>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4）质量保障方案 </w:t>
      </w:r>
    </w:p>
    <w:p w14:paraId="159C9B6A">
      <w:pPr>
        <w:pStyle w:val="18"/>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5）应急预案 </w:t>
      </w:r>
    </w:p>
    <w:p w14:paraId="7C7D3F54">
      <w:pPr>
        <w:pStyle w:val="18"/>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ru-RU" w:eastAsia="zh-CN"/>
        </w:rPr>
        <w:t>档案管理措施</w:t>
      </w:r>
    </w:p>
    <w:p w14:paraId="72A0523D">
      <w:pPr>
        <w:pStyle w:val="18"/>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7）服务响应方案</w:t>
      </w:r>
    </w:p>
    <w:p w14:paraId="5756888A">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val="0"/>
          <w:bCs w:val="0"/>
          <w:w w:val="95"/>
          <w:kern w:val="0"/>
          <w:sz w:val="24"/>
          <w:szCs w:val="24"/>
        </w:rPr>
      </w:pPr>
    </w:p>
    <w:p w14:paraId="1728CFCD">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p>
    <w:p w14:paraId="0EBFEB7E">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p>
    <w:p w14:paraId="50F2CA9F">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p>
    <w:p w14:paraId="0ECBADF4">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p>
    <w:p w14:paraId="63D97109">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p>
    <w:p w14:paraId="277BE26E">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p>
    <w:p w14:paraId="53DCDEC1">
      <w:pPr>
        <w:kinsoku/>
        <w:topLinePunct w:val="0"/>
        <w:autoSpaceDE w:val="0"/>
        <w:autoSpaceDN w:val="0"/>
        <w:bidi w:val="0"/>
        <w:snapToGrid w:val="0"/>
        <w:spacing w:line="360" w:lineRule="auto"/>
        <w:jc w:val="left"/>
        <w:textAlignment w:val="auto"/>
        <w:outlineLvl w:val="9"/>
        <w:rPr>
          <w:rFonts w:hint="eastAsia" w:ascii="仿宋" w:hAnsi="仿宋" w:eastAsia="仿宋" w:cs="仿宋"/>
          <w:b/>
          <w:bCs/>
          <w:w w:val="95"/>
          <w:kern w:val="0"/>
          <w:sz w:val="24"/>
          <w:szCs w:val="24"/>
        </w:rPr>
      </w:pPr>
    </w:p>
    <w:p w14:paraId="13B8A6AB">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r>
        <w:rPr>
          <w:rFonts w:hint="eastAsia" w:ascii="仿宋" w:hAnsi="仿宋" w:eastAsia="仿宋" w:cs="仿宋"/>
          <w:b/>
          <w:bCs/>
          <w:w w:val="95"/>
          <w:kern w:val="0"/>
          <w:sz w:val="24"/>
          <w:szCs w:val="24"/>
        </w:rPr>
        <w:t>特别注意：</w:t>
      </w:r>
    </w:p>
    <w:p w14:paraId="2DDEB4A1">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r>
        <w:rPr>
          <w:rFonts w:hint="eastAsia" w:ascii="仿宋" w:hAnsi="仿宋" w:eastAsia="仿宋" w:cs="仿宋"/>
          <w:b/>
          <w:bCs/>
          <w:w w:val="95"/>
          <w:kern w:val="0"/>
          <w:sz w:val="24"/>
          <w:szCs w:val="24"/>
        </w:rPr>
        <w:t>请各供应商仔细阅读并理解磋商文件的相关说明，严格按照磋商文件要求制作响应文件，如未按要求提供相关材料及承诺，视为不响应竞争性磋商文件，做无效磋商处理，</w:t>
      </w:r>
    </w:p>
    <w:p w14:paraId="53C45B67">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r>
        <w:rPr>
          <w:rFonts w:hint="eastAsia" w:ascii="仿宋" w:hAnsi="仿宋" w:eastAsia="仿宋" w:cs="仿宋"/>
          <w:b/>
          <w:bCs/>
          <w:w w:val="95"/>
          <w:kern w:val="0"/>
          <w:sz w:val="24"/>
          <w:szCs w:val="24"/>
        </w:rPr>
        <w:t>1、供应商对所附表格中要求的资料和询问应做出肯定的回答。</w:t>
      </w:r>
    </w:p>
    <w:p w14:paraId="2EF3733C">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r>
        <w:rPr>
          <w:rFonts w:hint="eastAsia" w:ascii="仿宋" w:hAnsi="仿宋" w:eastAsia="仿宋" w:cs="仿宋"/>
          <w:b/>
          <w:bCs/>
          <w:w w:val="95"/>
          <w:kern w:val="0"/>
          <w:sz w:val="24"/>
          <w:szCs w:val="24"/>
        </w:rPr>
        <w:t>2、响应文件的签字人应保证他所做的声明及对一切问题的回答的真实性和准确性。</w:t>
      </w:r>
    </w:p>
    <w:p w14:paraId="4C987F17">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r>
        <w:rPr>
          <w:rFonts w:hint="eastAsia" w:ascii="仿宋" w:hAnsi="仿宋" w:eastAsia="仿宋" w:cs="仿宋"/>
          <w:b/>
          <w:bCs/>
          <w:w w:val="95"/>
          <w:kern w:val="0"/>
          <w:sz w:val="24"/>
          <w:szCs w:val="24"/>
        </w:rPr>
        <w:t>3、供应商提供的响应文件将由采购人使用，并据此进行评价和判断，确定供应商的能力。</w:t>
      </w:r>
    </w:p>
    <w:p w14:paraId="11507B56">
      <w:pPr>
        <w:kinsoku/>
        <w:topLinePunct w:val="0"/>
        <w:autoSpaceDE w:val="0"/>
        <w:autoSpaceDN w:val="0"/>
        <w:bidi w:val="0"/>
        <w:snapToGrid w:val="0"/>
        <w:spacing w:line="360" w:lineRule="auto"/>
        <w:ind w:left="420" w:leftChars="200"/>
        <w:jc w:val="left"/>
        <w:textAlignment w:val="auto"/>
        <w:outlineLvl w:val="9"/>
        <w:rPr>
          <w:rFonts w:hint="eastAsia" w:ascii="仿宋" w:hAnsi="仿宋" w:eastAsia="仿宋" w:cs="仿宋"/>
          <w:b/>
          <w:bCs/>
          <w:w w:val="95"/>
          <w:kern w:val="0"/>
          <w:sz w:val="24"/>
          <w:szCs w:val="24"/>
        </w:rPr>
      </w:pPr>
      <w:r>
        <w:rPr>
          <w:rFonts w:hint="eastAsia" w:ascii="仿宋" w:hAnsi="仿宋" w:eastAsia="仿宋" w:cs="仿宋"/>
          <w:b/>
          <w:bCs/>
          <w:w w:val="95"/>
          <w:kern w:val="0"/>
          <w:sz w:val="24"/>
          <w:szCs w:val="24"/>
        </w:rPr>
        <w:t>4、供应商提交的文件将给予保密，但不退还。</w:t>
      </w:r>
    </w:p>
    <w:p w14:paraId="57984DE2">
      <w:pPr>
        <w:kinsoku/>
        <w:topLinePunct w:val="0"/>
        <w:autoSpaceDE w:val="0"/>
        <w:autoSpaceDN w:val="0"/>
        <w:bidi w:val="0"/>
        <w:spacing w:line="440" w:lineRule="exact"/>
        <w:ind w:left="420" w:leftChars="200"/>
        <w:jc w:val="left"/>
        <w:textAlignment w:val="auto"/>
        <w:outlineLvl w:val="9"/>
        <w:rPr>
          <w:rFonts w:hint="eastAsia" w:ascii="仿宋" w:hAnsi="仿宋" w:eastAsia="仿宋" w:cs="仿宋"/>
          <w:b/>
          <w:bCs/>
          <w:w w:val="95"/>
          <w:kern w:val="0"/>
          <w:sz w:val="28"/>
          <w:szCs w:val="28"/>
        </w:rPr>
      </w:pPr>
    </w:p>
    <w:p w14:paraId="08F0C76C">
      <w:pPr>
        <w:kinsoku/>
        <w:topLinePunct w:val="0"/>
        <w:bidi w:val="0"/>
        <w:spacing w:line="360" w:lineRule="auto"/>
        <w:textAlignment w:val="auto"/>
        <w:outlineLvl w:val="9"/>
        <w:rPr>
          <w:rFonts w:hint="eastAsia" w:ascii="仿宋" w:hAnsi="仿宋" w:eastAsia="仿宋" w:cs="仿宋"/>
        </w:rPr>
      </w:pPr>
    </w:p>
    <w:p w14:paraId="3ACBA825">
      <w:pPr>
        <w:kinsoku/>
        <w:topLinePunct w:val="0"/>
        <w:bidi w:val="0"/>
        <w:spacing w:line="360" w:lineRule="auto"/>
        <w:textAlignment w:val="auto"/>
        <w:outlineLvl w:val="9"/>
        <w:rPr>
          <w:rFonts w:hint="eastAsia" w:ascii="仿宋" w:hAnsi="仿宋" w:eastAsia="仿宋" w:cs="仿宋"/>
          <w:lang w:eastAsia="zh-CN"/>
        </w:rPr>
      </w:pPr>
    </w:p>
    <w:sectPr>
      <w:footerReference r:id="rId12"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2D4129-E885-4F61-B7C5-9C80C2E6A0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58239CC1-042D-46F2-A4C9-299EDD8C4703}"/>
  </w:font>
  <w:font w:name="仿宋">
    <w:panose1 w:val="02010609060101010101"/>
    <w:charset w:val="86"/>
    <w:family w:val="modern"/>
    <w:pitch w:val="default"/>
    <w:sig w:usb0="800002BF" w:usb1="38CF7CFA" w:usb2="00000016" w:usb3="00000000" w:csb0="00040001" w:csb1="00000000"/>
    <w:embedRegular r:id="rId3" w:fontKey="{0A44EAEC-DEA9-428B-B2FE-C237A4D58F86}"/>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7AD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DE3B">
    <w:pPr>
      <w:pStyle w:val="20"/>
      <w:jc w:val="center"/>
      <w:rPr>
        <w:rFonts w:ascii="宋体" w:hAnsi="宋体"/>
        <w:sz w:val="22"/>
      </w:rPr>
    </w:pPr>
  </w:p>
  <w:p w14:paraId="7426FA4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3416">
    <w:pPr>
      <w:pStyle w:val="20"/>
      <w:jc w:val="center"/>
      <w:rPr>
        <w:rFonts w:ascii="宋体" w:hAnsi="宋体"/>
        <w:sz w:val="22"/>
      </w:rPr>
    </w:pPr>
  </w:p>
  <w:p w14:paraId="11FE978A">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5EB7">
    <w:pPr>
      <w:pStyle w:val="20"/>
      <w:jc w:val="center"/>
      <w:rPr>
        <w:rFonts w:ascii="宋体" w:hAnsi="宋体"/>
        <w:sz w:val="22"/>
      </w:rPr>
    </w:pPr>
  </w:p>
  <w:p w14:paraId="6CAB0435">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ADE9">
    <w:pPr>
      <w:pStyle w:val="12"/>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21C71">
                          <w:pPr>
                            <w:pStyle w:val="2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221C71">
                    <w:pPr>
                      <w:pStyle w:val="20"/>
                    </w:pPr>
                    <w:r>
                      <w:fldChar w:fldCharType="begin"/>
                    </w:r>
                    <w:r>
                      <w:instrText xml:space="preserve"> PAGE  \* MERGEFORMAT </w:instrText>
                    </w:r>
                    <w:r>
                      <w:fldChar w:fldCharType="separate"/>
                    </w:r>
                    <w:r>
                      <w:t>68</w:t>
                    </w:r>
                    <w:r>
                      <w:fldChar w:fldCharType="end"/>
                    </w:r>
                  </w:p>
                </w:txbxContent>
              </v:textbox>
            </v:shape>
          </w:pict>
        </mc:Fallback>
      </mc:AlternateContent>
    </w:r>
    <w:r>
      <w:drawing>
        <wp:anchor distT="0" distB="0" distL="114300" distR="114300" simplePos="0" relativeHeight="251662336" behindDoc="1" locked="0" layoutInCell="1" allowOverlap="1">
          <wp:simplePos x="0" y="0"/>
          <wp:positionH relativeFrom="page">
            <wp:posOffset>6846570</wp:posOffset>
          </wp:positionH>
          <wp:positionV relativeFrom="page">
            <wp:posOffset>10003155</wp:posOffset>
          </wp:positionV>
          <wp:extent cx="44450" cy="38100"/>
          <wp:effectExtent l="0" t="0" r="12700" b="0"/>
          <wp:wrapNone/>
          <wp:docPr id="1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pic:cNvPicPr>
                    <a:picLocks noChangeAspect="1"/>
                  </pic:cNvPicPr>
                </pic:nvPicPr>
                <pic:blipFill>
                  <a:blip r:embed="rId1"/>
                  <a:stretch>
                    <a:fillRect/>
                  </a:stretch>
                </pic:blipFill>
                <pic:spPr>
                  <a:xfrm>
                    <a:off x="0" y="0"/>
                    <a:ext cx="44450" cy="38100"/>
                  </a:xfrm>
                  <a:prstGeom prst="rect">
                    <a:avLst/>
                  </a:prstGeom>
                  <a:noFill/>
                  <a:ln>
                    <a:noFill/>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C1E5">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895D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0C895D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70410">
    <w:pPr>
      <w:snapToGrid w:val="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97DA">
                          <w:pPr>
                            <w:pStyle w:val="2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EC597DA">
                    <w:pPr>
                      <w:pStyle w:val="2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6344">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4F6DE3">
                          <w:pPr>
                            <w:pStyle w:val="2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5B4F6DE3">
                    <w:pPr>
                      <w:pStyle w:val="20"/>
                    </w:pPr>
                    <w:r>
                      <w:fldChar w:fldCharType="begin"/>
                    </w:r>
                    <w:r>
                      <w:instrText xml:space="preserve"> PAGE  \* MERGEFORMAT </w:instrText>
                    </w:r>
                    <w:r>
                      <w:fldChar w:fldCharType="separate"/>
                    </w:r>
                    <w:r>
                      <w:t>24</w:t>
                    </w:r>
                    <w:r>
                      <w:fldChar w:fldCharType="end"/>
                    </w:r>
                  </w:p>
                </w:txbxContent>
              </v:textbox>
            </v:shape>
          </w:pict>
        </mc:Fallback>
      </mc:AlternateContent>
    </w:r>
  </w:p>
  <w:p w14:paraId="3FD4A251">
    <w:pPr>
      <w:pStyle w:val="20"/>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9EE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151E0">
    <w:pPr>
      <w:pStyle w:val="2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D2A7F"/>
    <w:multiLevelType w:val="singleLevel"/>
    <w:tmpl w:val="C91D2A7F"/>
    <w:lvl w:ilvl="0" w:tentative="0">
      <w:start w:val="2"/>
      <w:numFmt w:val="chineseCounting"/>
      <w:suff w:val="nothing"/>
      <w:lvlText w:val="%1、"/>
      <w:lvlJc w:val="left"/>
      <w:rPr>
        <w:rFonts w:hint="eastAsia"/>
      </w:rPr>
    </w:lvl>
  </w:abstractNum>
  <w:abstractNum w:abstractNumId="1">
    <w:nsid w:val="6440CF4E"/>
    <w:multiLevelType w:val="singleLevel"/>
    <w:tmpl w:val="6440CF4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ZWIwMzE4OTAwMDM2NWY3OGU5N2Q1Y2NjY2Y2NjAifQ=="/>
  </w:docVars>
  <w:rsids>
    <w:rsidRoot w:val="001C261C"/>
    <w:rsid w:val="00012349"/>
    <w:rsid w:val="00016CFF"/>
    <w:rsid w:val="00021BD8"/>
    <w:rsid w:val="0002334E"/>
    <w:rsid w:val="00027180"/>
    <w:rsid w:val="00044424"/>
    <w:rsid w:val="00044EF2"/>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71AFB"/>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205E9F"/>
    <w:rsid w:val="002141A4"/>
    <w:rsid w:val="002152B4"/>
    <w:rsid w:val="0021532D"/>
    <w:rsid w:val="00217349"/>
    <w:rsid w:val="0021792B"/>
    <w:rsid w:val="0022032D"/>
    <w:rsid w:val="0022035A"/>
    <w:rsid w:val="00222071"/>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E09E4"/>
    <w:rsid w:val="003F1390"/>
    <w:rsid w:val="003F16E0"/>
    <w:rsid w:val="003F2828"/>
    <w:rsid w:val="003F4CB3"/>
    <w:rsid w:val="00403D7B"/>
    <w:rsid w:val="00406018"/>
    <w:rsid w:val="00407E1B"/>
    <w:rsid w:val="00410E2D"/>
    <w:rsid w:val="00413E9C"/>
    <w:rsid w:val="0042351F"/>
    <w:rsid w:val="004236C1"/>
    <w:rsid w:val="00427C6E"/>
    <w:rsid w:val="004312E4"/>
    <w:rsid w:val="00437F85"/>
    <w:rsid w:val="004411C3"/>
    <w:rsid w:val="00445BFE"/>
    <w:rsid w:val="004460B7"/>
    <w:rsid w:val="00450046"/>
    <w:rsid w:val="00454C46"/>
    <w:rsid w:val="00455713"/>
    <w:rsid w:val="00455834"/>
    <w:rsid w:val="004616F8"/>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42E4"/>
    <w:rsid w:val="00544583"/>
    <w:rsid w:val="005514FD"/>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3CD1"/>
    <w:rsid w:val="007A7942"/>
    <w:rsid w:val="007B70A2"/>
    <w:rsid w:val="007C2D15"/>
    <w:rsid w:val="007C5B53"/>
    <w:rsid w:val="007D53D8"/>
    <w:rsid w:val="007D729A"/>
    <w:rsid w:val="007E5996"/>
    <w:rsid w:val="007E6C9E"/>
    <w:rsid w:val="007E7DCA"/>
    <w:rsid w:val="007F330E"/>
    <w:rsid w:val="00800F2B"/>
    <w:rsid w:val="00801EA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95D"/>
    <w:rsid w:val="00A32C3C"/>
    <w:rsid w:val="00A3525C"/>
    <w:rsid w:val="00A466D6"/>
    <w:rsid w:val="00A513B7"/>
    <w:rsid w:val="00A53F46"/>
    <w:rsid w:val="00A63068"/>
    <w:rsid w:val="00A63657"/>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C757B"/>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CF3752"/>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0770D"/>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10352D"/>
    <w:rsid w:val="0118169F"/>
    <w:rsid w:val="014D0B1B"/>
    <w:rsid w:val="015E0632"/>
    <w:rsid w:val="016F45ED"/>
    <w:rsid w:val="01714C60"/>
    <w:rsid w:val="0194674A"/>
    <w:rsid w:val="01995B0E"/>
    <w:rsid w:val="01B34E22"/>
    <w:rsid w:val="01B97CA8"/>
    <w:rsid w:val="01EA2D3C"/>
    <w:rsid w:val="02122C91"/>
    <w:rsid w:val="02141BD0"/>
    <w:rsid w:val="02377801"/>
    <w:rsid w:val="02443CCC"/>
    <w:rsid w:val="02445A7A"/>
    <w:rsid w:val="02693733"/>
    <w:rsid w:val="029F7154"/>
    <w:rsid w:val="02AC6223"/>
    <w:rsid w:val="02B40E52"/>
    <w:rsid w:val="02F45EDC"/>
    <w:rsid w:val="02F72AEC"/>
    <w:rsid w:val="03140498"/>
    <w:rsid w:val="03644F09"/>
    <w:rsid w:val="0385634A"/>
    <w:rsid w:val="03D746CC"/>
    <w:rsid w:val="03D90444"/>
    <w:rsid w:val="03FC3858"/>
    <w:rsid w:val="040D42FA"/>
    <w:rsid w:val="04471852"/>
    <w:rsid w:val="04800661"/>
    <w:rsid w:val="04C70103"/>
    <w:rsid w:val="04CB2483"/>
    <w:rsid w:val="04DA3708"/>
    <w:rsid w:val="050156B0"/>
    <w:rsid w:val="050752CC"/>
    <w:rsid w:val="0516481A"/>
    <w:rsid w:val="05353DA0"/>
    <w:rsid w:val="05575AC4"/>
    <w:rsid w:val="0566414F"/>
    <w:rsid w:val="058060BB"/>
    <w:rsid w:val="05D50999"/>
    <w:rsid w:val="05D97E37"/>
    <w:rsid w:val="05FD666C"/>
    <w:rsid w:val="06100F9D"/>
    <w:rsid w:val="064E74B7"/>
    <w:rsid w:val="06734CA1"/>
    <w:rsid w:val="06773ABB"/>
    <w:rsid w:val="06A05249"/>
    <w:rsid w:val="06C625F2"/>
    <w:rsid w:val="06EE4286"/>
    <w:rsid w:val="07026059"/>
    <w:rsid w:val="0708351A"/>
    <w:rsid w:val="070954E4"/>
    <w:rsid w:val="07391925"/>
    <w:rsid w:val="074E2EF7"/>
    <w:rsid w:val="0765096C"/>
    <w:rsid w:val="0775005F"/>
    <w:rsid w:val="077B0190"/>
    <w:rsid w:val="078F2096"/>
    <w:rsid w:val="07AB29B4"/>
    <w:rsid w:val="07C05BA3"/>
    <w:rsid w:val="07DC6755"/>
    <w:rsid w:val="07E04497"/>
    <w:rsid w:val="0817778D"/>
    <w:rsid w:val="08207FD7"/>
    <w:rsid w:val="08444585"/>
    <w:rsid w:val="08585DDB"/>
    <w:rsid w:val="085D5AE7"/>
    <w:rsid w:val="08684C5D"/>
    <w:rsid w:val="087A399D"/>
    <w:rsid w:val="087D62BA"/>
    <w:rsid w:val="08CB6A6B"/>
    <w:rsid w:val="08E743E6"/>
    <w:rsid w:val="08EA43A8"/>
    <w:rsid w:val="0911242E"/>
    <w:rsid w:val="09331651"/>
    <w:rsid w:val="093F343F"/>
    <w:rsid w:val="0958005D"/>
    <w:rsid w:val="096D3B75"/>
    <w:rsid w:val="097C623F"/>
    <w:rsid w:val="09907755"/>
    <w:rsid w:val="09926ADE"/>
    <w:rsid w:val="099C3FD1"/>
    <w:rsid w:val="09A80152"/>
    <w:rsid w:val="09AF2373"/>
    <w:rsid w:val="09B90AFC"/>
    <w:rsid w:val="09E20B35"/>
    <w:rsid w:val="09EA5159"/>
    <w:rsid w:val="0A236CE1"/>
    <w:rsid w:val="0A285C81"/>
    <w:rsid w:val="0A2F398A"/>
    <w:rsid w:val="0A3D172D"/>
    <w:rsid w:val="0A563247"/>
    <w:rsid w:val="0A570314"/>
    <w:rsid w:val="0A5B1BB3"/>
    <w:rsid w:val="0A7F4239"/>
    <w:rsid w:val="0ACF4FB3"/>
    <w:rsid w:val="0AD36D68"/>
    <w:rsid w:val="0AE12395"/>
    <w:rsid w:val="0AE87E08"/>
    <w:rsid w:val="0AFD2C6A"/>
    <w:rsid w:val="0B17651E"/>
    <w:rsid w:val="0B187AA4"/>
    <w:rsid w:val="0B190B38"/>
    <w:rsid w:val="0B1A381C"/>
    <w:rsid w:val="0B1D15AA"/>
    <w:rsid w:val="0B355589"/>
    <w:rsid w:val="0B422D73"/>
    <w:rsid w:val="0B50723E"/>
    <w:rsid w:val="0B660775"/>
    <w:rsid w:val="0B705B32"/>
    <w:rsid w:val="0B7373D0"/>
    <w:rsid w:val="0B75373E"/>
    <w:rsid w:val="0B865355"/>
    <w:rsid w:val="0B921026"/>
    <w:rsid w:val="0B9A506A"/>
    <w:rsid w:val="0BA1163E"/>
    <w:rsid w:val="0BA31A63"/>
    <w:rsid w:val="0BDC15C6"/>
    <w:rsid w:val="0BE431D1"/>
    <w:rsid w:val="0BF74BCA"/>
    <w:rsid w:val="0BFB210D"/>
    <w:rsid w:val="0C030754"/>
    <w:rsid w:val="0C272694"/>
    <w:rsid w:val="0C3255A1"/>
    <w:rsid w:val="0CCC323C"/>
    <w:rsid w:val="0CD170B4"/>
    <w:rsid w:val="0CD35A0D"/>
    <w:rsid w:val="0CDD1E47"/>
    <w:rsid w:val="0CE7078B"/>
    <w:rsid w:val="0CEF1C03"/>
    <w:rsid w:val="0D272220"/>
    <w:rsid w:val="0D3E5011"/>
    <w:rsid w:val="0D624675"/>
    <w:rsid w:val="0D981100"/>
    <w:rsid w:val="0D984F26"/>
    <w:rsid w:val="0DBC7709"/>
    <w:rsid w:val="0DD56120"/>
    <w:rsid w:val="0DE819AF"/>
    <w:rsid w:val="0DEA607F"/>
    <w:rsid w:val="0DFD78B7"/>
    <w:rsid w:val="0E0F40B7"/>
    <w:rsid w:val="0E2F5830"/>
    <w:rsid w:val="0E3506DD"/>
    <w:rsid w:val="0E387F21"/>
    <w:rsid w:val="0E645ACB"/>
    <w:rsid w:val="0E6C0832"/>
    <w:rsid w:val="0E816450"/>
    <w:rsid w:val="0EBC5DFD"/>
    <w:rsid w:val="0EDB59B8"/>
    <w:rsid w:val="0EEE65D1"/>
    <w:rsid w:val="0EFD592E"/>
    <w:rsid w:val="0EFD76DC"/>
    <w:rsid w:val="0F20786F"/>
    <w:rsid w:val="0F360E40"/>
    <w:rsid w:val="0F452E31"/>
    <w:rsid w:val="0F5542C7"/>
    <w:rsid w:val="0F5B21FB"/>
    <w:rsid w:val="0F5D7091"/>
    <w:rsid w:val="0F5F0CA2"/>
    <w:rsid w:val="0F6267DC"/>
    <w:rsid w:val="0F6E399A"/>
    <w:rsid w:val="0F735BF1"/>
    <w:rsid w:val="0F73799F"/>
    <w:rsid w:val="0FA47B58"/>
    <w:rsid w:val="0FD52407"/>
    <w:rsid w:val="0FF24D67"/>
    <w:rsid w:val="0FFB1236"/>
    <w:rsid w:val="100827DD"/>
    <w:rsid w:val="101822F4"/>
    <w:rsid w:val="10502A85"/>
    <w:rsid w:val="105318DF"/>
    <w:rsid w:val="1071225A"/>
    <w:rsid w:val="10817E99"/>
    <w:rsid w:val="10AD0C8E"/>
    <w:rsid w:val="10BB33AB"/>
    <w:rsid w:val="10DF5227"/>
    <w:rsid w:val="10FB37AB"/>
    <w:rsid w:val="110176DB"/>
    <w:rsid w:val="112A7867"/>
    <w:rsid w:val="113D42B9"/>
    <w:rsid w:val="114333A1"/>
    <w:rsid w:val="11634536"/>
    <w:rsid w:val="11836890"/>
    <w:rsid w:val="11CB1D14"/>
    <w:rsid w:val="11EA32A9"/>
    <w:rsid w:val="11FC7FB4"/>
    <w:rsid w:val="12043AEA"/>
    <w:rsid w:val="120D63CA"/>
    <w:rsid w:val="12135469"/>
    <w:rsid w:val="12183B8F"/>
    <w:rsid w:val="122537FA"/>
    <w:rsid w:val="1226519C"/>
    <w:rsid w:val="122B27B2"/>
    <w:rsid w:val="12351BE8"/>
    <w:rsid w:val="123D3541"/>
    <w:rsid w:val="124539D3"/>
    <w:rsid w:val="124B62C3"/>
    <w:rsid w:val="12502219"/>
    <w:rsid w:val="1272218F"/>
    <w:rsid w:val="12993BC0"/>
    <w:rsid w:val="129E32AD"/>
    <w:rsid w:val="12B409FA"/>
    <w:rsid w:val="12BF3742"/>
    <w:rsid w:val="12C13C41"/>
    <w:rsid w:val="13094489"/>
    <w:rsid w:val="131E7C21"/>
    <w:rsid w:val="134E49AB"/>
    <w:rsid w:val="137D5290"/>
    <w:rsid w:val="13877F4B"/>
    <w:rsid w:val="13907AC5"/>
    <w:rsid w:val="13D604FC"/>
    <w:rsid w:val="13E250F3"/>
    <w:rsid w:val="13E47D33"/>
    <w:rsid w:val="13E73A9D"/>
    <w:rsid w:val="14007397"/>
    <w:rsid w:val="14065285"/>
    <w:rsid w:val="14226EA9"/>
    <w:rsid w:val="14371460"/>
    <w:rsid w:val="143E4A1F"/>
    <w:rsid w:val="14575AE1"/>
    <w:rsid w:val="14665D24"/>
    <w:rsid w:val="146C2064"/>
    <w:rsid w:val="14A566F8"/>
    <w:rsid w:val="14AB3737"/>
    <w:rsid w:val="14BD22E1"/>
    <w:rsid w:val="14C51977"/>
    <w:rsid w:val="14E71857"/>
    <w:rsid w:val="14E95FA2"/>
    <w:rsid w:val="155B6545"/>
    <w:rsid w:val="157647FD"/>
    <w:rsid w:val="15804BC3"/>
    <w:rsid w:val="15952A34"/>
    <w:rsid w:val="15B11221"/>
    <w:rsid w:val="15CA4090"/>
    <w:rsid w:val="15CE3B81"/>
    <w:rsid w:val="161812A0"/>
    <w:rsid w:val="163C4F8E"/>
    <w:rsid w:val="165C0979"/>
    <w:rsid w:val="16915A5C"/>
    <w:rsid w:val="16C4258B"/>
    <w:rsid w:val="16DD70E3"/>
    <w:rsid w:val="16F47617"/>
    <w:rsid w:val="16F7468C"/>
    <w:rsid w:val="17107B4D"/>
    <w:rsid w:val="174F6F43"/>
    <w:rsid w:val="176A78D9"/>
    <w:rsid w:val="17753C8E"/>
    <w:rsid w:val="178070FD"/>
    <w:rsid w:val="179E57D5"/>
    <w:rsid w:val="17BE4667"/>
    <w:rsid w:val="17BF1702"/>
    <w:rsid w:val="17D13EB3"/>
    <w:rsid w:val="181A61F4"/>
    <w:rsid w:val="18512847"/>
    <w:rsid w:val="18660F26"/>
    <w:rsid w:val="186740EE"/>
    <w:rsid w:val="18694035"/>
    <w:rsid w:val="18695DE3"/>
    <w:rsid w:val="187327BD"/>
    <w:rsid w:val="18784278"/>
    <w:rsid w:val="187F5606"/>
    <w:rsid w:val="18921E7A"/>
    <w:rsid w:val="18961DBB"/>
    <w:rsid w:val="189F7D99"/>
    <w:rsid w:val="18A13D27"/>
    <w:rsid w:val="18AC5CCF"/>
    <w:rsid w:val="18B255D5"/>
    <w:rsid w:val="18D70F9E"/>
    <w:rsid w:val="191E6BCD"/>
    <w:rsid w:val="194D300E"/>
    <w:rsid w:val="196227F1"/>
    <w:rsid w:val="196B7D6D"/>
    <w:rsid w:val="199F3505"/>
    <w:rsid w:val="19B74500"/>
    <w:rsid w:val="19C41DBE"/>
    <w:rsid w:val="19D92AF4"/>
    <w:rsid w:val="19DF0F3F"/>
    <w:rsid w:val="1A06760D"/>
    <w:rsid w:val="1A6E61C0"/>
    <w:rsid w:val="1AA03612"/>
    <w:rsid w:val="1AA41354"/>
    <w:rsid w:val="1AB64BE3"/>
    <w:rsid w:val="1AB803AE"/>
    <w:rsid w:val="1AC75042"/>
    <w:rsid w:val="1ACB68E1"/>
    <w:rsid w:val="1ACD08AB"/>
    <w:rsid w:val="1ADC289C"/>
    <w:rsid w:val="1AEF6222"/>
    <w:rsid w:val="1B193AF0"/>
    <w:rsid w:val="1B1C3432"/>
    <w:rsid w:val="1B4057E9"/>
    <w:rsid w:val="1B920893"/>
    <w:rsid w:val="1BA34FB9"/>
    <w:rsid w:val="1BB6133F"/>
    <w:rsid w:val="1BCA4DEA"/>
    <w:rsid w:val="1BE84345"/>
    <w:rsid w:val="1BFA3B03"/>
    <w:rsid w:val="1BFD6F6E"/>
    <w:rsid w:val="1C065CD1"/>
    <w:rsid w:val="1C09031B"/>
    <w:rsid w:val="1C1D6162"/>
    <w:rsid w:val="1C244D13"/>
    <w:rsid w:val="1C520816"/>
    <w:rsid w:val="1C690CB1"/>
    <w:rsid w:val="1C6C40F3"/>
    <w:rsid w:val="1CA643DD"/>
    <w:rsid w:val="1CC61A56"/>
    <w:rsid w:val="1CC932F4"/>
    <w:rsid w:val="1CD63694"/>
    <w:rsid w:val="1CD82A03"/>
    <w:rsid w:val="1CDC7CB2"/>
    <w:rsid w:val="1CED5115"/>
    <w:rsid w:val="1CEF6950"/>
    <w:rsid w:val="1D146891"/>
    <w:rsid w:val="1D1C3424"/>
    <w:rsid w:val="1D1C5EE0"/>
    <w:rsid w:val="1D2A2A7D"/>
    <w:rsid w:val="1D2B7B0B"/>
    <w:rsid w:val="1D36397B"/>
    <w:rsid w:val="1D3703F8"/>
    <w:rsid w:val="1D3F4CD0"/>
    <w:rsid w:val="1D6927AB"/>
    <w:rsid w:val="1DB25B36"/>
    <w:rsid w:val="1DC35F95"/>
    <w:rsid w:val="1DC6338F"/>
    <w:rsid w:val="1E122A78"/>
    <w:rsid w:val="1E2B0F41"/>
    <w:rsid w:val="1E543091"/>
    <w:rsid w:val="1E5906A7"/>
    <w:rsid w:val="1E755D57"/>
    <w:rsid w:val="1E8F5070"/>
    <w:rsid w:val="1EBD2CB7"/>
    <w:rsid w:val="1EBF04EC"/>
    <w:rsid w:val="1EEB40B0"/>
    <w:rsid w:val="1EF50A5B"/>
    <w:rsid w:val="1F085EE0"/>
    <w:rsid w:val="1F1A1BE5"/>
    <w:rsid w:val="1F3039B0"/>
    <w:rsid w:val="1F31278E"/>
    <w:rsid w:val="1F435BF3"/>
    <w:rsid w:val="1F494278"/>
    <w:rsid w:val="1F51312D"/>
    <w:rsid w:val="1F536385"/>
    <w:rsid w:val="1F59095F"/>
    <w:rsid w:val="1F874D8A"/>
    <w:rsid w:val="1F8A4FBC"/>
    <w:rsid w:val="1F8E7AD3"/>
    <w:rsid w:val="1F9F033C"/>
    <w:rsid w:val="1FA12306"/>
    <w:rsid w:val="1FB02549"/>
    <w:rsid w:val="1FB10EC0"/>
    <w:rsid w:val="1FB75686"/>
    <w:rsid w:val="1FBE07C2"/>
    <w:rsid w:val="1FC0249D"/>
    <w:rsid w:val="1FCD6C57"/>
    <w:rsid w:val="1FD44489"/>
    <w:rsid w:val="200C65DB"/>
    <w:rsid w:val="2014716F"/>
    <w:rsid w:val="20191E9C"/>
    <w:rsid w:val="202076CF"/>
    <w:rsid w:val="20547D9F"/>
    <w:rsid w:val="2057145D"/>
    <w:rsid w:val="20735A50"/>
    <w:rsid w:val="20756524"/>
    <w:rsid w:val="207E4190"/>
    <w:rsid w:val="20853A2E"/>
    <w:rsid w:val="20AD0878"/>
    <w:rsid w:val="20B63B8F"/>
    <w:rsid w:val="20C433CF"/>
    <w:rsid w:val="20C938C2"/>
    <w:rsid w:val="20D15553"/>
    <w:rsid w:val="20D9162C"/>
    <w:rsid w:val="20F93421"/>
    <w:rsid w:val="20FD7A9D"/>
    <w:rsid w:val="21045E9D"/>
    <w:rsid w:val="21131C1B"/>
    <w:rsid w:val="21143E7B"/>
    <w:rsid w:val="211F1734"/>
    <w:rsid w:val="212E623F"/>
    <w:rsid w:val="21420783"/>
    <w:rsid w:val="21425423"/>
    <w:rsid w:val="214531F6"/>
    <w:rsid w:val="21537E84"/>
    <w:rsid w:val="218B56C0"/>
    <w:rsid w:val="21943400"/>
    <w:rsid w:val="219B0CBA"/>
    <w:rsid w:val="21B856E5"/>
    <w:rsid w:val="21BE5E46"/>
    <w:rsid w:val="21C15523"/>
    <w:rsid w:val="21D11E83"/>
    <w:rsid w:val="21D342CD"/>
    <w:rsid w:val="21FA00C1"/>
    <w:rsid w:val="22012302"/>
    <w:rsid w:val="22031056"/>
    <w:rsid w:val="220F0EEA"/>
    <w:rsid w:val="22237AE8"/>
    <w:rsid w:val="224376A4"/>
    <w:rsid w:val="22507B57"/>
    <w:rsid w:val="225D2974"/>
    <w:rsid w:val="22711996"/>
    <w:rsid w:val="228201CD"/>
    <w:rsid w:val="229015B0"/>
    <w:rsid w:val="22963C78"/>
    <w:rsid w:val="22A2261D"/>
    <w:rsid w:val="22AD2D70"/>
    <w:rsid w:val="22C407E5"/>
    <w:rsid w:val="22D069A5"/>
    <w:rsid w:val="22D30A28"/>
    <w:rsid w:val="22E86CCB"/>
    <w:rsid w:val="23095E32"/>
    <w:rsid w:val="23124094"/>
    <w:rsid w:val="23185DB3"/>
    <w:rsid w:val="234C4337"/>
    <w:rsid w:val="234C62DD"/>
    <w:rsid w:val="234C7206"/>
    <w:rsid w:val="23791477"/>
    <w:rsid w:val="2398363E"/>
    <w:rsid w:val="23BC326A"/>
    <w:rsid w:val="23C1283B"/>
    <w:rsid w:val="23C97859"/>
    <w:rsid w:val="23FB6EB4"/>
    <w:rsid w:val="241E0D30"/>
    <w:rsid w:val="241F48BE"/>
    <w:rsid w:val="244D43E0"/>
    <w:rsid w:val="248068BD"/>
    <w:rsid w:val="2492690D"/>
    <w:rsid w:val="24B623B0"/>
    <w:rsid w:val="24C67F7B"/>
    <w:rsid w:val="24D740D4"/>
    <w:rsid w:val="24F609FE"/>
    <w:rsid w:val="24F6756C"/>
    <w:rsid w:val="24F83C04"/>
    <w:rsid w:val="250824DF"/>
    <w:rsid w:val="250E6BB2"/>
    <w:rsid w:val="25360432"/>
    <w:rsid w:val="253A4D8F"/>
    <w:rsid w:val="25513E86"/>
    <w:rsid w:val="255F2A47"/>
    <w:rsid w:val="258C4EBE"/>
    <w:rsid w:val="259D70CC"/>
    <w:rsid w:val="25BF3F50"/>
    <w:rsid w:val="25E305D9"/>
    <w:rsid w:val="25E52F4D"/>
    <w:rsid w:val="261B31FD"/>
    <w:rsid w:val="26306192"/>
    <w:rsid w:val="263500D4"/>
    <w:rsid w:val="263903AA"/>
    <w:rsid w:val="263C0693"/>
    <w:rsid w:val="26413EFB"/>
    <w:rsid w:val="26414C06"/>
    <w:rsid w:val="264961F9"/>
    <w:rsid w:val="26936496"/>
    <w:rsid w:val="26A06E73"/>
    <w:rsid w:val="26F27792"/>
    <w:rsid w:val="26FF54C0"/>
    <w:rsid w:val="2714160F"/>
    <w:rsid w:val="2716672B"/>
    <w:rsid w:val="271A464E"/>
    <w:rsid w:val="274C6686"/>
    <w:rsid w:val="27663AD0"/>
    <w:rsid w:val="279C5947"/>
    <w:rsid w:val="279E5420"/>
    <w:rsid w:val="27B24ED7"/>
    <w:rsid w:val="27B30E28"/>
    <w:rsid w:val="27BF3329"/>
    <w:rsid w:val="27D110CD"/>
    <w:rsid w:val="27F07EF0"/>
    <w:rsid w:val="280256BF"/>
    <w:rsid w:val="280443E1"/>
    <w:rsid w:val="280E1232"/>
    <w:rsid w:val="28125B4F"/>
    <w:rsid w:val="28377363"/>
    <w:rsid w:val="28447CD2"/>
    <w:rsid w:val="284E28FF"/>
    <w:rsid w:val="285A2DEF"/>
    <w:rsid w:val="28825BCC"/>
    <w:rsid w:val="28A872DA"/>
    <w:rsid w:val="28BF06BD"/>
    <w:rsid w:val="28CF1C92"/>
    <w:rsid w:val="28E6101D"/>
    <w:rsid w:val="28F039B6"/>
    <w:rsid w:val="28F44088"/>
    <w:rsid w:val="290F78EF"/>
    <w:rsid w:val="292E56CA"/>
    <w:rsid w:val="293E2974"/>
    <w:rsid w:val="293E4722"/>
    <w:rsid w:val="295355BB"/>
    <w:rsid w:val="297F5466"/>
    <w:rsid w:val="298C36DF"/>
    <w:rsid w:val="299810D6"/>
    <w:rsid w:val="299845AF"/>
    <w:rsid w:val="29C42591"/>
    <w:rsid w:val="29C966E1"/>
    <w:rsid w:val="29E74DB9"/>
    <w:rsid w:val="29E956A6"/>
    <w:rsid w:val="2A043BBD"/>
    <w:rsid w:val="2A0950A8"/>
    <w:rsid w:val="2A131AE0"/>
    <w:rsid w:val="2A1F4553"/>
    <w:rsid w:val="2A2102CB"/>
    <w:rsid w:val="2A222295"/>
    <w:rsid w:val="2A37366D"/>
    <w:rsid w:val="2A73664D"/>
    <w:rsid w:val="2A781EB5"/>
    <w:rsid w:val="2A810D6A"/>
    <w:rsid w:val="2AA864B6"/>
    <w:rsid w:val="2AB704A6"/>
    <w:rsid w:val="2ABC6246"/>
    <w:rsid w:val="2ACF5BC2"/>
    <w:rsid w:val="2AD65503"/>
    <w:rsid w:val="2AEA1D56"/>
    <w:rsid w:val="2AFB6D6E"/>
    <w:rsid w:val="2B08390B"/>
    <w:rsid w:val="2B25249A"/>
    <w:rsid w:val="2B3202B6"/>
    <w:rsid w:val="2B4A1AA4"/>
    <w:rsid w:val="2B522706"/>
    <w:rsid w:val="2B6F150A"/>
    <w:rsid w:val="2BA96EA2"/>
    <w:rsid w:val="2BB77A8F"/>
    <w:rsid w:val="2BDF6DB8"/>
    <w:rsid w:val="2BEF44BB"/>
    <w:rsid w:val="2BEF7F55"/>
    <w:rsid w:val="2C1005F7"/>
    <w:rsid w:val="2C2A1E20"/>
    <w:rsid w:val="2C2D3708"/>
    <w:rsid w:val="2C303381"/>
    <w:rsid w:val="2C4A286E"/>
    <w:rsid w:val="2C714E0E"/>
    <w:rsid w:val="2C91312E"/>
    <w:rsid w:val="2CB01DDA"/>
    <w:rsid w:val="2CEF5D57"/>
    <w:rsid w:val="2CF90FC7"/>
    <w:rsid w:val="2D07221A"/>
    <w:rsid w:val="2D08315C"/>
    <w:rsid w:val="2D3C3247"/>
    <w:rsid w:val="2D4D6783"/>
    <w:rsid w:val="2D55028C"/>
    <w:rsid w:val="2D6329A9"/>
    <w:rsid w:val="2D744BB6"/>
    <w:rsid w:val="2D823B7A"/>
    <w:rsid w:val="2D88708D"/>
    <w:rsid w:val="2D8A03B7"/>
    <w:rsid w:val="2DD52E33"/>
    <w:rsid w:val="2DF2421D"/>
    <w:rsid w:val="2E151698"/>
    <w:rsid w:val="2E25029B"/>
    <w:rsid w:val="2E3450F1"/>
    <w:rsid w:val="2E3600BD"/>
    <w:rsid w:val="2E3A3B88"/>
    <w:rsid w:val="2E3C55DF"/>
    <w:rsid w:val="2E6234EA"/>
    <w:rsid w:val="2E6A6B71"/>
    <w:rsid w:val="2E7D3F3E"/>
    <w:rsid w:val="2E8358D5"/>
    <w:rsid w:val="2E954DE4"/>
    <w:rsid w:val="2E9C09B2"/>
    <w:rsid w:val="2EA12417"/>
    <w:rsid w:val="2ECE6548"/>
    <w:rsid w:val="2F032CCE"/>
    <w:rsid w:val="2F0E4B96"/>
    <w:rsid w:val="2F104DB2"/>
    <w:rsid w:val="2F126434"/>
    <w:rsid w:val="2F204FF5"/>
    <w:rsid w:val="2F277E8B"/>
    <w:rsid w:val="2F3A6A62"/>
    <w:rsid w:val="2F402084"/>
    <w:rsid w:val="2F5E0560"/>
    <w:rsid w:val="2F772D2C"/>
    <w:rsid w:val="2F7B2C5C"/>
    <w:rsid w:val="2FB33015"/>
    <w:rsid w:val="2FBA2933"/>
    <w:rsid w:val="2FBC004A"/>
    <w:rsid w:val="2FCF07C9"/>
    <w:rsid w:val="2FD51B50"/>
    <w:rsid w:val="2FE137B5"/>
    <w:rsid w:val="2FE14059"/>
    <w:rsid w:val="3012466B"/>
    <w:rsid w:val="302327C6"/>
    <w:rsid w:val="30354AD0"/>
    <w:rsid w:val="30376287"/>
    <w:rsid w:val="30424FA7"/>
    <w:rsid w:val="30526F2D"/>
    <w:rsid w:val="305D4027"/>
    <w:rsid w:val="30970BA7"/>
    <w:rsid w:val="30A77050"/>
    <w:rsid w:val="30C13E45"/>
    <w:rsid w:val="30C45CDE"/>
    <w:rsid w:val="30D53BBD"/>
    <w:rsid w:val="31342FDA"/>
    <w:rsid w:val="31584A09"/>
    <w:rsid w:val="315F792B"/>
    <w:rsid w:val="317C04DD"/>
    <w:rsid w:val="31844B16"/>
    <w:rsid w:val="31846DBA"/>
    <w:rsid w:val="31864EB8"/>
    <w:rsid w:val="319A0963"/>
    <w:rsid w:val="31AA0E1E"/>
    <w:rsid w:val="31AD0696"/>
    <w:rsid w:val="31B22151"/>
    <w:rsid w:val="31BA7633"/>
    <w:rsid w:val="31C6355E"/>
    <w:rsid w:val="31CA0CE5"/>
    <w:rsid w:val="31F10466"/>
    <w:rsid w:val="31F12C79"/>
    <w:rsid w:val="31FC2BFD"/>
    <w:rsid w:val="32001381"/>
    <w:rsid w:val="320E329C"/>
    <w:rsid w:val="32247DB5"/>
    <w:rsid w:val="324E1E79"/>
    <w:rsid w:val="3264223F"/>
    <w:rsid w:val="328E7420"/>
    <w:rsid w:val="32943604"/>
    <w:rsid w:val="32C4576F"/>
    <w:rsid w:val="32E20DCB"/>
    <w:rsid w:val="32FD564D"/>
    <w:rsid w:val="33242BDA"/>
    <w:rsid w:val="3337290D"/>
    <w:rsid w:val="33452260"/>
    <w:rsid w:val="33596D28"/>
    <w:rsid w:val="335D6962"/>
    <w:rsid w:val="33656EE4"/>
    <w:rsid w:val="337F1800"/>
    <w:rsid w:val="338813BB"/>
    <w:rsid w:val="33AF6948"/>
    <w:rsid w:val="33D23259"/>
    <w:rsid w:val="33F94067"/>
    <w:rsid w:val="340F0DC0"/>
    <w:rsid w:val="34270BD4"/>
    <w:rsid w:val="34394463"/>
    <w:rsid w:val="34395C06"/>
    <w:rsid w:val="344277BC"/>
    <w:rsid w:val="34472B5E"/>
    <w:rsid w:val="34690693"/>
    <w:rsid w:val="348D6825"/>
    <w:rsid w:val="34A12986"/>
    <w:rsid w:val="34AF4725"/>
    <w:rsid w:val="34B01D27"/>
    <w:rsid w:val="34BB30CA"/>
    <w:rsid w:val="34E55975"/>
    <w:rsid w:val="34F21C19"/>
    <w:rsid w:val="350B4EB3"/>
    <w:rsid w:val="351C24B4"/>
    <w:rsid w:val="3531447C"/>
    <w:rsid w:val="35325A82"/>
    <w:rsid w:val="355D18A7"/>
    <w:rsid w:val="355E6877"/>
    <w:rsid w:val="35841E81"/>
    <w:rsid w:val="359B7CBC"/>
    <w:rsid w:val="35F363A6"/>
    <w:rsid w:val="3633706B"/>
    <w:rsid w:val="363731B7"/>
    <w:rsid w:val="36592A97"/>
    <w:rsid w:val="3663489C"/>
    <w:rsid w:val="36AE37C2"/>
    <w:rsid w:val="36C11399"/>
    <w:rsid w:val="37015C42"/>
    <w:rsid w:val="37070849"/>
    <w:rsid w:val="370B79D5"/>
    <w:rsid w:val="371511B8"/>
    <w:rsid w:val="372D4416"/>
    <w:rsid w:val="374E1125"/>
    <w:rsid w:val="375B510B"/>
    <w:rsid w:val="37664448"/>
    <w:rsid w:val="378237FC"/>
    <w:rsid w:val="37967BC7"/>
    <w:rsid w:val="37B24C58"/>
    <w:rsid w:val="37DC5883"/>
    <w:rsid w:val="37E64902"/>
    <w:rsid w:val="37F4443E"/>
    <w:rsid w:val="37F75D45"/>
    <w:rsid w:val="381F1BC2"/>
    <w:rsid w:val="3851701B"/>
    <w:rsid w:val="385437B4"/>
    <w:rsid w:val="38806B05"/>
    <w:rsid w:val="38966328"/>
    <w:rsid w:val="38A81BB8"/>
    <w:rsid w:val="38AC5B4C"/>
    <w:rsid w:val="38B92017"/>
    <w:rsid w:val="38BB7B3D"/>
    <w:rsid w:val="38FB7951"/>
    <w:rsid w:val="39032368"/>
    <w:rsid w:val="393A571E"/>
    <w:rsid w:val="395C0261"/>
    <w:rsid w:val="395E07A5"/>
    <w:rsid w:val="39872747"/>
    <w:rsid w:val="39916AF0"/>
    <w:rsid w:val="39AB428B"/>
    <w:rsid w:val="39C3314D"/>
    <w:rsid w:val="39D00128"/>
    <w:rsid w:val="39E9296C"/>
    <w:rsid w:val="39FB470F"/>
    <w:rsid w:val="3A3529A4"/>
    <w:rsid w:val="3A4818A4"/>
    <w:rsid w:val="3A577D39"/>
    <w:rsid w:val="3A6340C3"/>
    <w:rsid w:val="3A7C32FC"/>
    <w:rsid w:val="3A8D5509"/>
    <w:rsid w:val="3A9023B6"/>
    <w:rsid w:val="3A9C74FA"/>
    <w:rsid w:val="3A9E4BA4"/>
    <w:rsid w:val="3AAF36D1"/>
    <w:rsid w:val="3AB46F3A"/>
    <w:rsid w:val="3AB556BE"/>
    <w:rsid w:val="3AB74AF8"/>
    <w:rsid w:val="3ACA4067"/>
    <w:rsid w:val="3ACF167E"/>
    <w:rsid w:val="3AD4138A"/>
    <w:rsid w:val="3AD416EA"/>
    <w:rsid w:val="3AD954E9"/>
    <w:rsid w:val="3AFD268F"/>
    <w:rsid w:val="3B002944"/>
    <w:rsid w:val="3B0C4499"/>
    <w:rsid w:val="3B0F7E7C"/>
    <w:rsid w:val="3B3A3026"/>
    <w:rsid w:val="3B3D0CDD"/>
    <w:rsid w:val="3B42229E"/>
    <w:rsid w:val="3B6B584A"/>
    <w:rsid w:val="3B8713FA"/>
    <w:rsid w:val="3BA2329A"/>
    <w:rsid w:val="3BBF5B96"/>
    <w:rsid w:val="3BE23FB6"/>
    <w:rsid w:val="3BE92C13"/>
    <w:rsid w:val="3C0D32ED"/>
    <w:rsid w:val="3C197FB3"/>
    <w:rsid w:val="3C352A37"/>
    <w:rsid w:val="3C3825DD"/>
    <w:rsid w:val="3C6D2FDF"/>
    <w:rsid w:val="3C853690"/>
    <w:rsid w:val="3C9701B3"/>
    <w:rsid w:val="3CAC611A"/>
    <w:rsid w:val="3CB21257"/>
    <w:rsid w:val="3CC70BCD"/>
    <w:rsid w:val="3CFF2676"/>
    <w:rsid w:val="3D162A00"/>
    <w:rsid w:val="3D307460"/>
    <w:rsid w:val="3D486B6C"/>
    <w:rsid w:val="3D49524A"/>
    <w:rsid w:val="3D4E5423"/>
    <w:rsid w:val="3D5347E8"/>
    <w:rsid w:val="3D892D91"/>
    <w:rsid w:val="3D962773"/>
    <w:rsid w:val="3DAC43F9"/>
    <w:rsid w:val="3DB00EAB"/>
    <w:rsid w:val="3DD0408A"/>
    <w:rsid w:val="3DD31485"/>
    <w:rsid w:val="3DF17618"/>
    <w:rsid w:val="3DF20D1A"/>
    <w:rsid w:val="3E00258D"/>
    <w:rsid w:val="3E043D34"/>
    <w:rsid w:val="3E32264F"/>
    <w:rsid w:val="3E591A57"/>
    <w:rsid w:val="3E94330A"/>
    <w:rsid w:val="3E946E66"/>
    <w:rsid w:val="3ECD4126"/>
    <w:rsid w:val="3ED951C1"/>
    <w:rsid w:val="3F0062A9"/>
    <w:rsid w:val="3F1E7077"/>
    <w:rsid w:val="3F20355E"/>
    <w:rsid w:val="3F262080"/>
    <w:rsid w:val="3F636C84"/>
    <w:rsid w:val="3F661A25"/>
    <w:rsid w:val="3F7140E2"/>
    <w:rsid w:val="3F823162"/>
    <w:rsid w:val="3F875BFF"/>
    <w:rsid w:val="3F9134F1"/>
    <w:rsid w:val="3FBA1B9C"/>
    <w:rsid w:val="3FC32955"/>
    <w:rsid w:val="3FED60C4"/>
    <w:rsid w:val="40003EEC"/>
    <w:rsid w:val="401F30A7"/>
    <w:rsid w:val="40354679"/>
    <w:rsid w:val="40464199"/>
    <w:rsid w:val="4050332A"/>
    <w:rsid w:val="405F16F6"/>
    <w:rsid w:val="407A794C"/>
    <w:rsid w:val="40833636"/>
    <w:rsid w:val="40954D20"/>
    <w:rsid w:val="40A37834"/>
    <w:rsid w:val="40AD2461"/>
    <w:rsid w:val="40BA4B7E"/>
    <w:rsid w:val="40CC4C3A"/>
    <w:rsid w:val="40D566D8"/>
    <w:rsid w:val="40E70812"/>
    <w:rsid w:val="40EE6DBC"/>
    <w:rsid w:val="40FC085C"/>
    <w:rsid w:val="410B7759"/>
    <w:rsid w:val="41524DB6"/>
    <w:rsid w:val="417A05B5"/>
    <w:rsid w:val="417D0085"/>
    <w:rsid w:val="418741CD"/>
    <w:rsid w:val="418A395B"/>
    <w:rsid w:val="41F16324"/>
    <w:rsid w:val="42113A4E"/>
    <w:rsid w:val="421F113C"/>
    <w:rsid w:val="42291FBB"/>
    <w:rsid w:val="422A3998"/>
    <w:rsid w:val="424A6945"/>
    <w:rsid w:val="425A6618"/>
    <w:rsid w:val="429F227D"/>
    <w:rsid w:val="429F3390"/>
    <w:rsid w:val="42B21F0C"/>
    <w:rsid w:val="42B850ED"/>
    <w:rsid w:val="42CD6DEA"/>
    <w:rsid w:val="42F223AD"/>
    <w:rsid w:val="42F83D8C"/>
    <w:rsid w:val="430B6CF8"/>
    <w:rsid w:val="432664FB"/>
    <w:rsid w:val="433D252C"/>
    <w:rsid w:val="433E322A"/>
    <w:rsid w:val="434370AD"/>
    <w:rsid w:val="4384421E"/>
    <w:rsid w:val="439D67BD"/>
    <w:rsid w:val="43AB3F01"/>
    <w:rsid w:val="43AE02D0"/>
    <w:rsid w:val="43BB3877"/>
    <w:rsid w:val="44055F4E"/>
    <w:rsid w:val="44134CD1"/>
    <w:rsid w:val="44174555"/>
    <w:rsid w:val="441A260C"/>
    <w:rsid w:val="443070AF"/>
    <w:rsid w:val="44722BFE"/>
    <w:rsid w:val="44A12BD6"/>
    <w:rsid w:val="44AD6ED3"/>
    <w:rsid w:val="44C562D7"/>
    <w:rsid w:val="44F468B0"/>
    <w:rsid w:val="450539CF"/>
    <w:rsid w:val="4521341D"/>
    <w:rsid w:val="453A2440"/>
    <w:rsid w:val="45510A92"/>
    <w:rsid w:val="455B4324"/>
    <w:rsid w:val="456450B8"/>
    <w:rsid w:val="456A6B72"/>
    <w:rsid w:val="45A42A1E"/>
    <w:rsid w:val="45B6167D"/>
    <w:rsid w:val="45B85B30"/>
    <w:rsid w:val="45BB265C"/>
    <w:rsid w:val="45BC4EF4"/>
    <w:rsid w:val="45C55E2C"/>
    <w:rsid w:val="45CB1E22"/>
    <w:rsid w:val="45CD3EB1"/>
    <w:rsid w:val="45D65FB6"/>
    <w:rsid w:val="45E83F3B"/>
    <w:rsid w:val="45EB55DB"/>
    <w:rsid w:val="46211D29"/>
    <w:rsid w:val="469C7200"/>
    <w:rsid w:val="46AF3AC9"/>
    <w:rsid w:val="46E10160"/>
    <w:rsid w:val="46F220DF"/>
    <w:rsid w:val="4723347D"/>
    <w:rsid w:val="47503B46"/>
    <w:rsid w:val="47531190"/>
    <w:rsid w:val="475A67AA"/>
    <w:rsid w:val="47737835"/>
    <w:rsid w:val="477B3D52"/>
    <w:rsid w:val="477C2B8D"/>
    <w:rsid w:val="47863A0C"/>
    <w:rsid w:val="478832E0"/>
    <w:rsid w:val="47B929C9"/>
    <w:rsid w:val="47B9793D"/>
    <w:rsid w:val="47BC742D"/>
    <w:rsid w:val="47DB17B2"/>
    <w:rsid w:val="47F2339A"/>
    <w:rsid w:val="480C5CBF"/>
    <w:rsid w:val="481B656B"/>
    <w:rsid w:val="4856596F"/>
    <w:rsid w:val="486F26F2"/>
    <w:rsid w:val="487675DC"/>
    <w:rsid w:val="488632CC"/>
    <w:rsid w:val="488A7CCF"/>
    <w:rsid w:val="48B545A9"/>
    <w:rsid w:val="48D903AC"/>
    <w:rsid w:val="48DA7B6B"/>
    <w:rsid w:val="48EA5F1D"/>
    <w:rsid w:val="48EC5AF0"/>
    <w:rsid w:val="49261002"/>
    <w:rsid w:val="49444BE7"/>
    <w:rsid w:val="495E69EE"/>
    <w:rsid w:val="49753D38"/>
    <w:rsid w:val="49A102E9"/>
    <w:rsid w:val="49A95790"/>
    <w:rsid w:val="49D547D7"/>
    <w:rsid w:val="49E05655"/>
    <w:rsid w:val="4A314103"/>
    <w:rsid w:val="4A3239D7"/>
    <w:rsid w:val="4A344158"/>
    <w:rsid w:val="4A471230"/>
    <w:rsid w:val="4A4E6A63"/>
    <w:rsid w:val="4A8947FE"/>
    <w:rsid w:val="4A8A3813"/>
    <w:rsid w:val="4A954692"/>
    <w:rsid w:val="4AEE2607"/>
    <w:rsid w:val="4AEE38D3"/>
    <w:rsid w:val="4AF54F29"/>
    <w:rsid w:val="4AF73571"/>
    <w:rsid w:val="4B052E99"/>
    <w:rsid w:val="4B105AC6"/>
    <w:rsid w:val="4B1A6945"/>
    <w:rsid w:val="4B2C39A7"/>
    <w:rsid w:val="4B392A9D"/>
    <w:rsid w:val="4B613A78"/>
    <w:rsid w:val="4B643BD4"/>
    <w:rsid w:val="4BAE0624"/>
    <w:rsid w:val="4BBE31C1"/>
    <w:rsid w:val="4BD54C5F"/>
    <w:rsid w:val="4BE01C54"/>
    <w:rsid w:val="4BE11211"/>
    <w:rsid w:val="4C043151"/>
    <w:rsid w:val="4C0F5AC8"/>
    <w:rsid w:val="4C217054"/>
    <w:rsid w:val="4C3049AB"/>
    <w:rsid w:val="4C92075D"/>
    <w:rsid w:val="4C927E9E"/>
    <w:rsid w:val="4CA02E7A"/>
    <w:rsid w:val="4CA3219E"/>
    <w:rsid w:val="4CCF375F"/>
    <w:rsid w:val="4CDB0356"/>
    <w:rsid w:val="4D032A5B"/>
    <w:rsid w:val="4D3C3FC3"/>
    <w:rsid w:val="4D3F14E4"/>
    <w:rsid w:val="4D4F4749"/>
    <w:rsid w:val="4D510618"/>
    <w:rsid w:val="4D6B63AA"/>
    <w:rsid w:val="4D9F5D97"/>
    <w:rsid w:val="4DA93FB0"/>
    <w:rsid w:val="4DBE3EFF"/>
    <w:rsid w:val="4DC1579E"/>
    <w:rsid w:val="4DC94652"/>
    <w:rsid w:val="4DDE00FE"/>
    <w:rsid w:val="4DE1199C"/>
    <w:rsid w:val="4DE64E8D"/>
    <w:rsid w:val="4DEA6643"/>
    <w:rsid w:val="4DEB45C9"/>
    <w:rsid w:val="4E182C90"/>
    <w:rsid w:val="4E467EA5"/>
    <w:rsid w:val="4E573A0C"/>
    <w:rsid w:val="4E5E123E"/>
    <w:rsid w:val="4E6D0384"/>
    <w:rsid w:val="4EA040E4"/>
    <w:rsid w:val="4EA0721A"/>
    <w:rsid w:val="4EAD5D22"/>
    <w:rsid w:val="4ECB1114"/>
    <w:rsid w:val="4ECD1F20"/>
    <w:rsid w:val="4EFB701C"/>
    <w:rsid w:val="4F242E23"/>
    <w:rsid w:val="4F2840E6"/>
    <w:rsid w:val="4F4B10B2"/>
    <w:rsid w:val="4F596D5B"/>
    <w:rsid w:val="4F680A74"/>
    <w:rsid w:val="4FA709C3"/>
    <w:rsid w:val="4FB57E74"/>
    <w:rsid w:val="4FC60E49"/>
    <w:rsid w:val="4FE422CD"/>
    <w:rsid w:val="4FEE6769"/>
    <w:rsid w:val="4FF97471"/>
    <w:rsid w:val="50014E19"/>
    <w:rsid w:val="504F7091"/>
    <w:rsid w:val="50840A87"/>
    <w:rsid w:val="50885FAC"/>
    <w:rsid w:val="509379B9"/>
    <w:rsid w:val="50A82C45"/>
    <w:rsid w:val="50AE11DD"/>
    <w:rsid w:val="50DF54D0"/>
    <w:rsid w:val="512438C6"/>
    <w:rsid w:val="51317D65"/>
    <w:rsid w:val="51621046"/>
    <w:rsid w:val="51C55131"/>
    <w:rsid w:val="51F82001"/>
    <w:rsid w:val="520B5E40"/>
    <w:rsid w:val="523560D6"/>
    <w:rsid w:val="52432C25"/>
    <w:rsid w:val="5246001F"/>
    <w:rsid w:val="52553975"/>
    <w:rsid w:val="526D04D3"/>
    <w:rsid w:val="527A401D"/>
    <w:rsid w:val="52A3218E"/>
    <w:rsid w:val="52B15D06"/>
    <w:rsid w:val="52B72D1B"/>
    <w:rsid w:val="52E127ED"/>
    <w:rsid w:val="52F15371"/>
    <w:rsid w:val="52FD6523"/>
    <w:rsid w:val="531620E8"/>
    <w:rsid w:val="531B76FE"/>
    <w:rsid w:val="53316B2B"/>
    <w:rsid w:val="534E1882"/>
    <w:rsid w:val="53560736"/>
    <w:rsid w:val="53644505"/>
    <w:rsid w:val="539D3442"/>
    <w:rsid w:val="53A972D4"/>
    <w:rsid w:val="53D42B29"/>
    <w:rsid w:val="53FA7FBD"/>
    <w:rsid w:val="540041D6"/>
    <w:rsid w:val="54012A20"/>
    <w:rsid w:val="54102FDB"/>
    <w:rsid w:val="54414145"/>
    <w:rsid w:val="54446FC0"/>
    <w:rsid w:val="54497DFE"/>
    <w:rsid w:val="545A0816"/>
    <w:rsid w:val="546D5D37"/>
    <w:rsid w:val="547D1CF3"/>
    <w:rsid w:val="548D598A"/>
    <w:rsid w:val="549E05E7"/>
    <w:rsid w:val="54B614E8"/>
    <w:rsid w:val="54B838D5"/>
    <w:rsid w:val="550C5EF2"/>
    <w:rsid w:val="552460E9"/>
    <w:rsid w:val="556A671B"/>
    <w:rsid w:val="55777228"/>
    <w:rsid w:val="55805F3E"/>
    <w:rsid w:val="55853555"/>
    <w:rsid w:val="55937A20"/>
    <w:rsid w:val="559926ED"/>
    <w:rsid w:val="55FD52A4"/>
    <w:rsid w:val="56156687"/>
    <w:rsid w:val="562B4DF0"/>
    <w:rsid w:val="562C5A69"/>
    <w:rsid w:val="5647080A"/>
    <w:rsid w:val="564E7DEA"/>
    <w:rsid w:val="565B7C64"/>
    <w:rsid w:val="565C5AA9"/>
    <w:rsid w:val="567B424B"/>
    <w:rsid w:val="567F2E60"/>
    <w:rsid w:val="568437F3"/>
    <w:rsid w:val="56984E0A"/>
    <w:rsid w:val="56BF4844"/>
    <w:rsid w:val="56F11679"/>
    <w:rsid w:val="571903F8"/>
    <w:rsid w:val="573575EA"/>
    <w:rsid w:val="574D698D"/>
    <w:rsid w:val="57553FDB"/>
    <w:rsid w:val="576D5D74"/>
    <w:rsid w:val="577E200A"/>
    <w:rsid w:val="578907F2"/>
    <w:rsid w:val="57A002B8"/>
    <w:rsid w:val="57AA2DFF"/>
    <w:rsid w:val="57AF2B0B"/>
    <w:rsid w:val="57CA34A1"/>
    <w:rsid w:val="57CE2F91"/>
    <w:rsid w:val="57F8596B"/>
    <w:rsid w:val="580F25F1"/>
    <w:rsid w:val="580F343D"/>
    <w:rsid w:val="581B37CE"/>
    <w:rsid w:val="583F006A"/>
    <w:rsid w:val="58400A6E"/>
    <w:rsid w:val="587A0A23"/>
    <w:rsid w:val="5889438C"/>
    <w:rsid w:val="58AA6F94"/>
    <w:rsid w:val="58CD3249"/>
    <w:rsid w:val="58DD06E6"/>
    <w:rsid w:val="58E862D4"/>
    <w:rsid w:val="593E1E60"/>
    <w:rsid w:val="594617A6"/>
    <w:rsid w:val="59513E7A"/>
    <w:rsid w:val="5975743C"/>
    <w:rsid w:val="597638E0"/>
    <w:rsid w:val="59831B59"/>
    <w:rsid w:val="598A4F96"/>
    <w:rsid w:val="598C3104"/>
    <w:rsid w:val="59AF5B72"/>
    <w:rsid w:val="59B77A55"/>
    <w:rsid w:val="59BF20ED"/>
    <w:rsid w:val="59E22D24"/>
    <w:rsid w:val="59E33AD2"/>
    <w:rsid w:val="59FB6D28"/>
    <w:rsid w:val="5A007EC4"/>
    <w:rsid w:val="5A0739E1"/>
    <w:rsid w:val="5A587827"/>
    <w:rsid w:val="5A61214D"/>
    <w:rsid w:val="5A8209B4"/>
    <w:rsid w:val="5A91649B"/>
    <w:rsid w:val="5A920D5A"/>
    <w:rsid w:val="5AA21D49"/>
    <w:rsid w:val="5ADC3C17"/>
    <w:rsid w:val="5B133F48"/>
    <w:rsid w:val="5B140904"/>
    <w:rsid w:val="5B1C4BE3"/>
    <w:rsid w:val="5B3F34B3"/>
    <w:rsid w:val="5B4D241F"/>
    <w:rsid w:val="5B564FDE"/>
    <w:rsid w:val="5B67418E"/>
    <w:rsid w:val="5B766B2C"/>
    <w:rsid w:val="5B864E6A"/>
    <w:rsid w:val="5B9D760F"/>
    <w:rsid w:val="5BA51BF8"/>
    <w:rsid w:val="5BA85962"/>
    <w:rsid w:val="5BCD4E97"/>
    <w:rsid w:val="5C2018E1"/>
    <w:rsid w:val="5C227A79"/>
    <w:rsid w:val="5C2E3AFB"/>
    <w:rsid w:val="5C46603D"/>
    <w:rsid w:val="5C627D9A"/>
    <w:rsid w:val="5C6A2C58"/>
    <w:rsid w:val="5C6E6E24"/>
    <w:rsid w:val="5CB516D9"/>
    <w:rsid w:val="5CB62246"/>
    <w:rsid w:val="5CBA1D36"/>
    <w:rsid w:val="5CBB6325"/>
    <w:rsid w:val="5CBD35D4"/>
    <w:rsid w:val="5CDA25E8"/>
    <w:rsid w:val="5CDE29AA"/>
    <w:rsid w:val="5CF54B1C"/>
    <w:rsid w:val="5D0B2591"/>
    <w:rsid w:val="5D2709F5"/>
    <w:rsid w:val="5D290D12"/>
    <w:rsid w:val="5D635043"/>
    <w:rsid w:val="5D6621C8"/>
    <w:rsid w:val="5D6C55F8"/>
    <w:rsid w:val="5D8440F2"/>
    <w:rsid w:val="5D9308B6"/>
    <w:rsid w:val="5D9500AD"/>
    <w:rsid w:val="5D983F46"/>
    <w:rsid w:val="5DB744C7"/>
    <w:rsid w:val="5DD572ED"/>
    <w:rsid w:val="5E062D59"/>
    <w:rsid w:val="5E187611"/>
    <w:rsid w:val="5E207C55"/>
    <w:rsid w:val="5E2D6537"/>
    <w:rsid w:val="5E2D7753"/>
    <w:rsid w:val="5E3E0745"/>
    <w:rsid w:val="5E56783C"/>
    <w:rsid w:val="5E856A12"/>
    <w:rsid w:val="5E8720EC"/>
    <w:rsid w:val="5E92128D"/>
    <w:rsid w:val="5E9D3BBE"/>
    <w:rsid w:val="5EBF3633"/>
    <w:rsid w:val="5EC549C2"/>
    <w:rsid w:val="5EE457F2"/>
    <w:rsid w:val="5EEC63F2"/>
    <w:rsid w:val="5EF41B8A"/>
    <w:rsid w:val="5F21609C"/>
    <w:rsid w:val="5F27742B"/>
    <w:rsid w:val="5F6366B5"/>
    <w:rsid w:val="5F6C32F2"/>
    <w:rsid w:val="5F807365"/>
    <w:rsid w:val="5F890BD8"/>
    <w:rsid w:val="5F920D48"/>
    <w:rsid w:val="5F9E593F"/>
    <w:rsid w:val="5FC15189"/>
    <w:rsid w:val="5FCA5E80"/>
    <w:rsid w:val="5FF26ACB"/>
    <w:rsid w:val="600D02FA"/>
    <w:rsid w:val="604364E6"/>
    <w:rsid w:val="60695F4D"/>
    <w:rsid w:val="60820DBC"/>
    <w:rsid w:val="60823793"/>
    <w:rsid w:val="60976869"/>
    <w:rsid w:val="6098413C"/>
    <w:rsid w:val="60A527D8"/>
    <w:rsid w:val="60B8658C"/>
    <w:rsid w:val="60CB2763"/>
    <w:rsid w:val="60E95BB5"/>
    <w:rsid w:val="60ED7D0A"/>
    <w:rsid w:val="60FE046C"/>
    <w:rsid w:val="610E4848"/>
    <w:rsid w:val="6110691E"/>
    <w:rsid w:val="611539DF"/>
    <w:rsid w:val="6121223D"/>
    <w:rsid w:val="61292BC0"/>
    <w:rsid w:val="612A6BD7"/>
    <w:rsid w:val="612B3202"/>
    <w:rsid w:val="61910FB0"/>
    <w:rsid w:val="619C1A0A"/>
    <w:rsid w:val="619C7C5C"/>
    <w:rsid w:val="61A60908"/>
    <w:rsid w:val="61BE74A3"/>
    <w:rsid w:val="61E678AC"/>
    <w:rsid w:val="61F93380"/>
    <w:rsid w:val="622E5CC3"/>
    <w:rsid w:val="623A0A5E"/>
    <w:rsid w:val="62641BCE"/>
    <w:rsid w:val="62913539"/>
    <w:rsid w:val="62A52B40"/>
    <w:rsid w:val="62AC2121"/>
    <w:rsid w:val="62BD432E"/>
    <w:rsid w:val="62DD22DA"/>
    <w:rsid w:val="62E664AA"/>
    <w:rsid w:val="62E713AB"/>
    <w:rsid w:val="62F1290C"/>
    <w:rsid w:val="62FD0E5F"/>
    <w:rsid w:val="630C7063"/>
    <w:rsid w:val="630D7A59"/>
    <w:rsid w:val="630E2DDB"/>
    <w:rsid w:val="63247F09"/>
    <w:rsid w:val="634361BD"/>
    <w:rsid w:val="637846F9"/>
    <w:rsid w:val="63B84AF5"/>
    <w:rsid w:val="63C27253"/>
    <w:rsid w:val="63C85B4D"/>
    <w:rsid w:val="63D65F92"/>
    <w:rsid w:val="63DF50FF"/>
    <w:rsid w:val="63F61DC8"/>
    <w:rsid w:val="64207A32"/>
    <w:rsid w:val="642D7291"/>
    <w:rsid w:val="64370110"/>
    <w:rsid w:val="64436AB5"/>
    <w:rsid w:val="64635EA2"/>
    <w:rsid w:val="646D3A7D"/>
    <w:rsid w:val="64712199"/>
    <w:rsid w:val="64790FE0"/>
    <w:rsid w:val="64B1461A"/>
    <w:rsid w:val="64BF7C89"/>
    <w:rsid w:val="64EE255B"/>
    <w:rsid w:val="64F44E26"/>
    <w:rsid w:val="65063E7D"/>
    <w:rsid w:val="651061BE"/>
    <w:rsid w:val="651E6BDA"/>
    <w:rsid w:val="65411653"/>
    <w:rsid w:val="654B0103"/>
    <w:rsid w:val="65671F47"/>
    <w:rsid w:val="657333CA"/>
    <w:rsid w:val="65773CC3"/>
    <w:rsid w:val="657D5FF6"/>
    <w:rsid w:val="65B71508"/>
    <w:rsid w:val="65C14135"/>
    <w:rsid w:val="65DB7D83"/>
    <w:rsid w:val="65F61C2E"/>
    <w:rsid w:val="66344907"/>
    <w:rsid w:val="663E5786"/>
    <w:rsid w:val="66453DB2"/>
    <w:rsid w:val="66486604"/>
    <w:rsid w:val="66540990"/>
    <w:rsid w:val="668D4017"/>
    <w:rsid w:val="668F4233"/>
    <w:rsid w:val="66AB26EF"/>
    <w:rsid w:val="66AF21DF"/>
    <w:rsid w:val="66B2453A"/>
    <w:rsid w:val="66D21D0D"/>
    <w:rsid w:val="672901E4"/>
    <w:rsid w:val="673E185F"/>
    <w:rsid w:val="67771377"/>
    <w:rsid w:val="677D5E3A"/>
    <w:rsid w:val="67891B48"/>
    <w:rsid w:val="67A02FA4"/>
    <w:rsid w:val="67A6099A"/>
    <w:rsid w:val="67AC2BC3"/>
    <w:rsid w:val="67E67E83"/>
    <w:rsid w:val="680D18B3"/>
    <w:rsid w:val="68115D74"/>
    <w:rsid w:val="681539E5"/>
    <w:rsid w:val="682664D1"/>
    <w:rsid w:val="682A25BB"/>
    <w:rsid w:val="683C534A"/>
    <w:rsid w:val="68631316"/>
    <w:rsid w:val="68675DDB"/>
    <w:rsid w:val="68701E42"/>
    <w:rsid w:val="68802085"/>
    <w:rsid w:val="6893581B"/>
    <w:rsid w:val="68B95597"/>
    <w:rsid w:val="68CB6EF0"/>
    <w:rsid w:val="68E5638C"/>
    <w:rsid w:val="68F111E8"/>
    <w:rsid w:val="68F77E6E"/>
    <w:rsid w:val="69584F21"/>
    <w:rsid w:val="696E6382"/>
    <w:rsid w:val="699A7DD8"/>
    <w:rsid w:val="69AE2C22"/>
    <w:rsid w:val="69C83CDF"/>
    <w:rsid w:val="69CE6E20"/>
    <w:rsid w:val="69D41F5D"/>
    <w:rsid w:val="69DC2875"/>
    <w:rsid w:val="69DF102E"/>
    <w:rsid w:val="69E5416A"/>
    <w:rsid w:val="6A1B6C72"/>
    <w:rsid w:val="6A356EA0"/>
    <w:rsid w:val="6A525FCF"/>
    <w:rsid w:val="6A575068"/>
    <w:rsid w:val="6A692012"/>
    <w:rsid w:val="6A6B69DF"/>
    <w:rsid w:val="6A745C1A"/>
    <w:rsid w:val="6A786D8C"/>
    <w:rsid w:val="6A9C2A7B"/>
    <w:rsid w:val="6AA57970"/>
    <w:rsid w:val="6AB66575"/>
    <w:rsid w:val="6ABF772E"/>
    <w:rsid w:val="6ACD70D8"/>
    <w:rsid w:val="6AF06E9E"/>
    <w:rsid w:val="6B3D425E"/>
    <w:rsid w:val="6B4E09CA"/>
    <w:rsid w:val="6B7216AE"/>
    <w:rsid w:val="6B7A3A2F"/>
    <w:rsid w:val="6B853DB4"/>
    <w:rsid w:val="6BA1310D"/>
    <w:rsid w:val="6BA96010"/>
    <w:rsid w:val="6BB34520"/>
    <w:rsid w:val="6C21592D"/>
    <w:rsid w:val="6C495484"/>
    <w:rsid w:val="6C581FF4"/>
    <w:rsid w:val="6C5A0E3F"/>
    <w:rsid w:val="6C8D56C2"/>
    <w:rsid w:val="6C90660F"/>
    <w:rsid w:val="6CAE6A95"/>
    <w:rsid w:val="6CB43A23"/>
    <w:rsid w:val="6CB57E24"/>
    <w:rsid w:val="6CB84EC0"/>
    <w:rsid w:val="6CD97C18"/>
    <w:rsid w:val="6CDD2F12"/>
    <w:rsid w:val="6CE30ABD"/>
    <w:rsid w:val="6CFA369A"/>
    <w:rsid w:val="6D141FFF"/>
    <w:rsid w:val="6D1A237D"/>
    <w:rsid w:val="6D340679"/>
    <w:rsid w:val="6D346605"/>
    <w:rsid w:val="6D3900F4"/>
    <w:rsid w:val="6D3932D5"/>
    <w:rsid w:val="6D3E083B"/>
    <w:rsid w:val="6D491F9B"/>
    <w:rsid w:val="6D7E473B"/>
    <w:rsid w:val="6DA300CD"/>
    <w:rsid w:val="6DAF23D9"/>
    <w:rsid w:val="6DC742B3"/>
    <w:rsid w:val="6DD30EA9"/>
    <w:rsid w:val="6E041063"/>
    <w:rsid w:val="6E162642"/>
    <w:rsid w:val="6E1E2DBD"/>
    <w:rsid w:val="6E1F1A89"/>
    <w:rsid w:val="6E35790A"/>
    <w:rsid w:val="6E391F20"/>
    <w:rsid w:val="6E3B1A16"/>
    <w:rsid w:val="6E4C47B8"/>
    <w:rsid w:val="6E52533A"/>
    <w:rsid w:val="6E5D5501"/>
    <w:rsid w:val="6E757369"/>
    <w:rsid w:val="6E7855AD"/>
    <w:rsid w:val="6E8609F7"/>
    <w:rsid w:val="6E8B1784"/>
    <w:rsid w:val="6E8E6B7E"/>
    <w:rsid w:val="6E9720C8"/>
    <w:rsid w:val="6E9879FD"/>
    <w:rsid w:val="6EDA1DC4"/>
    <w:rsid w:val="6EE96F6E"/>
    <w:rsid w:val="6EF70BC7"/>
    <w:rsid w:val="6F082EA8"/>
    <w:rsid w:val="6F12299D"/>
    <w:rsid w:val="6F320B4F"/>
    <w:rsid w:val="6F377216"/>
    <w:rsid w:val="6F573414"/>
    <w:rsid w:val="6F5916C5"/>
    <w:rsid w:val="6F5F03D4"/>
    <w:rsid w:val="6F83722C"/>
    <w:rsid w:val="6FB940CF"/>
    <w:rsid w:val="6FDB5DF3"/>
    <w:rsid w:val="6FF73D14"/>
    <w:rsid w:val="70170310"/>
    <w:rsid w:val="70227EC6"/>
    <w:rsid w:val="704C3761"/>
    <w:rsid w:val="7057376D"/>
    <w:rsid w:val="705E3CE2"/>
    <w:rsid w:val="70A365CB"/>
    <w:rsid w:val="70E51775"/>
    <w:rsid w:val="70F43810"/>
    <w:rsid w:val="71125845"/>
    <w:rsid w:val="711439F6"/>
    <w:rsid w:val="712D267F"/>
    <w:rsid w:val="71325EE7"/>
    <w:rsid w:val="71351738"/>
    <w:rsid w:val="718912BA"/>
    <w:rsid w:val="718B0A33"/>
    <w:rsid w:val="71900E5F"/>
    <w:rsid w:val="719655A2"/>
    <w:rsid w:val="719E357C"/>
    <w:rsid w:val="71A05546"/>
    <w:rsid w:val="71AA3CCF"/>
    <w:rsid w:val="71ED06E1"/>
    <w:rsid w:val="71FF7F01"/>
    <w:rsid w:val="722C6DDA"/>
    <w:rsid w:val="724208EB"/>
    <w:rsid w:val="725A2C95"/>
    <w:rsid w:val="72662FF9"/>
    <w:rsid w:val="726C5429"/>
    <w:rsid w:val="726E5F49"/>
    <w:rsid w:val="727128B9"/>
    <w:rsid w:val="728051EE"/>
    <w:rsid w:val="72B44C6D"/>
    <w:rsid w:val="72B55021"/>
    <w:rsid w:val="72BB1F0C"/>
    <w:rsid w:val="72C65C4D"/>
    <w:rsid w:val="72FC3515"/>
    <w:rsid w:val="72FC6D23"/>
    <w:rsid w:val="7315786E"/>
    <w:rsid w:val="7325797A"/>
    <w:rsid w:val="733C129F"/>
    <w:rsid w:val="733E5017"/>
    <w:rsid w:val="734E6647"/>
    <w:rsid w:val="735314CD"/>
    <w:rsid w:val="73693EA2"/>
    <w:rsid w:val="738B7B30"/>
    <w:rsid w:val="73AF7CC3"/>
    <w:rsid w:val="73B1017F"/>
    <w:rsid w:val="73C117A4"/>
    <w:rsid w:val="73C61889"/>
    <w:rsid w:val="73C9310C"/>
    <w:rsid w:val="73D634A1"/>
    <w:rsid w:val="73E84F83"/>
    <w:rsid w:val="73ED193B"/>
    <w:rsid w:val="74243C19"/>
    <w:rsid w:val="74393A30"/>
    <w:rsid w:val="74493C73"/>
    <w:rsid w:val="74501E11"/>
    <w:rsid w:val="745D771F"/>
    <w:rsid w:val="74691D0C"/>
    <w:rsid w:val="74883B54"/>
    <w:rsid w:val="749E3DBE"/>
    <w:rsid w:val="74A67140"/>
    <w:rsid w:val="74D472B5"/>
    <w:rsid w:val="74DD779B"/>
    <w:rsid w:val="750477D6"/>
    <w:rsid w:val="750558DD"/>
    <w:rsid w:val="7506603E"/>
    <w:rsid w:val="75150722"/>
    <w:rsid w:val="752B56FD"/>
    <w:rsid w:val="753003D8"/>
    <w:rsid w:val="7561323F"/>
    <w:rsid w:val="75796BAC"/>
    <w:rsid w:val="75ED04B3"/>
    <w:rsid w:val="761C5B30"/>
    <w:rsid w:val="762B6B12"/>
    <w:rsid w:val="76355799"/>
    <w:rsid w:val="76424E1E"/>
    <w:rsid w:val="7677632D"/>
    <w:rsid w:val="767B6271"/>
    <w:rsid w:val="768F5B89"/>
    <w:rsid w:val="76982C90"/>
    <w:rsid w:val="76A07D97"/>
    <w:rsid w:val="76E7074E"/>
    <w:rsid w:val="76F30640"/>
    <w:rsid w:val="76F65C09"/>
    <w:rsid w:val="77163BB5"/>
    <w:rsid w:val="77175615"/>
    <w:rsid w:val="7718792D"/>
    <w:rsid w:val="77244524"/>
    <w:rsid w:val="77381815"/>
    <w:rsid w:val="773B361B"/>
    <w:rsid w:val="774A03DB"/>
    <w:rsid w:val="777A6E37"/>
    <w:rsid w:val="77813179"/>
    <w:rsid w:val="77A318EC"/>
    <w:rsid w:val="77AB69F3"/>
    <w:rsid w:val="77D73A6B"/>
    <w:rsid w:val="77E339D2"/>
    <w:rsid w:val="781A5365"/>
    <w:rsid w:val="78281DF2"/>
    <w:rsid w:val="783E33C3"/>
    <w:rsid w:val="784604CA"/>
    <w:rsid w:val="786F5C73"/>
    <w:rsid w:val="78702E03"/>
    <w:rsid w:val="78760647"/>
    <w:rsid w:val="78872FBC"/>
    <w:rsid w:val="78A201EC"/>
    <w:rsid w:val="78BE633E"/>
    <w:rsid w:val="78D22DC6"/>
    <w:rsid w:val="78F30EFC"/>
    <w:rsid w:val="79155BE7"/>
    <w:rsid w:val="792425B9"/>
    <w:rsid w:val="792A2638"/>
    <w:rsid w:val="79347C19"/>
    <w:rsid w:val="798B0290"/>
    <w:rsid w:val="79A1557F"/>
    <w:rsid w:val="79A6790A"/>
    <w:rsid w:val="79B6025F"/>
    <w:rsid w:val="79BC03FA"/>
    <w:rsid w:val="79C5394B"/>
    <w:rsid w:val="79F97C9A"/>
    <w:rsid w:val="79FD4B66"/>
    <w:rsid w:val="7A280D7B"/>
    <w:rsid w:val="7A3F0D0F"/>
    <w:rsid w:val="7A5F5873"/>
    <w:rsid w:val="7A6510DB"/>
    <w:rsid w:val="7A88301C"/>
    <w:rsid w:val="7A884DEB"/>
    <w:rsid w:val="7ABB1B89"/>
    <w:rsid w:val="7AEC7106"/>
    <w:rsid w:val="7AFD71E3"/>
    <w:rsid w:val="7B106FFF"/>
    <w:rsid w:val="7B23675D"/>
    <w:rsid w:val="7B271623"/>
    <w:rsid w:val="7B272834"/>
    <w:rsid w:val="7B3F680F"/>
    <w:rsid w:val="7B560A24"/>
    <w:rsid w:val="7B610275"/>
    <w:rsid w:val="7B66335D"/>
    <w:rsid w:val="7B7964F7"/>
    <w:rsid w:val="7B844A95"/>
    <w:rsid w:val="7B85747A"/>
    <w:rsid w:val="7B8F2BB8"/>
    <w:rsid w:val="7B9A3006"/>
    <w:rsid w:val="7BC316F7"/>
    <w:rsid w:val="7BC84D09"/>
    <w:rsid w:val="7BE02E20"/>
    <w:rsid w:val="7BE14791"/>
    <w:rsid w:val="7BF40E91"/>
    <w:rsid w:val="7C10151B"/>
    <w:rsid w:val="7C162E2A"/>
    <w:rsid w:val="7C321491"/>
    <w:rsid w:val="7C4116D4"/>
    <w:rsid w:val="7C44364E"/>
    <w:rsid w:val="7C503276"/>
    <w:rsid w:val="7C947A32"/>
    <w:rsid w:val="7C9E6B26"/>
    <w:rsid w:val="7CEF6C6B"/>
    <w:rsid w:val="7CF15A77"/>
    <w:rsid w:val="7D056BA5"/>
    <w:rsid w:val="7D20753B"/>
    <w:rsid w:val="7D4278A5"/>
    <w:rsid w:val="7D8A2C07"/>
    <w:rsid w:val="7D985241"/>
    <w:rsid w:val="7D9C2143"/>
    <w:rsid w:val="7DA538BF"/>
    <w:rsid w:val="7DA55C93"/>
    <w:rsid w:val="7DBF6D54"/>
    <w:rsid w:val="7DC47E92"/>
    <w:rsid w:val="7DF266D9"/>
    <w:rsid w:val="7E0155BF"/>
    <w:rsid w:val="7E0B2418"/>
    <w:rsid w:val="7E2E2619"/>
    <w:rsid w:val="7E2E71FB"/>
    <w:rsid w:val="7E3547AD"/>
    <w:rsid w:val="7E3570E2"/>
    <w:rsid w:val="7E3F6452"/>
    <w:rsid w:val="7E461224"/>
    <w:rsid w:val="7E464632"/>
    <w:rsid w:val="7E5A1441"/>
    <w:rsid w:val="7E5C0A47"/>
    <w:rsid w:val="7E9D77F4"/>
    <w:rsid w:val="7EA67F14"/>
    <w:rsid w:val="7EB60CAA"/>
    <w:rsid w:val="7EB8586B"/>
    <w:rsid w:val="7EB86566"/>
    <w:rsid w:val="7EC65EC0"/>
    <w:rsid w:val="7EEF5DC2"/>
    <w:rsid w:val="7F222950"/>
    <w:rsid w:val="7F3B065C"/>
    <w:rsid w:val="7F4E1E2E"/>
    <w:rsid w:val="7F4E65E2"/>
    <w:rsid w:val="7F583F26"/>
    <w:rsid w:val="7F5E434B"/>
    <w:rsid w:val="7F9D1317"/>
    <w:rsid w:val="7FC5201F"/>
    <w:rsid w:val="7FC93EBA"/>
    <w:rsid w:val="7FCC6F66"/>
    <w:rsid w:val="7FDB599C"/>
    <w:rsid w:val="7FDD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link w:val="41"/>
    <w:autoRedefine/>
    <w:qFormat/>
    <w:uiPriority w:val="0"/>
    <w:pPr>
      <w:keepNext/>
      <w:keepLines/>
      <w:spacing w:line="413" w:lineRule="auto"/>
      <w:outlineLvl w:val="2"/>
    </w:pPr>
    <w:rPr>
      <w:b/>
    </w:rPr>
  </w:style>
  <w:style w:type="paragraph" w:styleId="5">
    <w:name w:val="heading 4"/>
    <w:basedOn w:val="1"/>
    <w:next w:val="1"/>
    <w:link w:val="42"/>
    <w:autoRedefine/>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43"/>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44"/>
    <w:autoRedefine/>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45"/>
    <w:autoRedefine/>
    <w:qFormat/>
    <w:uiPriority w:val="99"/>
    <w:pPr>
      <w:keepNext/>
      <w:keepLines/>
      <w:spacing w:before="240" w:after="64" w:line="320" w:lineRule="auto"/>
      <w:outlineLvl w:val="6"/>
    </w:pPr>
    <w:rPr>
      <w:b/>
      <w:bCs/>
      <w:sz w:val="24"/>
      <w:szCs w:val="24"/>
    </w:rPr>
  </w:style>
  <w:style w:type="paragraph" w:styleId="9">
    <w:name w:val="heading 8"/>
    <w:basedOn w:val="1"/>
    <w:next w:val="1"/>
    <w:link w:val="46"/>
    <w:autoRedefine/>
    <w:qFormat/>
    <w:uiPriority w:val="99"/>
    <w:pPr>
      <w:keepNext/>
      <w:keepLines/>
      <w:spacing w:before="240" w:after="64" w:line="320" w:lineRule="auto"/>
      <w:outlineLvl w:val="7"/>
    </w:pPr>
    <w:rPr>
      <w:rFonts w:ascii="Calibri Light" w:hAnsi="Calibri Light"/>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0">
    <w:name w:val="Normal Indent"/>
    <w:basedOn w:val="1"/>
    <w:link w:val="53"/>
    <w:autoRedefine/>
    <w:qFormat/>
    <w:uiPriority w:val="0"/>
    <w:pPr>
      <w:ind w:firstLine="420"/>
    </w:pPr>
    <w:rPr>
      <w:rFonts w:ascii="Times New Roman" w:hAnsi="Times New Roman"/>
      <w:szCs w:val="21"/>
    </w:rPr>
  </w:style>
  <w:style w:type="paragraph" w:styleId="11">
    <w:name w:val="index 6"/>
    <w:basedOn w:val="1"/>
    <w:next w:val="1"/>
    <w:qFormat/>
    <w:uiPriority w:val="99"/>
    <w:pPr>
      <w:ind w:left="2100"/>
    </w:pPr>
  </w:style>
  <w:style w:type="paragraph" w:styleId="12">
    <w:name w:val="Body Text"/>
    <w:basedOn w:val="1"/>
    <w:next w:val="1"/>
    <w:link w:val="52"/>
    <w:autoRedefine/>
    <w:qFormat/>
    <w:uiPriority w:val="1"/>
    <w:pPr>
      <w:spacing w:before="13"/>
    </w:pPr>
    <w:rPr>
      <w:rFonts w:ascii="宋体" w:hAnsi="宋体" w:cs="宋体"/>
      <w:sz w:val="28"/>
      <w:szCs w:val="28"/>
      <w:lang w:val="zh-CN" w:bidi="zh-CN"/>
    </w:rPr>
  </w:style>
  <w:style w:type="paragraph" w:styleId="13">
    <w:name w:val="Body Text Indent"/>
    <w:basedOn w:val="1"/>
    <w:next w:val="14"/>
    <w:autoRedefine/>
    <w:qFormat/>
    <w:uiPriority w:val="0"/>
    <w:pPr>
      <w:spacing w:line="400" w:lineRule="atLeast"/>
      <w:ind w:firstLine="432"/>
    </w:pPr>
    <w:rPr>
      <w:sz w:val="24"/>
    </w:rPr>
  </w:style>
  <w:style w:type="paragraph" w:styleId="14">
    <w:name w:val="Body Text First Indent 2"/>
    <w:basedOn w:val="13"/>
    <w:next w:val="15"/>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paragraph" w:styleId="15">
    <w:name w:val="Body Text First Indent"/>
    <w:basedOn w:val="12"/>
    <w:next w:val="16"/>
    <w:autoRedefine/>
    <w:qFormat/>
    <w:uiPriority w:val="0"/>
    <w:pPr>
      <w:ind w:firstLine="420" w:firstLineChars="100"/>
    </w:pPr>
    <w:rPr>
      <w:rFonts w:ascii="Arial" w:hAnsi="Arial"/>
    </w:rPr>
  </w:style>
  <w:style w:type="paragraph" w:styleId="16">
    <w:name w:val="toc 6"/>
    <w:basedOn w:val="1"/>
    <w:next w:val="1"/>
    <w:autoRedefine/>
    <w:semiHidden/>
    <w:qFormat/>
    <w:uiPriority w:val="0"/>
    <w:pPr>
      <w:ind w:left="1050"/>
      <w:jc w:val="left"/>
    </w:pPr>
    <w:rPr>
      <w:sz w:val="18"/>
      <w:szCs w:val="18"/>
    </w:rPr>
  </w:style>
  <w:style w:type="paragraph" w:styleId="17">
    <w:name w:val="toc 3"/>
    <w:basedOn w:val="1"/>
    <w:next w:val="1"/>
    <w:autoRedefine/>
    <w:unhideWhenUsed/>
    <w:qFormat/>
    <w:uiPriority w:val="39"/>
    <w:pPr>
      <w:ind w:left="840" w:leftChars="400"/>
    </w:pPr>
  </w:style>
  <w:style w:type="paragraph" w:styleId="18">
    <w:name w:val="Plain Text"/>
    <w:basedOn w:val="1"/>
    <w:link w:val="47"/>
    <w:autoRedefine/>
    <w:qFormat/>
    <w:uiPriority w:val="99"/>
    <w:rPr>
      <w:rFonts w:ascii="宋体" w:hAnsi="Courier New" w:cs="Courier New"/>
      <w:szCs w:val="21"/>
    </w:rPr>
  </w:style>
  <w:style w:type="paragraph" w:styleId="19">
    <w:name w:val="Balloon Text"/>
    <w:basedOn w:val="1"/>
    <w:link w:val="50"/>
    <w:autoRedefine/>
    <w:unhideWhenUsed/>
    <w:qFormat/>
    <w:uiPriority w:val="0"/>
    <w:rPr>
      <w:sz w:val="18"/>
      <w:szCs w:val="18"/>
    </w:rPr>
  </w:style>
  <w:style w:type="paragraph" w:styleId="20">
    <w:name w:val="footer"/>
    <w:basedOn w:val="1"/>
    <w:link w:val="38"/>
    <w:autoRedefine/>
    <w:unhideWhenUsed/>
    <w:qFormat/>
    <w:uiPriority w:val="99"/>
    <w:pPr>
      <w:tabs>
        <w:tab w:val="center" w:pos="4153"/>
        <w:tab w:val="right" w:pos="8306"/>
      </w:tabs>
      <w:snapToGrid w:val="0"/>
      <w:jc w:val="left"/>
    </w:pPr>
    <w:rPr>
      <w:sz w:val="18"/>
      <w:szCs w:val="18"/>
    </w:rPr>
  </w:style>
  <w:style w:type="paragraph" w:styleId="21">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71"/>
    <w:qFormat/>
    <w:uiPriority w:val="11"/>
    <w:pPr>
      <w:widowControl/>
      <w:spacing w:before="240" w:after="60" w:line="312" w:lineRule="auto"/>
      <w:jc w:val="center"/>
      <w:outlineLvl w:val="1"/>
    </w:pPr>
    <w:rPr>
      <w:rFonts w:ascii="Calibri Light" w:hAnsi="Calibri Light"/>
      <w:b/>
      <w:bCs/>
      <w:kern w:val="28"/>
      <w:sz w:val="32"/>
      <w:szCs w:val="32"/>
    </w:rPr>
  </w:style>
  <w:style w:type="paragraph" w:styleId="24">
    <w:name w:val="footnote text"/>
    <w:basedOn w:val="1"/>
    <w:autoRedefine/>
    <w:qFormat/>
    <w:uiPriority w:val="0"/>
    <w:pPr>
      <w:snapToGrid w:val="0"/>
      <w:jc w:val="left"/>
    </w:pPr>
    <w:rPr>
      <w:sz w:val="18"/>
    </w:rPr>
  </w:style>
  <w:style w:type="paragraph" w:styleId="25">
    <w:name w:val="toc 2"/>
    <w:basedOn w:val="1"/>
    <w:next w:val="1"/>
    <w:autoRedefine/>
    <w:unhideWhenUsed/>
    <w:qFormat/>
    <w:uiPriority w:val="39"/>
    <w:pPr>
      <w:ind w:left="420" w:leftChars="200"/>
    </w:pPr>
  </w:style>
  <w:style w:type="paragraph" w:styleId="26">
    <w:name w:val="Body Text 2"/>
    <w:basedOn w:val="1"/>
    <w:autoRedefine/>
    <w:qFormat/>
    <w:uiPriority w:val="0"/>
    <w:pPr>
      <w:spacing w:after="120" w:line="480" w:lineRule="auto"/>
    </w:pPr>
  </w:style>
  <w:style w:type="paragraph" w:styleId="27">
    <w:name w:val="Normal (Web)"/>
    <w:basedOn w:val="1"/>
    <w:autoRedefine/>
    <w:qFormat/>
    <w:uiPriority w:val="0"/>
    <w:rPr>
      <w:rFonts w:ascii="Times New Roman" w:hAnsi="Times New Roman"/>
      <w:sz w:val="24"/>
      <w:szCs w:val="24"/>
    </w:rPr>
  </w:style>
  <w:style w:type="paragraph" w:styleId="28">
    <w:name w:val="Title"/>
    <w:basedOn w:val="1"/>
    <w:next w:val="1"/>
    <w:link w:val="70"/>
    <w:autoRedefine/>
    <w:qFormat/>
    <w:uiPriority w:val="0"/>
    <w:pPr>
      <w:jc w:val="both"/>
    </w:pPr>
    <w:rPr>
      <w:rFonts w:ascii="宋体" w:hAnsi="宋体"/>
      <w:sz w:val="44"/>
    </w:rPr>
  </w:style>
  <w:style w:type="table" w:styleId="30">
    <w:name w:val="Table Grid"/>
    <w:basedOn w:val="29"/>
    <w:autoRedefine/>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autoRedefine/>
    <w:qFormat/>
    <w:uiPriority w:val="22"/>
    <w:rPr>
      <w:rFonts w:cs="Times New Roman"/>
      <w:b/>
    </w:rPr>
  </w:style>
  <w:style w:type="character" w:styleId="33">
    <w:name w:val="page number"/>
    <w:basedOn w:val="31"/>
    <w:autoRedefine/>
    <w:qFormat/>
    <w:uiPriority w:val="0"/>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Sample"/>
    <w:basedOn w:val="31"/>
    <w:semiHidden/>
    <w:unhideWhenUsed/>
    <w:qFormat/>
    <w:uiPriority w:val="99"/>
    <w:rPr>
      <w:rFonts w:ascii="Courier New" w:hAnsi="Courier New"/>
    </w:rPr>
  </w:style>
  <w:style w:type="paragraph" w:customStyle="1" w:styleId="36">
    <w:name w:val="Default"/>
    <w:basedOn w:val="28"/>
    <w:next w:val="2"/>
    <w:autoRedefine/>
    <w:qFormat/>
    <w:uiPriority w:val="0"/>
    <w:pPr>
      <w:widowControl w:val="0"/>
      <w:autoSpaceDE w:val="0"/>
      <w:autoSpaceDN w:val="0"/>
    </w:pPr>
    <w:rPr>
      <w:rFonts w:hint="eastAsia" w:ascii="黑体" w:hAnsi="黑体" w:eastAsia="黑体" w:cs="Times New Roman"/>
      <w:color w:val="000000"/>
      <w:sz w:val="24"/>
      <w:lang w:val="en-US" w:eastAsia="zh-CN" w:bidi="ar-SA"/>
    </w:rPr>
  </w:style>
  <w:style w:type="character" w:customStyle="1" w:styleId="37">
    <w:name w:val="页眉 Char"/>
    <w:basedOn w:val="31"/>
    <w:link w:val="21"/>
    <w:autoRedefine/>
    <w:qFormat/>
    <w:uiPriority w:val="99"/>
    <w:rPr>
      <w:sz w:val="18"/>
      <w:szCs w:val="18"/>
    </w:rPr>
  </w:style>
  <w:style w:type="character" w:customStyle="1" w:styleId="38">
    <w:name w:val="页脚 Char"/>
    <w:basedOn w:val="31"/>
    <w:link w:val="20"/>
    <w:autoRedefine/>
    <w:qFormat/>
    <w:uiPriority w:val="99"/>
    <w:rPr>
      <w:sz w:val="18"/>
      <w:szCs w:val="18"/>
    </w:rPr>
  </w:style>
  <w:style w:type="character" w:customStyle="1" w:styleId="39">
    <w:name w:val="标题 1 Char"/>
    <w:basedOn w:val="31"/>
    <w:link w:val="2"/>
    <w:autoRedefine/>
    <w:qFormat/>
    <w:uiPriority w:val="99"/>
    <w:rPr>
      <w:rFonts w:ascii="Calibri" w:hAnsi="Calibri" w:eastAsia="宋体" w:cs="Times New Roman"/>
      <w:b/>
      <w:bCs/>
      <w:kern w:val="44"/>
      <w:sz w:val="44"/>
      <w:szCs w:val="44"/>
    </w:rPr>
  </w:style>
  <w:style w:type="character" w:customStyle="1" w:styleId="40">
    <w:name w:val="标题 2 Char"/>
    <w:basedOn w:val="31"/>
    <w:link w:val="3"/>
    <w:autoRedefine/>
    <w:qFormat/>
    <w:uiPriority w:val="99"/>
    <w:rPr>
      <w:rFonts w:ascii="Arial" w:hAnsi="Arial" w:eastAsia="黑体" w:cs="Times New Roman"/>
      <w:b/>
      <w:sz w:val="32"/>
    </w:rPr>
  </w:style>
  <w:style w:type="character" w:customStyle="1" w:styleId="41">
    <w:name w:val="标题 3 Char"/>
    <w:basedOn w:val="31"/>
    <w:link w:val="4"/>
    <w:autoRedefine/>
    <w:qFormat/>
    <w:uiPriority w:val="0"/>
    <w:rPr>
      <w:rFonts w:ascii="Calibri" w:hAnsi="Calibri" w:eastAsia="宋体" w:cs="Times New Roman"/>
      <w:b/>
      <w:kern w:val="2"/>
      <w:sz w:val="21"/>
      <w:szCs w:val="22"/>
    </w:rPr>
  </w:style>
  <w:style w:type="character" w:customStyle="1" w:styleId="42">
    <w:name w:val="标题 4 Char"/>
    <w:basedOn w:val="31"/>
    <w:link w:val="5"/>
    <w:autoRedefine/>
    <w:qFormat/>
    <w:uiPriority w:val="99"/>
    <w:rPr>
      <w:rFonts w:ascii="Calibri Light" w:hAnsi="Calibri Light" w:eastAsia="宋体" w:cs="Times New Roman"/>
      <w:b/>
      <w:bCs/>
      <w:sz w:val="28"/>
      <w:szCs w:val="28"/>
    </w:rPr>
  </w:style>
  <w:style w:type="character" w:customStyle="1" w:styleId="43">
    <w:name w:val="标题 5 Char"/>
    <w:basedOn w:val="31"/>
    <w:link w:val="6"/>
    <w:autoRedefine/>
    <w:qFormat/>
    <w:uiPriority w:val="99"/>
    <w:rPr>
      <w:rFonts w:ascii="Calibri" w:hAnsi="Calibri" w:eastAsia="宋体" w:cs="Times New Roman"/>
      <w:b/>
      <w:bCs/>
      <w:sz w:val="28"/>
      <w:szCs w:val="28"/>
    </w:rPr>
  </w:style>
  <w:style w:type="character" w:customStyle="1" w:styleId="44">
    <w:name w:val="标题 6 Char"/>
    <w:basedOn w:val="31"/>
    <w:link w:val="7"/>
    <w:autoRedefine/>
    <w:qFormat/>
    <w:uiPriority w:val="99"/>
    <w:rPr>
      <w:rFonts w:ascii="Calibri Light" w:hAnsi="Calibri Light" w:eastAsia="宋体" w:cs="Times New Roman"/>
      <w:b/>
      <w:bCs/>
      <w:sz w:val="24"/>
      <w:szCs w:val="24"/>
    </w:rPr>
  </w:style>
  <w:style w:type="character" w:customStyle="1" w:styleId="45">
    <w:name w:val="标题 7 Char"/>
    <w:basedOn w:val="31"/>
    <w:link w:val="8"/>
    <w:autoRedefine/>
    <w:qFormat/>
    <w:uiPriority w:val="99"/>
    <w:rPr>
      <w:rFonts w:ascii="Calibri" w:hAnsi="Calibri" w:eastAsia="宋体" w:cs="Times New Roman"/>
      <w:b/>
      <w:bCs/>
      <w:sz w:val="24"/>
      <w:szCs w:val="24"/>
    </w:rPr>
  </w:style>
  <w:style w:type="character" w:customStyle="1" w:styleId="46">
    <w:name w:val="标题 8 Char"/>
    <w:basedOn w:val="31"/>
    <w:link w:val="9"/>
    <w:autoRedefine/>
    <w:qFormat/>
    <w:uiPriority w:val="99"/>
    <w:rPr>
      <w:rFonts w:ascii="Calibri Light" w:hAnsi="Calibri Light" w:eastAsia="宋体" w:cs="Times New Roman"/>
      <w:sz w:val="24"/>
      <w:szCs w:val="24"/>
    </w:rPr>
  </w:style>
  <w:style w:type="character" w:customStyle="1" w:styleId="47">
    <w:name w:val="纯文本 Char"/>
    <w:basedOn w:val="31"/>
    <w:link w:val="18"/>
    <w:autoRedefine/>
    <w:qFormat/>
    <w:uiPriority w:val="99"/>
    <w:rPr>
      <w:rFonts w:ascii="宋体" w:hAnsi="Courier New" w:eastAsia="宋体" w:cs="Courier New"/>
      <w:szCs w:val="21"/>
    </w:rPr>
  </w:style>
  <w:style w:type="paragraph" w:styleId="48">
    <w:name w:val="List Paragraph"/>
    <w:basedOn w:val="1"/>
    <w:autoRedefine/>
    <w:unhideWhenUsed/>
    <w:qFormat/>
    <w:uiPriority w:val="99"/>
    <w:pPr>
      <w:ind w:firstLine="420" w:firstLineChars="200"/>
    </w:pPr>
  </w:style>
  <w:style w:type="paragraph" w:customStyle="1" w:styleId="49">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character" w:customStyle="1" w:styleId="50">
    <w:name w:val="批注框文本 Char"/>
    <w:basedOn w:val="31"/>
    <w:link w:val="19"/>
    <w:autoRedefine/>
    <w:qFormat/>
    <w:uiPriority w:val="0"/>
    <w:rPr>
      <w:rFonts w:ascii="Calibri" w:hAnsi="Calibri" w:eastAsia="宋体" w:cs="Times New Roman"/>
      <w:kern w:val="2"/>
      <w:sz w:val="18"/>
      <w:szCs w:val="18"/>
    </w:rPr>
  </w:style>
  <w:style w:type="paragraph" w:customStyle="1" w:styleId="51">
    <w:name w:val="列出段落1"/>
    <w:basedOn w:val="1"/>
    <w:autoRedefine/>
    <w:qFormat/>
    <w:uiPriority w:val="0"/>
    <w:pPr>
      <w:ind w:firstLine="420" w:firstLineChars="200"/>
    </w:pPr>
  </w:style>
  <w:style w:type="character" w:customStyle="1" w:styleId="52">
    <w:name w:val="正文文本 Char"/>
    <w:basedOn w:val="31"/>
    <w:link w:val="12"/>
    <w:autoRedefine/>
    <w:qFormat/>
    <w:uiPriority w:val="1"/>
    <w:rPr>
      <w:rFonts w:ascii="宋体" w:hAnsi="宋体" w:eastAsia="宋体" w:cs="宋体"/>
      <w:kern w:val="2"/>
      <w:sz w:val="28"/>
      <w:szCs w:val="28"/>
      <w:lang w:val="zh-CN" w:bidi="zh-CN"/>
    </w:rPr>
  </w:style>
  <w:style w:type="character" w:customStyle="1" w:styleId="53">
    <w:name w:val="正文缩进 Char"/>
    <w:link w:val="10"/>
    <w:autoRedefine/>
    <w:qFormat/>
    <w:uiPriority w:val="0"/>
    <w:rPr>
      <w:rFonts w:ascii="Times New Roman" w:hAnsi="Times New Roman" w:eastAsia="宋体" w:cs="Times New Roman"/>
      <w:kern w:val="2"/>
      <w:sz w:val="21"/>
      <w:szCs w:val="21"/>
    </w:rPr>
  </w:style>
  <w:style w:type="character" w:customStyle="1" w:styleId="54">
    <w:name w:val="NormalCharacter"/>
    <w:autoRedefine/>
    <w:qFormat/>
    <w:uiPriority w:val="0"/>
    <w:rPr>
      <w:rFonts w:ascii="Times New Roman" w:hAnsi="Times New Roman" w:eastAsia="宋体"/>
    </w:rPr>
  </w:style>
  <w:style w:type="character" w:customStyle="1" w:styleId="55">
    <w:name w:val="font31"/>
    <w:basedOn w:val="31"/>
    <w:autoRedefine/>
    <w:qFormat/>
    <w:uiPriority w:val="0"/>
    <w:rPr>
      <w:rFonts w:hint="eastAsia" w:ascii="仿宋" w:hAnsi="仿宋" w:eastAsia="仿宋" w:cs="仿宋"/>
      <w:color w:val="000000"/>
      <w:sz w:val="21"/>
      <w:szCs w:val="21"/>
      <w:u w:val="none"/>
    </w:rPr>
  </w:style>
  <w:style w:type="character" w:customStyle="1" w:styleId="56">
    <w:name w:val="font11"/>
    <w:autoRedefine/>
    <w:qFormat/>
    <w:uiPriority w:val="0"/>
    <w:rPr>
      <w:rFonts w:hint="eastAsia" w:ascii="宋体" w:hAnsi="宋体" w:eastAsia="宋体" w:cs="宋体"/>
      <w:color w:val="000000"/>
      <w:sz w:val="21"/>
      <w:szCs w:val="21"/>
      <w:u w:val="none"/>
    </w:rPr>
  </w:style>
  <w:style w:type="paragraph" w:customStyle="1" w:styleId="57">
    <w:name w:val="Table Paragraph"/>
    <w:basedOn w:val="1"/>
    <w:autoRedefine/>
    <w:qFormat/>
    <w:uiPriority w:val="1"/>
  </w:style>
  <w:style w:type="paragraph" w:customStyle="1" w:styleId="58">
    <w:name w:val="纯文本_1"/>
    <w:basedOn w:val="59"/>
    <w:autoRedefine/>
    <w:unhideWhenUsed/>
    <w:qFormat/>
    <w:uiPriority w:val="0"/>
    <w:rPr>
      <w:rFonts w:ascii="宋体" w:hAnsi="Courier New" w:cs="Courier New"/>
      <w:szCs w:val="21"/>
    </w:rPr>
  </w:style>
  <w:style w:type="paragraph" w:customStyle="1" w:styleId="59">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表格文字"/>
    <w:basedOn w:val="1"/>
    <w:next w:val="12"/>
    <w:autoRedefine/>
    <w:qFormat/>
    <w:uiPriority w:val="0"/>
    <w:pPr>
      <w:jc w:val="left"/>
    </w:pPr>
    <w:rPr>
      <w:kern w:val="21"/>
    </w:rPr>
  </w:style>
  <w:style w:type="paragraph" w:customStyle="1" w:styleId="6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 Spacing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character" w:customStyle="1" w:styleId="63">
    <w:name w:val="case31"/>
    <w:qFormat/>
    <w:uiPriority w:val="0"/>
    <w:rPr>
      <w:rFonts w:ascii="ˎ̥" w:hAnsi="ˎ̥"/>
      <w:sz w:val="21"/>
      <w:szCs w:val="21"/>
    </w:rPr>
  </w:style>
  <w:style w:type="paragraph" w:customStyle="1" w:styleId="64">
    <w:name w:val="正文2"/>
    <w:qFormat/>
    <w:uiPriority w:val="0"/>
    <w:rPr>
      <w:rFonts w:ascii="Times New Roman" w:hAnsi="Times New Roman" w:eastAsia="Times New Roman" w:cs="Times New Roman"/>
      <w:sz w:val="24"/>
      <w:szCs w:val="24"/>
      <w:lang w:val="en-US" w:eastAsia="zh-CN" w:bidi="ar-SA"/>
    </w:rPr>
  </w:style>
  <w:style w:type="paragraph" w:customStyle="1" w:styleId="65">
    <w:name w:val="Default Text"/>
    <w:basedOn w:val="66"/>
    <w:qFormat/>
    <w:uiPriority w:val="0"/>
    <w:pPr>
      <w:autoSpaceDE w:val="0"/>
      <w:autoSpaceDN w:val="0"/>
      <w:adjustRightInd w:val="0"/>
    </w:pPr>
    <w:rPr>
      <w:color w:val="000000"/>
      <w:sz w:val="24"/>
    </w:rPr>
  </w:style>
  <w:style w:type="paragraph" w:customStyle="1" w:styleId="66">
    <w:name w:val="正文_0"/>
    <w:qFormat/>
    <w:uiPriority w:val="0"/>
    <w:pPr>
      <w:widowControl w:val="0"/>
      <w:jc w:val="both"/>
    </w:pPr>
    <w:rPr>
      <w:rFonts w:ascii="Calibri" w:hAnsi="Calibri" w:eastAsia="宋体" w:cs="Times New Roman"/>
      <w:kern w:val="2"/>
      <w:sz w:val="21"/>
      <w:szCs w:val="24"/>
      <w:lang w:val="en-US" w:eastAsia="zh-CN" w:bidi="ar-SA"/>
    </w:rPr>
  </w:style>
  <w:style w:type="table" w:customStyle="1" w:styleId="67">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68">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69">
    <w:name w:val="p0"/>
    <w:basedOn w:val="1"/>
    <w:qFormat/>
    <w:uiPriority w:val="0"/>
    <w:pPr>
      <w:widowControl/>
    </w:pPr>
    <w:rPr>
      <w:rFonts w:ascii="Times New Roman" w:hAnsi="Times New Roman"/>
      <w:kern w:val="0"/>
      <w:szCs w:val="21"/>
    </w:rPr>
  </w:style>
  <w:style w:type="character" w:customStyle="1" w:styleId="70">
    <w:name w:val="标题 Char"/>
    <w:link w:val="28"/>
    <w:qFormat/>
    <w:uiPriority w:val="10"/>
    <w:rPr>
      <w:rFonts w:ascii="宋体" w:hAnsi="宋体"/>
      <w:sz w:val="44"/>
    </w:rPr>
  </w:style>
  <w:style w:type="character" w:customStyle="1" w:styleId="71">
    <w:name w:val="副标题 Char"/>
    <w:link w:val="23"/>
    <w:qFormat/>
    <w:uiPriority w:val="11"/>
    <w:rPr>
      <w:rFonts w:ascii="Calibri Light" w:hAnsi="Calibri Light"/>
      <w:b/>
      <w:bCs/>
      <w:kern w:val="28"/>
      <w:sz w:val="32"/>
      <w:szCs w:val="32"/>
    </w:rPr>
  </w:style>
  <w:style w:type="paragraph" w:customStyle="1" w:styleId="72">
    <w:name w:val="_Style 4"/>
    <w:basedOn w:val="2"/>
    <w:next w:val="1"/>
    <w:qFormat/>
    <w:uiPriority w:val="0"/>
    <w:pPr>
      <w:widowControl w:val="0"/>
      <w:spacing w:line="576" w:lineRule="auto"/>
      <w:jc w:val="both"/>
      <w:outlineLvl w:val="9"/>
    </w:pPr>
    <w:rPr>
      <w:rFonts w:ascii="Calibri" w:hAnsi="Calibri" w:cs="Times New Roman"/>
    </w:rPr>
  </w:style>
  <w:style w:type="paragraph" w:customStyle="1" w:styleId="73">
    <w:name w:val="_Style 2"/>
    <w:basedOn w:val="2"/>
    <w:next w:val="1"/>
    <w:qFormat/>
    <w:uiPriority w:val="0"/>
    <w:pPr>
      <w:widowControl w:val="0"/>
      <w:spacing w:line="576" w:lineRule="auto"/>
      <w:jc w:val="both"/>
      <w:outlineLvl w:val="9"/>
    </w:pPr>
    <w:rPr>
      <w:rFonts w:ascii="Calibri" w:hAnsi="Calibri" w:cs="Times New Roman"/>
    </w:rPr>
  </w:style>
  <w:style w:type="character" w:customStyle="1" w:styleId="74">
    <w:name w:val="15"/>
    <w:qFormat/>
    <w:uiPriority w:val="0"/>
    <w:rPr>
      <w:rFonts w:hint="default" w:ascii="Times New Roman" w:hAnsi="Times New Roman" w:cs="Times New Roman"/>
      <w:color w:val="464445"/>
      <w:u w:val="none"/>
    </w:rPr>
  </w:style>
  <w:style w:type="table" w:customStyle="1" w:styleId="75">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7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7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12858</Words>
  <Characters>14212</Characters>
  <Lines>204</Lines>
  <Paragraphs>57</Paragraphs>
  <TotalTime>14</TotalTime>
  <ScaleCrop>false</ScaleCrop>
  <LinksUpToDate>false</LinksUpToDate>
  <CharactersWithSpaces>14399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2021-06-02T10:59:00Z</dcterms:created>
  <dc:creator>lenovo</dc:creator>
  <cp:lastModifiedBy>Administrator</cp:lastModifiedBy>
  <cp:lastPrinted>2023-12-28T03:43:00Z</cp:lastPrinted>
  <dcterms:modified xsi:type="dcterms:W3CDTF">2026-06-03T03:05:53Z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40F21D07375A4C959E610B9C79763913_13</vt:lpwstr>
  </property>
  <property fmtid="{D5CDD505-2E9C-101B-9397-08002B2CF9AE}" pid="4" name="KSOTemplateDocerSaveRecord">
    <vt:lpwstr>eyJoZGlkIjoiODI1NmE2MjY5N2FhZTdjMDM3MWEwODM1ODhhMzVkMTkiLCJ1c2VySWQiOiIxMjExMDc2NTE0In0=</vt:lpwstr>
  </property>
</Properties>
</file>