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Times New Roman" w:hAnsi="宋体" w:eastAsia="宋体" w:cs="Times New Roman"/>
          <w:b/>
          <w:bCs/>
          <w:color w:val="000000" w:themeColor="text1"/>
          <w:sz w:val="44"/>
          <w:szCs w:val="40"/>
          <w:highlight w:val="none"/>
          <w:lang w:val="en-US" w:eastAsia="zh-CN"/>
          <w14:textFill>
            <w14:solidFill>
              <w14:schemeClr w14:val="tx1"/>
            </w14:solidFill>
          </w14:textFill>
        </w:rPr>
      </w:pPr>
      <w:r>
        <w:rPr>
          <w:rFonts w:hint="eastAsia" w:ascii="Times New Roman" w:hAnsi="宋体" w:cs="Times New Roman"/>
          <w:b/>
          <w:bCs/>
          <w:color w:val="000000" w:themeColor="text1"/>
          <w:sz w:val="44"/>
          <w:szCs w:val="40"/>
          <w:highlight w:val="none"/>
          <w:lang w:val="en-US" w:eastAsia="zh-CN"/>
          <w14:textFill>
            <w14:solidFill>
              <w14:schemeClr w14:val="tx1"/>
            </w14:solidFill>
          </w14:textFill>
        </w:rPr>
        <w:t>2026年度自治区旅游发展专项资金-文旅领域科研平台建设项目（新疆文艺（舞台艺术）科技创新中心数字资源库服务）</w:t>
      </w:r>
    </w:p>
    <w:p>
      <w:pPr>
        <w:spacing w:line="600" w:lineRule="exact"/>
        <w:jc w:val="left"/>
        <w:rPr>
          <w:rFonts w:hint="eastAsia" w:ascii="宋体" w:hAnsi="宋体" w:eastAsia="宋体" w:cs="Times New Roman"/>
          <w:color w:val="000000" w:themeColor="text1"/>
          <w:sz w:val="44"/>
          <w:szCs w:val="44"/>
          <w:highlight w:val="none"/>
          <w:lang w:val="en-US" w:eastAsia="zh-CN"/>
          <w14:textFill>
            <w14:solidFill>
              <w14:schemeClr w14:val="tx1"/>
            </w14:solidFill>
          </w14:textFill>
        </w:rPr>
      </w:pPr>
    </w:p>
    <w:p>
      <w:pPr>
        <w:spacing w:line="600" w:lineRule="exact"/>
        <w:jc w:val="center"/>
        <w:rPr>
          <w:rFonts w:ascii="宋体" w:hAnsi="宋体" w:eastAsia="宋体" w:cs="Times New Roman"/>
          <w:color w:val="000000" w:themeColor="text1"/>
          <w:sz w:val="44"/>
          <w:szCs w:val="44"/>
          <w:highlight w:val="none"/>
          <w14:textFill>
            <w14:solidFill>
              <w14:schemeClr w14:val="tx1"/>
            </w14:solidFill>
          </w14:textFill>
        </w:rPr>
      </w:pPr>
    </w:p>
    <w:p>
      <w:pPr>
        <w:widowControl w:val="0"/>
        <w:wordWrap/>
        <w:adjustRightInd/>
        <w:snapToGrid/>
        <w:spacing w:line="800" w:lineRule="exact"/>
        <w:jc w:val="center"/>
        <w:textAlignment w:val="auto"/>
        <w:rPr>
          <w:rFonts w:hint="eastAsia" w:ascii="宋体" w:hAnsi="宋体" w:eastAsia="宋体" w:cs="仿宋"/>
          <w:b/>
          <w:bCs/>
          <w:color w:val="000000" w:themeColor="text1"/>
          <w:sz w:val="72"/>
          <w:szCs w:val="72"/>
          <w:highlight w:val="none"/>
          <w14:textFill>
            <w14:solidFill>
              <w14:schemeClr w14:val="tx1"/>
            </w14:solidFill>
          </w14:textFill>
        </w:rPr>
      </w:pPr>
      <w:r>
        <w:rPr>
          <w:rFonts w:hint="eastAsia" w:ascii="宋体" w:hAnsi="宋体" w:cs="仿宋"/>
          <w:b/>
          <w:bCs/>
          <w:color w:val="000000" w:themeColor="text1"/>
          <w:sz w:val="72"/>
          <w:szCs w:val="72"/>
          <w:highlight w:val="none"/>
          <w:lang w:val="en-US" w:eastAsia="zh-CN"/>
          <w14:textFill>
            <w14:solidFill>
              <w14:schemeClr w14:val="tx1"/>
            </w14:solidFill>
          </w14:textFill>
        </w:rPr>
        <w:t>公开</w:t>
      </w:r>
      <w:r>
        <w:rPr>
          <w:rFonts w:hint="eastAsia" w:ascii="宋体" w:hAnsi="宋体" w:eastAsia="宋体" w:cs="仿宋"/>
          <w:b/>
          <w:bCs/>
          <w:color w:val="000000" w:themeColor="text1"/>
          <w:sz w:val="72"/>
          <w:szCs w:val="72"/>
          <w:highlight w:val="none"/>
          <w14:textFill>
            <w14:solidFill>
              <w14:schemeClr w14:val="tx1"/>
            </w14:solidFill>
          </w14:textFill>
        </w:rPr>
        <w:t>招标文件</w:t>
      </w:r>
    </w:p>
    <w:p>
      <w:pPr>
        <w:pStyle w:val="36"/>
        <w:rPr>
          <w:color w:val="000000" w:themeColor="text1"/>
          <w:highlight w:val="none"/>
          <w14:textFill>
            <w14:solidFill>
              <w14:schemeClr w14:val="tx1"/>
            </w14:solidFill>
          </w14:textFill>
        </w:rPr>
      </w:pPr>
    </w:p>
    <w:p>
      <w:pPr>
        <w:spacing w:line="360" w:lineRule="auto"/>
        <w:ind w:firstLine="600"/>
        <w:jc w:val="center"/>
        <w:rPr>
          <w:rFonts w:ascii="宋体" w:hAnsi="宋体" w:eastAsia="宋体" w:cs="仿宋"/>
          <w:b/>
          <w:bCs/>
          <w:color w:val="000000" w:themeColor="text1"/>
          <w:sz w:val="30"/>
          <w:highlight w:val="none"/>
          <w14:textFill>
            <w14:solidFill>
              <w14:schemeClr w14:val="tx1"/>
            </w14:solidFill>
          </w14:textFill>
        </w:rPr>
      </w:pPr>
      <w:r>
        <w:rPr>
          <w:b/>
          <w:color w:val="000000" w:themeColor="text1"/>
          <w:highlight w:val="none"/>
          <w14:textFill>
            <w14:solidFill>
              <w14:schemeClr w14:val="tx1"/>
            </w14:solidFill>
          </w14:textFill>
        </w:rPr>
        <w:drawing>
          <wp:inline distT="0" distB="0" distL="114300" distR="114300">
            <wp:extent cx="1769745" cy="2254885"/>
            <wp:effectExtent l="0" t="0" r="133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r:link="rId10"/>
                    <a:stretch>
                      <a:fillRect/>
                    </a:stretch>
                  </pic:blipFill>
                  <pic:spPr>
                    <a:xfrm>
                      <a:off x="0" y="0"/>
                      <a:ext cx="1769745" cy="2254885"/>
                    </a:xfrm>
                    <a:prstGeom prst="rect">
                      <a:avLst/>
                    </a:prstGeom>
                    <a:noFill/>
                    <a:ln>
                      <a:noFill/>
                    </a:ln>
                  </pic:spPr>
                </pic:pic>
              </a:graphicData>
            </a:graphic>
          </wp:inline>
        </w:drawing>
      </w:r>
    </w:p>
    <w:p>
      <w:pPr>
        <w:spacing w:line="360" w:lineRule="auto"/>
        <w:ind w:firstLine="600"/>
        <w:rPr>
          <w:rFonts w:ascii="宋体" w:hAnsi="宋体" w:eastAsia="宋体" w:cs="仿宋"/>
          <w:b/>
          <w:bCs/>
          <w:color w:val="000000" w:themeColor="text1"/>
          <w:sz w:val="30"/>
          <w:highlight w:val="none"/>
          <w14:textFill>
            <w14:solidFill>
              <w14:schemeClr w14:val="tx1"/>
            </w14:solidFill>
          </w14:textFill>
        </w:rPr>
      </w:pPr>
    </w:p>
    <w:p>
      <w:pPr>
        <w:widowControl w:val="0"/>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bookmarkStart w:id="78" w:name="_GoBack"/>
      <w:bookmarkEnd w:id="78"/>
      <w:r>
        <w:rPr>
          <w:rFonts w:hint="eastAsia" w:ascii="宋体" w:hAnsi="宋体" w:eastAsia="宋体" w:cs="仿宋"/>
          <w:b/>
          <w:bCs/>
          <w:color w:val="000000" w:themeColor="text1"/>
          <w:sz w:val="28"/>
          <w:szCs w:val="28"/>
          <w:highlight w:val="none"/>
          <w14:textFill>
            <w14:solidFill>
              <w14:schemeClr w14:val="tx1"/>
            </w14:solidFill>
          </w14:textFill>
        </w:rPr>
        <w:t>采购人：</w:t>
      </w:r>
      <w:r>
        <w:rPr>
          <w:rFonts w:hint="eastAsia" w:ascii="宋体" w:hAnsi="宋体" w:cs="仿宋"/>
          <w:b/>
          <w:bCs/>
          <w:color w:val="000000" w:themeColor="text1"/>
          <w:sz w:val="28"/>
          <w:szCs w:val="28"/>
          <w:highlight w:val="none"/>
          <w:lang w:eastAsia="zh-CN"/>
          <w14:textFill>
            <w14:solidFill>
              <w14:schemeClr w14:val="tx1"/>
            </w14:solidFill>
          </w14:textFill>
        </w:rPr>
        <w:t>新疆艺术剧院　</w:t>
      </w:r>
    </w:p>
    <w:p>
      <w:pPr>
        <w:widowControl w:val="0"/>
        <w:wordWrap/>
        <w:adjustRightInd/>
        <w:snapToGrid/>
        <w:spacing w:line="800" w:lineRule="exact"/>
        <w:ind w:firstLine="562" w:firstLineChars="200"/>
        <w:textAlignment w:val="auto"/>
        <w:rPr>
          <w:rFonts w:hint="eastAsia"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采购</w:t>
      </w:r>
      <w:r>
        <w:rPr>
          <w:rFonts w:hint="eastAsia" w:ascii="宋体" w:hAnsi="宋体" w:eastAsia="宋体" w:cs="仿宋"/>
          <w:b/>
          <w:bCs/>
          <w:color w:val="000000" w:themeColor="text1"/>
          <w:sz w:val="28"/>
          <w:szCs w:val="28"/>
          <w:highlight w:val="none"/>
          <w14:textFill>
            <w14:solidFill>
              <w14:schemeClr w14:val="tx1"/>
            </w14:solidFill>
          </w14:textFill>
        </w:rPr>
        <w:t>代理机构：</w:t>
      </w:r>
      <w:r>
        <w:rPr>
          <w:rFonts w:hint="eastAsia" w:ascii="宋体" w:hAnsi="宋体" w:cs="仿宋"/>
          <w:b/>
          <w:bCs/>
          <w:color w:val="000000" w:themeColor="text1"/>
          <w:sz w:val="28"/>
          <w:szCs w:val="28"/>
          <w:highlight w:val="none"/>
          <w:lang w:eastAsia="zh-CN"/>
          <w14:textFill>
            <w14:solidFill>
              <w14:schemeClr w14:val="tx1"/>
            </w14:solidFill>
          </w14:textFill>
        </w:rPr>
        <w:t>新疆华域建设工程项目管理咨询有限公司</w:t>
      </w:r>
    </w:p>
    <w:p>
      <w:pPr>
        <w:widowControl w:val="0"/>
        <w:wordWrap/>
        <w:adjustRightInd/>
        <w:snapToGrid/>
        <w:spacing w:line="800" w:lineRule="exact"/>
        <w:ind w:firstLine="601"/>
        <w:textAlignment w:val="auto"/>
        <w:rPr>
          <w:rFonts w:hint="default" w:ascii="宋体" w:hAnsi="宋体" w:eastAsia="宋体" w:cs="仿宋"/>
          <w:b/>
          <w:bCs/>
          <w:color w:val="000000" w:themeColor="text1"/>
          <w:sz w:val="28"/>
          <w:szCs w:val="28"/>
          <w:highlight w:val="none"/>
          <w:lang w:val="en-US" w:eastAsia="zh-CN"/>
          <w14:textFill>
            <w14:solidFill>
              <w14:schemeClr w14:val="tx1"/>
            </w14:solidFill>
          </w14:textFill>
        </w:rPr>
      </w:pPr>
      <w:r>
        <w:rPr>
          <w:rFonts w:hint="eastAsia" w:ascii="宋体" w:hAnsi="宋体" w:cs="仿宋"/>
          <w:b/>
          <w:bCs/>
          <w:color w:val="000000" w:themeColor="text1"/>
          <w:sz w:val="28"/>
          <w:szCs w:val="28"/>
          <w:highlight w:val="none"/>
          <w:lang w:val="en-US" w:eastAsia="zh-CN"/>
          <w14:textFill>
            <w14:solidFill>
              <w14:schemeClr w14:val="tx1"/>
            </w14:solidFill>
          </w14:textFill>
        </w:rPr>
        <w:t>项目编号</w:t>
      </w:r>
      <w:r>
        <w:rPr>
          <w:rFonts w:hint="eastAsia" w:ascii="宋体" w:hAnsi="宋体" w:eastAsia="宋体" w:cs="仿宋"/>
          <w:b/>
          <w:bCs/>
          <w:color w:val="000000" w:themeColor="text1"/>
          <w:sz w:val="28"/>
          <w:szCs w:val="28"/>
          <w:highlight w:val="none"/>
          <w:lang w:val="en-US" w:eastAsia="zh-CN"/>
          <w14:textFill>
            <w14:solidFill>
              <w14:schemeClr w14:val="tx1"/>
            </w14:solidFill>
          </w14:textFill>
        </w:rPr>
        <w:t>：</w:t>
      </w:r>
      <w:r>
        <w:rPr>
          <w:rFonts w:hint="eastAsia" w:ascii="宋体" w:hAnsi="宋体" w:cs="仿宋"/>
          <w:b/>
          <w:bCs/>
          <w:color w:val="000000" w:themeColor="text1"/>
          <w:sz w:val="28"/>
          <w:szCs w:val="28"/>
          <w:highlight w:val="none"/>
          <w:lang w:val="en-US" w:eastAsia="zh-CN"/>
          <w14:textFill>
            <w14:solidFill>
              <w14:schemeClr w14:val="tx1"/>
            </w14:solidFill>
          </w14:textFill>
        </w:rPr>
        <w:t>ZFCGHY-20260039</w:t>
      </w:r>
    </w:p>
    <w:p>
      <w:pPr>
        <w:spacing w:line="360" w:lineRule="auto"/>
        <w:ind w:firstLine="600"/>
        <w:rPr>
          <w:rFonts w:ascii="宋体" w:hAnsi="宋体" w:eastAsia="宋体" w:cs="仿宋"/>
          <w:color w:val="000000" w:themeColor="text1"/>
          <w:sz w:val="32"/>
          <w:szCs w:val="32"/>
          <w:highlight w:val="none"/>
          <w14:textFill>
            <w14:solidFill>
              <w14:schemeClr w14:val="tx1"/>
            </w14:solidFill>
          </w14:textFill>
        </w:rPr>
      </w:pPr>
    </w:p>
    <w:p>
      <w:pPr>
        <w:keepNext/>
        <w:keepLines/>
        <w:widowControl/>
        <w:spacing w:line="360" w:lineRule="auto"/>
        <w:jc w:val="both"/>
        <w:rPr>
          <w:rFonts w:ascii="宋体" w:hAnsi="宋体" w:eastAsia="宋体" w:cs="宋体"/>
          <w:b/>
          <w:bCs/>
          <w:color w:val="000000" w:themeColor="text1"/>
          <w:kern w:val="0"/>
          <w:sz w:val="36"/>
          <w:szCs w:val="28"/>
          <w:highlight w:val="none"/>
          <w14:textFill>
            <w14:solidFill>
              <w14:schemeClr w14:val="tx1"/>
            </w14:solidFill>
          </w14:textFill>
        </w:rPr>
      </w:pPr>
    </w:p>
    <w:p>
      <w:pPr>
        <w:pStyle w:val="33"/>
        <w:tabs>
          <w:tab w:val="right" w:leader="dot" w:pos="8306"/>
        </w:tabs>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p>
    <w:p>
      <w:pPr>
        <w:spacing w:before="0" w:beforeLines="0" w:after="0" w:afterLines="0" w:line="240" w:lineRule="auto"/>
        <w:ind w:left="0" w:leftChars="0" w:right="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r>
        <w:rPr>
          <w:rFonts w:ascii="宋体" w:hAnsi="宋体" w:eastAsia="宋体"/>
          <w:b/>
          <w:bCs/>
          <w:color w:val="000000" w:themeColor="text1"/>
          <w:sz w:val="28"/>
          <w:szCs w:val="28"/>
          <w:highlight w:val="none"/>
          <w14:textFill>
            <w14:solidFill>
              <w14:schemeClr w14:val="tx1"/>
            </w14:solidFill>
          </w14:textFill>
        </w:rPr>
        <w:t>录</w:t>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w:t>
      </w:r>
      <w:r>
        <w:rPr>
          <w:rFonts w:hint="eastAsia"/>
          <w:b/>
          <w:bCs/>
          <w:color w:val="000000" w:themeColor="text1"/>
          <w:sz w:val="28"/>
          <w:szCs w:val="28"/>
          <w:highlight w:val="none"/>
          <w:lang w:val="en-US" w:eastAsia="zh-CN"/>
          <w14:textFill>
            <w14:solidFill>
              <w14:schemeClr w14:val="tx1"/>
            </w14:solidFill>
          </w14:textFill>
        </w:rPr>
        <w:t>一</w:t>
      </w:r>
      <w:r>
        <w:rPr>
          <w:rFonts w:hint="eastAsia"/>
          <w:b/>
          <w:bCs/>
          <w:color w:val="000000" w:themeColor="text1"/>
          <w:sz w:val="28"/>
          <w:szCs w:val="28"/>
          <w:highlight w:val="none"/>
          <w14:textFill>
            <w14:solidFill>
              <w14:schemeClr w14:val="tx1"/>
            </w14:solidFill>
          </w14:textFill>
        </w:rPr>
        <w:t>章　</w:t>
      </w:r>
      <w:r>
        <w:rPr>
          <w:rFonts w:hint="eastAsia"/>
          <w:b/>
          <w:bCs/>
          <w:color w:val="000000" w:themeColor="text1"/>
          <w:sz w:val="28"/>
          <w:szCs w:val="28"/>
          <w:highlight w:val="none"/>
          <w:lang w:val="en-US" w:eastAsia="zh-CN"/>
          <w14:textFill>
            <w14:solidFill>
              <w14:schemeClr w14:val="tx1"/>
            </w14:solidFill>
          </w14:textFill>
        </w:rPr>
        <w:t>招标公告</w:t>
      </w:r>
      <w:r>
        <w:rPr>
          <w:b/>
          <w:bCs/>
          <w:color w:val="000000" w:themeColor="text1"/>
          <w:sz w:val="28"/>
          <w:szCs w:val="28"/>
          <w:highlight w:val="none"/>
          <w14:textFill>
            <w14:solidFill>
              <w14:schemeClr w14:val="tx1"/>
            </w14:solidFill>
          </w14:textFill>
        </w:rPr>
        <w:tab/>
      </w:r>
      <w:r>
        <w:rPr>
          <w:rFonts w:hint="eastAsia"/>
          <w:b/>
          <w:bCs/>
          <w:color w:val="000000" w:themeColor="text1"/>
          <w:sz w:val="28"/>
          <w:szCs w:val="28"/>
          <w:highlight w:val="none"/>
          <w:lang w:val="en-US" w:eastAsia="zh-CN"/>
          <w14:textFill>
            <w14:solidFill>
              <w14:schemeClr w14:val="tx1"/>
            </w14:solidFill>
          </w14:textFill>
        </w:rPr>
        <w:t>1</w:t>
      </w:r>
      <w:r>
        <w:rPr>
          <w:rFonts w:ascii="宋体" w:hAnsi="宋体" w:cs="宋体"/>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TOC \o "1-1" \h \u </w:instrText>
      </w:r>
      <w:r>
        <w:rPr>
          <w:rFonts w:ascii="宋体" w:hAnsi="宋体" w:cs="宋体"/>
          <w:b/>
          <w:bCs/>
          <w:color w:val="000000" w:themeColor="text1"/>
          <w:sz w:val="28"/>
          <w:szCs w:val="28"/>
          <w:highlight w:val="none"/>
          <w14:textFill>
            <w14:solidFill>
              <w14:schemeClr w14:val="tx1"/>
            </w14:solidFill>
          </w14:textFill>
        </w:rPr>
        <w:fldChar w:fldCharType="separate"/>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第二章　供应商须知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_Toc26797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_Toc31452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第三章　评标办法及标准</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_Toc31452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_Toc10306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第四章　拟签订的合同文本</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_Toc10306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33</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_Toc16583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第五章　投标文件组成</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_Toc16583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37</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_Toc20187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ascii="Calibri" w:hAnsi="Calibri" w:eastAsia="宋体" w:cs="Times New Roman"/>
          <w:b/>
          <w:bCs/>
          <w:color w:val="000000" w:themeColor="text1"/>
          <w:kern w:val="0"/>
          <w:sz w:val="28"/>
          <w:szCs w:val="28"/>
          <w:highlight w:val="none"/>
          <w14:textFill>
            <w14:solidFill>
              <w14:schemeClr w14:val="tx1"/>
            </w14:solidFill>
          </w14:textFill>
        </w:rPr>
        <w:t xml:space="preserve">第六章 </w:t>
      </w:r>
      <w:r>
        <w:rPr>
          <w:rFonts w:hint="eastAsia" w:ascii="Calibri" w:hAnsi="Calibri"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kern w:val="0"/>
          <w:sz w:val="28"/>
          <w:szCs w:val="28"/>
          <w:highlight w:val="none"/>
          <w14:textFill>
            <w14:solidFill>
              <w14:schemeClr w14:val="tx1"/>
            </w14:solidFill>
          </w14:textFill>
        </w:rPr>
        <w:t>项目采购需求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_Toc20187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68</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pPr>
        <w:pStyle w:val="25"/>
        <w:tabs>
          <w:tab w:val="right" w:leader="dot" w:pos="8306"/>
        </w:tabs>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pPr>
        <w:pStyle w:val="2"/>
        <w:outlineLvl w:val="9"/>
        <w:rPr>
          <w:rFonts w:hint="default"/>
          <w:color w:val="000000" w:themeColor="text1"/>
          <w:highlight w:val="none"/>
          <w:lang w:val="en-US" w:eastAsia="zh-CN"/>
          <w14:textFill>
            <w14:solidFill>
              <w14:schemeClr w14:val="tx1"/>
            </w14:solidFill>
          </w14:textFill>
        </w:rPr>
      </w:pPr>
      <w:bookmarkStart w:id="0" w:name="_Toc30249"/>
      <w:r>
        <w:rPr>
          <w:rFonts w:hint="eastAsia"/>
          <w:color w:val="000000" w:themeColor="text1"/>
          <w:highlight w:val="none"/>
          <w14:textFill>
            <w14:solidFill>
              <w14:schemeClr w14:val="tx1"/>
            </w14:solidFill>
          </w14:textFill>
        </w:rPr>
        <w:t>第一章　</w:t>
      </w:r>
      <w:bookmarkEnd w:id="0"/>
      <w:r>
        <w:rPr>
          <w:rFonts w:hint="eastAsia"/>
          <w:color w:val="000000" w:themeColor="text1"/>
          <w:highlight w:val="none"/>
          <w:lang w:val="en-US" w:eastAsia="zh-CN"/>
          <w14:textFill>
            <w14:solidFill>
              <w14:schemeClr w14:val="tx1"/>
            </w14:solidFill>
          </w14:textFill>
        </w:rPr>
        <w:t>招标公告</w:t>
      </w:r>
    </w:p>
    <w:p>
      <w:pPr>
        <w:jc w:val="center"/>
        <w:rPr>
          <w:rFonts w:hint="default" w:ascii="Calibri" w:hAnsi="Calibri" w:eastAsia="宋体" w:cs="Times New Roman"/>
          <w:b/>
          <w:bCs/>
          <w:color w:val="000000" w:themeColor="text1"/>
          <w:sz w:val="28"/>
          <w:szCs w:val="28"/>
          <w:highlight w:val="none"/>
          <w:lang w:val="en-US" w:eastAsia="zh-CN"/>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2026年度自治区旅游发展专项资金-文旅领域科研平台建设项目（新疆文艺（舞台艺术）科技创新中心数字资源库服务）</w:t>
      </w:r>
      <w:r>
        <w:rPr>
          <w:rFonts w:hint="eastAsia" w:ascii="Calibri" w:hAnsi="Calibri" w:eastAsia="宋体" w:cs="Times New Roman"/>
          <w:b/>
          <w:bCs/>
          <w:color w:val="000000" w:themeColor="text1"/>
          <w:sz w:val="28"/>
          <w:szCs w:val="28"/>
          <w:highlight w:val="none"/>
          <w:lang w:val="en-US" w:eastAsia="zh-CN"/>
          <w14:textFill>
            <w14:solidFill>
              <w14:schemeClr w14:val="tx1"/>
            </w14:solidFill>
          </w14:textFill>
        </w:rPr>
        <w:t>公开招标公告</w:t>
      </w: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vAlign w:val="top"/>
          </w:tcPr>
          <w:p>
            <w:pPr>
              <w:widowControl w:val="0"/>
              <w:wordWrap/>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pPr>
              <w:widowControl w:val="0"/>
              <w:wordWrap/>
              <w:adjustRightInd/>
              <w:snapToGrid/>
              <w:spacing w:line="500" w:lineRule="exact"/>
              <w:ind w:firstLine="480" w:firstLineChars="200"/>
              <w:textAlignment w:val="auto"/>
              <w:rPr>
                <w:rFonts w:ascii="Calibri" w:hAnsi="Calibri" w:eastAsia="宋体" w:cs="Times New Roman"/>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2026年度自治区旅游发展专项资金-文旅领域科研平台建设项目（新疆文艺（舞台艺术）科技创新中心数字资源库服务）</w:t>
            </w:r>
            <w:r>
              <w:rPr>
                <w:rFonts w:hint="eastAsia" w:ascii="宋体" w:hAnsi="宋体" w:eastAsia="宋体" w:cs="宋体"/>
                <w:color w:val="000000" w:themeColor="text1"/>
                <w:sz w:val="24"/>
                <w:szCs w:val="24"/>
                <w:highlight w:val="none"/>
                <w14:textFill>
                  <w14:solidFill>
                    <w14:schemeClr w14:val="tx1"/>
                  </w14:solidFill>
                </w14:textFill>
              </w:rPr>
              <w:t>潜在供应商应在新疆政府采购网政采云平台（http://www.ccgp-xinjiang.gov.cn/）线上获取招标文件，并于</w:t>
            </w:r>
            <w:r>
              <w:rPr>
                <w:rFonts w:hint="eastAsia" w:ascii="宋体" w:hAnsi="宋体" w:cs="宋体"/>
                <w:b/>
                <w:bCs/>
                <w:color w:val="000000" w:themeColor="text1"/>
                <w:sz w:val="24"/>
                <w:szCs w:val="24"/>
                <w:highlight w:val="none"/>
                <w:lang w:eastAsia="zh-CN"/>
                <w14:textFill>
                  <w14:solidFill>
                    <w14:schemeClr w14:val="tx1"/>
                  </w14:solidFill>
                </w14:textFill>
              </w:rPr>
              <w:t>2026年6月4日11:00</w:t>
            </w:r>
            <w:r>
              <w:rPr>
                <w:rFonts w:hint="eastAsia" w:ascii="宋体" w:hAnsi="宋体" w:eastAsia="宋体" w:cs="宋体"/>
                <w:b/>
                <w:bCs/>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前提交投标文件。</w:t>
            </w:r>
          </w:p>
        </w:tc>
      </w:tr>
    </w:tbl>
    <w:p>
      <w:pPr>
        <w:rPr>
          <w:rFonts w:ascii="Calibri" w:hAnsi="Calibri" w:eastAsia="宋体" w:cs="Times New Roman"/>
          <w:color w:val="000000" w:themeColor="text1"/>
          <w:highlight w:val="none"/>
          <w14:textFill>
            <w14:solidFill>
              <w14:schemeClr w14:val="tx1"/>
            </w14:solidFill>
          </w14:textFill>
        </w:rPr>
      </w:pPr>
    </w:p>
    <w:p>
      <w:pPr>
        <w:widowControl/>
        <w:snapToGrid w:val="0"/>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1" w:name="_Toc5363"/>
      <w:r>
        <w:rPr>
          <w:rFonts w:hint="eastAsia" w:ascii="宋体" w:hAnsi="宋体" w:eastAsia="宋体" w:cs="宋体"/>
          <w:b/>
          <w:bCs/>
          <w:color w:val="000000" w:themeColor="text1"/>
          <w:sz w:val="25"/>
          <w:highlight w:val="none"/>
          <w14:textFill>
            <w14:solidFill>
              <w14:schemeClr w14:val="tx1"/>
            </w14:solidFill>
          </w14:textFill>
        </w:rPr>
        <w:t>一、项目基本情况</w:t>
      </w:r>
      <w:bookmarkEnd w:id="1"/>
    </w:p>
    <w:p>
      <w:pPr>
        <w:spacing w:line="360" w:lineRule="auto"/>
        <w:rPr>
          <w:rFonts w:hint="default" w:ascii="宋体" w:hAnsi="宋体" w:eastAsia="宋体" w:cs="Times New Roman"/>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ZFCGHY-20260039</w:t>
      </w:r>
    </w:p>
    <w:p>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2026年度自治区旅游发展专项资金-文旅领域科研平台建设项目（新疆文艺（舞台艺术）科技创新中心数字资源库服务）</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900000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900000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标项一</w:t>
      </w:r>
    </w:p>
    <w:p>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2026年度自治区旅游发展专项资金-文旅领域科研平台建设项目（新疆文艺（舞台艺术）科技创新中心数字资源库服务）</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900000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14:textFill>
            <w14:solidFill>
              <w14:schemeClr w14:val="tx1"/>
            </w14:solidFill>
          </w14:textFill>
        </w:rPr>
        <w:t>批</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4"/>
          <w:highlight w:val="none"/>
          <w14:textFill>
            <w14:solidFill>
              <w14:schemeClr w14:val="tx1"/>
            </w14:solidFill>
          </w14:textFill>
        </w:rPr>
        <w:t>为紧扣数字文旅高质量发展建设任务目标，精准聚焦产业集群提质增效核心需求，自治区文化和旅游厅党组决定于 2026 年启动 “三中心三重点实验室” 创新支持体系建设。其中，“新疆舞台艺术科技创新中心” 作为该体系的重要组成部分，核心定位是聚焦舞台艺术创作与科技融合关键领域，发挥创新支撑与赋能作用；具体详见招标文件采购需求。</w:t>
      </w:r>
    </w:p>
    <w:p>
      <w:pP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服务期限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合同签订后1年</w:t>
      </w:r>
      <w:r>
        <w:rPr>
          <w:rFonts w:hint="eastAsia" w:ascii="宋体" w:hAnsi="宋体" w:eastAsia="宋体" w:cs="Times New Roman"/>
          <w:color w:val="000000" w:themeColor="text1"/>
          <w:sz w:val="24"/>
          <w:szCs w:val="24"/>
          <w:highlight w:val="none"/>
          <w:lang w:val="en-US"/>
          <w14:textFill>
            <w14:solidFill>
              <w14:schemeClr w14:val="tx1"/>
            </w14:solidFill>
          </w14:textFill>
        </w:rPr>
        <w:t>。</w:t>
      </w:r>
    </w:p>
    <w:p>
      <w:pP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pPr>
        <w:widowControl/>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2" w:name="_Toc24308"/>
      <w:r>
        <w:rPr>
          <w:rFonts w:hint="eastAsia" w:ascii="宋体" w:hAnsi="宋体" w:eastAsia="宋体" w:cs="宋体"/>
          <w:b/>
          <w:bCs/>
          <w:color w:val="000000" w:themeColor="text1"/>
          <w:sz w:val="25"/>
          <w:highlight w:val="none"/>
          <w14:textFill>
            <w14:solidFill>
              <w14:schemeClr w14:val="tx1"/>
            </w14:solidFill>
          </w14:textFill>
        </w:rPr>
        <w:t>二、申请人的资格要求：</w:t>
      </w:r>
      <w:bookmarkEnd w:id="2"/>
    </w:p>
    <w:p>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pPr>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p>
    <w:p>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pPr>
        <w:spacing w:line="52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4"/>
          <w:szCs w:val="24"/>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eastAsia="宋体" w:cs="Times New Roman"/>
          <w:color w:val="000000" w:themeColor="text1"/>
          <w:sz w:val="24"/>
          <w:szCs w:val="24"/>
          <w:highlight w:val="none"/>
          <w:lang w:eastAsia="zh-CN"/>
          <w14:textFill>
            <w14:solidFill>
              <w14:schemeClr w14:val="tx1"/>
            </w14:solidFill>
          </w14:textFill>
        </w:rPr>
        <w:t>参与</w:t>
      </w:r>
      <w:r>
        <w:rPr>
          <w:rFonts w:hint="eastAsia" w:ascii="宋体" w:hAnsi="宋体" w:eastAsia="宋体" w:cs="Times New Roman"/>
          <w:color w:val="000000" w:themeColor="text1"/>
          <w:sz w:val="24"/>
          <w:szCs w:val="24"/>
          <w:highlight w:val="none"/>
          <w14:textFill>
            <w14:solidFill>
              <w14:schemeClr w14:val="tx1"/>
            </w14:solidFill>
          </w14:textFill>
        </w:rPr>
        <w:t>本次招标活动；</w:t>
      </w:r>
    </w:p>
    <w:p>
      <w:pPr>
        <w:spacing w:line="520" w:lineRule="exact"/>
        <w:ind w:firstLine="480" w:firstLineChars="200"/>
        <w:rPr>
          <w:rFonts w:ascii="Calibri"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p>
      <w:pP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bookmarkStart w:id="3" w:name="_Toc19999"/>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bookmarkEnd w:id="3"/>
    </w:p>
    <w:p>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5 </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13</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5</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20 </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新疆政府采购网政采云平台：（http://www.ccgp-xinjiang.gov.cn/）</w:t>
      </w:r>
    </w:p>
    <w:p>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 xml:space="preserve">供应商登录新疆政府采购网政采云平台（http://www.ccgp-xinjiang.gov.cn/）在线申请获取招标文件（进入“项目采购”应用，在获取招标文件菜单中选择项目，申请获取招标文件） </w:t>
      </w:r>
    </w:p>
    <w:p>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4" w:name="_Toc28101"/>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bookmarkEnd w:id="4"/>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cs="Arial"/>
          <w:color w:val="000000" w:themeColor="text1"/>
          <w:kern w:val="0"/>
          <w:sz w:val="24"/>
          <w:szCs w:val="24"/>
          <w:highlight w:val="none"/>
          <w:lang w:eastAsia="zh-CN"/>
          <w14:textFill>
            <w14:solidFill>
              <w14:schemeClr w14:val="tx1"/>
            </w14:solidFill>
          </w14:textFill>
        </w:rPr>
        <w:t>2026年6月4日11:00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2026年6月4日11:00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开标地点：新疆政府采购网政采云平台（http://www.ccgp-xinjiang.gov.cn/）  </w:t>
      </w:r>
    </w:p>
    <w:p>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5" w:name="_Toc2381"/>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bookmarkEnd w:id="5"/>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6" w:name="_Toc16764"/>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bookmarkEnd w:id="6"/>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1.本项目实行网上投标，采用响应性文件电子标书；</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rFonts w:ascii="宋体" w:hAnsi="宋体" w:eastAsia="宋体" w:cs="Arial"/>
          <w:color w:val="000000" w:themeColor="text1"/>
          <w:kern w:val="0"/>
          <w:sz w:val="24"/>
          <w:szCs w:val="24"/>
          <w:highlight w:val="none"/>
          <w14:textFill>
            <w14:solidFill>
              <w14:schemeClr w14:val="tx1"/>
            </w14:solidFill>
          </w14:textFill>
        </w:rPr>
      </w:pPr>
    </w:p>
    <w:p>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7" w:name="_Toc18957"/>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bookmarkEnd w:id="7"/>
    </w:p>
    <w:p>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新疆艺术剧院　</w:t>
      </w:r>
    </w:p>
    <w:p>
      <w:pPr>
        <w:spacing w:line="360" w:lineRule="auto"/>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联系人： 钟石义</w:t>
      </w:r>
    </w:p>
    <w:p>
      <w:pPr>
        <w:spacing w:line="360" w:lineRule="auto"/>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 09912566183</w:t>
      </w:r>
    </w:p>
    <w:p>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pPr>
        <w:tabs>
          <w:tab w:val="left" w:pos="379"/>
        </w:tabs>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新疆华域建设工程项目管理咨询有限公司</w:t>
      </w:r>
    </w:p>
    <w:p>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pP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pPr>
        <w:spacing w:line="360" w:lineRule="auto"/>
        <w:rPr>
          <w:rFonts w:hint="default" w:ascii="宋体" w:hAnsi="宋体" w:eastAsia="宋体" w:cs="Arial"/>
          <w:color w:val="000000" w:themeColor="text1"/>
          <w:kern w:val="0"/>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cs="Arial"/>
          <w:color w:val="000000" w:themeColor="text1"/>
          <w:kern w:val="0"/>
          <w:sz w:val="24"/>
          <w:szCs w:val="24"/>
          <w:highlight w:val="none"/>
          <w:lang w:val="en-US" w:eastAsia="zh-CN"/>
          <w14:textFill>
            <w14:solidFill>
              <w14:schemeClr w14:val="tx1"/>
            </w14:solidFill>
          </w14:textFill>
        </w:rPr>
        <w:t>李娟娟、王鹤宇</w:t>
      </w:r>
    </w:p>
    <w:p>
      <w:pPr>
        <w:spacing w:line="360" w:lineRule="auto"/>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p>
      <w:pPr>
        <w:pStyle w:val="2"/>
        <w:rPr>
          <w:rFonts w:ascii="Arial" w:hAnsi="Arial" w:eastAsia="黑体" w:cs="Times New Roman"/>
          <w:b/>
          <w:color w:val="000000" w:themeColor="text1"/>
          <w:kern w:val="0"/>
          <w:szCs w:val="20"/>
          <w:highlight w:val="none"/>
          <w14:textFill>
            <w14:solidFill>
              <w14:schemeClr w14:val="tx1"/>
            </w14:solidFill>
          </w14:textFill>
        </w:rPr>
      </w:pPr>
      <w:r>
        <w:rPr>
          <w:rFonts w:hint="eastAsia" w:ascii="Arial" w:hAnsi="Arial" w:eastAsia="黑体" w:cs="Times New Roman"/>
          <w:b/>
          <w:color w:val="000000" w:themeColor="text1"/>
          <w:kern w:val="0"/>
          <w:szCs w:val="20"/>
          <w:highlight w:val="none"/>
          <w14:textFill>
            <w14:solidFill>
              <w14:schemeClr w14:val="tx1"/>
            </w14:solidFill>
          </w14:textFill>
        </w:rPr>
        <w:br w:type="page"/>
      </w:r>
      <w:bookmarkStart w:id="8" w:name="_Toc26797"/>
      <w:bookmarkStart w:id="9" w:name="_Toc14557"/>
      <w:r>
        <w:rPr>
          <w:rFonts w:hint="eastAsia"/>
          <w:color w:val="000000" w:themeColor="text1"/>
          <w:highlight w:val="none"/>
          <w14:textFill>
            <w14:solidFill>
              <w14:schemeClr w14:val="tx1"/>
            </w14:solidFill>
          </w14:textFill>
        </w:rPr>
        <w:t>第二章　供应商须知</w:t>
      </w:r>
      <w:bookmarkEnd w:id="8"/>
      <w:bookmarkEnd w:id="9"/>
    </w:p>
    <w:p>
      <w:pPr>
        <w:ind w:firstLine="562" w:firstLineChars="200"/>
        <w:jc w:val="center"/>
        <w:outlineLvl w:val="0"/>
        <w:rPr>
          <w:rFonts w:ascii="宋体" w:hAnsi="宋体" w:eastAsia="宋体" w:cs="Times New Roman"/>
          <w:b/>
          <w:bCs/>
          <w:color w:val="000000" w:themeColor="text1"/>
          <w:kern w:val="0"/>
          <w:sz w:val="28"/>
          <w:szCs w:val="28"/>
          <w:highlight w:val="none"/>
          <w14:textFill>
            <w14:solidFill>
              <w14:schemeClr w14:val="tx1"/>
            </w14:solidFill>
          </w14:textFill>
        </w:rPr>
      </w:pPr>
      <w:bookmarkStart w:id="10" w:name="_Toc16580"/>
      <w:r>
        <w:rPr>
          <w:rFonts w:hint="eastAsia" w:ascii="宋体" w:hAnsi="宋体" w:eastAsia="宋体" w:cs="Times New Roman"/>
          <w:b/>
          <w:bCs/>
          <w:color w:val="000000" w:themeColor="text1"/>
          <w:kern w:val="0"/>
          <w:sz w:val="28"/>
          <w:szCs w:val="28"/>
          <w:highlight w:val="none"/>
          <w14:textFill>
            <w14:solidFill>
              <w14:schemeClr w14:val="tx1"/>
            </w14:solidFill>
          </w14:textFill>
        </w:rPr>
        <w:t>供应商须知前附表</w:t>
      </w:r>
      <w:bookmarkEnd w:id="10"/>
    </w:p>
    <w:tbl>
      <w:tblPr>
        <w:tblStyle w:val="4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37"/>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662" w:type="dxa"/>
            <w:vAlign w:val="center"/>
          </w:tcPr>
          <w:p>
            <w:pP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4" w:type="dxa"/>
            <w:vMerge w:val="restart"/>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662" w:type="dxa"/>
            <w:vAlign w:val="center"/>
          </w:tcPr>
          <w:p>
            <w:pP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2026年度自治区旅游发展专项资金-文旅领域科研平台建设项目（新疆文艺（舞台艺术）科技创新中心数字资源库服务）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662" w:type="dxa"/>
            <w:vAlign w:val="center"/>
          </w:tcPr>
          <w:p>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900000.00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662" w:type="dxa"/>
            <w:vAlign w:val="center"/>
          </w:tcPr>
          <w:p>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900000.00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662" w:type="dxa"/>
            <w:vAlign w:val="center"/>
          </w:tcPr>
          <w:p>
            <w:pPr>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ascii="宋体" w:hAnsi="宋体" w:cs="Courier New"/>
                <w:color w:val="000000" w:themeColor="text1"/>
                <w:kern w:val="0"/>
                <w:sz w:val="24"/>
                <w:szCs w:val="24"/>
                <w:highlight w:val="none"/>
                <w:lang w:val="en-US" w:eastAsia="zh-CN"/>
                <w14:textFill>
                  <w14:solidFill>
                    <w14:schemeClr w14:val="tx1"/>
                  </w14:solidFill>
                </w14:textFill>
              </w:rPr>
              <w:t>ZFCGHY-20260039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4" w:type="dxa"/>
            <w:vMerge w:val="continue"/>
            <w:vAlign w:val="center"/>
          </w:tcPr>
          <w:p>
            <w:pPr>
              <w:jc w:val="center"/>
              <w:rPr>
                <w:rFonts w:ascii="宋体" w:hAnsi="宋体" w:eastAsia="宋体" w:cs="MingLiU_HKSCS"/>
                <w:color w:val="000000" w:themeColor="text1"/>
                <w:sz w:val="24"/>
                <w:szCs w:val="24"/>
                <w:highlight w:val="none"/>
                <w14:textFill>
                  <w14:solidFill>
                    <w14:schemeClr w14:val="tx1"/>
                  </w14:solidFill>
                </w14:textFill>
              </w:rPr>
            </w:pP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662" w:type="dxa"/>
            <w:vAlign w:val="center"/>
          </w:tcPr>
          <w:p>
            <w:pPr>
              <w:spacing w:line="360" w:lineRule="auto"/>
              <w:jc w:val="both"/>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662" w:type="dxa"/>
            <w:vAlign w:val="center"/>
          </w:tcPr>
          <w:p>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Courier New"/>
                <w:color w:val="000000" w:themeColor="text1"/>
                <w:kern w:val="0"/>
                <w:sz w:val="24"/>
                <w:szCs w:val="24"/>
                <w:highlight w:val="none"/>
                <w:lang w:eastAsia="zh-CN"/>
                <w14:textFill>
                  <w14:solidFill>
                    <w14:schemeClr w14:val="tx1"/>
                  </w14:solidFill>
                </w14:textFill>
              </w:rPr>
              <w:t>新疆艺术剧院　</w:t>
            </w:r>
          </w:p>
          <w:p>
            <w:pPr>
              <w:spacing w:line="360" w:lineRule="auto"/>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联系人： 钟石义</w:t>
            </w:r>
          </w:p>
          <w:p>
            <w:pPr>
              <w:spacing w:line="360" w:lineRule="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 09912566183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662" w:type="dxa"/>
            <w:vAlign w:val="center"/>
          </w:tcPr>
          <w:p>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Times New Roman"/>
                <w:color w:val="000000" w:themeColor="text1"/>
                <w:sz w:val="24"/>
                <w:szCs w:val="24"/>
                <w:highlight w:val="none"/>
                <w:lang w:eastAsia="zh-CN"/>
                <w14:textFill>
                  <w14:solidFill>
                    <w14:schemeClr w14:val="tx1"/>
                  </w14:solidFill>
                </w14:textFill>
              </w:rPr>
              <w:t>新疆华域建设工程项目管理咨询有限公司</w:t>
            </w:r>
          </w:p>
          <w:p>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cs="Times New Roman"/>
                <w:color w:val="000000" w:themeColor="text1"/>
                <w:sz w:val="24"/>
                <w:szCs w:val="24"/>
                <w:highlight w:val="none"/>
                <w:lang w:val="en-US" w:eastAsia="zh-CN"/>
                <w14:textFill>
                  <w14:solidFill>
                    <w14:schemeClr w14:val="tx1"/>
                  </w14:solidFill>
                </w14:textFill>
              </w:rPr>
              <w:t>王鹤宇、李娟娟</w:t>
            </w:r>
          </w:p>
          <w:p>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13179816599、18997972745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采购内容</w:t>
            </w:r>
          </w:p>
        </w:tc>
        <w:tc>
          <w:tcPr>
            <w:tcW w:w="7662" w:type="dxa"/>
            <w:vAlign w:val="center"/>
          </w:tcPr>
          <w:p>
            <w:pPr>
              <w:widowControl w:val="0"/>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为紧扣数字文旅高质量发展建设任务目标，精准聚焦产业集群提质增效核心需求，自治区文化和旅游厅党组决定于 2026 年启动 “三中心三重点实验室” 创新支持体系建设。其中，“新疆舞台艺术科技创新中心” 作为该体系的重要组成部分，核心定位是聚焦舞台艺术创作与科技融合关键领域，发挥创新支撑与赋能作用；具体详见招标文件采购需求。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662" w:type="dxa"/>
            <w:vAlign w:val="center"/>
          </w:tcPr>
          <w:p>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1．供应商的资格要求：符合《中华人民共和国政府采购法》第二十二条规定条件；</w:t>
            </w:r>
          </w:p>
          <w:p>
            <w:pPr>
              <w:spacing w:line="360" w:lineRule="auto"/>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2．采购项目需要落实的政府采购政策</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p>
          <w:p>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w:t>
            </w:r>
            <w:r>
              <w:rPr>
                <w:rFonts w:ascii="宋体" w:hAnsi="宋体" w:eastAsia="宋体" w:cs="Courier New"/>
                <w:color w:val="000000" w:themeColor="text1"/>
                <w:sz w:val="24"/>
                <w:szCs w:val="24"/>
                <w:highlight w:val="none"/>
                <w14:textFill>
                  <w14:solidFill>
                    <w14:schemeClr w14:val="tx1"/>
                  </w14:solidFill>
                </w14:textFill>
              </w:rPr>
              <w:t>本项目的特定资格要求：</w:t>
            </w:r>
          </w:p>
          <w:p>
            <w:pPr>
              <w:spacing w:line="360" w:lineRule="auto"/>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Courier New"/>
                <w:color w:val="000000" w:themeColor="text1"/>
                <w:sz w:val="24"/>
                <w:szCs w:val="24"/>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eastAsia="宋体" w:cs="Courier New"/>
                <w:color w:val="000000" w:themeColor="text1"/>
                <w:sz w:val="24"/>
                <w:szCs w:val="24"/>
                <w:highlight w:val="none"/>
                <w:lang w:eastAsia="zh-CN"/>
                <w14:textFill>
                  <w14:solidFill>
                    <w14:schemeClr w14:val="tx1"/>
                  </w14:solidFill>
                </w14:textFill>
              </w:rPr>
              <w:t>参与</w:t>
            </w:r>
            <w:r>
              <w:rPr>
                <w:rFonts w:hint="eastAsia" w:ascii="宋体" w:hAnsi="宋体" w:eastAsia="宋体" w:cs="Courier New"/>
                <w:color w:val="000000" w:themeColor="text1"/>
                <w:sz w:val="24"/>
                <w:szCs w:val="24"/>
                <w:highlight w:val="none"/>
                <w14:textFill>
                  <w14:solidFill>
                    <w14:schemeClr w14:val="tx1"/>
                  </w14:solidFill>
                </w14:textFill>
              </w:rPr>
              <w:t>本次招标活动；</w:t>
            </w:r>
          </w:p>
          <w:p>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2</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项目现场勘察</w:t>
            </w:r>
          </w:p>
        </w:tc>
        <w:tc>
          <w:tcPr>
            <w:tcW w:w="7662" w:type="dxa"/>
            <w:vAlign w:val="center"/>
          </w:tcPr>
          <w:p>
            <w:pPr>
              <w:ind w:left="1440" w:hanging="1440" w:hangingChars="60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fldChar w:fldCharType="begin"/>
            </w:r>
            <w:r>
              <w:rPr>
                <w:rFonts w:hint="eastAsia" w:ascii="宋体" w:hAnsi="宋体" w:eastAsia="宋体" w:cs="Times New Roman"/>
                <w:color w:val="000000" w:themeColor="text1"/>
                <w:sz w:val="24"/>
                <w:szCs w:val="24"/>
                <w:highlight w:val="none"/>
                <w14:textFill>
                  <w14:solidFill>
                    <w14:schemeClr w14:val="tx1"/>
                  </w14:solidFill>
                </w14:textFill>
              </w:rPr>
              <w:instrText xml:space="preserve">eq \o\ac(□,√)</w:instrText>
            </w:r>
            <w:r>
              <w:rPr>
                <w:rFonts w:ascii="宋体" w:hAnsi="宋体" w:eastAsia="宋体" w:cs="Times New Roman"/>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不组织</w:t>
            </w:r>
          </w:p>
          <w:p>
            <w:pPr>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□组织</w:t>
            </w:r>
          </w:p>
          <w:p>
            <w:pPr>
              <w:spacing w:line="360" w:lineRule="auto"/>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注：本项目不组织现场勘察，供应商可自行前往现场了解情况，相关费用及安全责任由供应商承担。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37"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6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37" w:type="dxa"/>
            <w:vAlign w:val="center"/>
          </w:tcPr>
          <w:p>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662" w:type="dxa"/>
            <w:vAlign w:val="center"/>
          </w:tcPr>
          <w:p>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6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cs="Arial"/>
                <w:b/>
                <w:bCs/>
                <w:color w:val="000000" w:themeColor="text1"/>
                <w:kern w:val="0"/>
                <w:sz w:val="24"/>
                <w:szCs w:val="24"/>
                <w:highlight w:val="none"/>
                <w:lang w:eastAsia="zh-CN"/>
                <w14:textFill>
                  <w14:solidFill>
                    <w14:schemeClr w14:val="tx1"/>
                  </w14:solidFill>
                </w14:textFill>
              </w:rPr>
              <w:t>2026年6月4日11:00</w:t>
            </w:r>
            <w:r>
              <w:rPr>
                <w:rFonts w:hint="eastAsia" w:ascii="宋体" w:hAnsi="宋体" w:eastAsia="宋体" w:cs="Arial"/>
                <w:b/>
                <w:bCs/>
                <w:color w:val="000000" w:themeColor="text1"/>
                <w:kern w:val="0"/>
                <w:sz w:val="24"/>
                <w:szCs w:val="24"/>
                <w:highlight w:val="none"/>
                <w14:textFill>
                  <w14:solidFill>
                    <w14:schemeClr w14:val="tx1"/>
                  </w14:solidFill>
                </w14:textFill>
              </w:rPr>
              <w:t>（北京时间）</w:t>
            </w:r>
          </w:p>
          <w:p>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w:t>
            </w:r>
            <w:r>
              <w:rPr>
                <w:rFonts w:hint="eastAsia" w:ascii="宋体" w:hAnsi="宋体" w:eastAsia="宋体" w:cs="Courier New"/>
                <w:color w:val="000000" w:themeColor="text1"/>
                <w:sz w:val="24"/>
                <w:szCs w:val="24"/>
                <w:highlight w:val="none"/>
                <w:lang w:eastAsia="zh-CN"/>
                <w14:textFill>
                  <w14:solidFill>
                    <w14:schemeClr w14:val="tx1"/>
                  </w14:solidFill>
                </w14:textFill>
              </w:rPr>
              <w:t>平台</w:t>
            </w:r>
            <w:r>
              <w:rPr>
                <w:rFonts w:hint="eastAsia" w:ascii="宋体" w:hAnsi="宋体" w:eastAsia="宋体" w:cs="Courier New"/>
                <w:color w:val="000000" w:themeColor="text1"/>
                <w:sz w:val="24"/>
                <w:szCs w:val="24"/>
                <w:highlight w:val="none"/>
                <w14:textFill>
                  <w14:solidFill>
                    <w14:schemeClr w14:val="tx1"/>
                  </w14:solidFill>
                </w14:textFill>
              </w:rPr>
              <w:t>（http://www.ccgp-xinjiang.gov.cn/）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6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 </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662" w:type="dxa"/>
            <w:vAlign w:val="center"/>
          </w:tcPr>
          <w:p>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p>
            <w:pPr>
              <w:wordWrap/>
              <w:adjustRightInd/>
              <w:snapToGrid/>
              <w:spacing w:line="400" w:lineRule="exact"/>
              <w:jc w:val="left"/>
              <w:textAlignment w:val="auto"/>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①投标保证金金额：</w:t>
            </w:r>
            <w:r>
              <w:rPr>
                <w:rFonts w:hint="eastAsia" w:ascii="宋体" w:hAnsi="宋体" w:cs="Times New Roman"/>
                <w:color w:val="000000" w:themeColor="text1"/>
                <w:sz w:val="24"/>
                <w:szCs w:val="24"/>
                <w:highlight w:val="none"/>
                <w:lang w:val="en-US" w:eastAsia="zh-CN"/>
                <w14:textFill>
                  <w14:solidFill>
                    <w14:schemeClr w14:val="tx1"/>
                  </w14:solidFill>
                </w14:textFill>
              </w:rPr>
              <w:t xml:space="preserve">17999.4 </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cs="Times New Roman"/>
                <w:color w:val="000000" w:themeColor="text1"/>
                <w:sz w:val="24"/>
                <w:szCs w:val="24"/>
                <w:highlight w:val="none"/>
                <w:lang w:val="en-US" w:eastAsia="zh-CN"/>
                <w14:textFill>
                  <w14:solidFill>
                    <w14:schemeClr w14:val="tx1"/>
                  </w14:solidFill>
                </w14:textFill>
              </w:rPr>
              <w:t xml:space="preserve">壹万柒仟玖佰玖拾玖元肆角 </w:t>
            </w:r>
            <w:r>
              <w:rPr>
                <w:rFonts w:hint="eastAsia" w:ascii="宋体" w:hAnsi="宋体" w:eastAsia="宋体" w:cs="Times New Roman"/>
                <w:color w:val="000000" w:themeColor="text1"/>
                <w:sz w:val="24"/>
                <w:szCs w:val="24"/>
                <w:highlight w:val="none"/>
                <w14:textFill>
                  <w14:solidFill>
                    <w14:schemeClr w14:val="tx1"/>
                  </w14:solidFill>
                </w14:textFill>
              </w:rPr>
              <w:t>）</w:t>
            </w:r>
          </w:p>
          <w:p>
            <w:pPr>
              <w:wordWrap/>
              <w:adjustRightInd/>
              <w:snapToGrid/>
              <w:spacing w:line="400" w:lineRule="exact"/>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2、递交形式：单位账户转账、电汇、保函在附加信息及用途栏内注明“项目名称简写”（转）款时，应在用途栏（备注栏）准确注明“   （简写项目名称、包号）投标保证金”字样，由于未按要求注明信息而导致的一切后果由投标人承担。</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3、递交时间：在投标截止时间前递交（以到账时间为准）；</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4、账户信息：单位名称：新疆华域建设工程项目管理咨询有限公司  </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开户行：中国银行乌鲁木齐市南湖东路支行</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账号：107083025521； 行号：104881006151</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（1）保证金单位名称必须与供应商登记的单位名称一致,不得以分公司、办事处或其或其他机构名义交纳,否则其投标将被拒绝。 </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（3）供应商请自行查询是否到账,供应商以网银转账、电汇汇款方式缴纳保证金的须从供应商账户转出,请备注项目名称或项目编号。</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②</w:t>
            </w:r>
            <w:r>
              <w:rPr>
                <w:rFonts w:hint="eastAsia" w:ascii="宋体" w:hAnsi="宋体" w:eastAsia="宋体" w:cs="宋体"/>
                <w:bCs/>
                <w:color w:val="000000" w:themeColor="text1"/>
                <w:kern w:val="2"/>
                <w:sz w:val="24"/>
                <w:highlight w:val="none"/>
                <w:lang w:val="zh-CN"/>
                <w14:textFill>
                  <w14:solidFill>
                    <w14:schemeClr w14:val="tx1"/>
                  </w14:solidFill>
                </w14:textFill>
              </w:rPr>
              <w:t>电子保函</w:t>
            </w:r>
          </w:p>
          <w:p>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本项目可使用政采云电子保函形式缴纳投标保证金，在线完成保函的申请、审核、开票、出函等环节；</w:t>
            </w:r>
          </w:p>
          <w:p>
            <w:pPr>
              <w:widowControl/>
              <w:wordWrap/>
              <w:adjustRightInd/>
              <w:snapToGrid/>
              <w:spacing w:line="400" w:lineRule="exact"/>
              <w:jc w:val="left"/>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如采用政采云电子保函形式，可按照以下形式进行在线申请，电子保函申请链接（https://jinrong.zcygov.cn/finance/letter/product/detail?id=30&amp;source=41）</w:t>
            </w:r>
          </w:p>
          <w:p>
            <w:pPr>
              <w:wordWrap/>
              <w:adjustRightInd/>
              <w:snapToGrid/>
              <w:spacing w:line="400" w:lineRule="exact"/>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开标前将保函制作到电子响应文件即可。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662" w:type="dxa"/>
            <w:vAlign w:val="center"/>
          </w:tcPr>
          <w:p>
            <w:pPr>
              <w:jc w:val="left"/>
              <w:rPr>
                <w:rFonts w:hint="eastAsia" w:ascii="宋体" w:hAnsi="宋体" w:eastAsia="宋体" w:cs="MingLiU_HKS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37" w:type="dxa"/>
            <w:vAlign w:val="center"/>
          </w:tcPr>
          <w:p>
            <w:pPr>
              <w:jc w:val="center"/>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投标文件份数</w:t>
            </w:r>
          </w:p>
        </w:tc>
        <w:tc>
          <w:tcPr>
            <w:tcW w:w="7662" w:type="dxa"/>
            <w:vAlign w:val="center"/>
          </w:tcPr>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宋体" w:cs="MS Mincho"/>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采用见面开标</w:t>
            </w:r>
          </w:p>
          <w:p>
            <w:pPr>
              <w:adjustRightInd w:val="0"/>
              <w:snapToGrid w:val="0"/>
              <w:spacing w:beforeLines="50" w:line="36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投标文件包括：</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MS Mincho" w:cs="MS Mincho"/>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本项目采用不见面开标：</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解密时长：30分钟</w:t>
            </w:r>
            <w:r>
              <w:rPr>
                <w:rFonts w:hint="eastAsia" w:ascii="宋体" w:hAnsi="宋体" w:eastAsia="宋体" w:cs="宋体"/>
                <w:color w:val="000000" w:themeColor="text1"/>
                <w:sz w:val="24"/>
                <w:szCs w:val="24"/>
                <w:highlight w:val="none"/>
                <w:u w:val="none"/>
                <w14:textFill>
                  <w14:solidFill>
                    <w14:schemeClr w14:val="tx1"/>
                  </w14:solidFill>
                </w14:textFill>
              </w:rPr>
              <w:t>。</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3.供应商由于数字证书遗失、损坏、更换、续期等情况导致投标文件无法解密，由供应商自行承担责任。</w:t>
            </w:r>
          </w:p>
          <w:p>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jc w:val="left"/>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5.开标、评标过程中，供应商参与远程音视频交互（以下简称“交互”）的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none"/>
                <w14:textFill>
                  <w14:solidFill>
                    <w14:schemeClr w14:val="tx1"/>
                  </w14:solidFill>
                </w14:textFill>
              </w:rPr>
              <w:t>或授权委托人应始终为同一人，中途不得更换，并保持签到的通讯畅通。供应商端口操作人员均被视为供应商法人代表或授权委托人，供应商自行承担随意更换人员所导致的一切后果。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4" w:type="dxa"/>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662" w:type="dxa"/>
            <w:vAlign w:val="center"/>
          </w:tcPr>
          <w:p>
            <w:pPr>
              <w:spacing w:line="360" w:lineRule="auto"/>
              <w:jc w:val="left"/>
              <w:rPr>
                <w:rFonts w:ascii="宋体" w:hAnsi="宋体" w:eastAsia="宋体" w:cs="Courier New"/>
                <w:b/>
                <w:bCs/>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查询相关主体信用记录。本项目信用记录查询截止时点为</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4 </w:t>
            </w:r>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pPr>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34" w:type="dxa"/>
            <w:vAlign w:val="center"/>
          </w:tcPr>
          <w:p>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37" w:type="dxa"/>
            <w:vAlign w:val="center"/>
          </w:tcPr>
          <w:p>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评审小组</w:t>
            </w:r>
          </w:p>
          <w:p>
            <w:pP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的组成</w:t>
            </w:r>
          </w:p>
        </w:tc>
        <w:tc>
          <w:tcPr>
            <w:tcW w:w="7662" w:type="dxa"/>
            <w:vAlign w:val="center"/>
          </w:tcPr>
          <w:p>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评审小组</w:t>
            </w:r>
            <w:r>
              <w:rPr>
                <w:rFonts w:hint="eastAsia" w:ascii="宋体" w:hAnsi="宋体" w:eastAsia="宋体" w:cs="Courier New"/>
                <w:color w:val="000000" w:themeColor="text1"/>
                <w:sz w:val="24"/>
                <w:szCs w:val="24"/>
                <w:highlight w:val="none"/>
                <w14:textFill>
                  <w14:solidFill>
                    <w14:schemeClr w14:val="tx1"/>
                  </w14:solidFill>
                </w14:textFill>
              </w:rPr>
              <w:t>构成：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14:textFill>
                  <w14:solidFill>
                    <w14:schemeClr w14:val="tx1"/>
                  </w14:solidFill>
                </w14:textFill>
              </w:rPr>
              <w:t>人</w:t>
            </w:r>
          </w:p>
          <w:p>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评委确定方式：</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新疆政采云平台</w:t>
            </w:r>
            <w:r>
              <w:rPr>
                <w:rFonts w:hint="eastAsia" w:ascii="宋体" w:hAnsi="宋体" w:eastAsia="宋体" w:cs="Courier New"/>
                <w:color w:val="000000" w:themeColor="text1"/>
                <w:sz w:val="24"/>
                <w:szCs w:val="24"/>
                <w:highlight w:val="none"/>
                <w14:textFill>
                  <w14:solidFill>
                    <w14:schemeClr w14:val="tx1"/>
                  </w14:solidFill>
                </w14:textFill>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662" w:type="dxa"/>
            <w:vAlign w:val="center"/>
          </w:tcPr>
          <w:p>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服务期限及服务地点</w:t>
            </w:r>
          </w:p>
        </w:tc>
        <w:tc>
          <w:tcPr>
            <w:tcW w:w="7662" w:type="dxa"/>
            <w:vAlign w:val="center"/>
          </w:tcPr>
          <w:p>
            <w:pPr>
              <w:widowControl w:val="0"/>
              <w:wordWrap/>
              <w:adjustRightInd/>
              <w:snapToGrid/>
              <w:spacing w:line="400" w:lineRule="exact"/>
              <w:textAlignment w:val="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w:t>
            </w:r>
            <w:r>
              <w:rPr>
                <w:rFonts w:hint="eastAsia" w:ascii="宋体" w:hAnsi="宋体" w:cs="Courier New"/>
                <w:color w:val="000000" w:themeColor="text1"/>
                <w:sz w:val="24"/>
                <w:szCs w:val="24"/>
                <w:highlight w:val="none"/>
                <w:lang w:val="en-US" w:eastAsia="zh-CN"/>
                <w14:textFill>
                  <w14:solidFill>
                    <w14:schemeClr w14:val="tx1"/>
                  </w14:solidFill>
                </w14:textFill>
              </w:rPr>
              <w:t>一年</w:t>
            </w:r>
            <w:r>
              <w:rPr>
                <w:rFonts w:hint="eastAsia" w:ascii="宋体" w:hAnsi="宋体" w:eastAsia="宋体" w:cs="Times New Roman"/>
                <w:color w:val="000000" w:themeColor="text1"/>
                <w:sz w:val="24"/>
                <w:szCs w:val="24"/>
                <w:highlight w:val="none"/>
                <w:lang w:val="en-US"/>
                <w14:textFill>
                  <w14:solidFill>
                    <w14:schemeClr w14:val="tx1"/>
                  </w14:solidFill>
                </w14:textFill>
              </w:rPr>
              <w:t>。</w:t>
            </w:r>
          </w:p>
          <w:p>
            <w:pPr>
              <w:widowControl w:val="0"/>
              <w:wordWrap/>
              <w:adjustRightInd/>
              <w:snapToGrid/>
              <w:spacing w:line="400" w:lineRule="exact"/>
              <w:jc w:val="left"/>
              <w:textAlignment w:val="auto"/>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服务地点</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4" w:type="dxa"/>
            <w:vAlign w:val="center"/>
          </w:tcPr>
          <w:p>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37" w:type="dxa"/>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7662" w:type="dxa"/>
            <w:vAlign w:val="center"/>
          </w:tcPr>
          <w:p>
            <w:pPr>
              <w:widowControl w:val="0"/>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验收合格后1年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537" w:type="dxa"/>
            <w:vAlign w:val="center"/>
          </w:tcPr>
          <w:p>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付款方式</w:t>
            </w:r>
          </w:p>
        </w:tc>
        <w:tc>
          <w:tcPr>
            <w:tcW w:w="7662" w:type="dxa"/>
            <w:vAlign w:val="center"/>
          </w:tcPr>
          <w:p>
            <w:pPr>
              <w:pStyle w:val="26"/>
              <w:widowControl w:val="0"/>
              <w:wordWrap/>
              <w:adjustRightInd/>
              <w:snapToGrid/>
              <w:spacing w:line="400" w:lineRule="exact"/>
              <w:jc w:val="left"/>
              <w:textAlignment w:val="auto"/>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合同签订后向乙方支付60%的合同款项作为预付款，资源库平台搭建完成后，能够实现搜索引擎功能后向乙方支付30%的合同款项，项目整体最终验收合格向乙方支付10%的合同款项。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34" w:type="dxa"/>
            <w:vAlign w:val="center"/>
          </w:tcPr>
          <w:p>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20</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662"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hint="eastAsia" w:ascii="宋体" w:hAnsi="宋体" w:cs="Courier New"/>
                <w:color w:val="000000" w:themeColor="text1"/>
                <w:sz w:val="24"/>
                <w:szCs w:val="24"/>
                <w:highlight w:val="none"/>
                <w:lang w:eastAsia="zh-CN"/>
                <w14:textFill>
                  <w14:solidFill>
                    <w14:schemeClr w14:val="tx1"/>
                  </w14:solidFill>
                </w14:textFill>
              </w:rPr>
              <w:instrText xml:space="preserve">,</w:instrText>
            </w:r>
            <w:r>
              <w:rPr>
                <w:rFonts w:hint="eastAsia" w:ascii="宋体" w:hAnsi="宋体" w:cs="Courier New"/>
                <w:color w:val="000000" w:themeColor="text1"/>
                <w:position w:val="2"/>
                <w:sz w:val="16"/>
                <w:szCs w:val="24"/>
                <w:highlight w:val="none"/>
                <w:lang w:eastAsia="zh-CN"/>
                <w14:textFill>
                  <w14:solidFill>
                    <w14:schemeClr w14:val="tx1"/>
                  </w14:solidFill>
                </w14:textFill>
              </w:rPr>
              <w:instrText xml:space="preserve">√</w:instrText>
            </w:r>
            <w:r>
              <w:rPr>
                <w:rFonts w:hint="eastAsia" w:ascii="宋体" w:hAnsi="宋体" w:eastAsia="宋体" w:cs="Courier New"/>
                <w:color w:val="000000" w:themeColor="text1"/>
                <w:sz w:val="24"/>
                <w:szCs w:val="24"/>
                <w:highlight w:val="none"/>
                <w14:textFill>
                  <w14:solidFill>
                    <w14:schemeClr w14:val="tx1"/>
                  </w14:solidFill>
                </w14:textFill>
              </w:rPr>
              <w:instrText xml:space="preserve">)</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662" w:type="dxa"/>
            <w:vAlign w:val="center"/>
          </w:tcPr>
          <w:p>
            <w:pPr>
              <w:widowControl w:val="0"/>
              <w:wordWrap/>
              <w:adjustRightInd/>
              <w:snapToGrid/>
              <w:spacing w:line="400" w:lineRule="exact"/>
              <w:textAlignment w:val="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662" w:type="dxa"/>
            <w:vAlign w:val="center"/>
          </w:tcPr>
          <w:p>
            <w:pPr>
              <w:widowControl w:val="0"/>
              <w:wordWrap/>
              <w:adjustRightInd/>
              <w:snapToGrid/>
              <w:spacing w:line="400" w:lineRule="exact"/>
              <w:textAlignment w:val="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本项目的招标代理服务费及专家评审费以及项目前期专家论证费（1500元）都由中标单位支付。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4" w:type="dxa"/>
            <w:vAlign w:val="center"/>
          </w:tcPr>
          <w:p>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23</w:t>
            </w:r>
          </w:p>
        </w:tc>
        <w:tc>
          <w:tcPr>
            <w:tcW w:w="1537" w:type="dxa"/>
            <w:vAlign w:val="center"/>
          </w:tcPr>
          <w:p>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662" w:type="dxa"/>
            <w:vAlign w:val="center"/>
          </w:tcPr>
          <w:p>
            <w:pPr>
              <w:widowControl w:val="0"/>
              <w:wordWrap/>
              <w:adjustRightInd/>
              <w:snapToGrid/>
              <w:spacing w:line="400" w:lineRule="exac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b/>
                <w:bCs/>
                <w:color w:val="000000" w:themeColor="text1"/>
                <w:kern w:val="0"/>
                <w:sz w:val="24"/>
                <w:szCs w:val="24"/>
                <w:highlight w:val="none"/>
                <w:u w:val="none"/>
                <w:lang w:val="en-US"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r>
              <w:rPr>
                <w:rFonts w:hint="eastAsia" w:ascii="宋体" w:hAnsi="宋体" w:cs="宋体"/>
                <w:b/>
                <w:bCs/>
                <w:color w:val="000000" w:themeColor="text1"/>
                <w:sz w:val="24"/>
                <w:szCs w:val="24"/>
                <w:highlight w:val="none"/>
                <w14:textFill>
                  <w14:solidFill>
                    <w14:schemeClr w14:val="tx1"/>
                  </w14:solidFill>
                </w14:textFill>
              </w:rPr>
              <w:t>所属行业：</w:t>
            </w:r>
            <w:r>
              <w:rPr>
                <w:rFonts w:hint="eastAsia" w:ascii="宋体" w:hAnsi="宋体" w:eastAsia="宋体" w:cs="Times New Roman"/>
                <w:color w:val="000000" w:themeColor="text1"/>
                <w:sz w:val="24"/>
                <w:szCs w:val="24"/>
                <w:highlight w:val="none"/>
                <w14:textFill>
                  <w14:solidFill>
                    <w14:schemeClr w14:val="tx1"/>
                  </w14:solidFill>
                </w14:textFill>
              </w:rPr>
              <w:t>根据工信部等部委发布的《关于印发中小企业划型标准规定的通知》（工信部联企业〔2011〕300号）、财政部、工业和信息化部《政府采购促进中小企业发展管理办法》（财库[2020]46号文）规定，</w:t>
            </w:r>
            <w:r>
              <w:rPr>
                <w:rFonts w:hint="eastAsia" w:ascii="宋体" w:hAnsi="宋体" w:eastAsia="宋体" w:cs="Times New Roman"/>
                <w:color w:val="000000" w:themeColor="text1"/>
                <w:kern w:val="0"/>
                <w:sz w:val="24"/>
                <w:szCs w:val="24"/>
                <w:highlight w:val="none"/>
                <w14:textFill>
                  <w14:solidFill>
                    <w14:schemeClr w14:val="tx1"/>
                  </w14:solidFill>
                </w14:textFill>
              </w:rPr>
              <w:t>本次采购标的所属行业为</w:t>
            </w:r>
            <w:r>
              <w:rPr>
                <w:rFonts w:hint="eastAsia" w:ascii="宋体" w:hAnsi="宋体" w:eastAsia="宋体" w:cs="Times New Roman"/>
                <w:b/>
                <w:bCs/>
                <w:color w:val="000000" w:themeColor="text1"/>
                <w:kern w:val="0"/>
                <w:sz w:val="24"/>
                <w:szCs w:val="24"/>
                <w:highlight w:val="none"/>
                <w:u w:val="single"/>
                <w:lang w:val="en-US" w:eastAsia="zh-CN"/>
                <w14:textFill>
                  <w14:solidFill>
                    <w14:schemeClr w14:val="tx1"/>
                  </w14:solidFill>
                </w14:textFill>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34" w:type="dxa"/>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p>
        </w:tc>
        <w:tc>
          <w:tcPr>
            <w:tcW w:w="1537" w:type="dxa"/>
            <w:vAlign w:val="center"/>
          </w:tcPr>
          <w:p>
            <w:pPr>
              <w:spacing w:line="360" w:lineRule="auto"/>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sz w:val="24"/>
                <w:szCs w:val="24"/>
                <w:highlight w:val="none"/>
                <w14:textFill>
                  <w14:solidFill>
                    <w14:schemeClr w14:val="tx1"/>
                  </w14:solidFill>
                </w14:textFill>
              </w:rPr>
              <w:t>其他规定</w:t>
            </w:r>
          </w:p>
        </w:tc>
        <w:tc>
          <w:tcPr>
            <w:tcW w:w="7662" w:type="dxa"/>
            <w:vAlign w:val="center"/>
          </w:tcPr>
          <w:p>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供应商在法定质疑期内一次性提出针对同一采购程序环节的质疑，本项目不接受供应商多次/反复质疑。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4" w:type="dxa"/>
            <w:vAlign w:val="center"/>
          </w:tcPr>
          <w:p>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25</w:t>
            </w:r>
          </w:p>
        </w:tc>
        <w:tc>
          <w:tcPr>
            <w:tcW w:w="1537"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需要补充的其他内容</w:t>
            </w:r>
          </w:p>
        </w:tc>
        <w:tc>
          <w:tcPr>
            <w:tcW w:w="7662" w:type="dxa"/>
            <w:vAlign w:val="center"/>
          </w:tcPr>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3.投标（响应）报价低于采购项目最高限价45%的，即投标（响应）报价&lt;采购项目最高限价×45%；</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相关法律法规对供应商报价有规定的，从其规定。</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2、无论何种原因，在响应文件中未提供相应材料的，评审小组将视同其未提供。</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7、当出现下列情形之一，响应文件将予以退回：</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（1）供应商在响应文件递交截止时间前未成功上传加密电子响应文件；</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（2）供应商使用解密的CA数字证书与上传加密响应文件使用的CA数字证书不一致；</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（3）供应商解密时CA数字证书已过期，导致无法正常解密；</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（4）加密响应文件时，CA数字证书未过期，解密时，显示CA数字证书已过期，导致无法正常解密；</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（5）未在规定的响应文件解密时间内进行解密的；</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（6）供应商个人原因导致无法解密的其他情形。 </w:t>
            </w:r>
          </w:p>
          <w:p>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pPr>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tc>
      </w:tr>
    </w:tbl>
    <w:p>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11" w:name="_Toc17863"/>
      <w:r>
        <w:rPr>
          <w:rFonts w:hint="eastAsia" w:ascii="宋体" w:hAnsi="宋体" w:eastAsia="宋体" w:cs="Times New Roman"/>
          <w:color w:val="000000" w:themeColor="text1"/>
          <w:kern w:val="0"/>
          <w:sz w:val="24"/>
          <w:szCs w:val="24"/>
          <w:highlight w:val="none"/>
          <w14:textFill>
            <w14:solidFill>
              <w14:schemeClr w14:val="tx1"/>
            </w14:solidFill>
          </w14:textFill>
        </w:rPr>
        <w:t>供应商须知正文</w:t>
      </w:r>
      <w:bookmarkEnd w:id="11"/>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2" w:name="_Toc21339"/>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bookmarkEnd w:id="12"/>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”是依据《政府采购货物和服务招标投标管理办法》有关规定组建，依法履行评审采购活动职责的评审成员。</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见</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8295"/>
      <w:r>
        <w:rPr>
          <w:rFonts w:hint="eastAsia" w:ascii="宋体" w:hAnsi="宋体" w:eastAsia="宋体" w:cs="Times New Roman"/>
          <w:b/>
          <w:bCs/>
          <w:color w:val="000000" w:themeColor="text1"/>
          <w:kern w:val="0"/>
          <w:sz w:val="24"/>
          <w:szCs w:val="24"/>
          <w:highlight w:val="none"/>
          <w14:textFill>
            <w14:solidFill>
              <w14:schemeClr w14:val="tx1"/>
            </w14:solidFill>
          </w14:textFill>
        </w:rPr>
        <w:t>二、招标文件</w:t>
      </w:r>
      <w:bookmarkEnd w:id="13"/>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招标公告</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pP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法律法规</w:t>
      </w:r>
      <w:r>
        <w:rPr>
          <w:rFonts w:hint="eastAsia" w:ascii="宋体" w:hAnsi="宋体" w:eastAsia="宋体" w:cs="Times New Roman"/>
          <w:color w:val="000000" w:themeColor="text1"/>
          <w:kern w:val="0"/>
          <w:sz w:val="24"/>
          <w:szCs w:val="24"/>
          <w:highlight w:val="none"/>
          <w14:textFill>
            <w14:solidFill>
              <w14:schemeClr w14:val="tx1"/>
            </w14:solidFill>
          </w14:textFill>
        </w:rPr>
        <w:t>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4" w:name="_Toc31880"/>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w:t>
      </w:r>
      <w:bookmarkEnd w:id="14"/>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就有关投标的所有来往函电必须使用中文。供应商可以提交其他语言的资料，但应附有中文注释，有差异时以中文为准。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书和</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拟配备人员</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（1）技术响应与偏离表</w:t>
      </w:r>
    </w:p>
    <w:p>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方案</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投标人认为需要提供的</w:t>
      </w:r>
      <w:r>
        <w:rPr>
          <w:rFonts w:hint="eastAsia" w:ascii="宋体" w:hAnsi="宋体" w:eastAsia="宋体" w:cs="Times New Roman"/>
          <w:color w:val="000000" w:themeColor="text1"/>
          <w:kern w:val="0"/>
          <w:sz w:val="24"/>
          <w:szCs w:val="24"/>
          <w:highlight w:val="none"/>
          <w14:textFill>
            <w14:solidFill>
              <w14:schemeClr w14:val="tx1"/>
            </w14:solidFill>
          </w14:textFill>
        </w:rPr>
        <w:t>其它资料</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电子形式要求提供的澄清文件是投标文件的有效组成部分。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在评标时将其视为无效投标。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20.2　修改、补充的内容为投标文件的组成部分。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20.3　供应商在投标有效期内不得修改、撤销其投标文件。</w:t>
      </w:r>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5" w:name="_Toc12631"/>
      <w:r>
        <w:rPr>
          <w:rFonts w:hint="eastAsia" w:ascii="宋体" w:hAnsi="宋体" w:eastAsia="宋体" w:cs="Times New Roman"/>
          <w:b/>
          <w:bCs/>
          <w:color w:val="000000" w:themeColor="text1"/>
          <w:kern w:val="0"/>
          <w:sz w:val="24"/>
          <w:szCs w:val="24"/>
          <w:highlight w:val="none"/>
          <w14:textFill>
            <w14:solidFill>
              <w14:schemeClr w14:val="tx1"/>
            </w14:solidFill>
          </w14:textFill>
        </w:rPr>
        <w:t>四、开标和评标</w:t>
      </w:r>
      <w:bookmarkEnd w:id="15"/>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新疆</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平台</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评审小组应当对符合资格的供应商的投标文件进行符合性审查，以确定其是否满足招标文件的实质性要求。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有下列情形之一的，应在符合性审查时按照无效投标处理：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14:textFill>
            <w14:solidFill>
              <w14:schemeClr w14:val="tx1"/>
            </w14:solidFill>
          </w14:textFill>
        </w:rPr>
        <w:t>投标文件未按照招标文件规定要求签署及盖章的；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（2）服务要求不满足招标文件要求的；（采购需求均为不可偏离项）</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（3）投标有效期不足的；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（4）服务期限不满足招标文件规定的；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（5）售后服务承诺未提供的；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（6）投标报价是否在采购预算或最高限价以内；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（7）投标文件不符合招标文件实质性要求的；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（8）不符合法律、法规和招标文件规定的其他无效情形的。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审小组发出的询标信息，并在规定时间内作出答复，未能按时答复的，评审小组将视同其放弃澄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评审小组应当按照招标文件中规定的评标方法和标准，对符合性审查合格的投标文件进行商务和技术评估，综合比较与评价。</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认为供应商的报价明显低于其他通过符合性审查供应商的报价，有可能影响服务质量或者不能诚信履约的，应当要求其在评标现场合理的时间内提供说明，必要时提交相关证明材料；供应商不能证明其报价合理性的，评审小组应当将其作为无效投标处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按照供应商须知前附表规定的方式确定中标人。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成员以及与评标工作有关的人员不得泄露评标情况以及评标过程中获悉的国家秘密、商业秘密。</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审小组成员行贿或者提供其他不正当利益；不得提供虚假材料谋取中标；不得以任何方式干扰、影响采购工作。供应商违反中华人民共和国政府采购法律法规相关规定的，依法追究法律责任。</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6" w:name="_Toc15954"/>
      <w:r>
        <w:rPr>
          <w:rFonts w:hint="eastAsia" w:ascii="宋体" w:hAnsi="宋体" w:eastAsia="宋体" w:cs="Times New Roman"/>
          <w:b/>
          <w:bCs/>
          <w:color w:val="000000" w:themeColor="text1"/>
          <w:kern w:val="0"/>
          <w:sz w:val="24"/>
          <w:szCs w:val="24"/>
          <w:highlight w:val="none"/>
          <w14:textFill>
            <w14:solidFill>
              <w14:schemeClr w14:val="tx1"/>
            </w14:solidFill>
          </w14:textFill>
        </w:rPr>
        <w:t>五、中标信息公告与签订合同</w:t>
      </w:r>
      <w:bookmarkEnd w:id="16"/>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24284"/>
      <w:r>
        <w:rPr>
          <w:rFonts w:hint="eastAsia" w:ascii="宋体" w:hAnsi="宋体" w:eastAsia="宋体" w:cs="Times New Roman"/>
          <w:b/>
          <w:bCs/>
          <w:color w:val="000000" w:themeColor="text1"/>
          <w:kern w:val="0"/>
          <w:sz w:val="24"/>
          <w:szCs w:val="24"/>
          <w:highlight w:val="none"/>
          <w14:textFill>
            <w14:solidFill>
              <w14:schemeClr w14:val="tx1"/>
            </w14:solidFill>
          </w14:textFill>
        </w:rPr>
        <w:t>六、其他规定</w:t>
      </w:r>
      <w:bookmarkEnd w:id="17"/>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pPr>
        <w:spacing w:line="360" w:lineRule="auto"/>
        <w:outlineLvl w:val="0"/>
        <w:rPr>
          <w:rFonts w:ascii="宋体" w:hAnsi="宋体" w:eastAsia="宋体" w:cs="宋体"/>
          <w:b/>
          <w:bCs/>
          <w:color w:val="000000" w:themeColor="text1"/>
          <w:sz w:val="24"/>
          <w:szCs w:val="24"/>
          <w:highlight w:val="none"/>
          <w14:textFill>
            <w14:solidFill>
              <w14:schemeClr w14:val="tx1"/>
            </w14:solidFill>
          </w14:textFill>
        </w:rPr>
      </w:pPr>
      <w:bookmarkStart w:id="18" w:name="_Toc2490"/>
      <w:r>
        <w:rPr>
          <w:rFonts w:hint="eastAsia" w:ascii="宋体" w:hAnsi="宋体" w:eastAsia="宋体" w:cs="宋体"/>
          <w:b/>
          <w:bCs/>
          <w:color w:val="000000" w:themeColor="text1"/>
          <w:sz w:val="24"/>
          <w:szCs w:val="24"/>
          <w:highlight w:val="none"/>
          <w14:textFill>
            <w14:solidFill>
              <w14:schemeClr w14:val="tx1"/>
            </w14:solidFill>
          </w14:textFill>
        </w:rPr>
        <w:t>七、质疑处理</w:t>
      </w:r>
      <w:bookmarkEnd w:id="18"/>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的，可以对</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提出质疑。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、采购过程和采购结果使自己的权益受到损害的，可以在知道或应知其权益受到损害之日起七个工作日内，以书面形式向代理机构及采购人提出质疑。上述应知其权益受到损害之日，是指：</w:t>
      </w:r>
    </w:p>
    <w:p>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提出质疑的，为收到</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之日或者</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公告期限届满之日；</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pPr>
        <w:adjustRightInd w:val="0"/>
        <w:snapToGrid w:val="0"/>
        <w:spacing w:line="40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pP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p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pPr>
        <w:pStyle w:val="2"/>
        <w:rPr>
          <w:rFonts w:hint="eastAsia"/>
          <w:color w:val="000000" w:themeColor="text1"/>
          <w:highlight w:val="none"/>
          <w14:textFill>
            <w14:solidFill>
              <w14:schemeClr w14:val="tx1"/>
            </w14:solidFill>
          </w14:textFill>
        </w:rPr>
      </w:pPr>
      <w:bookmarkStart w:id="19" w:name="_Toc31452"/>
      <w:bookmarkStart w:id="20" w:name="_Toc21941"/>
      <w:r>
        <w:rPr>
          <w:rFonts w:hint="eastAsia"/>
          <w:color w:val="000000" w:themeColor="text1"/>
          <w:highlight w:val="none"/>
          <w14:textFill>
            <w14:solidFill>
              <w14:schemeClr w14:val="tx1"/>
            </w14:solidFill>
          </w14:textFill>
        </w:rPr>
        <w:t>第三章　评标办法及标准</w:t>
      </w:r>
      <w:bookmarkEnd w:id="19"/>
      <w:bookmarkEnd w:id="20"/>
    </w:p>
    <w:p>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21" w:name="_Toc19636"/>
      <w:r>
        <w:rPr>
          <w:rFonts w:hint="eastAsia" w:ascii="宋体" w:hAnsi="宋体" w:eastAsia="宋体" w:cs="宋体"/>
          <w:b/>
          <w:bCs/>
          <w:color w:val="000000" w:themeColor="text1"/>
          <w:kern w:val="0"/>
          <w:sz w:val="24"/>
          <w:szCs w:val="24"/>
          <w:highlight w:val="none"/>
          <w14:textFill>
            <w14:solidFill>
              <w14:schemeClr w14:val="tx1"/>
            </w14:solidFill>
          </w14:textFill>
        </w:rPr>
        <w:t>1、评标办法</w:t>
      </w:r>
    </w:p>
    <w:p>
      <w:pPr>
        <w:spacing w:line="3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本次评标</w:t>
      </w:r>
      <w:r>
        <w:rPr>
          <w:rFonts w:hint="eastAsia" w:ascii="宋体" w:hAnsi="宋体" w:eastAsia="宋体" w:cs="宋体"/>
          <w:b/>
          <w:color w:val="000000" w:themeColor="text1"/>
          <w:kern w:val="0"/>
          <w:sz w:val="24"/>
          <w:szCs w:val="24"/>
          <w:highlight w:val="none"/>
          <w14:textFill>
            <w14:solidFill>
              <w14:schemeClr w14:val="tx1"/>
            </w14:solidFill>
          </w14:textFill>
        </w:rPr>
        <w:t>按照《政府采购货物和服务招标投标管理办法》（中华人民共和国财政部令第87号）</w:t>
      </w:r>
      <w:r>
        <w:rPr>
          <w:rFonts w:hint="eastAsia" w:ascii="宋体" w:hAnsi="宋体" w:eastAsia="宋体" w:cs="宋体"/>
          <w:b/>
          <w:color w:val="000000" w:themeColor="text1"/>
          <w:sz w:val="24"/>
          <w:szCs w:val="24"/>
          <w:highlight w:val="none"/>
          <w14:textFill>
            <w14:solidFill>
              <w14:schemeClr w14:val="tx1"/>
            </w14:solidFill>
          </w14:textFill>
        </w:rPr>
        <w:t>规定的评审标准，采用综合评分法</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 xml:space="preserve">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pPr>
        <w:spacing w:line="3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2、评审标准</w:t>
      </w:r>
    </w:p>
    <w:p>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2.1 初步评审标准</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2.1.1响应文件的初审分为资格性审查及符合性审查。</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依据法律法规和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eastAsia="宋体" w:cs="宋体"/>
          <w:b/>
          <w:color w:val="000000" w:themeColor="text1"/>
          <w:kern w:val="0"/>
          <w:sz w:val="24"/>
          <w:szCs w:val="24"/>
          <w:highlight w:val="none"/>
          <w14:textFill>
            <w14:solidFill>
              <w14:schemeClr w14:val="tx1"/>
            </w14:solidFill>
          </w14:textFill>
        </w:rPr>
        <w:t>如果供应商不具备投标资格，不满足</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kern w:val="0"/>
          <w:sz w:val="24"/>
          <w:szCs w:val="24"/>
          <w:highlight w:val="none"/>
          <w14:textFill>
            <w14:solidFill>
              <w14:schemeClr w14:val="tx1"/>
            </w14:solidFill>
          </w14:textFill>
        </w:rPr>
        <w:t>所规定的资格标准或提供资格证明文件不全的，其投标无效。</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符合性检查：由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依据有关法律、法规及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的要求，对符合资格的供应商的响应文件进行符合性审查，以确定是否对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的实质性要求做出响应。只有通过符合性审查的供应商的响应文件才能进入下一阶段的评审！</w:t>
      </w:r>
    </w:p>
    <w:p>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2.2 比较与评价</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对通过资格性审查和符合性审查的每个供应商的响应文件，按照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中规定的评审标准</w:t>
      </w:r>
      <w:r>
        <w:rPr>
          <w:rFonts w:hint="eastAsia" w:ascii="宋体" w:hAnsi="宋体" w:eastAsia="宋体" w:cs="宋体"/>
          <w:color w:val="000000" w:themeColor="text1"/>
          <w:sz w:val="24"/>
          <w:szCs w:val="24"/>
          <w:highlight w:val="none"/>
          <w14:textFill>
            <w14:solidFill>
              <w14:schemeClr w14:val="tx1"/>
            </w14:solidFill>
          </w14:textFill>
        </w:rPr>
        <w:t>审查、评价响应文件是否符合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的商务、技术等实质性要求，并</w:t>
      </w:r>
      <w:r>
        <w:rPr>
          <w:rFonts w:hint="eastAsia" w:ascii="宋体" w:hAnsi="宋体" w:eastAsia="宋体" w:cs="宋体"/>
          <w:color w:val="000000" w:themeColor="text1"/>
          <w:kern w:val="0"/>
          <w:sz w:val="24"/>
          <w:szCs w:val="24"/>
          <w:highlight w:val="none"/>
          <w14:textFill>
            <w14:solidFill>
              <w14:schemeClr w14:val="tx1"/>
            </w14:solidFill>
          </w14:textFill>
        </w:rPr>
        <w:t>对响应文件的投标价格作进一步综合比较与评价。</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2.3评审因素</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中规定的各项因素进行综合评审后，并以记名方式进行评分。在评标中，不得改变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2.3.2在评标中，不得改变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p>
    <w:p>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3、评标程序</w:t>
      </w:r>
    </w:p>
    <w:p>
      <w:pPr>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b/>
          <w:bCs/>
          <w:color w:val="000000" w:themeColor="text1"/>
          <w:sz w:val="24"/>
          <w:szCs w:val="24"/>
          <w:highlight w:val="none"/>
          <w14:textFill>
            <w14:solidFill>
              <w14:schemeClr w14:val="tx1"/>
            </w14:solidFill>
          </w14:textFill>
        </w:rPr>
        <w:t>资格性审查</w:t>
      </w:r>
      <w:r>
        <w:rPr>
          <w:rFonts w:hint="eastAsia" w:ascii="宋体" w:hAnsi="宋体" w:eastAsia="宋体" w:cs="宋体"/>
          <w:color w:val="000000" w:themeColor="text1"/>
          <w:sz w:val="24"/>
          <w:szCs w:val="24"/>
          <w:highlight w:val="none"/>
          <w14:textFill>
            <w14:solidFill>
              <w14:schemeClr w14:val="tx1"/>
            </w14:solidFill>
          </w14:textFill>
        </w:rPr>
        <w:t>　</w:t>
      </w:r>
    </w:p>
    <w:p>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资格审查(由采购人或采购代理机构进行资格审查，若供应商资格审查未通过，将认定整个响应文件不响应招标文件而予以投标无效）</w:t>
      </w:r>
    </w:p>
    <w:p>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p>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p>
    <w:tbl>
      <w:tblPr>
        <w:tblStyle w:val="4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117"/>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0" w:type="dxa"/>
            <w:vAlign w:val="center"/>
          </w:tcPr>
          <w:p>
            <w:pPr>
              <w:pStyle w:val="138"/>
              <w:ind w:left="0" w:leftChars="0" w:firstLine="0" w:firstLineChars="0"/>
              <w:jc w:val="both"/>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pacing w:val="0"/>
                <w:kern w:val="2"/>
                <w:sz w:val="21"/>
                <w:szCs w:val="21"/>
                <w:highlight w:val="none"/>
                <w14:textFill>
                  <w14:solidFill>
                    <w14:schemeClr w14:val="tx1"/>
                  </w14:solidFill>
                </w14:textFill>
              </w:rPr>
              <w:t>序号</w:t>
            </w:r>
          </w:p>
        </w:tc>
        <w:tc>
          <w:tcPr>
            <w:tcW w:w="3117" w:type="dxa"/>
            <w:vAlign w:val="center"/>
          </w:tcPr>
          <w:p>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资格条件</w:t>
            </w:r>
          </w:p>
        </w:tc>
        <w:tc>
          <w:tcPr>
            <w:tcW w:w="4720" w:type="dxa"/>
            <w:vAlign w:val="center"/>
          </w:tcPr>
          <w:p>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80"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1</w:t>
            </w:r>
          </w:p>
        </w:tc>
        <w:tc>
          <w:tcPr>
            <w:tcW w:w="3117"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2" w:name="OLE_LINK2"/>
            <w:r>
              <w:rPr>
                <w:rFonts w:hint="eastAsia" w:ascii="宋体" w:hAnsi="宋体" w:cs="宋体"/>
                <w:bCs w:val="0"/>
                <w:color w:val="000000" w:themeColor="text1"/>
                <w:spacing w:val="0"/>
                <w:kern w:val="2"/>
                <w:sz w:val="21"/>
                <w:szCs w:val="21"/>
                <w:highlight w:val="none"/>
                <w14:textFill>
                  <w14:solidFill>
                    <w14:schemeClr w14:val="tx1"/>
                  </w14:solidFill>
                </w14:textFill>
              </w:rPr>
              <w:t>具有独立承担民事责任的能力</w:t>
            </w:r>
            <w:bookmarkEnd w:id="22"/>
          </w:p>
        </w:tc>
        <w:tc>
          <w:tcPr>
            <w:tcW w:w="4720" w:type="dxa"/>
            <w:vAlign w:val="center"/>
          </w:tcPr>
          <w:p>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80"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2</w:t>
            </w:r>
          </w:p>
        </w:tc>
        <w:tc>
          <w:tcPr>
            <w:tcW w:w="3117"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具有良好的商业信誉和健全的财务会计制度</w:t>
            </w:r>
          </w:p>
        </w:tc>
        <w:tc>
          <w:tcPr>
            <w:tcW w:w="4720" w:type="dxa"/>
            <w:vAlign w:val="center"/>
          </w:tcPr>
          <w:p>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3" w:name="OLE_LINK3"/>
            <w:r>
              <w:rPr>
                <w:rFonts w:hint="eastAsia" w:ascii="宋体" w:hAnsi="宋体" w:cs="宋体"/>
                <w:bCs w:val="0"/>
                <w:color w:val="000000" w:themeColor="text1"/>
                <w:spacing w:val="0"/>
                <w:kern w:val="2"/>
                <w:sz w:val="21"/>
                <w:szCs w:val="21"/>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3</w:t>
            </w:r>
          </w:p>
        </w:tc>
        <w:tc>
          <w:tcPr>
            <w:tcW w:w="3117"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具有履行合同所必需的设备和专业技术能力</w:t>
            </w:r>
          </w:p>
        </w:tc>
        <w:tc>
          <w:tcPr>
            <w:tcW w:w="4720" w:type="dxa"/>
            <w:vAlign w:val="center"/>
          </w:tcPr>
          <w:p>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80"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4</w:t>
            </w:r>
          </w:p>
        </w:tc>
        <w:tc>
          <w:tcPr>
            <w:tcW w:w="3117"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4" w:name="OLE_LINK5"/>
            <w:r>
              <w:rPr>
                <w:rFonts w:hint="eastAsia" w:ascii="宋体" w:hAnsi="宋体" w:cs="宋体"/>
                <w:bCs w:val="0"/>
                <w:color w:val="000000" w:themeColor="text1"/>
                <w:spacing w:val="0"/>
                <w:kern w:val="2"/>
                <w:sz w:val="21"/>
                <w:szCs w:val="21"/>
                <w:highlight w:val="none"/>
                <w14:textFill>
                  <w14:solidFill>
                    <w14:schemeClr w14:val="tx1"/>
                  </w14:solidFill>
                </w14:textFill>
              </w:rPr>
              <w:t>有依法缴纳税收和依法缴纳社会保障资金的记录</w:t>
            </w:r>
            <w:bookmarkEnd w:id="24"/>
          </w:p>
        </w:tc>
        <w:tc>
          <w:tcPr>
            <w:tcW w:w="4720" w:type="dxa"/>
            <w:vAlign w:val="center"/>
          </w:tcPr>
          <w:p>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须提供响应文件递交截止日期之前六个月内任何一期的纳税记录或证明文件原件扫描件加盖电子公章（依法免税的应提供相应文件说明）</w:t>
            </w:r>
          </w:p>
          <w:p>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w:t>
            </w:r>
            <w:r>
              <w:rPr>
                <w:rFonts w:hint="eastAsia" w:ascii="宋体" w:hAnsi="宋体" w:cs="宋体"/>
                <w:color w:val="000000" w:themeColor="text1"/>
                <w:sz w:val="21"/>
                <w:szCs w:val="21"/>
                <w:highlight w:val="none"/>
                <w:lang w:val="en-US" w:eastAsia="zh-CN"/>
                <w14:textFill>
                  <w14:solidFill>
                    <w14:schemeClr w14:val="tx1"/>
                  </w14:solidFill>
                </w14:textFill>
              </w:rPr>
              <w:t>三个月</w:t>
            </w:r>
            <w:r>
              <w:rPr>
                <w:rFonts w:hint="eastAsia" w:ascii="宋体" w:hAnsi="宋体" w:cs="宋体"/>
                <w:color w:val="000000" w:themeColor="text1"/>
                <w:sz w:val="21"/>
                <w:szCs w:val="21"/>
                <w:highlight w:val="none"/>
                <w14:textFill>
                  <w14:solidFill>
                    <w14:schemeClr w14:val="tx1"/>
                  </w14:solidFill>
                </w14:textFill>
              </w:rPr>
              <w:t>内为员工缴纳社会保障资金的证明材料原件扫描件加盖电子公章（</w:t>
            </w:r>
            <w:r>
              <w:rPr>
                <w:rFonts w:hint="eastAsia" w:ascii="宋体" w:hAnsi="宋体" w:cs="宋体"/>
                <w:color w:val="000000" w:themeColor="text1"/>
                <w:sz w:val="21"/>
                <w:szCs w:val="21"/>
                <w:highlight w:val="none"/>
                <w:lang w:val="en-US" w:eastAsia="zh-CN"/>
                <w14:textFill>
                  <w14:solidFill>
                    <w14:schemeClr w14:val="tx1"/>
                  </w14:solidFill>
                </w14:textFill>
              </w:rPr>
              <w:t>近三个月</w:t>
            </w:r>
            <w:r>
              <w:rPr>
                <w:rFonts w:hint="eastAsia" w:ascii="宋体" w:hAnsi="宋体" w:cs="宋体"/>
                <w:color w:val="000000" w:themeColor="text1"/>
                <w:sz w:val="21"/>
                <w:szCs w:val="21"/>
                <w:highlight w:val="none"/>
                <w14:textFill>
                  <w14:solidFill>
                    <w14:schemeClr w14:val="tx1"/>
                  </w14:solidFill>
                </w14:textFill>
              </w:rPr>
              <w:t>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80"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5</w:t>
            </w:r>
          </w:p>
        </w:tc>
        <w:tc>
          <w:tcPr>
            <w:tcW w:w="3117" w:type="dxa"/>
            <w:vAlign w:val="center"/>
          </w:tcPr>
          <w:p>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参加政府采购活动前三年内，在经营活动中没有重大违法记录</w:t>
            </w:r>
          </w:p>
        </w:tc>
        <w:tc>
          <w:tcPr>
            <w:tcW w:w="4720" w:type="dxa"/>
            <w:vAlign w:val="center"/>
          </w:tcPr>
          <w:p>
            <w:pPr>
              <w:pStyle w:val="138"/>
              <w:ind w:left="0" w:leftChars="0" w:firstLine="0" w:firstLineChars="0"/>
              <w:jc w:val="left"/>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80" w:type="dxa"/>
            <w:vAlign w:val="center"/>
          </w:tcPr>
          <w:p>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6</w:t>
            </w:r>
          </w:p>
        </w:tc>
        <w:tc>
          <w:tcPr>
            <w:tcW w:w="3117" w:type="dxa"/>
            <w:vAlign w:val="center"/>
          </w:tcPr>
          <w:p>
            <w:pPr>
              <w:pStyle w:val="138"/>
              <w:ind w:left="0" w:leftChars="0" w:firstLine="0" w:firstLineChars="0"/>
              <w:jc w:val="both"/>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中华人民共和国政府采购法律法规相关规定的其他条件。</w:t>
            </w:r>
          </w:p>
        </w:tc>
        <w:tc>
          <w:tcPr>
            <w:tcW w:w="4720" w:type="dxa"/>
            <w:vAlign w:val="center"/>
          </w:tcPr>
          <w:p>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5" w:name="OLE_LINK6"/>
            <w:r>
              <w:rPr>
                <w:rFonts w:hint="eastAsia" w:ascii="宋体" w:hAnsi="宋体" w:cs="宋体"/>
                <w:color w:val="000000" w:themeColor="text1"/>
                <w:sz w:val="21"/>
                <w:szCs w:val="21"/>
                <w:highlight w:val="none"/>
                <w14:textFill>
                  <w14:solidFill>
                    <w14:schemeClr w14:val="tx1"/>
                  </w14:solidFill>
                </w14:textFill>
              </w:rPr>
              <w:t>须提供声明函原件</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w:t>
            </w:r>
          </w:p>
        </w:tc>
        <w:tc>
          <w:tcPr>
            <w:tcW w:w="3117" w:type="dxa"/>
            <w:vAlign w:val="center"/>
          </w:tcPr>
          <w:p>
            <w:pPr>
              <w:pStyle w:val="138"/>
              <w:widowControl w:val="0"/>
              <w:numPr>
                <w:ilvl w:val="0"/>
                <w:numId w:val="0"/>
              </w:numPr>
              <w:wordWrap/>
              <w:adjustRightInd/>
              <w:snapToGrid/>
              <w:spacing w:line="360" w:lineRule="exact"/>
              <w:jc w:val="both"/>
              <w:textAlignment w:val="auto"/>
              <w:rPr>
                <w:rFonts w:hint="eastAsia"/>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1"/>
                <w:szCs w:val="21"/>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cs="Times New Roman"/>
                <w:color w:val="000000" w:themeColor="text1"/>
                <w:sz w:val="21"/>
                <w:szCs w:val="21"/>
                <w:highlight w:val="none"/>
                <w:lang w:eastAsia="zh-CN"/>
                <w14:textFill>
                  <w14:solidFill>
                    <w14:schemeClr w14:val="tx1"/>
                  </w14:solidFill>
                </w14:textFill>
              </w:rPr>
              <w:t>参与</w:t>
            </w:r>
            <w:r>
              <w:rPr>
                <w:rFonts w:hint="eastAsia" w:ascii="宋体" w:hAnsi="宋体" w:eastAsia="宋体" w:cs="Times New Roman"/>
                <w:color w:val="000000" w:themeColor="text1"/>
                <w:sz w:val="21"/>
                <w:szCs w:val="21"/>
                <w:highlight w:val="none"/>
                <w14:textFill>
                  <w14:solidFill>
                    <w14:schemeClr w14:val="tx1"/>
                  </w14:solidFill>
                </w14:textFill>
              </w:rPr>
              <w:t>本次招标活动；</w:t>
            </w:r>
          </w:p>
        </w:tc>
        <w:tc>
          <w:tcPr>
            <w:tcW w:w="4720" w:type="dxa"/>
            <w:vAlign w:val="center"/>
          </w:tcPr>
          <w:p>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color w:val="000000" w:themeColor="text1"/>
                <w:kern w:val="2"/>
                <w:sz w:val="21"/>
                <w:szCs w:val="21"/>
                <w:highlight w:val="none"/>
                <w14:textFill>
                  <w14:solidFill>
                    <w14:schemeClr w14:val="tx1"/>
                  </w14:solidFill>
                </w14:textFill>
              </w:rPr>
              <w:t>；</w:t>
            </w:r>
            <w:r>
              <w:rPr>
                <w:rFonts w:hint="eastAsia" w:ascii="宋体" w:hAnsi="宋体" w:cs="宋体"/>
                <w:bCs w:val="0"/>
                <w:color w:val="000000" w:themeColor="text1"/>
                <w:spacing w:val="0"/>
                <w:kern w:val="2"/>
                <w:sz w:val="21"/>
                <w:szCs w:val="21"/>
                <w:highlight w:val="none"/>
                <w14:textFill>
                  <w14:solidFill>
                    <w14:schemeClr w14:val="tx1"/>
                  </w14:solidFill>
                </w14:textFill>
              </w:rPr>
              <w:t>以采购代理机构在“信用中国”网站及“中国政府采购网”</w:t>
            </w: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等网站</w:t>
            </w:r>
            <w:r>
              <w:rPr>
                <w:rFonts w:hint="eastAsia" w:ascii="宋体" w:hAnsi="宋体" w:cs="宋体"/>
                <w:bCs w:val="0"/>
                <w:color w:val="000000" w:themeColor="text1"/>
                <w:spacing w:val="0"/>
                <w:kern w:val="2"/>
                <w:sz w:val="21"/>
                <w:szCs w:val="21"/>
                <w:highlight w:val="none"/>
                <w14:textFill>
                  <w14:solidFill>
                    <w14:schemeClr w14:val="tx1"/>
                  </w14:solidFill>
                </w14:textFill>
              </w:rPr>
              <w:t>查询结果为准。</w:t>
            </w:r>
          </w:p>
          <w:p>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p>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pPr>
              <w:pStyle w:val="138"/>
              <w:ind w:left="0" w:leftChars="0" w:firstLine="0" w:firstLineChars="0"/>
              <w:jc w:val="both"/>
              <w:rPr>
                <w:rFonts w:hint="default" w:ascii="宋体" w:hAnsi="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p>
        </w:tc>
        <w:tc>
          <w:tcPr>
            <w:tcW w:w="3117" w:type="dxa"/>
            <w:vAlign w:val="center"/>
          </w:tcPr>
          <w:p>
            <w:pPr>
              <w:pStyle w:val="138"/>
              <w:widowControl w:val="0"/>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tc>
        <w:tc>
          <w:tcPr>
            <w:tcW w:w="4720" w:type="dxa"/>
            <w:vAlign w:val="center"/>
          </w:tcPr>
          <w:p>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w:t>
            </w:r>
            <w:r>
              <w:rPr>
                <w:rFonts w:hint="eastAsia" w:hAnsi="宋体" w:cs="宋体"/>
                <w:bCs w:val="0"/>
                <w:color w:val="000000" w:themeColor="text1"/>
                <w:spacing w:val="0"/>
                <w:kern w:val="2"/>
                <w:sz w:val="21"/>
                <w:szCs w:val="21"/>
                <w:highlight w:val="none"/>
                <w:lang w:val="en-US" w:eastAsia="zh-CN"/>
                <w14:textFill>
                  <w14:solidFill>
                    <w14:schemeClr w14:val="tx1"/>
                  </w14:solidFill>
                </w14:textFill>
              </w:rPr>
              <w:t>提供相关内容承诺函</w:t>
            </w:r>
            <w:r>
              <w:rPr>
                <w:rFonts w:hint="eastAsia" w:ascii="宋体" w:hAnsi="宋体" w:cs="宋体"/>
                <w:bCs w:val="0"/>
                <w:color w:val="000000" w:themeColor="text1"/>
                <w:spacing w:val="0"/>
                <w:kern w:val="2"/>
                <w:sz w:val="21"/>
                <w:szCs w:val="21"/>
                <w:highlight w:val="none"/>
                <w14:textFill>
                  <w14:solidFill>
                    <w14:schemeClr w14:val="tx1"/>
                  </w14:solidFill>
                </w14:textFill>
              </w:rPr>
              <w:t>。</w:t>
            </w:r>
          </w:p>
        </w:tc>
      </w:tr>
    </w:tbl>
    <w:p>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符合性审查</w:t>
      </w:r>
    </w:p>
    <w:p>
      <w:pPr>
        <w:pStyle w:val="14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szCs w:val="24"/>
          <w:highlight w:val="none"/>
          <w14:textFill>
            <w14:solidFill>
              <w14:schemeClr w14:val="tx1"/>
            </w14:solidFill>
          </w14:textFill>
        </w:rPr>
        <w:t>对以下规定标准进行符合性审查，未通过初符合性审查的响应文件，其响应文件作为无效响应文件，不进入下一步评审</w:t>
      </w:r>
    </w:p>
    <w:tbl>
      <w:tblPr>
        <w:tblStyle w:val="4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06"/>
        <w:gridCol w:w="3304"/>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1" w:type="dxa"/>
            <w:vAlign w:val="center"/>
          </w:tcPr>
          <w:p>
            <w:pPr>
              <w:pStyle w:val="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506" w:type="dxa"/>
            <w:vAlign w:val="center"/>
          </w:tcPr>
          <w:p>
            <w:pPr>
              <w:pStyle w:val="31"/>
              <w:ind w:right="65" w:rightChars="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3304" w:type="dxa"/>
            <w:vAlign w:val="center"/>
          </w:tcPr>
          <w:p>
            <w:pPr>
              <w:pStyle w:val="31"/>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审查内容和审查标准</w:t>
            </w:r>
          </w:p>
        </w:tc>
        <w:tc>
          <w:tcPr>
            <w:tcW w:w="2956" w:type="dxa"/>
            <w:vAlign w:val="center"/>
          </w:tcPr>
          <w:p>
            <w:pPr>
              <w:pStyle w:val="31"/>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Align w:val="center"/>
          </w:tcPr>
          <w:p>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投标文件签章</w:t>
            </w:r>
          </w:p>
        </w:tc>
        <w:tc>
          <w:tcPr>
            <w:tcW w:w="3304" w:type="dxa"/>
            <w:vAlign w:val="center"/>
          </w:tcPr>
          <w:p>
            <w:pPr>
              <w:pStyle w:val="31"/>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是否按照规定在应由企业法人或法人授权代表在所有规定签字处逐一盖电子章或签字及加盖单位电子公章</w:t>
            </w:r>
          </w:p>
        </w:tc>
        <w:tc>
          <w:tcPr>
            <w:tcW w:w="2956" w:type="dxa"/>
            <w:vAlign w:val="center"/>
          </w:tcPr>
          <w:p>
            <w:pPr>
              <w:pStyle w:val="31"/>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1" w:type="dxa"/>
            <w:vAlign w:val="center"/>
          </w:tcPr>
          <w:p>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投标文件是否针对同一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出现了两个或两个以上的报价；报价是否超过项目预算或最高限价或经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认定低于成本的</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未出现了两个或两个以上的报价；报价未超过项目预算或最高限价，经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投标文件内容</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是否按照招标文件规定的内容填写</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按照招标文件规定的内容填写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vAlign w:val="center"/>
          </w:tcPr>
          <w:p>
            <w:pPr>
              <w:pStyle w:val="31"/>
              <w:ind w:right="65" w:rightChars="31"/>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6" w:name="OLE_LINK7"/>
            <w:r>
              <w:rPr>
                <w:rFonts w:hint="eastAsia" w:ascii="宋体" w:hAnsi="宋体" w:cs="宋体"/>
                <w:color w:val="000000" w:themeColor="text1"/>
                <w:sz w:val="21"/>
                <w:szCs w:val="21"/>
                <w:highlight w:val="none"/>
                <w:lang w:val="en-US" w:eastAsia="zh-CN"/>
                <w14:textFill>
                  <w14:solidFill>
                    <w14:schemeClr w14:val="tx1"/>
                  </w14:solidFill>
                </w14:textFill>
              </w:rPr>
              <w:t>服务期</w:t>
            </w:r>
            <w:bookmarkEnd w:id="26"/>
          </w:p>
        </w:tc>
        <w:tc>
          <w:tcPr>
            <w:tcW w:w="3304" w:type="dxa"/>
            <w:vAlign w:val="center"/>
          </w:tcPr>
          <w:p>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是否满足招标文件要求</w:t>
            </w:r>
          </w:p>
        </w:tc>
        <w:tc>
          <w:tcPr>
            <w:tcW w:w="2956" w:type="dxa"/>
            <w:vAlign w:val="center"/>
          </w:tcPr>
          <w:p>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pPr>
              <w:pStyle w:val="31"/>
              <w:ind w:right="-71" w:rightChars="-34"/>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vAlign w:val="center"/>
          </w:tcPr>
          <w:p>
            <w:pPr>
              <w:pStyle w:val="31"/>
              <w:ind w:right="65" w:rightChars="31"/>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实质性响应</w:t>
            </w:r>
          </w:p>
        </w:tc>
        <w:tc>
          <w:tcPr>
            <w:tcW w:w="3304" w:type="dxa"/>
            <w:vAlign w:val="center"/>
          </w:tcPr>
          <w:p>
            <w:pPr>
              <w:pStyle w:val="31"/>
              <w:widowControl w:val="0"/>
              <w:wordWrap/>
              <w:adjustRightInd/>
              <w:snapToGrid w:val="0"/>
              <w:spacing w:line="360" w:lineRule="exact"/>
              <w:ind w:right="65" w:rightChars="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投标文件是否满足招标文件中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r>
              <w:rPr>
                <w:rFonts w:hint="eastAsia" w:hAnsi="宋体" w:cs="宋体"/>
                <w:color w:val="000000" w:themeColor="text1"/>
                <w:sz w:val="21"/>
                <w:szCs w:val="21"/>
                <w:highlight w:val="none"/>
                <w:lang w:val="en-US" w:eastAsia="zh-CN"/>
                <w14:textFill>
                  <w14:solidFill>
                    <w14:schemeClr w14:val="tx1"/>
                  </w14:solidFill>
                </w14:textFill>
              </w:rPr>
              <w:t>不满足作无效响应处理。</w:t>
            </w:r>
          </w:p>
        </w:tc>
        <w:tc>
          <w:tcPr>
            <w:tcW w:w="2956" w:type="dxa"/>
            <w:vAlign w:val="center"/>
          </w:tcPr>
          <w:p>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51" w:type="dxa"/>
            <w:vAlign w:val="center"/>
          </w:tcPr>
          <w:p>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、保证金金额、保证金形式是否符合招标文件规定的</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投标有效期是否满足</w:t>
            </w:r>
            <w:r>
              <w:rPr>
                <w:rFonts w:hint="eastAsia" w:ascii="宋体" w:hAnsi="宋体" w:cs="宋体"/>
                <w:color w:val="000000" w:themeColor="text1"/>
                <w:sz w:val="21"/>
                <w:szCs w:val="21"/>
                <w:highlight w:val="none"/>
                <w:lang w:val="en-US" w:eastAsia="zh-CN"/>
                <w14:textFill>
                  <w14:solidFill>
                    <w14:schemeClr w14:val="tx1"/>
                  </w14:solidFill>
                </w14:textFill>
              </w:rPr>
              <w:t>招</w:t>
            </w:r>
            <w:r>
              <w:rPr>
                <w:rFonts w:hint="eastAsia" w:ascii="宋体" w:hAnsi="宋体" w:cs="宋体"/>
                <w:color w:val="000000" w:themeColor="text1"/>
                <w:sz w:val="21"/>
                <w:szCs w:val="21"/>
                <w:highlight w:val="none"/>
                <w14:textFill>
                  <w14:solidFill>
                    <w14:schemeClr w14:val="tx1"/>
                  </w14:solidFill>
                </w14:textFill>
              </w:rPr>
              <w:t>标文件要求</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pPr>
              <w:pStyle w:val="31"/>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附加条件</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响应文件是否含有采购人不能接受的附加条件的</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1" w:type="dxa"/>
            <w:vAlign w:val="center"/>
          </w:tcPr>
          <w:p>
            <w:pPr>
              <w:pStyle w:val="31"/>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06" w:type="dxa"/>
            <w:vAlign w:val="center"/>
          </w:tcPr>
          <w:p>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w:t>
            </w:r>
          </w:p>
        </w:tc>
        <w:tc>
          <w:tcPr>
            <w:tcW w:w="3304"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投标文件中是否存在违反国家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p>
        </w:tc>
        <w:tc>
          <w:tcPr>
            <w:tcW w:w="2956" w:type="dxa"/>
            <w:vAlign w:val="center"/>
          </w:tcPr>
          <w:p>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bookmarkStart w:id="27" w:name="OLE_LINK8"/>
            <w:r>
              <w:rPr>
                <w:rFonts w:hint="eastAsia" w:ascii="宋体" w:hAnsi="宋体" w:cs="宋体"/>
                <w:color w:val="000000" w:themeColor="text1"/>
                <w:sz w:val="21"/>
                <w:szCs w:val="21"/>
                <w:highlight w:val="none"/>
                <w14:textFill>
                  <w14:solidFill>
                    <w14:schemeClr w14:val="tx1"/>
                  </w14:solidFill>
                </w14:textFill>
              </w:rPr>
              <w:t>投标文件中不存在违反国家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bookmarkEnd w:id="27"/>
          </w:p>
        </w:tc>
      </w:tr>
    </w:tbl>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判断响应文件的响应性仅基于响应文件本身而不靠外部证据。</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3.1.5</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将拒绝被确定为非实质性响应的投标，供应商不能通过修正或撤销不符之处而使其投标成为实质性响应的投标。</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3.2 </w:t>
      </w:r>
      <w:r>
        <w:rPr>
          <w:rFonts w:hint="eastAsia" w:ascii="宋体" w:hAnsi="宋体" w:eastAsia="宋体" w:cs="宋体"/>
          <w:b/>
          <w:bCs/>
          <w:color w:val="000000" w:themeColor="text1"/>
          <w:kern w:val="0"/>
          <w:sz w:val="24"/>
          <w:szCs w:val="24"/>
          <w:highlight w:val="none"/>
          <w14:textFill>
            <w14:solidFill>
              <w14:schemeClr w14:val="tx1"/>
            </w14:solidFill>
          </w14:textFill>
        </w:rPr>
        <w:t>响应文件澄清</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将允许供应商修改响应文件中不构成重大偏离的微小的、非正规、不一致或不规则地方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如食品重量规格改变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，但这种允许不能损害或影响任何供应商的相对排序。</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3.2.2对于响应文件中含义不明确、同类问题表述不一致或者有明显文字和计算错误的内容，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应当以书面形式要求供应商作出必要的澄清、说明或者补正。</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供应商的澄清、说明或者补正应当采用书面形式，并加盖公章，或者由法定代表人或其授权的代表签字。供应商的澄清、说明或者补正不得超出响应文件的范围或者改变响应文件的实质性内容。</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3.2.3响应文件报价出现前后不一致的，除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另有规定外，按照下列规定修正：</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（一）响应文件中开标一览表（报价表）内容与响应文件中相应内容不一致的，以开标一览表（报价表）为准；</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（二）大写金额和小写金额不一致的，以大写金额为准；</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（三）单价金额小数点或者百分比有明显错位的，以开标一览表的总价为准，并修改单价；</w:t>
      </w:r>
    </w:p>
    <w:p>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（四）总价金额与按单价汇总金额不一致的，以单价金额计算结果为准。</w:t>
      </w:r>
    </w:p>
    <w:p>
      <w:pPr>
        <w:spacing w:line="3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同时出现两种以上不一致的，按照前款规定的顺序修正。</w:t>
      </w:r>
    </w:p>
    <w:p>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w:t>
      </w:r>
      <w:r>
        <w:rPr>
          <w:rFonts w:hint="eastAsia" w:ascii="宋体" w:hAnsi="宋体" w:eastAsia="宋体" w:cs="宋体"/>
          <w:b/>
          <w:color w:val="000000" w:themeColor="text1"/>
          <w:sz w:val="24"/>
          <w:szCs w:val="24"/>
          <w:highlight w:val="none"/>
          <w14:textFill>
            <w14:solidFill>
              <w14:schemeClr w14:val="tx1"/>
            </w14:solidFill>
          </w14:textFill>
        </w:rPr>
        <w:t xml:space="preserve"> 比较与评价</w:t>
      </w:r>
    </w:p>
    <w:p>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中规定的评标方法和标准，对资格性检查和符合性检查合格的响应文件进行商务和技术评估，综合比较与评价。</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按本章第2.3 款规定的量化因素进行评审。</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（1）按本章评标办法规定的评审因素对商务技术和投标价格进行评审；</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（2）按本章评标办法规定，</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eastAsia="宋体" w:cs="宋体"/>
          <w:color w:val="000000" w:themeColor="text1"/>
          <w:sz w:val="24"/>
          <w:szCs w:val="24"/>
          <w:highlight w:val="none"/>
          <w14:textFill>
            <w14:solidFill>
              <w14:schemeClr w14:val="tx1"/>
            </w14:solidFill>
          </w14:textFill>
        </w:rPr>
        <w:t>。</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3.3.3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应当将其作为</w:t>
      </w:r>
      <w:r>
        <w:rPr>
          <w:rFonts w:hint="eastAsia" w:ascii="宋体" w:hAnsi="宋体" w:eastAsia="宋体" w:cs="宋体"/>
          <w:b/>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3.3.4经评审后，若出现符合本须知规定的所有投标条件的供应商不足三家情形的，本次招标终止，除采购任务取消情形外，招标单位将依法重新组织招标或者采取其他方式采购。</w:t>
      </w:r>
    </w:p>
    <w:p>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3.4评分标准与分值构成</w:t>
      </w:r>
    </w:p>
    <w:p>
      <w:pPr>
        <w:adjustRightInd w:val="0"/>
        <w:snapToGrid w:val="0"/>
        <w:spacing w:line="32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综合评分法将按商务技术和投标价格两个部分分别进行评分，商务技术部分满分为</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0分，价格部分满分为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0分，合计总分100分。</w:t>
      </w:r>
    </w:p>
    <w:p>
      <w:pPr>
        <w:adjustRightInd w:val="0"/>
        <w:snapToGrid w:val="0"/>
        <w:spacing w:line="320" w:lineRule="exact"/>
        <w:ind w:right="31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3.4.1商务技术部分</w:t>
      </w:r>
    </w:p>
    <w:p>
      <w:pP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商务技术部分评分标准</w:t>
      </w:r>
    </w:p>
    <w:tbl>
      <w:tblPr>
        <w:tblStyle w:val="49"/>
        <w:tblW w:w="8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0"/>
        <w:gridCol w:w="848"/>
        <w:gridCol w:w="1459"/>
        <w:gridCol w:w="5059"/>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tblHeader/>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b/>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u w:val="none"/>
                <w:lang w:val="en-US" w:eastAsia="zh-CN" w:bidi="ar"/>
                <w14:textFill>
                  <w14:solidFill>
                    <w14:schemeClr w14:val="tx1"/>
                  </w14:solidFill>
                </w14:textFill>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b/>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u w:val="none"/>
                <w:lang w:val="en-US" w:eastAsia="zh-CN" w:bidi="ar"/>
                <w14:textFill>
                  <w14:solidFill>
                    <w14:schemeClr w14:val="tx1"/>
                  </w14:solidFill>
                </w14:textFill>
              </w:rPr>
              <w:t>评分因素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b/>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u w:val="none"/>
                <w:lang w:val="en-US" w:eastAsia="zh-CN" w:bidi="ar"/>
                <w14:textFill>
                  <w14:solidFill>
                    <w14:schemeClr w14:val="tx1"/>
                  </w14:solidFill>
                </w14:textFill>
              </w:rPr>
              <w:t>评分项目及分值</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b/>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u w:val="none"/>
                <w:lang w:val="en-US" w:eastAsia="zh-CN" w:bidi="ar"/>
                <w14:textFill>
                  <w14:solidFill>
                    <w14:schemeClr w14:val="tx1"/>
                  </w14:solidFill>
                </w14:textFill>
              </w:rPr>
              <w:t>评分标准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b/>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u w:val="none"/>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商务部分（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类似业绩</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供应商提供近</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90"/>
                <w:rFonts w:hint="eastAsia" w:ascii="宋体" w:hAnsi="宋体" w:cs="宋体"/>
                <w:color w:val="000000" w:themeColor="text1"/>
                <w:sz w:val="24"/>
                <w:szCs w:val="24"/>
                <w:highlight w:val="none"/>
                <w:lang w:val="en-US" w:eastAsia="zh-CN" w:bidi="ar"/>
                <w14:textFill>
                  <w14:solidFill>
                    <w14:schemeClr w14:val="tx1"/>
                  </w14:solidFill>
                </w14:textFill>
              </w:rPr>
              <w:t>2021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年</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月</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1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日至投标文件递交截止日期）独立承担的与本项目类似的业绩，</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每提供一项得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资质要求</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供应商提供有效期内认证证书，标准如下：</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1.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质量管理体系认证证书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ISO 9001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（认证范围：需要包括计算机领域相关关键字）；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2.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信息安全管理体系认证证书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ISO 27001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（认证范围：需要包括计算机领域相关关键字）；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3.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信息技术服务管理体系认证证书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ISO 20000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（认证范围：需要包括计算机领域相关关键字）；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4.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环境管理体系认证证书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ISO 14001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（认证范围：需要包括计算机领域相关关键字）；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5.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职业健康管理体系认证证书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ISO 45001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（认证范围：需要包括计算机领域相关关键字）；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对于以上认证证书，供应商每提供一个满足适用范围要求的认证证书并加盖公章，得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分；不提供或不满足认证范围要求、证书过期、不加盖公章等异常情况不得分，最多得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项目服务团队</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供应商应为本项目组建专业的技术交付团队，交付团队包含项目经理、技术负责人、实施负责人和项目其它成员</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个部分。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1.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供应商为本项目指派</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名项目经理，项目经理需具备：具有工业和信息化部、人力资源和社会保障部颁发的信息系统项目管理师证书、系统架构设计师证书</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；上述资格完全满足得1分，一项不满足得0.5分，未提供或均不满足不得分。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（投标文件中须提供证书扫描件或复印件，同时提供证书持有人的最近三个月的社保证明材料</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，未提供不得分</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供应商为本项目指派</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名技术负责人，技术负责人需具备：具有工业和信息化部、人力资源和社会保障部颁发的信息系统项目管理师证书、系统架构设计师证书和系统分析师证书</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；上述资格完全满足得1分，一项不满足得0.5分，二项不满足得0.2分，未提供或均不满足不得分。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（投标文件中须提供证书扫描件或复印件，同时提供证书持有人的最近三个月的社保证明材料</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，未提供不得分</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供应商为本项目指派</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名实施负责人，实施负责人需具备：具有工业和信息化部、人力资源和社会保障部颁发的系统架构设计师证书和系统分析师证书</w:t>
            </w: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；上述资格完全满足得1分，一项不满足得0.5分，未提供或均不满足不得分。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ind w:left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cs="宋体"/>
                <w:color w:val="000000" w:themeColor="text1"/>
                <w:sz w:val="24"/>
                <w:szCs w:val="24"/>
                <w:highlight w:val="none"/>
                <w:lang w:val="en-US" w:eastAsia="zh-CN" w:bidi="ar"/>
                <w14:textFill>
                  <w14:solidFill>
                    <w14:schemeClr w14:val="tx1"/>
                  </w14:solidFill>
                </w14:textFill>
              </w:rPr>
              <w:t>（投标文件中须提供证书扫描件或复印件，同时提供证书持有人的最近三个月的社保证明材料，未提供不得分。）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ind w:left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4.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其它拟参与本项目的团队成员，应包含如下证书（每种证书至少</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份）：</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系统规划与管理师证书；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网络工程师证书；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软件评测师证书；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信息安全工程师证书；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本项内容完全满足得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分，每缺少一项资质扣</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分，扣完为止。</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（上述内容中，项目经理、技术负责人、实施负责人不得重复）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服务承诺</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除所要求服务内容外，配合招标人提供以下服务，每提供一项得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分，包括但不限于：驻场服务、申报材料编制服务、融媒体对接服务、带教服务、协助配合直播服务、外场数据采集服务；</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注：需在响应文件中以书面形式承诺并加盖公章，否则不得分。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技术部分（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60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项目理解与认识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8</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熟悉本项目业务，需求有明确的建设目标、建设思路及建设原则从业务和技术的角度出发，对本项目的总体思路、技术路线、技术难点、项目要点、关键技术分析、建设需求的分析理解和把握情况以及数据安全（含保密、管理）、门户能力等</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8</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个方面进行综合评审。</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各分项分析全面准确、内容合理、措施得当，</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每项最高得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分，总体最多得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8</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各分项分析基本准确、内容较合理，措施较得当，</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每项最多得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分，总体最多得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各分项分析有缺项、措施一般，或无针对性、方案不完善，每项最多得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，总体最多得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1.6</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本项最高得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8</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采集和处理设备</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设备提供：供应商应针对本次项目需求为本项目提供（音频、视频、文档）数据采集、转换、处理、存储设备（产权为投标人所有），设备应能完整覆盖本次项目需求，每提供一种得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用途说明：供应商应明确说明每类设备在本项目中的作用和角色，准确合理得当的每项得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分，有缺失、不完善、不具备可行性的不得分，最多得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本项最多得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采集和处理软件</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数据处理软件应为服务商自有的、具有独立知识产权的且非开源的，每提供一项软件著作权或发明专利得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0.5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分，本项最高得</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【可得分凭证】</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软件著作权登记证书，且软件功能与数字化</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数据处理相关）</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 </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发明专利证书（技术领域与数字化处理、数据治理、多媒体处理相关）</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【细化要求】</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①软著或专利须在有效期内，须提供证书扫描件并加盖公章；</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②实用新型专利不计入本项得分；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③如使用的软件为母</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子公司所有，需提供企业关系证明；</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④每份证书仅计</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次，不可重复累计。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数据处理方案</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投标人对数据处理相关内容提出完整详尽的建设方案，由专家综合分析比较后评分；</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【评分维度】</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br w:type="textWrapping"/>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 多媒体标准化处理方案（2分）：视频/音频/文档/图像四类资源的标准化处理方案，每具备一项，且具备可行性，得0.5分，缺失或使用AI臆造不得分，本项最高得2分。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 三级库建设方案（2分）：明确说明如何完成三级库建设，需明确说明原始库/过程库/成果库的建库、存储、管理、数据流转的方式方法和提出有针对性的建库方案。每包含一项建库内容，且具备可行性，得0.5分，缺失或使用AI臆造不得分，本项最高得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③ 数据处理规划（3分）：明确提出数据处理规划，包括但不限于视频抽帧、音视频分离、OCR文字提取、人工标注规则，应明确提出数据处理规划，每包含一项内容，且具备可行性，得0.5分，缺失或使用AI臆造不得分，此部分最多得2分；提供数据处理的原型设计或流程图，得1分，本项最多得3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④ 数据标注与检索索引（3分）：应提出数据标准与检索索引工作方案，应包括但不限于人工打标规范（年代/类型/主题/来源）、关键词索引构建方案、跨类型资源关联方案，每包含一项内容，且具备可行性，得1分，缺失或使用AI臆造不得分，此部分最多得3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融媒体对接方案</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投标人对融媒体对接相关内容提出完整详尽的建设方案，由专家综合分析比较后评分；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【评分维度】</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 对接架构设计（2分）：提供与融媒体平台的接口对接方案，API对接方案、平台对接方案以及与自治区融媒体中心业务系统对接架构图。每包含一项内容，且具备可行性，得0.5分，缺失或使用AI臆造不得分，此部分最多得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 数据推送与同步机制（1.5分）：库资源向融媒体平台推送的触发机制、格式转换方案、同步方案、异常处理方案，设计合理，每包含一项内容，且具备可行性，得0.5分，缺失或使用AI臆造不得分，此部分最多得1.5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③ 直播与外采协同（1.5分）：协助直播服务的具体操作流程、外场数据实时采集回传至资产库的技术方案、与现有融媒体工作流的协同技术方案。每包含一项内容，且具备可行性，得0.5分，缺失或使用AI臆造不得分，此部分最多得1.5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本项最高得5分。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firstLine="0" w:firstLineChars="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智能体对接方案</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投标人对智能体对接相关内容提出完整详尽的规划设计方案，由专家综合分析比较后评分；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【评分维度】</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 AI智能体底座规划（3分）：需提供AI智能体底座规划方案，应包含多模态大模型智能体底座的选型（开源/自研/商业）方案、部署方案、算力需求规划，每包含一项内容，且具备可行性，得1分，缺失或使用AI臆造不得分，此部分最多得3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 智能体应用场景和智能体功能设计（6分）：针对新疆艺术剧院实际需求，开展智能体应用场景设计和智能体功能设计，并提出具体方案。投标人方案全面完整、具有针对性，服务内容清晰且有条理性、贴合项目实际情况，满足项目实际需求，得6分；提供了内容完整的方案，进行了阐述分析，但细节有待完善，得4分；提供了简单的方案，得2分；服务方案内容有明显缺陷，得1分；未提供得0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③ 数据对接与安全（1分）：智能体与资产库的数据接口设计、权限隔离机制、涉密内容访问控制方案的完整性与可行性。方案且具备可行性，得1分，缺失或使用AI臆造不得分，此部分最多得3分。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数据挖掘对接方案</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投标人对数据挖掘对接提出完整详尽的设计方案，由专家综合分析比较后评分；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【评分维度】</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① 挖掘目标与价值场景（2分）：基于新疆艺术剧院历史资料特点，明确提出有价值的数据挖掘方向，每提出1个有实质价值且可落地的场景，得0.5分，最多2分。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② 技术路径规划（2分）：提出具体的挖掘技术路径，包含数据预处理→特征工程→模型选型→结果呈现的完整链路，有算法说明或工具选型，技术路径可行、算法可用、工具选型合理，得2分；提供了简单的方案或有明显技术缺陷，得1分；不提供不得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③ 二阶段衔接设计（1分）：当前一阶段数据库建设为二阶段数据挖掘预留的接口、标准、数据结构设计的前瞻性与合理性，设计方案完整且具备可行性，得1分，缺失或使用AI臆造不得分，此部分最多得3分。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应急保障和安全保密方案（</w:t>
            </w:r>
            <w:r>
              <w:rPr>
                <w:rStyle w:val="190"/>
                <w:rFonts w:hint="eastAsia" w:ascii="宋体" w:hAnsi="宋体" w:eastAsia="宋体" w:cs="宋体"/>
                <w:color w:val="000000" w:themeColor="text1"/>
                <w:sz w:val="24"/>
                <w:szCs w:val="24"/>
                <w:highlight w:val="none"/>
                <w:lang w:val="en-US" w:eastAsia="zh-CN" w:bidi="ar"/>
                <w14:textFill>
                  <w14:solidFill>
                    <w14:schemeClr w14:val="tx1"/>
                  </w14:solidFill>
                </w14:textFill>
              </w:rPr>
              <w:t>10</w:t>
            </w: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分）</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bookmarkStart w:id="28" w:name="OLE_LINK9"/>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投标人对应急保障和安全保密相关内容提出完整详尽的服务方案，由专家综合分析比较后评分；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保密管理方面：投标人的保密措施方案，至少包含针对本项目的保密规范、保密管理制度、泄密处置预案和泄密处置措施等方面。</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提供的保密方案措施，符合用户保密要求，满足用户实际工作需要：得5分；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提供的保密方案措施适用本项目，但对本项目的保密规范、保密管理制度、泄密处置预案和泄密处置措施等方面存在1处未表述或表述与实际情况不符：3分；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提供的保密方案措施适用本项目，但对本项目的保密规范、保密管理制度、泄密处置预案和泄密处置措施等方面存在2处未表述或表述与实际情况不符：2分；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提供的保密方案措施适用本项目，但对本项目的保密规范、保密管理制度、泄密处置预案和泄密处置措施等方面存在3处及以上未表述或表述与实际情况不符：0分。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保密管理部分最多得5分。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应急保障方面：</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投标人应具备完备的故障处理服务体系，客服服务文档体系。</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提供的故障管理及应急处置方案，针对性强，突发状况应对预案合理，应急处置方案实用，经济，切实可行：得5分；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提供的故障管理及应急处置方案适用本项目，但在针对性，突发状况应对预案，应急处置方案等存在1处未表述或表述与实际情况不符：3分；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提供的故障管理及应急处置方案适用本项目，但在针对性，突发状况应对预案，应急处置方案等存在2处未表述或表述与实际情况不符：2分；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提供的故障管理及应急处置方案适用本项目，但在针对性，突发状况应对预案，应急处置方案等存在3处及以上未表述或表述与实际情况不符：0分.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应急保障部分最多得5分。</w:t>
            </w:r>
          </w:p>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177"/>
                <w:rFonts w:hint="eastAsia" w:ascii="宋体" w:hAnsi="宋体" w:eastAsia="宋体" w:cs="宋体"/>
                <w:color w:val="000000" w:themeColor="text1"/>
                <w:sz w:val="24"/>
                <w:szCs w:val="24"/>
                <w:highlight w:val="none"/>
                <w:lang w:val="en-US" w:eastAsia="zh-CN" w:bidi="ar"/>
                <w14:textFill>
                  <w14:solidFill>
                    <w14:schemeClr w14:val="tx1"/>
                  </w14:solidFill>
                </w14:textFill>
              </w:rPr>
              <w:t>本项最高得10分。</w:t>
            </w:r>
            <w:bookmarkEnd w:id="28"/>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firstLine="0" w:firstLineChars="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r>
    </w:tbl>
    <w:p>
      <w:pP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p>
    <w:p>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注：1.供应商须按所有打分项具体要求提供证明材料扫描件加盖公章，未提供证明材料或所提供的证明材料扫描件，不能清晰辨别的，视为无效证明文件，均不得分；</w:t>
      </w:r>
    </w:p>
    <w:p>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2.供应商提供的所有数据及材料，必须真实有效，如实地考察发现弄虚作假，取消中标资格，并列入招投标不诚信名单。由第二名（以此类推）替补或重新组织招标。</w:t>
      </w:r>
    </w:p>
    <w:p>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3.按评审后得分由高到低顺序排列。得分相同的，按最终报价由低到高顺序排列。得分且最终报价相同的，按技术指标优劣顺序排列。</w:t>
      </w:r>
    </w:p>
    <w:p>
      <w:pPr>
        <w:adjustRightInd w:val="0"/>
        <w:snapToGrid w:val="0"/>
        <w:spacing w:line="320" w:lineRule="exact"/>
        <w:ind w:left="-2" w:right="31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3.4.3商务技术部分得分计算方法</w:t>
      </w:r>
      <w:r>
        <w:rPr>
          <w:rFonts w:hint="eastAsia" w:ascii="宋体" w:hAnsi="宋体" w:eastAsia="宋体" w:cs="宋体"/>
          <w:b/>
          <w:color w:val="000000" w:themeColor="text1"/>
          <w:sz w:val="24"/>
          <w:szCs w:val="24"/>
          <w:highlight w:val="none"/>
          <w14:textFill>
            <w14:solidFill>
              <w14:schemeClr w14:val="tx1"/>
            </w14:solidFill>
          </w14:textFill>
        </w:rPr>
        <w:t>：</w:t>
      </w:r>
    </w:p>
    <w:p>
      <w:pPr>
        <w:adjustRightInd w:val="0"/>
        <w:snapToGrid w:val="0"/>
        <w:spacing w:line="320" w:lineRule="exact"/>
        <w:ind w:left="-2" w:right="313"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将</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对商务技术部分每个项目的评分，采用算术平均方法分别计算有效供应商在商务技术部分的最终得分。</w:t>
      </w:r>
    </w:p>
    <w:p>
      <w:pPr>
        <w:adjustRightInd w:val="0"/>
        <w:snapToGrid w:val="0"/>
        <w:spacing w:line="320" w:lineRule="exact"/>
        <w:ind w:right="71" w:rightChars="3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3.4.4投标价格部分</w:t>
      </w:r>
    </w:p>
    <w:p>
      <w:pPr>
        <w:adjustRightInd w:val="0"/>
        <w:snapToGrid w:val="0"/>
        <w:spacing w:line="320" w:lineRule="exact"/>
        <w:ind w:left="-2" w:right="342" w:rightChars="163" w:firstLine="111" w:firstLineChars="4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投标价格部分评分标准</w:t>
      </w:r>
    </w:p>
    <w:tbl>
      <w:tblPr>
        <w:tblStyle w:val="49"/>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12"/>
        <w:gridCol w:w="598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58" w:type="dxa"/>
            <w:vAlign w:val="center"/>
          </w:tcPr>
          <w:p>
            <w:pPr>
              <w:spacing w:line="32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312" w:type="dxa"/>
            <w:vAlign w:val="center"/>
          </w:tcPr>
          <w:p>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评审项目</w:t>
            </w:r>
          </w:p>
        </w:tc>
        <w:tc>
          <w:tcPr>
            <w:tcW w:w="5980" w:type="dxa"/>
            <w:vAlign w:val="center"/>
          </w:tcPr>
          <w:p>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评分标准</w:t>
            </w:r>
          </w:p>
        </w:tc>
        <w:tc>
          <w:tcPr>
            <w:tcW w:w="1013" w:type="dxa"/>
            <w:vAlign w:val="center"/>
          </w:tcPr>
          <w:p>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4" w:hRule="atLeast"/>
          <w:jc w:val="center"/>
        </w:trPr>
        <w:tc>
          <w:tcPr>
            <w:tcW w:w="658" w:type="dxa"/>
            <w:vAlign w:val="center"/>
          </w:tcPr>
          <w:p>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312" w:type="dxa"/>
            <w:vAlign w:val="center"/>
          </w:tcPr>
          <w:p>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价格部分</w:t>
            </w:r>
          </w:p>
          <w:p>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p>
        </w:tc>
        <w:tc>
          <w:tcPr>
            <w:tcW w:w="5980" w:type="dxa"/>
            <w:vAlign w:val="center"/>
          </w:tcPr>
          <w:p>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投标报价得分=（评标基准价／修正后投标报价）×</w:t>
            </w:r>
            <w:r>
              <w:rPr>
                <w:rFonts w:hint="eastAsia" w:hAnsi="宋体"/>
                <w:bCs/>
                <w:color w:val="000000" w:themeColor="text1"/>
                <w:kern w:val="2"/>
                <w:sz w:val="24"/>
                <w:szCs w:val="24"/>
                <w:highlight w:val="none"/>
                <w:lang w:val="en-US" w:eastAsia="zh-CN"/>
                <w14:textFill>
                  <w14:solidFill>
                    <w14:schemeClr w14:val="tx1"/>
                  </w14:solidFill>
                </w14:textFill>
              </w:rPr>
              <w:t>2</w:t>
            </w:r>
            <w:r>
              <w:rPr>
                <w:rFonts w:hint="eastAsia" w:hAnsi="宋体"/>
                <w:bCs/>
                <w:color w:val="000000" w:themeColor="text1"/>
                <w:kern w:val="2"/>
                <w:sz w:val="24"/>
                <w:szCs w:val="24"/>
                <w:highlight w:val="none"/>
                <w14:textFill>
                  <w14:solidFill>
                    <w14:schemeClr w14:val="tx1"/>
                  </w14:solidFill>
                </w14:textFill>
              </w:rPr>
              <w:t>0×100%</w:t>
            </w:r>
          </w:p>
          <w:p>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备注：</w:t>
            </w:r>
          </w:p>
          <w:p>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1.投标价格评分采用低价优先法计算；</w:t>
            </w:r>
          </w:p>
          <w:p>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2.评标基准价：满足招标文件要求且经修正，依据政府采购政策进行价格扣除后的最低报价为评标基准价；</w:t>
            </w:r>
          </w:p>
          <w:p>
            <w:pPr>
              <w:widowControl w:val="0"/>
              <w:wordWrap/>
              <w:snapToGrid w:val="0"/>
              <w:spacing w:line="300" w:lineRule="exact"/>
              <w:textAlignment w:val="auto"/>
              <w:rPr>
                <w:rFonts w:hint="eastAsia" w:hAnsi="宋体"/>
                <w:bCs/>
                <w:color w:val="000000" w:themeColor="text1"/>
                <w:kern w:val="2"/>
                <w:sz w:val="24"/>
                <w:szCs w:val="24"/>
                <w:highlight w:val="none"/>
                <w:lang w:eastAsia="zh-CN"/>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3.修正后投标报价：</w:t>
            </w:r>
            <w:r>
              <w:rPr>
                <w:rFonts w:hint="eastAsia" w:hAnsi="宋体"/>
                <w:bCs/>
                <w:color w:val="000000" w:themeColor="text1"/>
                <w:kern w:val="2"/>
                <w:sz w:val="24"/>
                <w:szCs w:val="24"/>
                <w:highlight w:val="none"/>
                <w:lang w:eastAsia="zh-CN"/>
                <w14:textFill>
                  <w14:solidFill>
                    <w14:schemeClr w14:val="tx1"/>
                  </w14:solidFill>
                </w14:textFill>
              </w:rPr>
              <w:t>评审小组</w:t>
            </w:r>
            <w:r>
              <w:rPr>
                <w:rFonts w:hint="eastAsia" w:hAnsi="宋体"/>
                <w:bCs/>
                <w:color w:val="000000" w:themeColor="text1"/>
                <w:kern w:val="2"/>
                <w:sz w:val="24"/>
                <w:szCs w:val="24"/>
                <w:highlight w:val="none"/>
                <w14:textFill>
                  <w14:solidFill>
                    <w14:schemeClr w14:val="tx1"/>
                  </w14:solidFill>
                </w14:textFill>
              </w:rPr>
              <w:t>以开标一览表中投标报价为基础，对其进行修正，依据政府采购政策进行价格扣除后，作为投标报价计算的依据。</w:t>
            </w:r>
            <w:r>
              <w:rPr>
                <w:rFonts w:hint="eastAsia" w:hAnsi="宋体"/>
                <w:bCs/>
                <w:color w:val="000000" w:themeColor="text1"/>
                <w:kern w:val="2"/>
                <w:sz w:val="24"/>
                <w:szCs w:val="24"/>
                <w:highlight w:val="none"/>
                <w:lang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p>
          <w:p>
            <w:pPr>
              <w:widowControl w:val="0"/>
              <w:wordWrap/>
              <w:snapToGrid w:val="0"/>
              <w:spacing w:line="300" w:lineRule="exact"/>
              <w:textAlignment w:val="auto"/>
              <w:rPr>
                <w:rFonts w:hint="eastAsia" w:ascii="宋体" w:hAnsi="宋体" w:eastAsia="宋体"/>
                <w:color w:val="000000" w:themeColor="text1"/>
                <w:sz w:val="24"/>
                <w:szCs w:val="24"/>
                <w:highlight w:val="none"/>
                <w:lang w:eastAsia="zh-CN"/>
                <w14:textFill>
                  <w14:solidFill>
                    <w14:schemeClr w14:val="tx1"/>
                  </w14:solidFill>
                </w14:textFill>
              </w:rPr>
            </w:pPr>
          </w:p>
        </w:tc>
        <w:tc>
          <w:tcPr>
            <w:tcW w:w="1013" w:type="dxa"/>
            <w:vAlign w:val="center"/>
          </w:tcPr>
          <w:p>
            <w:pPr>
              <w:snapToGrid w:val="0"/>
              <w:spacing w:line="3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w:t>
            </w:r>
          </w:p>
        </w:tc>
      </w:tr>
    </w:tbl>
    <w:p>
      <w:pPr>
        <w:spacing w:line="320" w:lineRule="exact"/>
        <w:rPr>
          <w:rFonts w:hint="eastAsia" w:ascii="宋体" w:hAnsi="宋体" w:eastAsia="宋体" w:cs="宋体"/>
          <w:b/>
          <w:color w:val="000000" w:themeColor="text1"/>
          <w:szCs w:val="21"/>
          <w:highlight w:val="none"/>
          <w14:textFill>
            <w14:solidFill>
              <w14:schemeClr w14:val="tx1"/>
            </w14:solidFill>
          </w14:textFill>
        </w:rPr>
      </w:pPr>
    </w:p>
    <w:p>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3.4.5供应商得分</w:t>
      </w:r>
    </w:p>
    <w:p>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供应商总分＝商务技术部分+价格部分 注：以上计算分数时四舍五入取小数点后两位。</w:t>
      </w:r>
    </w:p>
    <w:p>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3.5</w:t>
      </w:r>
      <w:r>
        <w:rPr>
          <w:rFonts w:hint="eastAsia" w:ascii="宋体" w:hAnsi="宋体" w:eastAsia="宋体" w:cs="宋体"/>
          <w:b/>
          <w:color w:val="000000" w:themeColor="text1"/>
          <w:kern w:val="0"/>
          <w:sz w:val="24"/>
          <w:szCs w:val="24"/>
          <w:highlight w:val="none"/>
          <w14:textFill>
            <w14:solidFill>
              <w14:schemeClr w14:val="tx1"/>
            </w14:solidFill>
          </w14:textFill>
        </w:rPr>
        <w:t>推荐中标候选供应商名单</w:t>
      </w:r>
    </w:p>
    <w:p>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3.5.1中标候选供应商数量为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人，但必须按顺序排列中标候选供应商。 </w:t>
      </w:r>
    </w:p>
    <w:p>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pPr>
        <w:spacing w:line="32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3.6编写评标报告</w:t>
      </w:r>
    </w:p>
    <w:p>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完成评标后</w:t>
      </w:r>
      <w:r>
        <w:rPr>
          <w:rFonts w:hint="eastAsia" w:ascii="宋体" w:hAnsi="宋体" w:eastAsia="宋体" w:cs="宋体"/>
          <w:color w:val="000000" w:themeColor="text1"/>
          <w:kern w:val="0"/>
          <w:sz w:val="24"/>
          <w:szCs w:val="24"/>
          <w:highlight w:val="none"/>
          <w14:textFill>
            <w14:solidFill>
              <w14:schemeClr w14:val="tx1"/>
            </w14:solidFill>
          </w14:textFill>
        </w:rPr>
        <w:t xml:space="preserve">，根据全体评标成员签字的原始评标记录和评标结果编写的报告，其主要内容包括：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（1）招标公告刊登的媒体名称、开标日期和地点；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（2）购买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的供应商名单和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成员名单；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（3）评标方法和标准；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（4）开标记录和评标情况及说明，包括投标无效供应商名单及原因；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（5）评标结果和中标候人排序表； </w:t>
      </w:r>
    </w:p>
    <w:p>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的授标建议。 </w:t>
      </w:r>
    </w:p>
    <w:p>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3.6.2采购代理机构在评标结束后5个工作日内将评标报告送采购人。</w:t>
      </w:r>
    </w:p>
    <w:p>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3.6确定中标人</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3.6.1采购人应当自收到评标报告之日起5个工作日内，在评标报告确定的中标候选人名单中按顺序确定中标人。中标候选人并列的，由采购人或者采购人委托</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规定的方式确定中标人；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未规定的，采取随机抽取的方式确定。</w:t>
      </w:r>
    </w:p>
    <w:p>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pPr>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3.6.3本次招标经评审得分排名第一的供应商为中标候选人，签订合同前</w:t>
      </w:r>
      <w:r>
        <w:rPr>
          <w:rFonts w:hint="eastAsia" w:ascii="宋体" w:hAnsi="宋体" w:cs="宋体"/>
          <w:color w:val="000000" w:themeColor="text1"/>
          <w:sz w:val="24"/>
          <w:szCs w:val="24"/>
          <w:highlight w:val="none"/>
          <w:lang w:eastAsia="zh-CN"/>
          <w14:textFill>
            <w14:solidFill>
              <w14:schemeClr w14:val="tx1"/>
            </w14:solidFill>
          </w14:textFill>
        </w:rPr>
        <w:t>采购方</w:t>
      </w:r>
    </w:p>
    <w:p>
      <w:pPr>
        <w:jc w:val="both"/>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将进行实地考察，如发现人员、车辆或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能力等任何一项弄虚作假，取消中标资格，并列入招投标不诚信名单，由得分排名第二名供应商（以此类推）前三名替补。</w:t>
      </w:r>
      <w:bookmarkEnd w:id="21"/>
    </w:p>
    <w:p>
      <w:pPr>
        <w:jc w:val="center"/>
        <w:rPr>
          <w:rFonts w:ascii="宋体" w:hAnsi="宋体" w:eastAsia="宋体" w:cs="Times New Roman"/>
          <w:b/>
          <w:color w:val="000000" w:themeColor="text1"/>
          <w:kern w:val="0"/>
          <w:szCs w:val="20"/>
          <w:highlight w:val="none"/>
          <w14:textFill>
            <w14:solidFill>
              <w14:schemeClr w14:val="tx1"/>
            </w14:solidFill>
          </w14:textFill>
        </w:rPr>
      </w:pPr>
      <w:bookmarkStart w:id="29" w:name="_Toc11588"/>
      <w:bookmarkStart w:id="30" w:name="_Toc10306"/>
      <w:r>
        <w:rPr>
          <w:rFonts w:hint="eastAsia" w:ascii="Calibri" w:hAnsi="Calibri" w:eastAsia="宋体" w:cs="Times New Roman"/>
          <w:b/>
          <w:bCs/>
          <w:color w:val="000000" w:themeColor="text1"/>
          <w:kern w:val="44"/>
          <w:sz w:val="28"/>
          <w:szCs w:val="44"/>
          <w:highlight w:val="none"/>
          <w:lang w:val="en-US" w:eastAsia="zh-CN" w:bidi="ar-SA"/>
          <w14:textFill>
            <w14:solidFill>
              <w14:schemeClr w14:val="tx1"/>
            </w14:solidFill>
          </w14:textFill>
        </w:rPr>
        <w:t>第四章　拟签订的合同文本</w:t>
      </w:r>
      <w:bookmarkEnd w:id="29"/>
      <w:bookmarkEnd w:id="30"/>
    </w:p>
    <w:p>
      <w:pPr>
        <w:rPr>
          <w:rFonts w:hint="eastAsia" w:ascii="宋体" w:hAnsi="宋体" w:eastAsia="宋体" w:cs="宋体"/>
          <w:b/>
          <w:bCs/>
          <w:color w:val="000000" w:themeColor="text1"/>
          <w:sz w:val="32"/>
          <w:szCs w:val="32"/>
          <w:highlight w:val="none"/>
          <w14:textFill>
            <w14:solidFill>
              <w14:schemeClr w14:val="tx1"/>
            </w14:solidFill>
          </w14:textFill>
        </w:rPr>
      </w:pPr>
      <w:bookmarkStart w:id="31" w:name="OLE_LINK4"/>
      <w:bookmarkStart w:id="32" w:name="OLE_LINK1"/>
    </w:p>
    <w:p>
      <w:pP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此</w:t>
      </w:r>
      <w:r>
        <w:rPr>
          <w:rFonts w:hint="eastAsia" w:ascii="宋体" w:hAnsi="宋体" w:eastAsia="宋体" w:cs="宋体"/>
          <w:b/>
          <w:bCs/>
          <w:color w:val="000000" w:themeColor="text1"/>
          <w:sz w:val="32"/>
          <w:szCs w:val="32"/>
          <w:highlight w:val="none"/>
          <w14:textFill>
            <w14:solidFill>
              <w14:schemeClr w14:val="tx1"/>
            </w14:solidFill>
          </w14:textFill>
        </w:rPr>
        <w:t>合同模板</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仅供</w:t>
      </w:r>
      <w:r>
        <w:rPr>
          <w:rFonts w:hint="eastAsia" w:ascii="宋体" w:hAnsi="宋体" w:eastAsia="宋体" w:cs="宋体"/>
          <w:b/>
          <w:bCs/>
          <w:color w:val="000000" w:themeColor="text1"/>
          <w:sz w:val="32"/>
          <w:szCs w:val="32"/>
          <w:highlight w:val="none"/>
          <w14:textFill>
            <w14:solidFill>
              <w14:schemeClr w14:val="tx1"/>
            </w14:solidFill>
          </w14:textFill>
        </w:rPr>
        <w:t>参考，具体以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最终实际签订的</w:t>
      </w:r>
      <w:r>
        <w:rPr>
          <w:rFonts w:hint="eastAsia" w:ascii="宋体" w:hAnsi="宋体" w:eastAsia="宋体" w:cs="宋体"/>
          <w:b/>
          <w:bCs/>
          <w:color w:val="000000" w:themeColor="text1"/>
          <w:sz w:val="32"/>
          <w:szCs w:val="32"/>
          <w:highlight w:val="none"/>
          <w14:textFill>
            <w14:solidFill>
              <w14:schemeClr w14:val="tx1"/>
            </w14:solidFill>
          </w14:textFill>
        </w:rPr>
        <w:t>合同为准）</w:t>
      </w:r>
      <w:bookmarkEnd w:id="31"/>
    </w:p>
    <w:p>
      <w:pPr>
        <w:jc w:val="center"/>
        <w:rPr>
          <w:rFonts w:ascii="宋体" w:hAnsi="宋体" w:eastAsia="宋体" w:cs="Times New Roman"/>
          <w:b/>
          <w:bCs/>
          <w:color w:val="000000" w:themeColor="text1"/>
          <w:sz w:val="32"/>
          <w:szCs w:val="32"/>
          <w:highlight w:val="none"/>
          <w14:textFill>
            <w14:solidFill>
              <w14:schemeClr w14:val="tx1"/>
            </w14:solidFill>
          </w14:textFill>
        </w:rPr>
      </w:pPr>
    </w:p>
    <w:p>
      <w:pPr>
        <w:spacing w:line="360" w:lineRule="auto"/>
        <w:rPr>
          <w:rFonts w:hint="eastAsia" w:cs="Times New Roman"/>
          <w:color w:val="000000" w:themeColor="text1"/>
          <w:highlight w:val="none"/>
          <w14:textFill>
            <w14:solidFill>
              <w14:schemeClr w14:val="tx1"/>
            </w14:solidFill>
          </w14:textFill>
        </w:rPr>
      </w:pPr>
    </w:p>
    <w:p>
      <w:pPr>
        <w:spacing w:line="360" w:lineRule="auto"/>
        <w:rPr>
          <w:rFonts w:hint="eastAsia" w:cs="Times New Roman"/>
          <w:color w:val="000000" w:themeColor="text1"/>
          <w:highlight w:val="none"/>
          <w14:textFill>
            <w14:solidFill>
              <w14:schemeClr w14:val="tx1"/>
            </w14:solidFill>
          </w14:textFill>
        </w:rPr>
      </w:pPr>
    </w:p>
    <w:p>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pPr>
        <w:spacing w:line="360" w:lineRule="auto"/>
        <w:jc w:val="center"/>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bCs/>
          <w:color w:val="000000" w:themeColor="text1"/>
          <w:sz w:val="43"/>
          <w:szCs w:val="43"/>
          <w:highlight w:val="none"/>
          <w14:textFill>
            <w14:solidFill>
              <w14:schemeClr w14:val="tx1"/>
            </w14:solidFill>
          </w14:textFill>
        </w:rPr>
        <w:t>政府采购合同参考范本</w:t>
      </w:r>
    </w:p>
    <w:p>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项目名称： </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项目编号： </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采购方</w:t>
      </w:r>
      <w:r>
        <w:rPr>
          <w:rFonts w:ascii="宋体" w:hAnsi="宋体" w:eastAsia="宋体" w:cs="宋体"/>
          <w:b w:val="0"/>
          <w:bCs w:val="0"/>
          <w:color w:val="000000" w:themeColor="text1"/>
          <w:sz w:val="28"/>
          <w:szCs w:val="28"/>
          <w:highlight w:val="none"/>
          <w14:textFill>
            <w14:solidFill>
              <w14:schemeClr w14:val="tx1"/>
            </w14:solidFill>
          </w14:textFill>
        </w:rPr>
        <w:t xml:space="preserve">： </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供应商</w:t>
      </w:r>
      <w:r>
        <w:rPr>
          <w:rFonts w:ascii="宋体" w:hAnsi="宋体" w:eastAsia="宋体" w:cs="宋体"/>
          <w:b w:val="0"/>
          <w:bCs w:val="0"/>
          <w:color w:val="000000" w:themeColor="text1"/>
          <w:sz w:val="28"/>
          <w:szCs w:val="28"/>
          <w:highlight w:val="none"/>
          <w14:textFill>
            <w14:solidFill>
              <w14:schemeClr w14:val="tx1"/>
            </w14:solidFill>
          </w14:textFill>
        </w:rPr>
        <w:t xml:space="preserve">： </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签订地：</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签订日期： </w:t>
      </w:r>
    </w:p>
    <w:p>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年 月 日</w:t>
      </w:r>
    </w:p>
    <w:p>
      <w:pPr>
        <w:pStyle w:val="61"/>
        <w:rPr>
          <w:rFonts w:hint="eastAsia"/>
          <w:color w:val="000000" w:themeColor="text1"/>
          <w:highlight w:val="none"/>
          <w14:textFill>
            <w14:solidFill>
              <w14:schemeClr w14:val="tx1"/>
            </w14:solidFill>
          </w14:textFill>
        </w:rPr>
      </w:pPr>
    </w:p>
    <w:p>
      <w:pPr>
        <w:pStyle w:val="61"/>
        <w:rPr>
          <w:rFonts w:hint="eastAsia"/>
          <w:color w:val="000000" w:themeColor="text1"/>
          <w:highlight w:val="none"/>
          <w14:textFill>
            <w14:solidFill>
              <w14:schemeClr w14:val="tx1"/>
            </w14:solidFill>
          </w14:textFill>
        </w:rPr>
        <w:sectPr>
          <w:pgSz w:w="11906" w:h="16838"/>
          <w:pgMar w:top="1440" w:right="1800" w:bottom="1440" w:left="1800" w:header="851" w:footer="992" w:gutter="0"/>
          <w:pgNumType w:fmt="decimal"/>
          <w:cols w:space="720" w:num="1"/>
          <w:docGrid w:linePitch="312" w:charSpace="0"/>
        </w:sectPr>
      </w:pP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年 月 日，（采购人名称）以（政府采购方式）对（同前页项目名称）项目进 行了采购。经（相关评定主体名称）评定，（中标供应商名称）为该项目中标供应商。现 于中标通知书发出之日起三十日内，按照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确定的事项签订本合同。 根据《中华人民共和国合同法》、《中华人民共和国政府采购法》等相关法律法规之 规定，按照平等、自愿、公平和诚实信用的原则，经（采购人名称）(以下简称：</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)和 （中标供应商名称）(以下简称：</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)协商一致，约定以下合同条款，以兹共同遵守、全面履行。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1.1 合同组成部分 </w:t>
      </w:r>
    </w:p>
    <w:p>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下列文件为本合同的组成部分，并构成一个整体，需综合解释、相互补充。如果下列 文件内容出现不一致的情形，那么在保证按照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确定的事项的前提下，组成本合同 的多个文件的优先适用顺序如下：</w:t>
      </w:r>
    </w:p>
    <w:p>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1.1.1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本合同及其补充合同、变更协议； </w:t>
      </w:r>
    </w:p>
    <w:p>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1.1.2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中标通知书；</w:t>
      </w:r>
    </w:p>
    <w:p>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1.1.3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投标文件（含澄清或者说明文件）；</w:t>
      </w:r>
    </w:p>
    <w:p>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1.1.4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招标文件（含澄清或者修改文件）；</w:t>
      </w:r>
    </w:p>
    <w:p>
      <w:pPr>
        <w:widowControl/>
        <w:numPr>
          <w:ilvl w:val="0"/>
          <w:numId w:val="0"/>
        </w:numPr>
        <w:wordWrap/>
        <w:adjustRightInd/>
        <w:snapToGrid/>
        <w:spacing w:line="440" w:lineRule="exact"/>
        <w:jc w:val="left"/>
        <w:textAlignment w:val="auto"/>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1.1.5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其他相关</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1.2 标的 </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1.2.1 标的名称：；</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1.2.2 标的数量：；</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1.2.3 标的质量： 。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1.3 价款 </w:t>
      </w:r>
    </w:p>
    <w:p>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本合同总价为：￥元（大写：元人民币）。</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1.4 付款方式和发票开具方式 </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1.4.1付款方式：具体以中标后签订合同为准。</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1.4.2发票开具方式：/。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1.5 履行期限、地点和方式 </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1.5.1 履行期限：/ ；</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1.5.2 履行地点：/ ；</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1.5.3 履行方式： 。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1.6 违约责任 </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1.6.1除不可抗力外，如果</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没有按照本合同约定的期限、地点和方式履行，那么甲 方可要求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支付违约金，违约金按每迟延履行一日的应提供而未提供服务价格的%计算， 最高限额为本合同总价的%；迟延履行的违约金计算数额达到前述最高限额之日起，</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有 权在要求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支付违约金的同时，书面通知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解除本合同；</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1.6.2 除不可抗力外，如果</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没有按照本合同约定的付款方式付款，那么</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可要 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支付违约金，违约金按每迟延付款一日的应付而未付款的%计算，最高限额为本合同 总价的%；迟延付款的违约金计算数额达到前述最高限额之日起，</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有权在要求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 违约金的同时，书面通知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解除本合同； 1.6.3 除不可抗力外，任何一方未能履行本合同约定的其他主要义务，经催告后在合 理期限内仍未履行的，或者任何一方有其他违约行为致使不能实现合同目的的，或者任何 一方有腐败行为（即：提供或给予或接受或索取任何财物或其他好处或者采取其他不正当 手段来影响对方当事人在合同签订、履行过程中的行为）或者欺诈行为（即：以谎报事实 或隐瞒真相的方法来影响对方当事人在合同签订、履行过程中的行为）的，对方当事人可 以书面通知违约方解除本合同；</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1.6.4 任何一方按照前述约定要求违约方支付违约金的同时，仍有权要求违约方继续 履行合同、采取补救措施，并有权按照己方实际损失情况要求违约方赔偿损失；任何一方 按照前述约定要求解除本合同的同时，仍有权要求违约方支付违约金和按照己方实际损失 情况要求违约方赔偿损失；且守约方行使的任何权利救济方式均不视为其放弃了其他法定 或者约定的权利救济方式；</w:t>
      </w:r>
    </w:p>
    <w:p>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1.6.5 除前述约定外，除不可抗力外，任何一方未能履行本合同约定的义务，对方当 事人均有权要求继续履行、采取补救措施或者赔偿损失等，且对方当事人行使的任何权利 救济方式均不视为其放弃了其他法定或者约定的权利救济方式；</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1.6.6 如果出现政府采购监督管理部门在处理投诉事项期间，书面通知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暂停采购 活动的情形，或者询问或质疑事项可能影响中标结果的，导致</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中止履行合同的情形， 均不视为</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违约。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1.7 合同争议的解决 </w:t>
      </w:r>
    </w:p>
    <w:p>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本合同履行过程中发生的任何争议，双方当事人均可通过和解或者调解解决；不愿和解、调解或者和解、调解不成的，可以选择下列方式解决：</w:t>
      </w:r>
    </w:p>
    <w:p>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1.7.1 将争议提交仲裁委员会依申请仲裁时其现行有效的仲裁规则裁决； 1.7.2 向（被告住所地、合同履行地、合同签订地、原告住所地、标的物所在地等与 争议有实际联系的地点中选出的人民法院名称）人民法院起诉。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1.8 合同生效 </w:t>
      </w:r>
    </w:p>
    <w:p>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本合同自双方当事人盖章或者签字时生效。</w:t>
      </w:r>
    </w:p>
    <w:p>
      <w:pPr>
        <w:pStyle w:val="61"/>
        <w:wordWrap/>
        <w:adjustRightInd/>
        <w:snapToGrid/>
        <w:spacing w:line="440" w:lineRule="exact"/>
        <w:ind w:left="0" w:leftChars="0" w:firstLine="0" w:firstLineChars="0"/>
        <w:textAlignment w:val="auto"/>
        <w:rPr>
          <w:rFonts w:ascii="宋体" w:hAnsi="宋体" w:eastAsia="宋体" w:cs="宋体"/>
          <w:b/>
          <w:bCs/>
          <w:color w:val="000000" w:themeColor="text1"/>
          <w:sz w:val="24"/>
          <w:szCs w:val="24"/>
          <w:highlight w:val="none"/>
          <w14:textFill>
            <w14:solidFill>
              <w14:schemeClr w14:val="tx1"/>
            </w14:solidFill>
          </w14:textFill>
        </w:rPr>
      </w:pP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采购方</w:t>
      </w:r>
      <w:r>
        <w:rPr>
          <w:rFonts w:ascii="宋体" w:hAnsi="宋体" w:eastAsia="宋体" w:cs="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ascii="宋体" w:hAnsi="宋体" w:eastAsia="宋体" w:cs="宋体"/>
          <w:b w:val="0"/>
          <w:bCs w:val="0"/>
          <w:color w:val="000000" w:themeColor="text1"/>
          <w:sz w:val="24"/>
          <w:szCs w:val="24"/>
          <w:highlight w:val="none"/>
          <w14:textFill>
            <w14:solidFill>
              <w14:schemeClr w14:val="tx1"/>
            </w14:solidFill>
          </w14:textFill>
        </w:rPr>
        <w:t>：</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统一社会信用代码：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统一社会信用代码或身份证号码： 住所：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住所：</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法定代表人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法定代表人 </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或授权代表（签字）: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或</w:t>
      </w:r>
      <w:r>
        <w:rPr>
          <w:rFonts w:ascii="宋体" w:hAnsi="宋体" w:eastAsia="宋体" w:cs="宋体"/>
          <w:b w:val="0"/>
          <w:bCs w:val="0"/>
          <w:color w:val="000000" w:themeColor="text1"/>
          <w:sz w:val="24"/>
          <w:szCs w:val="24"/>
          <w:highlight w:val="none"/>
          <w14:textFill>
            <w14:solidFill>
              <w14:schemeClr w14:val="tx1"/>
            </w14:solidFill>
          </w14:textFill>
        </w:rPr>
        <w:t>授权代表（签字）：</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联系人：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联系人：</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约定送达地址：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约定送达地址：</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邮政编码：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邮政编码：</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电话: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电话:</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传真: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传真:</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电子邮箱：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电子邮箱：</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开户银行：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开户银行：</w:t>
      </w:r>
    </w:p>
    <w:p>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开户名称：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开户名称：</w:t>
      </w:r>
    </w:p>
    <w:p>
      <w:pPr>
        <w:pStyle w:val="61"/>
        <w:wordWrap/>
        <w:adjustRightInd/>
        <w:snapToGrid/>
        <w:spacing w:line="440" w:lineRule="exact"/>
        <w:ind w:left="0" w:leftChars="0" w:firstLine="0" w:firstLineChars="0"/>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开户账号：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开户账号：</w:t>
      </w:r>
    </w:p>
    <w:p>
      <w:pPr>
        <w:pStyle w:val="4"/>
        <w:jc w:val="both"/>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32"/>
    <w:p>
      <w:pPr>
        <w:pStyle w:val="2"/>
        <w:rPr>
          <w:rFonts w:hint="eastAsia"/>
          <w:color w:val="000000" w:themeColor="text1"/>
          <w:highlight w:val="none"/>
          <w14:textFill>
            <w14:solidFill>
              <w14:schemeClr w14:val="tx1"/>
            </w14:solidFill>
          </w14:textFill>
        </w:rPr>
      </w:pPr>
      <w:bookmarkStart w:id="33" w:name="_Toc16583"/>
      <w:bookmarkStart w:id="34" w:name="_Toc17791"/>
      <w:r>
        <w:rPr>
          <w:rFonts w:hint="eastAsia"/>
          <w:color w:val="000000" w:themeColor="text1"/>
          <w:highlight w:val="none"/>
          <w14:textFill>
            <w14:solidFill>
              <w14:schemeClr w14:val="tx1"/>
            </w14:solidFill>
          </w14:textFill>
        </w:rPr>
        <w:t>第五章　投标文件组成</w:t>
      </w:r>
      <w:bookmarkEnd w:id="33"/>
      <w:bookmarkEnd w:id="34"/>
    </w:p>
    <w:p>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bookmarkStart w:id="35" w:name="_Toc18167"/>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bookmarkEnd w:id="35"/>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四、投标保证金</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★五、供应商的资格证明材料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－2－7  </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七、拟配备人员</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jc w:val="both"/>
        <w:rPr>
          <w:rFonts w:ascii="宋体" w:hAnsi="宋体" w:eastAsia="宋体" w:cs="Times New Roman"/>
          <w:color w:val="000000" w:themeColor="text1"/>
          <w:kern w:val="0"/>
          <w:sz w:val="24"/>
          <w:szCs w:val="24"/>
          <w:highlight w:val="none"/>
          <w14:textFill>
            <w14:solidFill>
              <w14:schemeClr w14:val="tx1"/>
            </w14:solidFill>
          </w14:textFill>
        </w:rPr>
      </w:pPr>
    </w:p>
    <w:p>
      <w:pPr>
        <w:numPr>
          <w:ilvl w:val="0"/>
          <w:numId w:val="4"/>
        </w:num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一、技术响应与偏离表</w:t>
      </w:r>
    </w:p>
    <w:p>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根据评审标准来编写）</w:t>
      </w:r>
    </w:p>
    <w:p>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三、投标人认为需要提供的其他资料</w:t>
      </w: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pPr>
        <w:ind w:firstLine="880" w:firstLineChars="200"/>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pPr>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pPr>
        <w:jc w:val="center"/>
        <w:rPr>
          <w:rFonts w:ascii="宋体" w:hAnsi="宋体" w:eastAsia="宋体" w:cs="Times New Roman"/>
          <w:color w:val="000000" w:themeColor="text1"/>
          <w:kern w:val="0"/>
          <w:sz w:val="44"/>
          <w:szCs w:val="44"/>
          <w:highlight w:val="none"/>
          <w14:textFill>
            <w14:solidFill>
              <w14:schemeClr w14:val="tx1"/>
            </w14:solidFill>
          </w14:textFill>
        </w:rPr>
      </w:pPr>
      <w:r>
        <w:rPr>
          <w:rFonts w:hint="eastAsia" w:ascii="宋体" w:hAnsi="Courier New" w:eastAsia="宋体" w:cs="Times New Roman"/>
          <w:b/>
          <w:bCs/>
          <w:color w:val="000000" w:themeColor="text1"/>
          <w:kern w:val="0"/>
          <w:sz w:val="44"/>
          <w:szCs w:val="44"/>
          <w:highlight w:val="none"/>
          <w14:textFill>
            <w14:solidFill>
              <w14:schemeClr w14:val="tx1"/>
            </w14:solidFill>
          </w14:textFill>
        </w:rPr>
        <w:t>投标文件</w:t>
      </w: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pPr>
        <w:jc w:val="both"/>
        <w:rPr>
          <w:rFonts w:ascii="宋体" w:hAnsi="宋体" w:eastAsia="宋体" w:cs="Times New Roman"/>
          <w:color w:val="000000" w:themeColor="text1"/>
          <w:kern w:val="0"/>
          <w:sz w:val="24"/>
          <w:szCs w:val="24"/>
          <w:highlight w:val="none"/>
          <w14:textFill>
            <w14:solidFill>
              <w14:schemeClr w14:val="tx1"/>
            </w14:solidFill>
          </w14:textFill>
        </w:rPr>
      </w:pPr>
    </w:p>
    <w:p>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jc w:val="both"/>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pPr>
        <w:ind w:firstLine="1440" w:firstLineChars="600"/>
        <w:jc w:val="both"/>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__________________</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电子签章）</w:t>
      </w:r>
    </w:p>
    <w:p>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pPr>
        <w:spacing w:before="91"/>
        <w:ind w:left="360"/>
        <w:jc w:val="center"/>
        <w:outlineLvl w:val="0"/>
        <w:rPr>
          <w:rFonts w:ascii="宋体" w:hAnsi="宋体" w:cs="仿宋"/>
          <w:b/>
          <w:color w:val="000000" w:themeColor="text1"/>
          <w:sz w:val="28"/>
          <w:szCs w:val="28"/>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36" w:name="_Toc31589"/>
      <w:bookmarkStart w:id="37" w:name="_Toc12156"/>
      <w:bookmarkStart w:id="38" w:name="_Toc21908"/>
      <w:r>
        <w:rPr>
          <w:rFonts w:hint="eastAsia" w:ascii="宋体" w:hAnsi="宋体" w:cs="仿宋"/>
          <w:b/>
          <w:color w:val="000000" w:themeColor="text1"/>
          <w:sz w:val="28"/>
          <w:szCs w:val="28"/>
          <w:highlight w:val="none"/>
          <w14:textFill>
            <w14:solidFill>
              <w14:schemeClr w14:val="tx1"/>
            </w14:solidFill>
          </w14:textFill>
        </w:rPr>
        <w:t>投标文件目录及索引</w:t>
      </w:r>
      <w:bookmarkEnd w:id="36"/>
      <w:bookmarkEnd w:id="37"/>
      <w:bookmarkEnd w:id="38"/>
    </w:p>
    <w:p>
      <w:pPr>
        <w:pStyle w:val="20"/>
        <w:spacing w:before="9"/>
        <w:rPr>
          <w:rFonts w:ascii="宋体" w:hAnsi="宋体" w:cs="仿宋"/>
          <w:b/>
          <w:color w:val="000000" w:themeColor="text1"/>
          <w:sz w:val="10"/>
          <w:highlight w:val="none"/>
          <w14:textFill>
            <w14:solidFill>
              <w14:schemeClr w14:val="tx1"/>
            </w14:solidFill>
          </w14:textFill>
        </w:rPr>
      </w:pPr>
    </w:p>
    <w:p>
      <w:pPr>
        <w:spacing w:before="1"/>
        <w:ind w:left="360" w:right="449" w:rightChars="214"/>
        <w:rPr>
          <w:rFonts w:ascii="宋体" w:hAnsi="宋体" w:cs="仿宋"/>
          <w:color w:val="000000" w:themeColor="text1"/>
          <w:sz w:val="28"/>
          <w:szCs w:val="28"/>
          <w:highlight w:val="none"/>
          <w14:textFill>
            <w14:solidFill>
              <w14:schemeClr w14:val="tx1"/>
            </w14:solidFill>
          </w14:textFill>
        </w:rPr>
      </w:pPr>
      <w:r>
        <w:rPr>
          <w:rFonts w:hint="eastAsia" w:ascii="宋体" w:hAnsi="宋体" w:cs="仿宋"/>
          <w:b/>
          <w:color w:val="000000" w:themeColor="text1"/>
          <w:highlight w:val="none"/>
          <w14:textFill>
            <w14:solidFill>
              <w14:schemeClr w14:val="tx1"/>
            </w14:solidFill>
          </w14:textFill>
        </w:rPr>
        <w:t>注：</w:t>
      </w:r>
      <w:r>
        <w:rPr>
          <w:rFonts w:hint="eastAsia" w:ascii="宋体" w:hAnsi="宋体" w:cs="仿宋"/>
          <w:color w:val="000000" w:themeColor="text1"/>
          <w:spacing w:val="-1"/>
          <w:highlight w:val="none"/>
          <w14:textFill>
            <w14:solidFill>
              <w14:schemeClr w14:val="tx1"/>
            </w14:solidFill>
          </w14:textFill>
        </w:rPr>
        <w:t>该目录为方便</w:t>
      </w:r>
      <w:r>
        <w:rPr>
          <w:rFonts w:hint="eastAsia" w:ascii="宋体" w:hAnsi="宋体" w:cs="仿宋"/>
          <w:color w:val="000000" w:themeColor="text1"/>
          <w:spacing w:val="-1"/>
          <w:highlight w:val="none"/>
          <w:lang w:val="en-US" w:eastAsia="zh-CN"/>
          <w14:textFill>
            <w14:solidFill>
              <w14:schemeClr w14:val="tx1"/>
            </w14:solidFill>
          </w14:textFill>
        </w:rPr>
        <w:t>评审小组</w:t>
      </w:r>
      <w:r>
        <w:rPr>
          <w:rFonts w:hint="eastAsia" w:ascii="宋体" w:hAnsi="宋体" w:cs="仿宋"/>
          <w:color w:val="000000" w:themeColor="text1"/>
          <w:spacing w:val="-1"/>
          <w:highlight w:val="none"/>
          <w14:textFill>
            <w14:solidFill>
              <w14:schemeClr w14:val="tx1"/>
            </w14:solidFill>
          </w14:textFill>
        </w:rPr>
        <w:t>查找相关证明文件及评审条件，</w:t>
      </w:r>
      <w:r>
        <w:rPr>
          <w:rFonts w:hint="eastAsia" w:ascii="宋体" w:hAnsi="宋体" w:cs="仿宋"/>
          <w:color w:val="000000" w:themeColor="text1"/>
          <w:spacing w:val="-1"/>
          <w:highlight w:val="none"/>
          <w:lang w:val="en-US" w:eastAsia="zh-CN"/>
          <w14:textFill>
            <w14:solidFill>
              <w14:schemeClr w14:val="tx1"/>
            </w14:solidFill>
          </w14:textFill>
        </w:rPr>
        <w:t>投标人</w:t>
      </w:r>
      <w:r>
        <w:rPr>
          <w:rFonts w:hint="eastAsia" w:ascii="宋体" w:hAnsi="宋体" w:cs="仿宋"/>
          <w:color w:val="000000" w:themeColor="text1"/>
          <w:spacing w:val="-1"/>
          <w:highlight w:val="none"/>
          <w14:textFill>
            <w14:solidFill>
              <w14:schemeClr w14:val="tx1"/>
            </w14:solidFill>
          </w14:textFill>
        </w:rPr>
        <w:t>应</w:t>
      </w:r>
      <w:r>
        <w:rPr>
          <w:rFonts w:hint="eastAsia" w:ascii="宋体" w:hAnsi="宋体" w:cs="仿宋"/>
          <w:color w:val="000000" w:themeColor="text1"/>
          <w:spacing w:val="-1"/>
          <w:highlight w:val="none"/>
          <w:lang w:val="en-US" w:eastAsia="zh-CN"/>
          <w14:textFill>
            <w14:solidFill>
              <w14:schemeClr w14:val="tx1"/>
            </w14:solidFill>
          </w14:textFill>
        </w:rPr>
        <w:t>编制投标文件目录，</w:t>
      </w:r>
      <w:r>
        <w:rPr>
          <w:rFonts w:hint="eastAsia" w:ascii="宋体" w:hAnsi="宋体" w:cs="仿宋"/>
          <w:color w:val="000000" w:themeColor="text1"/>
          <w:spacing w:val="-1"/>
          <w:highlight w:val="none"/>
          <w14:textFill>
            <w14:solidFill>
              <w14:schemeClr w14:val="tx1"/>
            </w14:solidFill>
          </w14:textFill>
        </w:rPr>
        <w:t>尽可能的详细、清晰，</w:t>
      </w:r>
      <w:r>
        <w:rPr>
          <w:rFonts w:hint="eastAsia" w:ascii="宋体" w:hAnsi="宋体" w:cs="仿宋"/>
          <w:color w:val="000000" w:themeColor="text1"/>
          <w:spacing w:val="-1"/>
          <w:highlight w:val="none"/>
          <w:lang w:eastAsia="zh-CN"/>
          <w14:textFill>
            <w14:solidFill>
              <w14:schemeClr w14:val="tx1"/>
            </w14:solidFill>
          </w14:textFill>
        </w:rPr>
        <w:t>投标</w:t>
      </w:r>
      <w:r>
        <w:rPr>
          <w:rFonts w:hint="eastAsia" w:ascii="宋体" w:hAnsi="宋体" w:cs="仿宋"/>
          <w:color w:val="000000" w:themeColor="text1"/>
          <w:spacing w:val="-1"/>
          <w:highlight w:val="none"/>
          <w:lang w:val="en-US" w:eastAsia="zh-CN"/>
          <w14:textFill>
            <w14:solidFill>
              <w14:schemeClr w14:val="tx1"/>
            </w14:solidFill>
          </w14:textFill>
        </w:rPr>
        <w:t>人</w:t>
      </w:r>
      <w:r>
        <w:rPr>
          <w:rFonts w:hint="eastAsia" w:ascii="宋体" w:hAnsi="宋体" w:cs="仿宋"/>
          <w:color w:val="000000" w:themeColor="text1"/>
          <w:spacing w:val="-1"/>
          <w:highlight w:val="none"/>
          <w14:textFill>
            <w14:solidFill>
              <w14:schemeClr w14:val="tx1"/>
            </w14:solidFill>
          </w14:textFill>
        </w:rPr>
        <w:t>可根据</w:t>
      </w:r>
      <w:r>
        <w:rPr>
          <w:rFonts w:hint="eastAsia" w:ascii="宋体" w:hAnsi="宋体" w:cs="仿宋"/>
          <w:color w:val="000000" w:themeColor="text1"/>
          <w:spacing w:val="-3"/>
          <w:highlight w:val="none"/>
          <w14:textFill>
            <w14:solidFill>
              <w14:schemeClr w14:val="tx1"/>
            </w14:solidFill>
          </w14:textFill>
        </w:rPr>
        <w:t>自身情况补充完善；</w:t>
      </w:r>
      <w:r>
        <w:rPr>
          <w:rFonts w:hint="eastAsia" w:ascii="宋体" w:hAnsi="宋体" w:cs="仿宋"/>
          <w:color w:val="000000" w:themeColor="text1"/>
          <w:spacing w:val="-7"/>
          <w:highlight w:val="none"/>
          <w14:textFill>
            <w14:solidFill>
              <w14:schemeClr w14:val="tx1"/>
            </w14:solidFill>
          </w14:textFill>
        </w:rPr>
        <w:t>投标文件的编制顺序应</w:t>
      </w:r>
      <w:r>
        <w:rPr>
          <w:rFonts w:hint="eastAsia" w:ascii="宋体" w:hAnsi="宋体" w:cs="仿宋"/>
          <w:color w:val="000000" w:themeColor="text1"/>
          <w:spacing w:val="-7"/>
          <w:highlight w:val="none"/>
          <w:lang w:val="en-US" w:eastAsia="zh-CN"/>
          <w14:textFill>
            <w14:solidFill>
              <w14:schemeClr w14:val="tx1"/>
            </w14:solidFill>
          </w14:textFill>
        </w:rPr>
        <w:t>投标文件给定的</w:t>
      </w:r>
      <w:r>
        <w:rPr>
          <w:rFonts w:hint="eastAsia" w:ascii="宋体" w:hAnsi="宋体" w:cs="仿宋"/>
          <w:color w:val="000000" w:themeColor="text1"/>
          <w:spacing w:val="-7"/>
          <w:highlight w:val="none"/>
          <w14:textFill>
            <w14:solidFill>
              <w14:schemeClr w14:val="tx1"/>
            </w14:solidFill>
          </w14:textFill>
        </w:rPr>
        <w:t>顺序，并连续编排页码(扫描或复印件可以采用页码机加盖页码)。</w:t>
      </w:r>
    </w:p>
    <w:p>
      <w:pP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pPr>
        <w:spacing w:line="360" w:lineRule="auto"/>
        <w:ind w:firstLine="480" w:firstLineChars="200"/>
        <w:rPr>
          <w:rFonts w:ascii="宋体" w:hAnsi="宋体" w:eastAsia="宋体" w:cs="Times New Roman"/>
          <w:b/>
          <w:bCs/>
          <w:color w:val="000000" w:themeColor="text1"/>
          <w:kern w:val="0"/>
          <w:sz w:val="24"/>
          <w:szCs w:val="28"/>
          <w:highlight w:val="none"/>
          <w14:textFill>
            <w14:solidFill>
              <w14:schemeClr w14:val="tx1"/>
            </w14:solidFill>
          </w14:textFill>
        </w:rPr>
      </w:pPr>
      <w:r>
        <w:rPr>
          <w:rFonts w:hint="eastAsia" w:ascii="宋体" w:hAnsi="宋体" w:eastAsia="宋体" w:cs="Times New Roman"/>
          <w:b/>
          <w:bCs/>
          <w:color w:val="000000" w:themeColor="text1"/>
          <w:kern w:val="0"/>
          <w:sz w:val="24"/>
          <w:szCs w:val="28"/>
          <w:highlight w:val="none"/>
          <w14:textFill>
            <w14:solidFill>
              <w14:schemeClr w14:val="tx1"/>
            </w14:solidFill>
          </w14:textFill>
        </w:rPr>
        <w:t>一、投标函</w:t>
      </w:r>
    </w:p>
    <w:p>
      <w:pPr>
        <w:keepNext/>
        <w:keepLines/>
        <w:spacing w:before="260" w:after="260" w:line="413" w:lineRule="auto"/>
        <w:jc w:val="center"/>
        <w:outlineLvl w:val="9"/>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39" w:name="_Toc25739"/>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39"/>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1、我方同意在本项目</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中规定的投标有效期内遵守本投标文件中的承诺且在此期限期满之前均具有约束力。</w:t>
      </w:r>
    </w:p>
    <w:p>
      <w:pPr>
        <w:pStyle w:val="142"/>
        <w:widowControl/>
        <w:wordWrap/>
        <w:adjustRightInd/>
        <w:snapToGrid/>
        <w:spacing w:line="440" w:lineRule="exact"/>
        <w:ind w:firstLine="480" w:firstLineChars="200"/>
        <w:textAlignment w:val="auto"/>
        <w:outlineLvl w:val="9"/>
        <w:rPr>
          <w:rFonts w:ascii="宋体" w:hAnsi="宋体" w:eastAsia="宋体"/>
          <w:b w:val="0"/>
          <w:bCs/>
          <w:color w:val="000000" w:themeColor="text1"/>
          <w:sz w:val="24"/>
          <w:szCs w:val="24"/>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2、我单位(本人)自愿参加本次政府采购活动，严格遵守《中华人民共和国政 府采购法》及相关法律法规，依法诚信经营，无条件遵守本次政府采购活动的各项 规定。我单位(本人)郑重承诺，我单位(本人)符合《中华人民共和国政府采购法》第二十二条规定和</w:t>
      </w:r>
      <w:r>
        <w:rPr>
          <w:rFonts w:hint="eastAsia" w:ascii="宋体" w:hAnsi="宋体" w:eastAsia="宋体"/>
          <w:b w:val="0"/>
          <w:bCs/>
          <w:color w:val="000000" w:themeColor="text1"/>
          <w:sz w:val="24"/>
          <w:szCs w:val="24"/>
          <w:highlight w:val="none"/>
          <w:lang w:eastAsia="zh-CN"/>
          <w14:textFill>
            <w14:solidFill>
              <w14:schemeClr w14:val="tx1"/>
            </w14:solidFill>
          </w14:textFill>
        </w:rPr>
        <w:t>招标文件</w:t>
      </w:r>
      <w:r>
        <w:rPr>
          <w:rFonts w:hint="eastAsia" w:ascii="宋体" w:hAnsi="宋体" w:eastAsia="宋体"/>
          <w:b w:val="0"/>
          <w:bCs/>
          <w:color w:val="000000" w:themeColor="text1"/>
          <w:sz w:val="24"/>
          <w:szCs w:val="24"/>
          <w:highlight w:val="none"/>
          <w14:textFill>
            <w14:solidFill>
              <w14:schemeClr w14:val="tx1"/>
            </w14:solidFill>
          </w14:textFill>
        </w:rPr>
        <w:t>中规定的参加政府采购活动的</w:t>
      </w:r>
      <w:r>
        <w:rPr>
          <w:rFonts w:hint="eastAsia" w:ascii="宋体" w:hAnsi="宋体" w:eastAsia="宋体"/>
          <w:b w:val="0"/>
          <w:bCs/>
          <w:color w:val="000000" w:themeColor="text1"/>
          <w:sz w:val="24"/>
          <w:szCs w:val="24"/>
          <w:highlight w:val="none"/>
          <w:lang w:eastAsia="zh-CN"/>
          <w14:textFill>
            <w14:solidFill>
              <w14:schemeClr w14:val="tx1"/>
            </w14:solidFill>
          </w14:textFill>
        </w:rPr>
        <w:t>投标供应商</w:t>
      </w:r>
      <w:r>
        <w:rPr>
          <w:rFonts w:hint="eastAsia" w:ascii="宋体" w:hAnsi="宋体" w:eastAsia="宋体"/>
          <w:b w:val="0"/>
          <w:bCs/>
          <w:color w:val="000000" w:themeColor="text1"/>
          <w:sz w:val="24"/>
          <w:szCs w:val="24"/>
          <w:highlight w:val="none"/>
          <w14:textFill>
            <w14:solidFill>
              <w14:schemeClr w14:val="tx1"/>
            </w14:solidFill>
          </w14:textFill>
        </w:rPr>
        <w:t>应当具备的条件：</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1）具有独立承担民事责任的能力；</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2）具有良好的商业信誉和健全的财务会计制度；</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3）具有履行合同所必需的设备和专业技术能力；</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4）有依法缴纳税收和社会保障资金的良好记录；</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5）参加此项采购活动前三年内，在经营活动中没有重大违法记录；</w:t>
      </w:r>
    </w:p>
    <w:p>
      <w:pPr>
        <w:pStyle w:val="96"/>
        <w:spacing w:line="48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6）法律、行政法规规定的其他条件。</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3、提供</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须知规定的全部投标文件，包括在</w:t>
      </w:r>
      <w:r>
        <w:rPr>
          <w:rFonts w:hint="eastAsia" w:ascii="宋体" w:hAnsi="宋体" w:eastAsia="宋体"/>
          <w:color w:val="000000" w:themeColor="text1"/>
          <w:sz w:val="24"/>
          <w:szCs w:val="24"/>
          <w:highlight w:val="none"/>
          <w:lang w:val="en-US" w:eastAsia="zh-CN"/>
          <w14:textFill>
            <w14:solidFill>
              <w14:schemeClr w14:val="tx1"/>
            </w14:solidFill>
          </w14:textFill>
        </w:rPr>
        <w:t>新疆</w:t>
      </w:r>
      <w:r>
        <w:rPr>
          <w:rFonts w:hint="eastAsia" w:ascii="宋体" w:hAnsi="宋体" w:eastAsia="宋体"/>
          <w:color w:val="000000" w:themeColor="text1"/>
          <w:sz w:val="24"/>
          <w:szCs w:val="24"/>
          <w:highlight w:val="none"/>
          <w14:textFill>
            <w14:solidFill>
              <w14:schemeClr w14:val="tx1"/>
            </w14:solidFill>
          </w14:textFill>
        </w:rPr>
        <w:t>政府采购网上传加密电子投标文件一份。</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4、按</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要求提供交付服务的投标报价详见开标一览表。</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5、保证忠实地执行双方所签订的合同，并承担合同规定的责任和义务。</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6、我方承诺完全满足和响应</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中的各项技术和服务要求，若有偏差，已在投标文件偏离表中予以明确特别说明。</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7、我方承诺：完全理解投标报价若超过项目预算时，投标将被拒绝。</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8、如果在开标后规定的投标有效期内撤回投标，我方的投标保证金可被贵方没收。</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、我方完全理解贵方不一定接受最低价的投标或收到的任何投标。</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我方承诺：投标文件所提供的一切资料及新疆政府采购网申报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olor w:val="000000" w:themeColor="text1"/>
          <w:sz w:val="24"/>
          <w:szCs w:val="24"/>
          <w:highlight w:val="none"/>
          <w:lang w:eastAsia="zh-CN"/>
          <w14:textFill>
            <w14:solidFill>
              <w14:schemeClr w14:val="tx1"/>
            </w14:solidFill>
          </w14:textFill>
        </w:rPr>
        <w:t>做出</w:t>
      </w:r>
      <w:r>
        <w:rPr>
          <w:rFonts w:hint="eastAsia" w:ascii="宋体" w:hAnsi="宋体" w:eastAsia="宋体"/>
          <w:color w:val="000000" w:themeColor="text1"/>
          <w:sz w:val="24"/>
          <w:szCs w:val="24"/>
          <w:highlight w:val="none"/>
          <w14:textFill>
            <w14:solidFill>
              <w14:schemeClr w14:val="tx1"/>
            </w14:solidFill>
          </w14:textFill>
        </w:rPr>
        <w:t>的一切承诺的证明材料。</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、我方已详细审核全部投标文件，包括投标文件修改书（如有的话）、参考资料及有关附件，确认无误。</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、我方承诺：采购人若需追加采购本项目</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所列相关服务的，在不改变合同其他实质性条款的前提下，按相同或更优惠的折扣率保证</w:t>
      </w:r>
      <w:r>
        <w:rPr>
          <w:rFonts w:hint="eastAsia" w:ascii="宋体" w:hAnsi="宋体" w:eastAsia="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olor w:val="000000" w:themeColor="text1"/>
          <w:sz w:val="24"/>
          <w:szCs w:val="24"/>
          <w:highlight w:val="none"/>
          <w14:textFill>
            <w14:solidFill>
              <w14:schemeClr w14:val="tx1"/>
            </w14:solidFill>
          </w14:textFill>
        </w:rPr>
        <w:t>。</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、我方承诺：接受</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中的全部条款且无任何异议，保证遵守</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的规定。</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1）提供虚假材料谋取中标、成交的；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2）采取不正当手段诋毁、排挤其他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3）与采购人、其他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或者采购代理机构工作人员恶意串通的；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4）向采购人、采购代理机构工作人员行贿或者提供其他不正当利益的；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5）在采购过程中与采购人进行协商谈判的；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6）拒绝有关部门监督检查或提供虚假情况的。</w:t>
      </w:r>
    </w:p>
    <w:p>
      <w:pPr>
        <w:pStyle w:val="96"/>
        <w:spacing w:line="480" w:lineRule="exact"/>
        <w:ind w:firstLine="48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若我方中标，我方承诺领取中标通知书同时缴纳招标代理服务费。</w:t>
      </w:r>
    </w:p>
    <w:p>
      <w:pPr>
        <w:pStyle w:val="96"/>
        <w:spacing w:line="480" w:lineRule="exact"/>
        <w:ind w:firstLine="48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16、</w:t>
      </w:r>
      <w:r>
        <w:rPr>
          <w:rFonts w:hint="eastAsia" w:ascii="宋体" w:hAnsi="宋体" w:eastAsia="宋体"/>
          <w:color w:val="000000" w:themeColor="text1"/>
          <w:sz w:val="24"/>
          <w:szCs w:val="24"/>
          <w:highlight w:val="none"/>
          <w14:textFill>
            <w14:solidFill>
              <w14:schemeClr w14:val="tx1"/>
            </w14:solidFill>
          </w14:textFill>
        </w:rPr>
        <w:t>与本投标有关的一切往来通讯请寄：</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地址：____________________________________________________</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邮编：____________　</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电话：____________　</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传真：____________</w:t>
      </w:r>
    </w:p>
    <w:p>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olor w:val="000000" w:themeColor="text1"/>
          <w:sz w:val="24"/>
          <w:szCs w:val="24"/>
          <w:highlight w:val="none"/>
          <w14:textFill>
            <w14:solidFill>
              <w14:schemeClr w14:val="tx1"/>
            </w14:solidFill>
          </w14:textFill>
        </w:rPr>
        <w:t>法定代表人或授权代理人联系电话，e-mail：</w:t>
      </w:r>
    </w:p>
    <w:p>
      <w:pPr>
        <w:pStyle w:val="141"/>
        <w:widowControl/>
        <w:spacing w:line="480" w:lineRule="exact"/>
        <w:ind w:left="100" w:leftChars="48" w:firstLine="360" w:firstLineChars="15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投标人法定代表人电子</w:t>
      </w:r>
      <w:r>
        <w:rPr>
          <w:rFonts w:hint="eastAsia" w:ascii="宋体" w:hAnsi="宋体" w:eastAsia="宋体"/>
          <w:b/>
          <w:color w:val="000000" w:themeColor="text1"/>
          <w:sz w:val="24"/>
          <w:szCs w:val="24"/>
          <w:highlight w:val="none"/>
          <w:lang w:val="en-US" w:eastAsia="zh-CN"/>
          <w14:textFill>
            <w14:solidFill>
              <w14:schemeClr w14:val="tx1"/>
            </w14:solidFill>
          </w14:textFill>
        </w:rPr>
        <w:t>签章</w:t>
      </w:r>
      <w:r>
        <w:rPr>
          <w:rFonts w:hint="eastAsia" w:ascii="宋体" w:hAnsi="宋体" w:eastAsia="宋体"/>
          <w:b/>
          <w:color w:val="000000" w:themeColor="text1"/>
          <w:sz w:val="24"/>
          <w:szCs w:val="24"/>
          <w:highlight w:val="none"/>
          <w14:textFill>
            <w14:solidFill>
              <w14:schemeClr w14:val="tx1"/>
            </w14:solidFill>
          </w14:textFill>
        </w:rPr>
        <w:t>：</w:t>
      </w:r>
    </w:p>
    <w:p>
      <w:pPr>
        <w:pStyle w:val="141"/>
        <w:widowControl/>
        <w:spacing w:line="480" w:lineRule="exact"/>
        <w:ind w:left="0" w:leftChars="0"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投标人公章：</w:t>
      </w:r>
    </w:p>
    <w:p>
      <w:pPr>
        <w:pStyle w:val="141"/>
        <w:widowControl/>
        <w:spacing w:line="480" w:lineRule="exact"/>
        <w:ind w:left="0" w:left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 xml:space="preserve"> 日　期：</w:t>
      </w:r>
    </w:p>
    <w:p>
      <w:pPr>
        <w:spacing w:line="3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说明：除可填报项目外，对本投标函的任何修改将被视为非实质性响应投标，从而导致该投标被拒绝。</w:t>
      </w: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法定代表人身份证明复印件</w:t>
      </w:r>
    </w:p>
    <w:p>
      <w:pPr>
        <w:spacing w:beforeLines="50" w:afterLines="50" w:line="360" w:lineRule="auto"/>
        <w:ind w:left="546" w:leftChars="26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2</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法定代表人授权委托书</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pPr>
        <w:numPr>
          <w:ilvl w:val="0"/>
          <w:numId w:val="5"/>
        </w:numPr>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开标一览表</w:t>
      </w:r>
    </w:p>
    <w:p>
      <w:pPr>
        <w:numPr>
          <w:ilvl w:val="0"/>
          <w:numId w:val="0"/>
        </w:numPr>
        <w:spacing w:line="360" w:lineRule="auto"/>
        <w:jc w:val="both"/>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报价</w:t>
            </w:r>
          </w:p>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人民币</w:t>
            </w:r>
          </w:p>
        </w:tc>
        <w:tc>
          <w:tcPr>
            <w:tcW w:w="5400"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服务期限</w:t>
            </w:r>
          </w:p>
        </w:tc>
        <w:tc>
          <w:tcPr>
            <w:tcW w:w="5400"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pPr>
              <w:pStyle w:val="26"/>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质保期</w:t>
            </w:r>
          </w:p>
        </w:tc>
        <w:tc>
          <w:tcPr>
            <w:tcW w:w="5400"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pPr>
              <w:pStyle w:val="26"/>
              <w:spacing w:line="360" w:lineRule="auto"/>
              <w:jc w:val="center"/>
              <w:rPr>
                <w:rFonts w:hint="default"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投标有效期</w:t>
            </w:r>
          </w:p>
        </w:tc>
        <w:tc>
          <w:tcPr>
            <w:tcW w:w="540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pPr>
              <w:pStyle w:val="26"/>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项目负责人及联系方式</w:t>
            </w:r>
          </w:p>
        </w:tc>
        <w:tc>
          <w:tcPr>
            <w:tcW w:w="540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8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540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pPr>
        <w:autoSpaceDE w:val="0"/>
        <w:autoSpaceDN w:val="0"/>
        <w:adjustRightInd w:val="0"/>
        <w:spacing w:line="440" w:lineRule="exact"/>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说明：1、本表格式不得更改，投标人严格按照规定的格式填写。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报价为优惠后报价，并作为评审及定标的依据。 2、任何有选择或有条件的投标总价或表中填写多个报价，均将导致投标被拒绝。</w:t>
      </w:r>
    </w:p>
    <w:p>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pPr>
        <w:spacing w:line="460" w:lineRule="atLeast"/>
        <w:rPr>
          <w:rFonts w:ascii="宋体" w:hAnsi="宋体" w:eastAsia="宋体" w:cs="Times New Roman"/>
          <w:color w:val="000000" w:themeColor="text1"/>
          <w:sz w:val="24"/>
          <w:highlight w:val="none"/>
          <w14:textFill>
            <w14:solidFill>
              <w14:schemeClr w14:val="tx1"/>
            </w14:solidFill>
          </w14:textFill>
        </w:rPr>
      </w:pPr>
    </w:p>
    <w:p>
      <w:pPr>
        <w:spacing w:line="460" w:lineRule="atLeast"/>
        <w:rPr>
          <w:rFonts w:ascii="宋体" w:hAnsi="宋体" w:eastAsia="宋体" w:cs="Times New Roman"/>
          <w:color w:val="000000" w:themeColor="text1"/>
          <w:sz w:val="24"/>
          <w:highlight w:val="none"/>
          <w14:textFill>
            <w14:solidFill>
              <w14:schemeClr w14:val="tx1"/>
            </w14:solidFill>
          </w14:textFill>
        </w:rPr>
      </w:pPr>
    </w:p>
    <w:p>
      <w:pPr>
        <w:spacing w:line="360" w:lineRule="auto"/>
        <w:jc w:val="both"/>
        <w:rPr>
          <w:rFonts w:ascii="宋体" w:hAnsi="宋体" w:eastAsia="宋体" w:cs="Times New Roman"/>
          <w:color w:val="000000" w:themeColor="text1"/>
          <w:highlight w:val="none"/>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40" w:name="_Toc30080"/>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投标分项报价表</w:t>
      </w:r>
    </w:p>
    <w:p>
      <w:pPr>
        <w:jc w:val="both"/>
        <w:rPr>
          <w:rFonts w:hint="default" w:ascii="Calibri" w:hAnsi="Calibri" w:eastAsia="宋体" w:cs="Times New Roman"/>
          <w:b/>
          <w:color w:val="000000" w:themeColor="text1"/>
          <w:kern w:val="0"/>
          <w:sz w:val="24"/>
          <w:szCs w:val="20"/>
          <w:highlight w:val="none"/>
          <w:lang w:val="en-US" w:eastAsia="zh-CN"/>
          <w14:textFill>
            <w14:solidFill>
              <w14:schemeClr w14:val="tx1"/>
            </w14:solidFill>
          </w14:textFill>
        </w:rPr>
      </w:pPr>
    </w:p>
    <w:p>
      <w:pPr>
        <w:numPr>
          <w:ilvl w:val="0"/>
          <w:numId w:val="0"/>
        </w:numPr>
        <w:spacing w:line="360" w:lineRule="auto"/>
        <w:jc w:val="righ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68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w:t>
            </w:r>
          </w:p>
        </w:tc>
        <w:tc>
          <w:tcPr>
            <w:tcW w:w="5400"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685" w:type="dxa"/>
            <w:vAlign w:val="center"/>
          </w:tcPr>
          <w:p>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投标报价</w:t>
            </w:r>
          </w:p>
        </w:tc>
        <w:tc>
          <w:tcPr>
            <w:tcW w:w="5400" w:type="dxa"/>
            <w:vAlign w:val="center"/>
          </w:tcPr>
          <w:p>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pPr>
              <w:spacing w:line="36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bl>
    <w:p>
      <w:pPr>
        <w:numPr>
          <w:ilvl w:val="0"/>
          <w:numId w:val="0"/>
        </w:numPr>
        <w:spacing w:before="15"/>
        <w:rPr>
          <w:rFonts w:hint="eastAsia" w:ascii="宋体" w:hAnsi="宋体" w:cs="仿宋"/>
          <w:color w:val="000000" w:themeColor="text1"/>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根据投标人实际的分项报价内容可对</w:t>
      </w:r>
      <w:r>
        <w:rPr>
          <w:rFonts w:ascii="宋体" w:hAnsi="宋体" w:eastAsia="宋体" w:cs="宋体"/>
          <w:b w:val="0"/>
          <w:bCs w:val="0"/>
          <w:color w:val="000000" w:themeColor="text1"/>
          <w:sz w:val="24"/>
          <w:szCs w:val="24"/>
          <w:highlight w:val="none"/>
          <w14:textFill>
            <w14:solidFill>
              <w14:schemeClr w14:val="tx1"/>
            </w14:solidFill>
          </w14:textFill>
        </w:rPr>
        <w:t>本表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进行调整或修改</w:t>
      </w:r>
      <w:r>
        <w:rPr>
          <w:rFonts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 xml:space="preserve">报价为优惠后报价，并作为评审及定标的依据。 </w:t>
      </w:r>
      <w:r>
        <w:rPr>
          <w:rFonts w:hint="eastAsia" w:ascii="宋体" w:hAnsi="宋体" w:cs="仿宋"/>
          <w:color w:val="000000" w:themeColor="text1"/>
          <w:sz w:val="24"/>
          <w:szCs w:val="24"/>
          <w:highlight w:val="none"/>
          <w:lang w:val="en-US" w:eastAsia="zh-CN"/>
          <w14:textFill>
            <w14:solidFill>
              <w14:schemeClr w14:val="tx1"/>
            </w14:solidFill>
          </w14:textFill>
        </w:rPr>
        <w:t>2、大写金额与小写金额不一致时，以大写金额为准。3、投标供应商“投标分项报价表”中的投标总价与“开标一览表”中的投标总价不一致时，以“开标一览表”中的投标总价为准。</w:t>
      </w:r>
    </w:p>
    <w:p>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w:t>
      </w:r>
      <w:r>
        <w:rPr>
          <w:rFonts w:hint="eastAsia" w:ascii="Calibri" w:hAnsi="Calibri" w:eastAsia="宋体" w:cs="Times New Roman"/>
          <w:b/>
          <w:color w:val="000000" w:themeColor="text1"/>
          <w:kern w:val="0"/>
          <w:sz w:val="24"/>
          <w:szCs w:val="20"/>
          <w:highlight w:val="none"/>
          <w14:textFill>
            <w14:solidFill>
              <w14:schemeClr w14:val="tx1"/>
            </w14:solidFill>
          </w14:textFill>
        </w:rPr>
        <w:t>、商务条款偏离表</w:t>
      </w:r>
      <w:bookmarkEnd w:id="40"/>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41" w:name="_Toc7599"/>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四</w:t>
      </w:r>
      <w:r>
        <w:rPr>
          <w:rFonts w:hint="eastAsia" w:ascii="Calibri" w:hAnsi="Calibri" w:eastAsia="宋体" w:cs="Times New Roman"/>
          <w:b/>
          <w:color w:val="000000" w:themeColor="text1"/>
          <w:kern w:val="0"/>
          <w:sz w:val="24"/>
          <w:szCs w:val="20"/>
          <w:highlight w:val="none"/>
          <w14:textFill>
            <w14:solidFill>
              <w14:schemeClr w14:val="tx1"/>
            </w14:solidFill>
          </w14:textFill>
        </w:rPr>
        <w:t>、投标保证金</w:t>
      </w:r>
      <w:bookmarkEnd w:id="41"/>
    </w:p>
    <w:p>
      <w:pPr>
        <w:spacing w:line="360" w:lineRule="auto"/>
        <w:ind w:firstLine="480" w:firstLineChars="200"/>
        <w:rPr>
          <w:rFonts w:hint="default" w:ascii="宋体" w:hAnsi="宋体" w:eastAsia="宋体" w:cs="Times New Roman"/>
          <w:color w:val="000000" w:themeColor="text1"/>
          <w:kern w:val="0"/>
          <w:sz w:val="2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或保函</w:t>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42" w:name="_Toc748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五</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、供应商具备投标资格的证明文件</w:t>
      </w:r>
      <w:bookmarkEnd w:id="42"/>
    </w:p>
    <w:p>
      <w:pPr>
        <w:keepNext/>
        <w:keepLines/>
        <w:spacing w:before="280" w:after="290" w:line="376" w:lineRule="auto"/>
        <w:jc w:val="center"/>
        <w:outlineLvl w:val="9"/>
        <w:rPr>
          <w:rFonts w:ascii="宋体" w:hAnsi="宋体" w:eastAsia="宋体" w:cs="Times New Roman"/>
          <w:b/>
          <w:bCs/>
          <w:color w:val="000000" w:themeColor="text1"/>
          <w:kern w:val="0"/>
          <w:sz w:val="24"/>
          <w:szCs w:val="24"/>
          <w:highlight w:val="none"/>
          <w14:textFill>
            <w14:solidFill>
              <w14:schemeClr w14:val="tx1"/>
            </w14:solidFill>
          </w14:textFill>
        </w:rPr>
      </w:pPr>
      <w:bookmarkStart w:id="43" w:name="_Toc6445"/>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43"/>
    </w:p>
    <w:p>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4" w:name="_Toc1964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44"/>
    </w:p>
    <w:p>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备注：须提供法人或其他组织或自然人的营业执照副本或事业法人登记证或执业许可证或身份证等相关证明复印件（除身份证外其余证件须加盖公章）</w:t>
      </w:r>
    </w:p>
    <w:p>
      <w:pPr>
        <w:tabs>
          <w:tab w:val="left" w:pos="3075"/>
        </w:tabs>
        <w:adjustRightInd w:val="0"/>
        <w:snapToGrid w:val="0"/>
        <w:spacing w:line="420" w:lineRule="exact"/>
        <w:ind w:firstLine="44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p>
    <w:p>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5" w:name="_Toc13932"/>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－2　具有良好的商业信誉和健全的财务会计制度的证明材料</w:t>
      </w:r>
      <w:bookmarkEnd w:id="45"/>
    </w:p>
    <w:p>
      <w:pPr>
        <w:adjustRightInd w:val="0"/>
        <w:spacing w:line="360" w:lineRule="auto"/>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p>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1、审计报告复印件至少应包括资产负债表、利润表、现金流量表及其附注、加盖会计师事务所公章页。</w:t>
      </w:r>
    </w:p>
    <w:p>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000000" w:themeColor="text1"/>
          <w:sz w:val="24"/>
          <w:highlight w:val="none"/>
          <w:shd w:val="clear" w:color="auto" w:fill="FFFFFF"/>
          <w14:textFill>
            <w14:solidFill>
              <w14:schemeClr w14:val="tx1"/>
            </w14:solidFill>
          </w14:textFill>
        </w:rPr>
        <w:t>章），且无收受人和项目的限制，但开具银行有限制规定的除外。</w:t>
      </w:r>
    </w:p>
    <w:p>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3、银行资信证明可以是复印件并加盖供应商公章，招标小组保留审核原件的权利。</w:t>
      </w:r>
      <w:r>
        <w:rPr>
          <w:rFonts w:hint="eastAsia" w:ascii="宋体" w:hAnsi="宋体" w:eastAsia="宋体" w:cs="宋体"/>
          <w:b/>
          <w:color w:val="000000" w:themeColor="text1"/>
          <w:sz w:val="24"/>
          <w:highlight w:val="none"/>
          <w:shd w:val="clear" w:color="auto" w:fill="FFFFFF"/>
          <w14:textFill>
            <w14:solidFill>
              <w14:schemeClr w14:val="tx1"/>
            </w14:solidFill>
          </w14:textFill>
        </w:rPr>
        <w:t>但开具银行明确规定复印件无效的，须提交原件。</w:t>
      </w:r>
    </w:p>
    <w:p>
      <w:pPr>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4、银行资信证明应能说明该供应商与银行之间业务往来正常，无不良记录，企业信誉良好等。银行出具的存款证明不能作为银行资信证明。</w:t>
      </w:r>
    </w:p>
    <w:p>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当月新成立公司不需要提供。</w:t>
      </w:r>
    </w:p>
    <w:p>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6" w:name="_Toc15606"/>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－3　具备履行合同所必需的设备和专业技术能力的证明材料</w:t>
      </w:r>
      <w:bookmarkEnd w:id="46"/>
    </w:p>
    <w:p>
      <w:pPr>
        <w:spacing w:line="360" w:lineRule="auto"/>
        <w:ind w:firstLine="480"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pPr>
        <w:rPr>
          <w:rFonts w:ascii="Calibri" w:hAnsi="Calibri" w:eastAsia="宋体" w:cs="Times New Roman"/>
          <w:color w:val="000000" w:themeColor="text1"/>
          <w:highlight w:val="none"/>
          <w14:textFill>
            <w14:solidFill>
              <w14:schemeClr w14:val="tx1"/>
            </w14:solidFill>
          </w14:textFill>
        </w:rPr>
      </w:pPr>
    </w:p>
    <w:p>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7" w:name="_Toc1138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－4有依法缴纳税收和社会保障资金的良好记录的证明材料</w:t>
      </w:r>
      <w:bookmarkEnd w:id="47"/>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1、有依法缴纳社会保障资金的良好记录，须提供参加本次政府采购活动近</w:t>
      </w:r>
      <w:r>
        <w:rPr>
          <w:rFonts w:hint="eastAsia" w:ascii="宋体" w:hAnsi="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或零纳税申报表</w:t>
      </w:r>
      <w:r>
        <w:rPr>
          <w:rFonts w:hint="eastAsia" w:ascii="宋体" w:hAnsi="宋体" w:eastAsia="宋体" w:cs="宋体"/>
          <w:color w:val="000000" w:themeColor="text1"/>
          <w:sz w:val="24"/>
          <w:szCs w:val="24"/>
          <w:highlight w:val="none"/>
          <w14:textFill>
            <w14:solidFill>
              <w14:schemeClr w14:val="tx1"/>
            </w14:solidFill>
          </w14:textFill>
        </w:rPr>
        <w:t xml:space="preserve">），并加盖供应商公章，当月新成立公司不需要提供。 </w:t>
      </w:r>
    </w:p>
    <w:p>
      <w:pPr>
        <w:spacing w:after="120" w:line="360" w:lineRule="auto"/>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3、依法免税或不需要缴纳社会保障资金的，应提供相应的文件证明并加盖本单位公章。</w:t>
      </w:r>
    </w:p>
    <w:p>
      <w:pPr>
        <w:keepNext/>
        <w:keepLines/>
        <w:spacing w:before="280" w:after="290" w:line="376" w:lineRule="auto"/>
        <w:jc w:val="left"/>
        <w:outlineLvl w:val="9"/>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8"/>
          <w:highlight w:val="none"/>
          <w14:textFill>
            <w14:solidFill>
              <w14:schemeClr w14:val="tx1"/>
            </w14:solidFill>
          </w14:textFill>
        </w:rPr>
        <w:br w:type="page"/>
      </w:r>
      <w:bookmarkStart w:id="48" w:name="_Toc10946"/>
      <w:r>
        <w:rPr>
          <w:rFonts w:hint="eastAsia" w:ascii="宋体" w:hAnsi="宋体" w:eastAsia="宋体" w:cs="Times New Roman"/>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5</w:t>
      </w:r>
      <w:bookmarkEnd w:id="48"/>
    </w:p>
    <w:p>
      <w:pPr>
        <w:jc w:val="center"/>
        <w:rPr>
          <w:rFonts w:ascii="Calibri" w:hAnsi="Calibri"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参加政府采购活动近三年内在经营活动中</w:t>
      </w:r>
    </w:p>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没有重大违法记录的书面声明</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本单位郑重声明：</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五</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项所称重大违法记录，包括：</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特此声明！</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pPr>
        <w:spacing w:line="360" w:lineRule="auto"/>
        <w:ind w:firstLine="480" w:firstLineChars="200"/>
        <w:outlineLvl w:val="9"/>
        <w:rPr>
          <w:rFonts w:ascii="宋体" w:hAnsi="宋体" w:eastAsia="宋体" w:cs="Times New Roman"/>
          <w:color w:val="000000" w:themeColor="text1"/>
          <w:kern w:val="0"/>
          <w:sz w:val="24"/>
          <w:szCs w:val="24"/>
          <w:highlight w:val="none"/>
          <w14:textFill>
            <w14:solidFill>
              <w14:schemeClr w14:val="tx1"/>
            </w14:solidFill>
          </w14:textFill>
        </w:rPr>
      </w:pPr>
      <w:bookmarkStart w:id="49" w:name="_Toc1763"/>
      <w:r>
        <w:rPr>
          <w:rFonts w:hint="eastAsia" w:ascii="宋体" w:hAnsi="宋体" w:eastAsia="宋体" w:cs="Times New Roman"/>
          <w:b/>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bookmarkEnd w:id="49"/>
    </w:p>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无不良信用记录承诺函</w:t>
      </w: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14:textFill>
            <w14:solidFill>
              <w14:schemeClr w14:val="tx1"/>
            </w14:solidFill>
          </w14:textFill>
        </w:rPr>
        <w:t>供应商自行查询适用</w:t>
      </w:r>
      <w:r>
        <w:rPr>
          <w:rFonts w:ascii="宋体" w:hAnsi="宋体" w:eastAsia="宋体" w:cs="Times New Roman"/>
          <w:b/>
          <w:color w:val="000000" w:themeColor="text1"/>
          <w:sz w:val="24"/>
          <w:szCs w:val="24"/>
          <w:highlight w:val="none"/>
          <w14:textFill>
            <w14:solidFill>
              <w14:schemeClr w14:val="tx1"/>
            </w14:solidFill>
          </w14:textFill>
        </w:rPr>
        <w:t>)</w:t>
      </w:r>
    </w:p>
    <w:p>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本单位郑重承诺，我单位无以下不良信用记录情形：</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被人民法院列入失信被执行人；</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被税务部门列入重大税收违法失信主体；</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被政府采购监管部门列入政府采购严重违法失信行为记录名单；</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不符合《中华人民共和国政府采购法》第二十二条规定的条件。</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pPr>
        <w:spacing w:line="360" w:lineRule="auto"/>
        <w:outlineLvl w:val="9"/>
        <w:rPr>
          <w:rFonts w:ascii="宋体" w:hAnsi="宋体" w:eastAsia="宋体" w:cs="宋体"/>
          <w:color w:val="000000" w:themeColor="text1"/>
          <w:kern w:val="0"/>
          <w:sz w:val="24"/>
          <w:szCs w:val="24"/>
          <w:highlight w:val="none"/>
          <w14:textFill>
            <w14:solidFill>
              <w14:schemeClr w14:val="tx1"/>
            </w14:solidFill>
          </w14:textFill>
        </w:rPr>
      </w:pPr>
      <w:bookmarkStart w:id="50" w:name="_Toc30003"/>
      <w:r>
        <w:rPr>
          <w:rFonts w:hint="eastAsia" w:ascii="宋体" w:hAnsi="宋体" w:eastAsia="宋体" w:cs="宋体"/>
          <w:color w:val="000000" w:themeColor="text1"/>
          <w:kern w:val="0"/>
          <w:sz w:val="24"/>
          <w:szCs w:val="24"/>
          <w:highlight w:val="none"/>
          <w14:textFill>
            <w14:solidFill>
              <w14:schemeClr w14:val="tx1"/>
            </w14:solidFill>
          </w14:textFill>
        </w:rPr>
        <w:t>★附件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50"/>
    </w:p>
    <w:p>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承诺函</w:t>
      </w:r>
    </w:p>
    <w:p>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新疆艺术剧院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我单位负责人</w:t>
      </w:r>
      <w:r>
        <w:rPr>
          <w:rFonts w:hint="eastAsia" w:ascii="宋体" w:hAnsi="宋体" w:eastAsia="宋体" w:cs="宋体"/>
          <w:color w:val="000000" w:themeColor="text1"/>
          <w:sz w:val="24"/>
          <w:szCs w:val="24"/>
          <w:highlight w:val="none"/>
          <w:u w:val="single"/>
          <w14:textFill>
            <w14:solidFill>
              <w14:schemeClr w14:val="tx1"/>
            </w14:solidFill>
          </w14:textFill>
        </w:rPr>
        <w:t>（负责人姓名、身份证号）</w:t>
      </w:r>
      <w:r>
        <w:rPr>
          <w:rFonts w:hint="eastAsia" w:ascii="宋体" w:hAnsi="宋体" w:eastAsia="宋体" w:cs="宋体"/>
          <w:color w:val="000000" w:themeColor="text1"/>
          <w:sz w:val="24"/>
          <w:szCs w:val="24"/>
          <w:highlight w:val="none"/>
          <w14:textFill>
            <w14:solidFill>
              <w14:schemeClr w14:val="tx1"/>
            </w14:solidFill>
          </w14:textFill>
        </w:rPr>
        <w:t>，不存在与我单位负责人为同一人的不同供应商同时参加本项目同一包投标的情形。</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与我单位存在直接控股、管理关系的单位</w:t>
      </w:r>
      <w:r>
        <w:rPr>
          <w:rFonts w:hint="eastAsia" w:ascii="宋体" w:hAnsi="宋体" w:eastAsia="宋体" w:cs="宋体"/>
          <w:color w:val="000000" w:themeColor="text1"/>
          <w:sz w:val="24"/>
          <w:szCs w:val="24"/>
          <w:highlight w:val="none"/>
          <w:u w:val="single"/>
          <w14:textFill>
            <w14:solidFill>
              <w14:schemeClr w14:val="tx1"/>
            </w14:solidFill>
          </w14:textFill>
        </w:rPr>
        <w:t>（单位名称，如没有填“无”）</w:t>
      </w:r>
      <w:r>
        <w:rPr>
          <w:rFonts w:hint="eastAsia" w:ascii="宋体" w:hAnsi="宋体" w:eastAsia="宋体" w:cs="宋体"/>
          <w:color w:val="000000" w:themeColor="text1"/>
          <w:sz w:val="24"/>
          <w:szCs w:val="24"/>
          <w:highlight w:val="none"/>
          <w14:textFill>
            <w14:solidFill>
              <w14:schemeClr w14:val="tx1"/>
            </w14:solidFill>
          </w14:textFill>
        </w:rPr>
        <w:t>，不存在与我单位存在直接控股、</w:t>
      </w:r>
      <w:r>
        <w:rPr>
          <w:rFonts w:hint="eastAsia" w:ascii="宋体" w:hAnsi="宋体" w:eastAsia="宋体" w:cs="宋体"/>
          <w:color w:val="000000" w:themeColor="text1"/>
          <w:sz w:val="24"/>
          <w:szCs w:val="24"/>
          <w:highlight w:val="none"/>
          <w:lang w:eastAsia="zh-CN"/>
          <w14:textFill>
            <w14:solidFill>
              <w14:schemeClr w14:val="tx1"/>
            </w14:solidFill>
          </w14:textFill>
        </w:rPr>
        <w:t>管理</w:t>
      </w:r>
      <w:r>
        <w:rPr>
          <w:rFonts w:hint="eastAsia" w:ascii="宋体" w:hAnsi="宋体" w:eastAsia="宋体" w:cs="宋体"/>
          <w:color w:val="000000" w:themeColor="text1"/>
          <w:sz w:val="24"/>
          <w:szCs w:val="24"/>
          <w:highlight w:val="none"/>
          <w14:textFill>
            <w14:solidFill>
              <w14:schemeClr w14:val="tx1"/>
            </w14:solidFill>
          </w14:textFill>
        </w:rPr>
        <w:t>的不同供应商同时参加本项目同一包投标的情形。</w:t>
      </w:r>
    </w:p>
    <w:p>
      <w:pPr>
        <w:spacing w:after="12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pPr>
        <w:spacing w:after="120" w:line="360" w:lineRule="auto"/>
        <w:ind w:firstLine="440"/>
        <w:rPr>
          <w:rFonts w:ascii="宋体" w:hAnsi="宋体" w:eastAsia="宋体" w:cs="宋体"/>
          <w:color w:val="000000" w:themeColor="text1"/>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51" w:name="_Toc19219"/>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autoSpaceDE w:val="0"/>
        <w:autoSpaceDN w:val="0"/>
        <w:adjustRightInd w:val="0"/>
        <w:spacing w:line="360" w:lineRule="auto"/>
        <w:ind w:firstLine="480" w:firstLineChars="200"/>
        <w:jc w:val="center"/>
        <w:outlineLvl w:val="9"/>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zh-CN"/>
          <w14:textFill>
            <w14:solidFill>
              <w14:schemeClr w14:val="tx1"/>
            </w14:solidFill>
          </w14:textFill>
        </w:rPr>
        <w:t>项目负责人简历</w:t>
      </w:r>
    </w:p>
    <w:p>
      <w:pPr>
        <w:jc w:val="both"/>
        <w:rPr>
          <w:rFonts w:hint="eastAsia" w:ascii="宋体" w:hAnsi="宋体" w:eastAsia="宋体" w:cs="宋体"/>
          <w:b/>
          <w:color w:val="000000" w:themeColor="text1"/>
          <w:sz w:val="24"/>
          <w:szCs w:val="24"/>
          <w:highlight w:val="none"/>
          <w14:textFill>
            <w14:solidFill>
              <w14:schemeClr w14:val="tx1"/>
            </w14:solidFill>
          </w14:textFill>
        </w:rPr>
      </w:pPr>
    </w:p>
    <w:tbl>
      <w:tblPr>
        <w:tblStyle w:val="4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264"/>
        <w:gridCol w:w="1134"/>
        <w:gridCol w:w="213"/>
        <w:gridCol w:w="1569"/>
        <w:gridCol w:w="117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毕业学校</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专业</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参加工作时间</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从事本职业年限</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在公司担任职务</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联系方式</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证书名称</w:t>
            </w:r>
          </w:p>
        </w:tc>
        <w:tc>
          <w:tcPr>
            <w:tcW w:w="2398"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证书编号</w:t>
            </w:r>
          </w:p>
        </w:tc>
        <w:tc>
          <w:tcPr>
            <w:tcW w:w="2433"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restart"/>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近三年类似业绩</w:t>
            </w: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项目名称</w:t>
            </w: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采购人</w:t>
            </w: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合同内容</w:t>
            </w: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合同价格</w:t>
            </w: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备注：本表后需提供招标文件要求的有关书面证明材料。</w:t>
      </w:r>
    </w:p>
    <w:p>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numPr>
          <w:ilvl w:val="0"/>
          <w:numId w:val="0"/>
        </w:num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七、拟配备人员</w:t>
      </w:r>
    </w:p>
    <w:p>
      <w:pPr>
        <w:numPr>
          <w:ilvl w:val="0"/>
          <w:numId w:val="0"/>
        </w:numPr>
        <w:jc w:val="both"/>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tbl>
      <w:tblPr>
        <w:tblStyle w:val="49"/>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28"/>
        <w:gridCol w:w="1059"/>
        <w:gridCol w:w="1383"/>
        <w:gridCol w:w="1152"/>
        <w:gridCol w:w="1290"/>
        <w:gridCol w:w="122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序号</w:t>
            </w: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担任岗位</w:t>
            </w: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从事类似</w:t>
            </w:r>
          </w:p>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工作年限</w:t>
            </w: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4"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承诺书</w:t>
      </w:r>
    </w:p>
    <w:p>
      <w:pPr>
        <w:pStyle w:val="20"/>
        <w:rPr>
          <w:color w:val="000000" w:themeColor="text1"/>
          <w:sz w:val="24"/>
          <w:highlight w:val="none"/>
          <w14:textFill>
            <w14:solidFill>
              <w14:schemeClr w14:val="tx1"/>
            </w14:solidFill>
          </w14:textFill>
        </w:rPr>
      </w:pPr>
    </w:p>
    <w:p>
      <w:pPr>
        <w:pStyle w:val="20"/>
        <w:spacing w:line="600"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招标人</w:t>
      </w:r>
      <w:r>
        <w:rPr>
          <w:rFonts w:hint="eastAsia"/>
          <w:color w:val="000000" w:themeColor="text1"/>
          <w:sz w:val="24"/>
          <w:highlight w:val="none"/>
          <w:lang w:eastAsia="zh-CN"/>
          <w14:textFill>
            <w14:solidFill>
              <w14:schemeClr w14:val="tx1"/>
            </w14:solidFill>
          </w14:textFill>
        </w:rPr>
        <w:t>）</w:t>
      </w:r>
    </w:p>
    <w:p>
      <w:pPr>
        <w:pStyle w:val="47"/>
        <w:spacing w:line="60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我方承诺若我方中标，我方承诺本项目服务人员系我方投标文件中所提供的项目</w:t>
      </w:r>
      <w:r>
        <w:rPr>
          <w:rFonts w:hint="eastAsia"/>
          <w:color w:val="000000" w:themeColor="text1"/>
          <w:sz w:val="24"/>
          <w:highlight w:val="none"/>
          <w:lang w:val="en-US" w:eastAsia="zh-CN"/>
          <w14:textFill>
            <w14:solidFill>
              <w14:schemeClr w14:val="tx1"/>
            </w14:solidFill>
          </w14:textFill>
        </w:rPr>
        <w:t>配备</w:t>
      </w:r>
      <w:r>
        <w:rPr>
          <w:rFonts w:hint="eastAsia"/>
          <w:color w:val="000000" w:themeColor="text1"/>
          <w:sz w:val="24"/>
          <w:highlight w:val="none"/>
          <w14:textFill>
            <w14:solidFill>
              <w14:schemeClr w14:val="tx1"/>
            </w14:solidFill>
          </w14:textFill>
        </w:rPr>
        <w:t>人员名单中的全部人员</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车辆及物防设备均按照本项目采购需求中所要求的参数提供。</w:t>
      </w:r>
    </w:p>
    <w:p>
      <w:pPr>
        <w:pStyle w:val="39"/>
        <w:spacing w:line="600" w:lineRule="exact"/>
        <w:ind w:left="0" w:leftChars="0" w:firstLine="480" w:firstLineChars="200"/>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若由于特殊原因</w:t>
      </w:r>
      <w:r>
        <w:rPr>
          <w:rFonts w:hint="eastAsia" w:ascii="Calibri" w:hAnsi="Calibri"/>
          <w:color w:val="000000" w:themeColor="text1"/>
          <w:sz w:val="24"/>
          <w:highlight w:val="none"/>
          <w14:textFill>
            <w14:solidFill>
              <w14:schemeClr w14:val="tx1"/>
            </w14:solidFill>
          </w14:textFill>
        </w:rPr>
        <w:t>需</w:t>
      </w:r>
      <w:r>
        <w:rPr>
          <w:rFonts w:ascii="Calibri" w:hAnsi="Calibri"/>
          <w:color w:val="000000" w:themeColor="text1"/>
          <w:sz w:val="24"/>
          <w:highlight w:val="none"/>
          <w14:textFill>
            <w14:solidFill>
              <w14:schemeClr w14:val="tx1"/>
            </w14:solidFill>
          </w14:textFill>
        </w:rPr>
        <w:t>更换</w:t>
      </w:r>
      <w:r>
        <w:rPr>
          <w:rFonts w:hint="eastAsia"/>
          <w:color w:val="000000" w:themeColor="text1"/>
          <w:sz w:val="24"/>
          <w:highlight w:val="none"/>
          <w:lang w:val="en-US" w:eastAsia="zh-CN"/>
          <w14:textFill>
            <w14:solidFill>
              <w14:schemeClr w14:val="tx1"/>
            </w14:solidFill>
          </w14:textFill>
        </w:rPr>
        <w:t>车辆、物防设备及配备人员</w:t>
      </w:r>
      <w:r>
        <w:rPr>
          <w:rFonts w:ascii="Calibri" w:hAnsi="Calibri"/>
          <w:color w:val="000000" w:themeColor="text1"/>
          <w:sz w:val="24"/>
          <w:highlight w:val="none"/>
          <w14:textFill>
            <w14:solidFill>
              <w14:schemeClr w14:val="tx1"/>
            </w14:solidFill>
          </w14:textFill>
        </w:rPr>
        <w:t>时，我方将以</w:t>
      </w:r>
      <w:r>
        <w:rPr>
          <w:rFonts w:hint="eastAsia"/>
          <w:color w:val="000000" w:themeColor="text1"/>
          <w:sz w:val="24"/>
          <w:highlight w:val="none"/>
          <w:lang w:val="en-US" w:eastAsia="zh-CN"/>
          <w14:textFill>
            <w14:solidFill>
              <w14:schemeClr w14:val="tx1"/>
            </w14:solidFill>
          </w14:textFill>
        </w:rPr>
        <w:t>资历</w:t>
      </w:r>
      <w:r>
        <w:rPr>
          <w:rFonts w:ascii="Calibri" w:hAnsi="Calibri"/>
          <w:color w:val="000000" w:themeColor="text1"/>
          <w:sz w:val="24"/>
          <w:highlight w:val="none"/>
          <w14:textFill>
            <w14:solidFill>
              <w14:schemeClr w14:val="tx1"/>
            </w14:solidFill>
          </w14:textFill>
        </w:rPr>
        <w:t>以及</w:t>
      </w:r>
      <w:r>
        <w:rPr>
          <w:rFonts w:hint="eastAsia"/>
          <w:color w:val="000000" w:themeColor="text1"/>
          <w:sz w:val="24"/>
          <w:highlight w:val="none"/>
          <w:lang w:val="en-US" w:eastAsia="zh-CN"/>
          <w14:textFill>
            <w14:solidFill>
              <w14:schemeClr w14:val="tx1"/>
            </w14:solidFill>
          </w14:textFill>
        </w:rPr>
        <w:t>能力</w:t>
      </w:r>
      <w:r>
        <w:rPr>
          <w:rFonts w:ascii="Calibri" w:hAnsi="Calibri"/>
          <w:color w:val="000000" w:themeColor="text1"/>
          <w:sz w:val="24"/>
          <w:highlight w:val="none"/>
          <w14:textFill>
            <w14:solidFill>
              <w14:schemeClr w14:val="tx1"/>
            </w14:solidFill>
          </w14:textFill>
        </w:rPr>
        <w:t>不低于此</w:t>
      </w:r>
      <w:r>
        <w:rPr>
          <w:rFonts w:hint="eastAsia"/>
          <w:color w:val="000000" w:themeColor="text1"/>
          <w:sz w:val="24"/>
          <w:highlight w:val="none"/>
          <w:lang w:val="en-US" w:eastAsia="zh-CN"/>
          <w14:textFill>
            <w14:solidFill>
              <w14:schemeClr w14:val="tx1"/>
            </w14:solidFill>
          </w14:textFill>
        </w:rPr>
        <w:t>项目配备</w:t>
      </w:r>
      <w:r>
        <w:rPr>
          <w:rFonts w:ascii="Calibri" w:hAnsi="Calibri"/>
          <w:color w:val="000000" w:themeColor="text1"/>
          <w:sz w:val="24"/>
          <w:highlight w:val="none"/>
          <w14:textFill>
            <w14:solidFill>
              <w14:schemeClr w14:val="tx1"/>
            </w14:solidFill>
          </w14:textFill>
        </w:rPr>
        <w:t>的人员替换，</w:t>
      </w:r>
      <w:r>
        <w:rPr>
          <w:rFonts w:hint="eastAsia"/>
          <w:color w:val="000000" w:themeColor="text1"/>
          <w:sz w:val="24"/>
          <w:highlight w:val="none"/>
          <w:lang w:val="en-US" w:eastAsia="zh-CN"/>
          <w14:textFill>
            <w14:solidFill>
              <w14:schemeClr w14:val="tx1"/>
            </w14:solidFill>
          </w14:textFill>
        </w:rPr>
        <w:t>车辆及物防设备按照本项目采购需求中要求的同等参数要求进行替换，</w:t>
      </w:r>
      <w:r>
        <w:rPr>
          <w:rFonts w:ascii="Calibri" w:hAnsi="Calibri"/>
          <w:color w:val="000000" w:themeColor="text1"/>
          <w:sz w:val="24"/>
          <w:highlight w:val="none"/>
          <w14:textFill>
            <w14:solidFill>
              <w14:schemeClr w14:val="tx1"/>
            </w14:solidFill>
          </w14:textFill>
        </w:rPr>
        <w:t>并报</w:t>
      </w:r>
      <w:r>
        <w:rPr>
          <w:rFonts w:hint="eastAsia"/>
          <w:color w:val="000000" w:themeColor="text1"/>
          <w:sz w:val="24"/>
          <w:highlight w:val="none"/>
          <w:lang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审查。经审查通过后，方可</w:t>
      </w:r>
      <w:r>
        <w:rPr>
          <w:rFonts w:hint="eastAsia"/>
          <w:color w:val="000000" w:themeColor="text1"/>
          <w:sz w:val="24"/>
          <w:highlight w:val="none"/>
          <w:lang w:val="en-US" w:eastAsia="zh-CN"/>
          <w14:textFill>
            <w14:solidFill>
              <w14:schemeClr w14:val="tx1"/>
            </w14:solidFill>
          </w14:textFill>
        </w:rPr>
        <w:t>替换</w:t>
      </w:r>
      <w:r>
        <w:rPr>
          <w:rFonts w:ascii="Calibri" w:hAnsi="Calibri"/>
          <w:color w:val="000000" w:themeColor="text1"/>
          <w:sz w:val="24"/>
          <w:highlight w:val="none"/>
          <w14:textFill>
            <w14:solidFill>
              <w14:schemeClr w14:val="tx1"/>
            </w14:solidFill>
          </w14:textFill>
        </w:rPr>
        <w:t>。若未经</w:t>
      </w:r>
      <w:r>
        <w:rPr>
          <w:rFonts w:hint="eastAsia"/>
          <w:color w:val="000000" w:themeColor="text1"/>
          <w:sz w:val="24"/>
          <w:highlight w:val="none"/>
          <w:lang w:val="en-US"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批准，我方擅自更换</w:t>
      </w:r>
      <w:r>
        <w:rPr>
          <w:rFonts w:hint="eastAsia"/>
          <w:color w:val="000000" w:themeColor="text1"/>
          <w:sz w:val="24"/>
          <w:highlight w:val="none"/>
          <w:lang w:val="en-US" w:eastAsia="zh-CN"/>
          <w14:textFill>
            <w14:solidFill>
              <w14:schemeClr w14:val="tx1"/>
            </w14:solidFill>
          </w14:textFill>
        </w:rPr>
        <w:t>人员、车辆及物防设备的</w:t>
      </w:r>
      <w:r>
        <w:rPr>
          <w:rFonts w:ascii="Calibri" w:hAnsi="Calibri"/>
          <w:color w:val="000000" w:themeColor="text1"/>
          <w:sz w:val="24"/>
          <w:highlight w:val="none"/>
          <w14:textFill>
            <w14:solidFill>
              <w14:schemeClr w14:val="tx1"/>
            </w14:solidFill>
          </w14:textFill>
        </w:rPr>
        <w:t>，我方愿以合同价的</w:t>
      </w:r>
      <w:r>
        <w:rPr>
          <w:rFonts w:ascii="Calibri" w:hAnsi="Calibri"/>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ascii="Calibri" w:hAnsi="Calibri"/>
          <w:color w:val="000000" w:themeColor="text1"/>
          <w:sz w:val="24"/>
          <w:highlight w:val="none"/>
          <w:u w:val="single"/>
          <w14:textFill>
            <w14:solidFill>
              <w14:schemeClr w14:val="tx1"/>
            </w14:solidFill>
          </w14:textFill>
        </w:rPr>
        <w:t xml:space="preserve"> </w:t>
      </w:r>
      <w:r>
        <w:rPr>
          <w:rFonts w:ascii="Calibri" w:hAnsi="Calibri"/>
          <w:color w:val="000000" w:themeColor="text1"/>
          <w:sz w:val="24"/>
          <w:highlight w:val="none"/>
          <w14:textFill>
            <w14:solidFill>
              <w14:schemeClr w14:val="tx1"/>
            </w14:solidFill>
          </w14:textFill>
        </w:rPr>
        <w:t>%作为赔偿金。</w:t>
      </w:r>
    </w:p>
    <w:p>
      <w:pPr>
        <w:rPr>
          <w:color w:val="000000" w:themeColor="text1"/>
          <w:highlight w:val="none"/>
          <w14:textFill>
            <w14:solidFill>
              <w14:schemeClr w14:val="tx1"/>
            </w14:solidFill>
          </w14:textFill>
        </w:rPr>
      </w:pPr>
    </w:p>
    <w:p>
      <w:pPr>
        <w:pStyle w:val="8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adjustRightInd w:val="0"/>
        <w:spacing w:line="400" w:lineRule="exact"/>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八</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、供应商近年类似项目业绩</w:t>
      </w:r>
      <w:bookmarkEnd w:id="51"/>
    </w:p>
    <w:tbl>
      <w:tblPr>
        <w:tblStyle w:val="50"/>
        <w:tblW w:w="8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1384"/>
        <w:gridCol w:w="1012"/>
        <w:gridCol w:w="1221"/>
        <w:gridCol w:w="1065"/>
        <w:gridCol w:w="1082"/>
        <w:gridCol w:w="1082"/>
        <w:gridCol w:w="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序号</w:t>
            </w: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项目名称</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联系方式</w:t>
            </w: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项目规模</w:t>
            </w: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合同金额</w:t>
            </w: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合同日期</w:t>
            </w: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bl>
    <w:p>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52" w:name="_Toc11317"/>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bookmarkEnd w:id="52"/>
    <w:p>
      <w:pPr>
        <w:spacing w:line="360" w:lineRule="auto"/>
        <w:ind w:firstLine="480" w:firstLineChars="200"/>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53" w:name="_Toc3093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九</w:t>
      </w:r>
      <w:r>
        <w:rPr>
          <w:rFonts w:hint="eastAsia" w:ascii="Calibri" w:hAnsi="Calibri" w:eastAsia="宋体" w:cs="Times New Roman"/>
          <w:b/>
          <w:color w:val="000000" w:themeColor="text1"/>
          <w:kern w:val="0"/>
          <w:sz w:val="24"/>
          <w:szCs w:val="20"/>
          <w:highlight w:val="none"/>
          <w14:textFill>
            <w14:solidFill>
              <w14:schemeClr w14:val="tx1"/>
            </w14:solidFill>
          </w14:textFill>
        </w:rPr>
        <w:t>、中小微企业声明函</w:t>
      </w:r>
      <w:bookmarkEnd w:id="53"/>
    </w:p>
    <w:p>
      <w:pPr>
        <w:widowControl/>
        <w:spacing w:line="400" w:lineRule="exact"/>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中小企业声明函（工程、服务）</w:t>
      </w:r>
    </w:p>
    <w:p>
      <w:pPr>
        <w:widowControl/>
        <w:spacing w:line="400" w:lineRule="exact"/>
        <w:jc w:val="center"/>
        <w:rPr>
          <w:rFonts w:ascii="方正小标宋_GBK" w:hAnsi="方正小标宋_GBK" w:eastAsia="方正小标宋_GBK" w:cs="方正小标宋_GBK"/>
          <w:color w:val="000000" w:themeColor="text1"/>
          <w:sz w:val="36"/>
          <w:highlight w:val="none"/>
          <w14:textFill>
            <w14:solidFill>
              <w14:schemeClr w14:val="tx1"/>
            </w14:solidFill>
          </w14:textFill>
        </w:rPr>
      </w:pPr>
    </w:p>
    <w:p>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i/>
          <w:iCs/>
          <w:color w:val="000000" w:themeColor="text1"/>
          <w:sz w:val="24"/>
          <w:szCs w:val="21"/>
          <w:highlight w:val="none"/>
          <w:u w:val="single"/>
          <w14:textFill>
            <w14:solidFill>
              <w14:schemeClr w14:val="tx1"/>
            </w14:solidFill>
          </w14:textFill>
        </w:rPr>
        <w:t>单位名称</w:t>
      </w:r>
      <w:r>
        <w:rPr>
          <w:rFonts w:hint="eastAsia" w:ascii="宋体" w:hAnsi="宋体"/>
          <w:bCs/>
          <w:color w:val="000000" w:themeColor="text1"/>
          <w:sz w:val="24"/>
          <w:szCs w:val="21"/>
          <w:highlight w:val="none"/>
          <w14:textFill>
            <w14:solidFill>
              <w14:schemeClr w14:val="tx1"/>
            </w14:solidFill>
          </w14:textFill>
        </w:rPr>
        <w:t>）的（</w:t>
      </w:r>
      <w:r>
        <w:rPr>
          <w:rFonts w:hint="eastAsia" w:ascii="宋体" w:hAnsi="宋体"/>
          <w:bCs/>
          <w:i/>
          <w:iCs/>
          <w:color w:val="000000" w:themeColor="text1"/>
          <w:sz w:val="24"/>
          <w:szCs w:val="21"/>
          <w:highlight w:val="none"/>
          <w:u w:val="single"/>
          <w14:textFill>
            <w14:solidFill>
              <w14:schemeClr w14:val="tx1"/>
            </w14:solidFill>
          </w14:textFill>
        </w:rPr>
        <w:t>项目名称</w:t>
      </w:r>
      <w:r>
        <w:rPr>
          <w:rFonts w:hint="eastAsia" w:ascii="宋体" w:hAnsi="宋体"/>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1.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2.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pPr>
        <w:spacing w:beforeLines="50" w:afterLines="50" w:line="300" w:lineRule="auto"/>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w:t>
      </w:r>
    </w:p>
    <w:p>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本企业对上述声明内容的真实性负责。如有虚假，将依法承担相应责任。</w:t>
      </w:r>
    </w:p>
    <w:p>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企业名称（盖章）：</w:t>
      </w:r>
    </w:p>
    <w:p>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日期：</w:t>
      </w:r>
    </w:p>
    <w:p>
      <w:pPr>
        <w:rPr>
          <w:rFonts w:ascii="Times New Roman" w:hAnsi="Times New Roman"/>
          <w:color w:val="000000" w:themeColor="text1"/>
          <w:szCs w:val="21"/>
          <w:highlight w:val="none"/>
          <w14:textFill>
            <w14:solidFill>
              <w14:schemeClr w14:val="tx1"/>
            </w14:solidFill>
          </w14:textFill>
        </w:rPr>
      </w:pPr>
    </w:p>
    <w:p>
      <w:pPr>
        <w:widowControl/>
        <w:spacing w:line="400" w:lineRule="exact"/>
        <w:rPr>
          <w:rFonts w:ascii="宋体" w:hAnsi="宋体"/>
          <w:b/>
          <w:bCs/>
          <w:color w:val="000000" w:themeColor="text1"/>
          <w:sz w:val="18"/>
          <w:szCs w:val="21"/>
          <w:highlight w:val="none"/>
          <w14:textFill>
            <w14:solidFill>
              <w14:schemeClr w14:val="tx1"/>
            </w14:solidFill>
          </w14:textFill>
        </w:rPr>
      </w:pPr>
      <w:r>
        <w:rPr>
          <w:rFonts w:hint="eastAsia" w:ascii="宋体" w:hAnsi="宋体"/>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pPr>
        <w:widowControl/>
        <w:spacing w:line="400" w:lineRule="exact"/>
        <w:ind w:firstLine="540" w:firstLineChars="300"/>
        <w:rPr>
          <w:rFonts w:ascii="宋体" w:hAnsi="宋体"/>
          <w:b/>
          <w:bCs/>
          <w:color w:val="000000" w:themeColor="text1"/>
          <w:sz w:val="18"/>
          <w:highlight w:val="none"/>
          <w14:textFill>
            <w14:solidFill>
              <w14:schemeClr w14:val="tx1"/>
            </w14:solidFill>
          </w14:textFill>
        </w:rPr>
      </w:pPr>
      <w:r>
        <w:rPr>
          <w:rFonts w:hint="eastAsia" w:ascii="宋体" w:hAnsi="宋体"/>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pPr>
        <w:widowControl/>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pP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p>
    <w:p>
      <w:pPr>
        <w:pStyle w:val="20"/>
        <w:spacing w:after="0" w:line="240" w:lineRule="auto"/>
        <w:jc w:val="center"/>
        <w:rPr>
          <w:rFonts w:hint="eastAsia"/>
          <w:b/>
          <w:bCs/>
          <w:color w:val="000000" w:themeColor="text1"/>
          <w:spacing w:val="18"/>
          <w:sz w:val="28"/>
          <w:szCs w:val="28"/>
          <w:highlight w:val="none"/>
          <w14:textFill>
            <w14:solidFill>
              <w14:schemeClr w14:val="tx1"/>
            </w14:solidFill>
          </w14:textFill>
        </w:rPr>
      </w:pPr>
      <w:r>
        <w:rPr>
          <w:rFonts w:hint="eastAsia"/>
          <w:b/>
          <w:bCs/>
          <w:color w:val="000000" w:themeColor="text1"/>
          <w:spacing w:val="18"/>
          <w:sz w:val="28"/>
          <w:szCs w:val="28"/>
          <w:highlight w:val="none"/>
          <w14:textFill>
            <w14:solidFill>
              <w14:schemeClr w14:val="tx1"/>
            </w14:solidFill>
          </w14:textFill>
        </w:rPr>
        <w:t>关于印发中小企业划型标准规定的通知</w:t>
      </w:r>
    </w:p>
    <w:p>
      <w:pPr>
        <w:pStyle w:val="20"/>
        <w:spacing w:before="185" w:line="227" w:lineRule="auto"/>
        <w:jc w:val="center"/>
        <w:rPr>
          <w:rFonts w:hint="eastAsia"/>
          <w:color w:val="000000" w:themeColor="text1"/>
          <w:spacing w:val="18"/>
          <w:sz w:val="23"/>
          <w:szCs w:val="23"/>
          <w:highlight w:val="none"/>
          <w14:textFill>
            <w14:solidFill>
              <w14:schemeClr w14:val="tx1"/>
            </w14:solidFill>
          </w14:textFill>
        </w:rPr>
      </w:pPr>
      <w:r>
        <w:rPr>
          <w:rFonts w:hint="eastAsia"/>
          <w:color w:val="000000" w:themeColor="text1"/>
          <w:spacing w:val="18"/>
          <w:sz w:val="23"/>
          <w:szCs w:val="23"/>
          <w:highlight w:val="none"/>
          <w14:textFill>
            <w14:solidFill>
              <w14:schemeClr w14:val="tx1"/>
            </w14:solidFill>
          </w14:textFill>
        </w:rPr>
        <w:t>工信部联企业[2011]300 号</w:t>
      </w:r>
    </w:p>
    <w:p>
      <w:pPr>
        <w:pStyle w:val="20"/>
        <w:spacing w:before="185" w:line="227" w:lineRule="auto"/>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各省、自治区、直辖市人民政府， 国务院各部委、各直属机构及有关单位：</w:t>
      </w:r>
    </w:p>
    <w:p>
      <w:pPr>
        <w:pStyle w:val="20"/>
        <w:spacing w:before="185" w:line="227" w:lineRule="auto"/>
        <w:ind w:firstLine="552" w:firstLineChars="200"/>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为贯彻落实《中华人民共和国中小企业促进法》和《国务院关于进一步促进中 小企业发展的若干意见》（国发〔2009〕36 号） ，工业和信息化部、国家统计局、 发展改革委、财政部研究制定了《中小企业划型标准规定》 。经国务院同意，现印发给你们，请遵照执行。</w:t>
      </w:r>
    </w:p>
    <w:p>
      <w:pPr>
        <w:pStyle w:val="20"/>
        <w:spacing w:before="185" w:line="227" w:lineRule="auto"/>
        <w:jc w:val="right"/>
        <w:rPr>
          <w:color w:val="000000" w:themeColor="text1"/>
          <w:sz w:val="23"/>
          <w:szCs w:val="23"/>
          <w:highlight w:val="none"/>
          <w14:textFill>
            <w14:solidFill>
              <w14:schemeClr w14:val="tx1"/>
            </w14:solidFill>
          </w14:textFill>
        </w:rPr>
      </w:pPr>
      <w:r>
        <w:rPr>
          <w:color w:val="000000" w:themeColor="text1"/>
          <w:spacing w:val="18"/>
          <w:sz w:val="23"/>
          <w:szCs w:val="23"/>
          <w:highlight w:val="none"/>
          <w14:textFill>
            <w14:solidFill>
              <w14:schemeClr w14:val="tx1"/>
            </w14:solidFill>
          </w14:textFill>
        </w:rPr>
        <w:t>工业和信息化部</w:t>
      </w:r>
    </w:p>
    <w:p>
      <w:pPr>
        <w:pStyle w:val="20"/>
        <w:spacing w:before="185" w:line="468" w:lineRule="exact"/>
        <w:jc w:val="right"/>
        <w:rPr>
          <w:color w:val="000000" w:themeColor="text1"/>
          <w:sz w:val="23"/>
          <w:szCs w:val="23"/>
          <w:highlight w:val="none"/>
          <w14:textFill>
            <w14:solidFill>
              <w14:schemeClr w14:val="tx1"/>
            </w14:solidFill>
          </w14:textFill>
        </w:rPr>
      </w:pPr>
      <w:r>
        <w:rPr>
          <w:color w:val="000000" w:themeColor="text1"/>
          <w:spacing w:val="13"/>
          <w:position w:val="17"/>
          <w:sz w:val="23"/>
          <w:szCs w:val="23"/>
          <w:highlight w:val="none"/>
          <w14:textFill>
            <w14:solidFill>
              <w14:schemeClr w14:val="tx1"/>
            </w14:solidFill>
          </w14:textFill>
        </w:rPr>
        <w:t>国家统计局</w:t>
      </w:r>
    </w:p>
    <w:p>
      <w:pPr>
        <w:pStyle w:val="20"/>
        <w:spacing w:line="226" w:lineRule="auto"/>
        <w:jc w:val="right"/>
        <w:rPr>
          <w:color w:val="000000" w:themeColor="text1"/>
          <w:sz w:val="23"/>
          <w:szCs w:val="23"/>
          <w:highlight w:val="none"/>
          <w14:textFill>
            <w14:solidFill>
              <w14:schemeClr w14:val="tx1"/>
            </w14:solidFill>
          </w14:textFill>
        </w:rPr>
      </w:pPr>
      <w:r>
        <w:rPr>
          <w:color w:val="000000" w:themeColor="text1"/>
          <w:spacing w:val="17"/>
          <w:sz w:val="23"/>
          <w:szCs w:val="23"/>
          <w:highlight w:val="none"/>
          <w14:textFill>
            <w14:solidFill>
              <w14:schemeClr w14:val="tx1"/>
            </w14:solidFill>
          </w14:textFill>
        </w:rPr>
        <w:t>国家发展和改革委员会</w:t>
      </w:r>
    </w:p>
    <w:p>
      <w:pPr>
        <w:pStyle w:val="20"/>
        <w:spacing w:before="186" w:line="468" w:lineRule="exact"/>
        <w:jc w:val="right"/>
        <w:rPr>
          <w:color w:val="000000" w:themeColor="text1"/>
          <w:sz w:val="23"/>
          <w:szCs w:val="23"/>
          <w:highlight w:val="none"/>
          <w14:textFill>
            <w14:solidFill>
              <w14:schemeClr w14:val="tx1"/>
            </w14:solidFill>
          </w14:textFill>
        </w:rPr>
      </w:pPr>
      <w:r>
        <w:rPr>
          <w:color w:val="000000" w:themeColor="text1"/>
          <w:spacing w:val="14"/>
          <w:position w:val="17"/>
          <w:sz w:val="23"/>
          <w:szCs w:val="23"/>
          <w:highlight w:val="none"/>
          <w14:textFill>
            <w14:solidFill>
              <w14:schemeClr w14:val="tx1"/>
            </w14:solidFill>
          </w14:textFill>
        </w:rPr>
        <w:t>财政部</w:t>
      </w:r>
    </w:p>
    <w:p>
      <w:pPr>
        <w:pStyle w:val="20"/>
        <w:spacing w:line="227" w:lineRule="auto"/>
        <w:jc w:val="right"/>
        <w:rPr>
          <w:rFonts w:hint="eastAsia" w:ascii="宋体" w:hAnsi="宋体" w:eastAsia="宋体"/>
          <w:color w:val="000000" w:themeColor="text1"/>
          <w:highlight w:val="none"/>
          <w14:textFill>
            <w14:solidFill>
              <w14:schemeClr w14:val="tx1"/>
            </w14:solidFill>
          </w14:textFill>
        </w:rPr>
      </w:pPr>
      <w:r>
        <w:rPr>
          <w:color w:val="000000" w:themeColor="text1"/>
          <w:spacing w:val="19"/>
          <w:sz w:val="23"/>
          <w:szCs w:val="23"/>
          <w:highlight w:val="none"/>
          <w14:textFill>
            <w14:solidFill>
              <w14:schemeClr w14:val="tx1"/>
            </w14:solidFill>
          </w14:textFill>
        </w:rPr>
        <w:t>二〇一一年六月十八日</w:t>
      </w:r>
    </w:p>
    <w:p>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附件：中小企业划型标准规定</w:t>
      </w:r>
    </w:p>
    <w:p>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一、根据《中华人民共和国中小企业促进法》和《国务院关于进一步促进中小企业发展的若干意见》（国发〔2009〕 36 号)，制定本规定。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二、中小企业划分为中型、小型、微型三种类型，具体标准根据企业从业人员、营业收入、资产总额等指标，结合 行业特点制定。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三、本规定适用的行业包括：农、林、牧、渔业，工业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四、各行业划型标准为：</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（一）农、林、牧、渔业。营业收入 20000 万元以下的为中小微型企业。其中，营业收入 500 万元及以上的为中型企业，营业收入 50 万元及以上的为小型企业，营业收入 50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（二）工业。从业人员 1000 人以下或营业收入 40000万元以下的为中小微型企业。其中，从业人员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（三）建筑业。营业收入 80000 万元以下或资产总额 80000万元以下的为中小微型企业。其中，营业收入 6000 万元及以上，且资产总额 5000 万元及以上的为中型企业；营业收入300 万元及以上，且资产总额 300 万元及以上的为小型企业；营业收入 300 万元以下或资产总额 300 万元以下的为微型企业。</w:t>
      </w:r>
    </w:p>
    <w:p>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（四）批发业。从业人员 200 人以下或营业收入 40000万元以下的为中小微型企业。其中，从业人员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（五）零售业。从业人员 300 人以下或营业收入 20000万元以下的为中小微型企业。其中，从业人员 50 人及以上，且营业收入 500 万元及以上的为中型企业；从业人员 10 人及</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上，且营业收入 100 万元及以上的为小型企业；从业人员 10 人以下或营业收入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（六）交通运输业。从业人员 1000 人以下或营业收入30000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（七）仓储业。从业人员 200 人以下或营业收入 30000万元以下的为中小微型企业。其中，从业人员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（八）邮政业。从业人员 1000 人以下或营业收入 30000万元以下的为中小微型企业。其中，从业人员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（九）住宿业。从业人员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（十）餐饮业。从业人员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（十一）信息传输业。从业人员 2000 人以下或营业收入100000 万元以下的为中小微型企业。其中，从业人员 100人及以上，且营业收入 1000 万元及以上的为中型企业；从业人员 10 人及以上，且营业收入 100 万元及以上的为小型企业；从业人员 10 人以下或营业收入 100 万元以下的为微型企业。</w:t>
      </w:r>
    </w:p>
    <w:p>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（十四）物业管理。从业人员 1000 人以下或营业收入5000 万元以下的为中小微型企业。其中，从业人员 300 人及以上，且营业收入 1000 万元及以上的为中型企业；从业人员 100 人及以上，且营业收入 500 万元及以上的为小型企业；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从业人员 100 人以下或营业收入 500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（十五）</w:t>
      </w:r>
      <w:r>
        <w:rPr>
          <w:rFonts w:hint="eastAsia" w:ascii="宋体" w:hAnsi="宋体" w:eastAsia="宋体" w:cs="宋体"/>
          <w:b/>
          <w:bCs/>
          <w:color w:val="000000" w:themeColor="text1"/>
          <w:sz w:val="24"/>
          <w:szCs w:val="24"/>
          <w:highlight w:val="none"/>
          <w14:textFill>
            <w14:solidFill>
              <w14:schemeClr w14:val="tx1"/>
            </w14:solidFill>
          </w14:textFill>
        </w:rPr>
        <w:t>租赁和商务服务业。从业人员300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（十六</w:t>
      </w:r>
      <w:r>
        <w:rPr>
          <w:rFonts w:hint="eastAsia" w:ascii="宋体" w:hAnsi="宋体" w:eastAsia="宋体" w:cs="宋体"/>
          <w:b w:val="0"/>
          <w:bCs w:val="0"/>
          <w:color w:val="000000" w:themeColor="text1"/>
          <w:sz w:val="24"/>
          <w:szCs w:val="24"/>
          <w:highlight w:val="none"/>
          <w14:textFill>
            <w14:solidFill>
              <w14:schemeClr w14:val="tx1"/>
            </w14:solidFill>
          </w14:textFill>
        </w:rPr>
        <w:t>）其他未列明行业。从业人员 300 人以下的为中小微型企业。其中，从业人员 100 人及以上的为中型企业；从业人员 10 人及以上的为小型企业；从业人员 10 人以下的为微型企业。</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五、企业类型的划分以统计部门的统计数据为依据。</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八、本规定由工业和信息化部、国家统计局会同有关部门根据《国民经济行业分类》修订情况和企业发展变化情况适时修订。</w:t>
      </w:r>
    </w:p>
    <w:p>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九、本规定由工业和信息化部、国家统计局会同有关部门负责解释。</w:t>
      </w:r>
    </w:p>
    <w:p>
      <w:pP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十、本规定自发布之日起执行，原国家经贸委、原国家计委、财政部和国家统计局 2003 年颁布的《中小企业标准暂行规定》国经贸中小企〔2003〕143 号同时废止。</w:t>
      </w:r>
      <w:r>
        <w:rPr>
          <w:rFonts w:ascii="宋体" w:hAnsi="宋体" w:eastAsia="宋体" w:cs="Times New Roman"/>
          <w:color w:val="000000" w:themeColor="text1"/>
          <w:sz w:val="24"/>
          <w:highlight w:val="none"/>
          <w14:textFill>
            <w14:solidFill>
              <w14:schemeClr w14:val="tx1"/>
            </w14:solidFill>
          </w14:textFill>
        </w:rPr>
        <w:br w:type="page"/>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bookmarkStart w:id="54" w:name="_Toc21795"/>
      <w:r>
        <w:rPr>
          <w:rFonts w:hint="eastAsia" w:ascii="Calibri" w:hAnsi="Calibri" w:eastAsia="宋体" w:cs="Times New Roman"/>
          <w:b/>
          <w:color w:val="000000" w:themeColor="text1"/>
          <w:kern w:val="0"/>
          <w:sz w:val="24"/>
          <w:szCs w:val="20"/>
          <w:highlight w:val="none"/>
          <w14:textFill>
            <w14:solidFill>
              <w14:schemeClr w14:val="tx1"/>
            </w14:solidFill>
          </w14:textFill>
        </w:rPr>
        <w:t>十、监狱企业声明函</w:t>
      </w:r>
      <w:bookmarkEnd w:id="54"/>
    </w:p>
    <w:p>
      <w:pP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pP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pP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pP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pP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55" w:name="_Toc4444"/>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十</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一</w:t>
      </w:r>
      <w:r>
        <w:rPr>
          <w:rFonts w:hint="eastAsia" w:ascii="Calibri" w:hAnsi="Calibri" w:eastAsia="宋体" w:cs="Times New Roman"/>
          <w:b/>
          <w:color w:val="000000" w:themeColor="text1"/>
          <w:kern w:val="0"/>
          <w:sz w:val="24"/>
          <w:szCs w:val="20"/>
          <w:highlight w:val="none"/>
          <w14:textFill>
            <w14:solidFill>
              <w14:schemeClr w14:val="tx1"/>
            </w14:solidFill>
          </w14:textFill>
        </w:rPr>
        <w:t>、残疾人福利性单位声明函</w:t>
      </w:r>
      <w:bookmarkEnd w:id="55"/>
    </w:p>
    <w:p>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pPr>
        <w:widowControl/>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pPr>
        <w:widowControl/>
        <w:adjustRightInd w:val="0"/>
        <w:snapToGrid w:val="0"/>
        <w:spacing w:line="440" w:lineRule="exact"/>
        <w:ind w:firstLine="6048" w:firstLineChars="24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pP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十一</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56" w:name="_Toc8640"/>
      <w:bookmarkStart w:id="57" w:name="_Toc30576"/>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56"/>
      <w:bookmarkEnd w:id="57"/>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pStyle w:val="26"/>
        <w:spacing w:line="360" w:lineRule="auto"/>
        <w:jc w:val="left"/>
        <w:outlineLvl w:val="0"/>
        <w:rPr>
          <w:rFonts w:hAnsi="宋体"/>
          <w:color w:val="000000" w:themeColor="text1"/>
          <w:sz w:val="24"/>
          <w:szCs w:val="24"/>
          <w:highlight w:val="none"/>
          <w14:textFill>
            <w14:solidFill>
              <w14:schemeClr w14:val="tx1"/>
            </w14:solidFill>
          </w14:textFill>
        </w:rPr>
      </w:pPr>
      <w:bookmarkStart w:id="58" w:name="_Toc25993"/>
      <w:r>
        <w:rPr>
          <w:rFonts w:hint="eastAsia" w:hAnsi="宋体"/>
          <w:b/>
          <w:color w:val="000000" w:themeColor="text1"/>
          <w:sz w:val="24"/>
          <w:szCs w:val="24"/>
          <w:highlight w:val="none"/>
          <w14:textFill>
            <w14:solidFill>
              <w14:schemeClr w14:val="tx1"/>
            </w14:solidFill>
          </w14:textFill>
        </w:rPr>
        <w:t>一、</w:t>
      </w:r>
      <w:bookmarkStart w:id="59" w:name="_Toc9193"/>
      <w:r>
        <w:rPr>
          <w:rFonts w:hint="eastAsia" w:hAnsi="宋体"/>
          <w:b/>
          <w:color w:val="000000" w:themeColor="text1"/>
          <w:sz w:val="24"/>
          <w:szCs w:val="24"/>
          <w:highlight w:val="none"/>
          <w14:textFill>
            <w14:solidFill>
              <w14:schemeClr w14:val="tx1"/>
            </w14:solidFill>
          </w14:textFill>
        </w:rPr>
        <w:t>技术投标与偏离表</w:t>
      </w:r>
      <w:bookmarkEnd w:id="58"/>
      <w:bookmarkEnd w:id="59"/>
    </w:p>
    <w:p>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9"/>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招标文件内容</w:t>
            </w: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投标文件内容</w:t>
            </w: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偏离内容</w:t>
            </w: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pPr>
              <w:pStyle w:val="26"/>
              <w:spacing w:line="360" w:lineRule="auto"/>
              <w:jc w:val="center"/>
              <w:rPr>
                <w:rFonts w:hAnsi="宋体"/>
                <w:color w:val="000000" w:themeColor="text1"/>
                <w:sz w:val="24"/>
                <w:szCs w:val="24"/>
                <w:highlight w:val="none"/>
                <w14:textFill>
                  <w14:solidFill>
                    <w14:schemeClr w14:val="tx1"/>
                  </w14:solidFill>
                </w14:textFill>
              </w:rPr>
            </w:pPr>
          </w:p>
        </w:tc>
      </w:tr>
    </w:tbl>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pPr>
        <w:spacing w:line="280" w:lineRule="exact"/>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pPr>
        <w:spacing w:line="360" w:lineRule="auto"/>
        <w:outlineLvl w:val="0"/>
        <w:rPr>
          <w:rFonts w:hint="default" w:ascii="宋体" w:hAnsi="宋体" w:eastAsia="宋体" w:cs="宋体"/>
          <w:b/>
          <w:color w:val="000000" w:themeColor="text1"/>
          <w:sz w:val="24"/>
          <w:szCs w:val="24"/>
          <w:highlight w:val="none"/>
          <w:lang w:val="en-US" w:eastAsia="zh-CN"/>
          <w14:textFill>
            <w14:solidFill>
              <w14:schemeClr w14:val="tx1"/>
            </w14:solidFill>
          </w14:textFill>
        </w:rPr>
      </w:pPr>
      <w:bookmarkStart w:id="60" w:name="_Toc2354"/>
      <w:r>
        <w:rPr>
          <w:rFonts w:hint="eastAsia" w:ascii="宋体" w:hAnsi="宋体" w:eastAsia="宋体" w:cs="宋体"/>
          <w:b/>
          <w:color w:val="000000" w:themeColor="text1"/>
          <w:sz w:val="24"/>
          <w:szCs w:val="24"/>
          <w:highlight w:val="none"/>
          <w:lang w:val="en-US" w:eastAsia="zh-CN"/>
          <w14:textFill>
            <w14:solidFill>
              <w14:schemeClr w14:val="tx1"/>
            </w14:solidFill>
          </w14:textFill>
        </w:rPr>
        <w:t>二、服务方案</w:t>
      </w:r>
      <w:bookmarkEnd w:id="60"/>
    </w:p>
    <w:p>
      <w:pPr>
        <w:widowControl/>
        <w:jc w:val="left"/>
        <w:rPr>
          <w:rFonts w:hAnsi="宋体" w:cs="Times New Roman"/>
          <w:b/>
          <w:color w:val="000000" w:themeColor="text1"/>
          <w:sz w:val="24"/>
          <w:szCs w:val="24"/>
          <w:highlight w:val="none"/>
          <w14:textFill>
            <w14:solidFill>
              <w14:schemeClr w14:val="tx1"/>
            </w14:solidFill>
          </w14:textFill>
        </w:rPr>
      </w:pPr>
    </w:p>
    <w:p>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供应商可根据</w:t>
      </w:r>
      <w:r>
        <w:rPr>
          <w:rFonts w:hint="eastAsia" w:hAnsi="宋体" w:cs="Times New Roman"/>
          <w:b/>
          <w:color w:val="000000" w:themeColor="text1"/>
          <w:sz w:val="24"/>
          <w:szCs w:val="24"/>
          <w:highlight w:val="none"/>
          <w:lang w:val="en-US" w:eastAsia="zh-CN"/>
          <w14:textFill>
            <w14:solidFill>
              <w14:schemeClr w14:val="tx1"/>
            </w14:solidFill>
          </w14:textFill>
        </w:rPr>
        <w:t>本项目评审内容格式自拟编制，根据</w:t>
      </w:r>
      <w:r>
        <w:rPr>
          <w:rFonts w:hint="eastAsia" w:hAnsi="宋体" w:cs="Times New Roman"/>
          <w:b/>
          <w:color w:val="000000" w:themeColor="text1"/>
          <w:sz w:val="24"/>
          <w:szCs w:val="24"/>
          <w:highlight w:val="none"/>
          <w14:textFill>
            <w14:solidFill>
              <w14:schemeClr w14:val="tx1"/>
            </w14:solidFill>
          </w14:textFill>
        </w:rPr>
        <w:t>实际情况进行增加，可对照</w:t>
      </w:r>
      <w:r>
        <w:rPr>
          <w:rFonts w:hint="eastAsia" w:hAnsi="宋体" w:cs="Times New Roman"/>
          <w:b/>
          <w:color w:val="000000" w:themeColor="text1"/>
          <w:sz w:val="24"/>
          <w:szCs w:val="24"/>
          <w:highlight w:val="none"/>
          <w:lang w:val="en-US" w:eastAsia="zh-CN"/>
          <w14:textFill>
            <w14:solidFill>
              <w14:schemeClr w14:val="tx1"/>
            </w14:solidFill>
          </w14:textFill>
        </w:rPr>
        <w:t>评审内容</w:t>
      </w:r>
      <w:r>
        <w:rPr>
          <w:rFonts w:hint="eastAsia" w:hAnsi="宋体" w:cs="Times New Roman"/>
          <w:b/>
          <w:color w:val="000000" w:themeColor="text1"/>
          <w:sz w:val="24"/>
          <w:szCs w:val="24"/>
          <w:highlight w:val="none"/>
          <w14:textFill>
            <w14:solidFill>
              <w14:schemeClr w14:val="tx1"/>
            </w14:solidFill>
          </w14:textFill>
        </w:rPr>
        <w:t>进行逐条响应</w:t>
      </w:r>
      <w:r>
        <w:rPr>
          <w:rFonts w:hint="eastAsia" w:hAnsi="宋体" w:cs="Times New Roman"/>
          <w:b/>
          <w:color w:val="000000" w:themeColor="text1"/>
          <w:sz w:val="24"/>
          <w:szCs w:val="24"/>
          <w:highlight w:val="none"/>
          <w:lang w:eastAsia="zh-CN"/>
          <w14:textFill>
            <w14:solidFill>
              <w14:schemeClr w14:val="tx1"/>
            </w14:solidFill>
          </w14:textFill>
        </w:rPr>
        <w:t>。</w:t>
      </w:r>
    </w:p>
    <w:p>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p>
    <w:p>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p>
    <w:p>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pPr>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61" w:name="_Toc2502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三、投标人认为需要提供的其他资料</w:t>
      </w: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pPr>
        <w:keepNext/>
        <w:keepLines/>
        <w:numPr>
          <w:ilvl w:val="0"/>
          <w:numId w:val="6"/>
        </w:numPr>
        <w:spacing w:before="260" w:after="260" w:line="413" w:lineRule="auto"/>
        <w:jc w:val="center"/>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bookmarkStart w:id="62" w:name="_Toc20187"/>
      <w:r>
        <w:rPr>
          <w:rFonts w:hint="eastAsia" w:ascii="Calibri" w:hAnsi="Calibri" w:eastAsia="宋体" w:cs="Times New Roman"/>
          <w:b/>
          <w:color w:val="000000" w:themeColor="text1"/>
          <w:kern w:val="0"/>
          <w:sz w:val="28"/>
          <w:szCs w:val="21"/>
          <w:highlight w:val="none"/>
          <w14:textFill>
            <w14:solidFill>
              <w14:schemeClr w14:val="tx1"/>
            </w14:solidFill>
          </w14:textFill>
        </w:rPr>
        <w:t>项目采购需求</w:t>
      </w:r>
      <w:bookmarkEnd w:id="61"/>
      <w:bookmarkEnd w:id="62"/>
    </w:p>
    <w:p>
      <w:pPr>
        <w:pageBreakBefore w:val="0"/>
        <w:widowControl/>
        <w:kinsoku/>
        <w:wordWrap/>
        <w:overflowPunct/>
        <w:topLinePunct w:val="0"/>
        <w:autoSpaceDE/>
        <w:autoSpaceDN/>
        <w:bidi w:val="0"/>
        <w:adjustRightInd/>
        <w:spacing w:line="560" w:lineRule="exact"/>
        <w:jc w:val="left"/>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63" w:name="_Toc17831"/>
      <w:bookmarkStart w:id="64" w:name="_Toc1932"/>
      <w:r>
        <w:rPr>
          <w:rFonts w:hint="eastAsia" w:ascii="宋体" w:hAnsi="宋体" w:eastAsia="宋体" w:cs="宋体"/>
          <w:b/>
          <w:color w:val="000000" w:themeColor="text1"/>
          <w:sz w:val="24"/>
          <w:szCs w:val="24"/>
          <w:highlight w:val="none"/>
          <w14:textFill>
            <w14:solidFill>
              <w14:schemeClr w14:val="tx1"/>
            </w14:solidFill>
          </w14:textFill>
        </w:rPr>
        <w:t>一、项目名称</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2026年度自治区旅游发展专项资金-文旅领域科研平台建设项目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新疆文艺（舞台艺术）科技创新中心数字资源库服务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ageBreakBefore w:val="0"/>
        <w:widowControl/>
        <w:kinsoku/>
        <w:wordWrap/>
        <w:overflowPunct/>
        <w:topLinePunct w:val="0"/>
        <w:autoSpaceDE/>
        <w:autoSpaceDN/>
        <w:bidi w:val="0"/>
        <w:adjustRightInd/>
        <w:spacing w:line="560" w:lineRule="exact"/>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二、项目概况</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为紧扣数字文旅高质量发展建设任务目标，精准聚焦产业集群提质增效核心需求，自治区文化和旅游厅党组决定于 2026 年启动 “三中心三重点实验室” 创新支持体系建设。其中，“新疆舞台艺术科技创新中心” 作为该体系的重要组成部分，核心定位是聚焦舞台艺术创作与科技融合关键领域，发挥创新支撑与赋能作用。</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14:textFill>
            <w14:solidFill>
              <w14:schemeClr w14:val="tx1"/>
            </w14:solidFill>
          </w14:textFill>
        </w:rPr>
        <w:t>1949年至今各部室、院团、地州艺术团体和社会面征集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舞台艺术、</w:t>
      </w:r>
      <w:r>
        <w:rPr>
          <w:rFonts w:hint="eastAsia" w:ascii="宋体" w:hAnsi="宋体" w:eastAsia="宋体" w:cs="宋体"/>
          <w:color w:val="000000" w:themeColor="text1"/>
          <w:sz w:val="24"/>
          <w:szCs w:val="24"/>
          <w:highlight w:val="none"/>
          <w:lang w:val="en-US" w:eastAsia="zh-CN"/>
          <w14:textFill>
            <w14:solidFill>
              <w14:schemeClr w14:val="tx1"/>
            </w14:solidFill>
          </w14:textFill>
        </w:rPr>
        <w:t>演出</w:t>
      </w:r>
      <w:r>
        <w:rPr>
          <w:rFonts w:hint="eastAsia" w:ascii="宋体" w:hAnsi="宋体" w:eastAsia="宋体" w:cs="宋体"/>
          <w:color w:val="000000" w:themeColor="text1"/>
          <w:sz w:val="24"/>
          <w:szCs w:val="24"/>
          <w:highlight w:val="none"/>
          <w14:textFill>
            <w14:solidFill>
              <w14:schemeClr w14:val="tx1"/>
            </w14:solidFill>
          </w14:textFill>
        </w:rPr>
        <w:t>、乡野采风、活动演出和杂技</w:t>
      </w:r>
      <w:r>
        <w:rPr>
          <w:rFonts w:hint="eastAsia" w:ascii="宋体" w:hAnsi="宋体" w:eastAsia="宋体" w:cs="宋体"/>
          <w:color w:val="000000" w:themeColor="text1"/>
          <w:sz w:val="24"/>
          <w:szCs w:val="24"/>
          <w:highlight w:val="none"/>
          <w:lang w:val="en-US" w:eastAsia="zh-CN"/>
          <w14:textFill>
            <w14:solidFill>
              <w14:schemeClr w14:val="tx1"/>
            </w14:solidFill>
          </w14:textFill>
        </w:rPr>
        <w:t>等相关材料</w:t>
      </w:r>
      <w:r>
        <w:rPr>
          <w:rFonts w:hint="eastAsia" w:ascii="宋体" w:hAnsi="宋体" w:eastAsia="宋体" w:cs="宋体"/>
          <w:color w:val="000000" w:themeColor="text1"/>
          <w:sz w:val="24"/>
          <w:szCs w:val="24"/>
          <w:highlight w:val="none"/>
          <w14:textFill>
            <w14:solidFill>
              <w14:schemeClr w14:val="tx1"/>
            </w14:solidFill>
          </w14:textFill>
        </w:rPr>
        <w:t>，编制分类分级的《数据资产清单》，制定统一规范的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数据</w:t>
      </w:r>
      <w:r>
        <w:rPr>
          <w:rFonts w:hint="eastAsia" w:ascii="宋体" w:hAnsi="宋体" w:eastAsia="宋体" w:cs="宋体"/>
          <w:color w:val="000000" w:themeColor="text1"/>
          <w:sz w:val="24"/>
          <w:szCs w:val="24"/>
          <w:highlight w:val="none"/>
          <w14:textFill>
            <w14:solidFill>
              <w14:schemeClr w14:val="tx1"/>
            </w14:solidFill>
          </w14:textFill>
        </w:rPr>
        <w:t>规则。以资产全面盘点与标准化建设为基础，</w:t>
      </w:r>
      <w:r>
        <w:rPr>
          <w:rFonts w:hint="eastAsia" w:ascii="宋体" w:hAnsi="宋体" w:eastAsia="宋体" w:cs="宋体"/>
          <w:color w:val="000000" w:themeColor="text1"/>
          <w:sz w:val="24"/>
          <w:szCs w:val="24"/>
          <w:highlight w:val="none"/>
          <w:lang w:val="en-US" w:eastAsia="zh-CN"/>
          <w14:textFill>
            <w14:solidFill>
              <w14:schemeClr w14:val="tx1"/>
            </w14:solidFill>
          </w14:textFill>
        </w:rPr>
        <w:t>以数据资产化为方向，</w:t>
      </w:r>
      <w:r>
        <w:rPr>
          <w:rFonts w:hint="eastAsia" w:ascii="宋体" w:hAnsi="宋体" w:eastAsia="宋体" w:cs="宋体"/>
          <w:color w:val="000000" w:themeColor="text1"/>
          <w:sz w:val="24"/>
          <w:szCs w:val="24"/>
          <w:highlight w:val="none"/>
          <w14:textFill>
            <w14:solidFill>
              <w14:schemeClr w14:val="tx1"/>
            </w14:solidFill>
          </w14:textFill>
        </w:rPr>
        <w:t>搭建数据质量监控看板，构建问题整改闭环管理机制，为后续开展规模化数据治理工作提供坚实的技术支撑与流程实践验证。</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通过系统化论证、小范围试点、科学化规划的递进式推进，完成 1000 小时舞台艺术音视频资料的标准化数据治理，实现不少于 100 套舞台艺术相关文档、图片的规范化整理归档和数字化；同时，初步搭建新疆舞台艺术文艺基因库门户，配套开发具备基础检索功能的搜索工具，为后续基因库的迭代升级与功能拓展奠定基础。</w:t>
      </w:r>
    </w:p>
    <w:p>
      <w:pPr>
        <w:pageBreakBefore w:val="0"/>
        <w:widowControl/>
        <w:kinsoku/>
        <w:wordWrap/>
        <w:overflowPunct/>
        <w:topLinePunct w:val="0"/>
        <w:autoSpaceDE/>
        <w:autoSpaceDN/>
        <w:bidi w:val="0"/>
        <w:adjustRightInd/>
        <w:spacing w:line="560" w:lineRule="exact"/>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三、服务内容</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用专业数字化装备与技术，对剧院现存8mm、35mm胶片、DV带、录音带、黑胶唱片及手稿、剧本、舞美方案等各类模拟资源实施全面数字化转化，同步建立视频、音频、文档、图像四类数字资源格式标准与统一命名规范；构建原始库、过程库、成果库三级分层文艺基因库，明确各库存储规范与分级访问权限，实现资源安全管控与高效调取；建立人工排查与台账管理相结合的资源治理机制，围绕年代、类型、内容主题、来源等核心维度完成统一标注，持续保障库内资源质量；对文档实施清晰化处理与OCR识别归档，对音频提取关键片段标注，对视频完成抽帧、分类、音视频分离及检索索引建立等预处理，并梳理演出视频与剧本、人物、时间等跨类型资源关联关系，构建统一基础检索索引；搭建集资源统计、检索与展示于一体的数据门户平台，实现可视化呈现；构建基于标注信息的关键词检索与多维度分类检索能力，实现库内资源高效精准调取；在基础数据库稳定运行基础上，完成与自治区文旅厅融媒体平台、石榴云融媒体平台的技术对接方案设计，开展数据挖掘分析设计，规划构建多模态AI智能体体系并完成系列设计方案，上述三项方案均须经评审通过；配备不少于1名专职一线驻场运维人员与2名二线技术支撑人员，建立重大活动专项保障机制，确保系统稳定安全持续运行。</w:t>
      </w:r>
    </w:p>
    <w:p>
      <w:pPr>
        <w:pageBreakBefore w:val="0"/>
        <w:widowControl/>
        <w:numPr>
          <w:ilvl w:val="0"/>
          <w:numId w:val="7"/>
        </w:numPr>
        <w:kinsoku/>
        <w:wordWrap/>
        <w:overflowPunct/>
        <w:topLinePunct w:val="0"/>
        <w:autoSpaceDE/>
        <w:autoSpaceDN/>
        <w:bidi w:val="0"/>
        <w:adjustRightInd/>
        <w:spacing w:line="560" w:lineRule="exact"/>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服务要求</w:t>
      </w:r>
    </w:p>
    <w:p>
      <w:pPr>
        <w:pStyle w:val="3"/>
        <w:pageBreakBefore w:val="0"/>
        <w:numPr>
          <w:ilvl w:val="0"/>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65" w:name="_Toc12053"/>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数据资源采集</w:t>
      </w:r>
      <w:bookmarkEnd w:id="65"/>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用专业装备、设备和技术，将以下类型资源进行数字化转化，包括：8mm胶片数字化、双8mm胶片数字化、35mm胶片数字化、D V带模拟转数字化、摄影带模拟转数字化、其他模拟资源数字化、数字化采集资源入库、录音带数字化转化、黑胶数字化转化、</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MP3/CDA无损化转换、手稿扫描数字化、剧本/场记/舞美方案数字化。</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66" w:name="_Toc22214"/>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数字资源标准化</w:t>
      </w:r>
      <w:bookmarkEnd w:id="66"/>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视频标准化、音频标准化、文档标准化和图像标准化。（按需完善流程）</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统一各类数字资源的基础格式和命名规则（按“年代-素材类型-内容简介”命名，或根据需要进行调整），确保资源可兼容、可追溯，满足数字化档案库的管理需求和检索需求。 </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67" w:name="_Toc16310"/>
      <w:r>
        <w:rPr>
          <w:rFonts w:hint="eastAsia" w:ascii="宋体" w:hAnsi="宋体" w:eastAsia="宋体" w:cs="宋体"/>
          <w:color w:val="000000" w:themeColor="text1"/>
          <w:sz w:val="24"/>
          <w:szCs w:val="24"/>
          <w:highlight w:val="none"/>
          <w:lang w:val="en-US" w:eastAsia="zh-CN"/>
          <w14:textFill>
            <w14:solidFill>
              <w14:schemeClr w14:val="tx1"/>
            </w14:solidFill>
          </w14:textFill>
        </w:rPr>
        <w:t>3、形成</w:t>
      </w:r>
      <w:r>
        <w:rPr>
          <w:rFonts w:hint="eastAsia" w:ascii="宋体" w:hAnsi="宋体" w:eastAsia="宋体" w:cs="宋体"/>
          <w:color w:val="000000" w:themeColor="text1"/>
          <w:sz w:val="24"/>
          <w:szCs w:val="24"/>
          <w:highlight w:val="none"/>
          <w14:textFill>
            <w14:solidFill>
              <w14:schemeClr w14:val="tx1"/>
            </w14:solidFill>
          </w14:textFill>
        </w:rPr>
        <w:t>数字资源库（文艺（舞台艺术）基因库）</w:t>
      </w:r>
      <w:bookmarkEnd w:id="67"/>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原始库、过程库和成果库。（按需扩展）</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始库存放未处理的数字化原始素材，过程库存放治理、处理中的中间素材，成果库存放最终标准化、可直接使用的各类数字资源，实现分级管理；明确各库基础存储规范和简单访问权限，保障资源安全及调取需求。</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68" w:name="_Toc19155"/>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数字资源治理</w:t>
      </w:r>
      <w:bookmarkEnd w:id="68"/>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采用人工排查的方式，对数字化后的资源进行基础清理，重点排查冗余、残缺、无法正常使用的异常素材，建立简单的资源维护台账，定期开展基础巡检，降低素材维护和资源维护工作量。</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69" w:name="_Toc26082"/>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数据标注</w:t>
      </w:r>
      <w:bookmarkEnd w:id="69"/>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采用人工打标方式，围绕素材的核心信息（年代、类型、内容主题、来源等）进行标注，形成统一的标注规则，确保标注信息准确，为后续搜索、查询提供支撑。</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70" w:name="_Toc29938"/>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数字资源处理</w:t>
      </w:r>
      <w:bookmarkEnd w:id="70"/>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文档资源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对扫描后的文档、图像进行基础清晰化处理，通过OCR识别提取核心文字信息，人工辅助分类归档，确保文档图像可检索、可查看。</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声音资源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人工提取核心片段并标注，确保音频清晰可听、可检索，便于快速调取使用。</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视频资源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视频抽帧、视频分类、音视频分离、视频检索和视频缓冲。对视频进行基础预处理，人工辅助完成视频分类和关键帧标注，建立资源检索索引，支持基础关键词检索，</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bookmarkStart w:id="71" w:name="_Toc9917"/>
      <w:r>
        <w:rPr>
          <w:rFonts w:hint="eastAsia" w:ascii="宋体" w:hAnsi="宋体" w:eastAsia="宋体" w:cs="宋体"/>
          <w:b/>
          <w:bCs/>
          <w:color w:val="000000" w:themeColor="text1"/>
          <w:sz w:val="24"/>
          <w:szCs w:val="24"/>
          <w:highlight w:val="none"/>
          <w14:textFill>
            <w14:solidFill>
              <w14:schemeClr w14:val="tx1"/>
            </w14:solidFill>
          </w14:textFill>
        </w:rPr>
        <w:t>数据资源整合</w:t>
      </w:r>
      <w:bookmarkEnd w:id="71"/>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梳理所有数字化资源的基础信息，人工建立资源间的关联（如某演出视频与人物、剧本、时间等维度的关联），形成统一的基础检索索引，实现跨类型基础搜索、查询。</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bookmarkStart w:id="72" w:name="_Toc13658"/>
      <w:r>
        <w:rPr>
          <w:rFonts w:hint="eastAsia" w:ascii="宋体" w:hAnsi="宋体" w:eastAsia="宋体" w:cs="宋体"/>
          <w:b/>
          <w:bCs/>
          <w:color w:val="000000" w:themeColor="text1"/>
          <w:sz w:val="24"/>
          <w:szCs w:val="24"/>
          <w:highlight w:val="none"/>
          <w14:textFill>
            <w14:solidFill>
              <w14:schemeClr w14:val="tx1"/>
            </w14:solidFill>
          </w14:textFill>
        </w:rPr>
        <w:t>数据分析</w:t>
      </w:r>
      <w:bookmarkEnd w:id="72"/>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对数据库内资源的类型、数量、标注情况进行统计，形成统计清单，掌握资源存量和分布情况，并支持通过图标方式（如柱状图、饼状图等）进行展现，满足管理需求。</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31167"/>
      <w:bookmarkStart w:id="74" w:name="_Toc7585"/>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数据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展示</w:t>
      </w:r>
      <w:r>
        <w:rPr>
          <w:rFonts w:hint="eastAsia" w:ascii="宋体" w:hAnsi="宋体" w:eastAsia="宋体" w:cs="宋体"/>
          <w:color w:val="000000" w:themeColor="text1"/>
          <w:sz w:val="24"/>
          <w:szCs w:val="24"/>
          <w:highlight w:val="none"/>
          <w14:textFill>
            <w14:solidFill>
              <w14:schemeClr w14:val="tx1"/>
            </w14:solidFill>
          </w14:textFill>
        </w:rPr>
        <w:t>和数据门户</w:t>
      </w:r>
      <w:bookmarkEnd w:id="73"/>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搭建直观、便捷的数据展示平台，实现数据库资源的可视化呈现和快速操作，便于管理人员掌握资源整体情况，用户快速获取所需资源。</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搭建数据门户和大屏展示系统，整合资源统计数据、检索功能、资源展示功能，优化界面设计，确保操作便捷、展示清晰。采用ECharts、Tableau等可视化工具，将数据库资源总量、类型分布、使用情况、更新进度等核心信息，以大屏可视化形式呈现，提供如资源总量仪表盘、类型分布饼图、使用热度折线图等图标，直观易懂。</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bookmarkEnd w:id="74"/>
      <w:r>
        <w:rPr>
          <w:rFonts w:hint="eastAsia" w:ascii="宋体" w:hAnsi="宋体" w:eastAsia="宋体" w:cs="宋体"/>
          <w:color w:val="000000" w:themeColor="text1"/>
          <w:sz w:val="24"/>
          <w:szCs w:val="24"/>
          <w:highlight w:val="none"/>
          <w:lang w:val="en-US" w:eastAsia="zh-CN"/>
          <w14:textFill>
            <w14:solidFill>
              <w14:schemeClr w14:val="tx1"/>
            </w14:solidFill>
          </w14:textFill>
        </w:rPr>
        <w:t>AI</w:t>
      </w:r>
      <w:r>
        <w:rPr>
          <w:rFonts w:hint="eastAsia" w:ascii="宋体" w:hAnsi="宋体" w:eastAsia="宋体" w:cs="宋体"/>
          <w:color w:val="000000" w:themeColor="text1"/>
          <w:sz w:val="24"/>
          <w:szCs w:val="24"/>
          <w:highlight w:val="none"/>
          <w:lang w:eastAsia="zh-CN"/>
          <w14:textFill>
            <w14:solidFill>
              <w14:schemeClr w14:val="tx1"/>
            </w14:solidFill>
          </w14:textFill>
        </w:rPr>
        <w:t>智能搜索</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实现数据库内资源的关键词检索功能与分类检索功能，支持按标注信息、资源类型、年代等进行搜索，确保用户可快速找到所需素材。</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9、融媒体对接方案需求</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在完成数据治理和基础数据库建且稳定运行基础上，完成与自治区文旅厅融媒体平台、自治区石榴云融媒体平台对接方案设计并通过评审。</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75" w:name="_Toc6843"/>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数据挖掘</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方案需求</w:t>
      </w:r>
      <w:bookmarkEnd w:id="75"/>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在完成数据治理和基础数据库建且稳定运行基础上，结合新疆艺术剧院丰富的舞台艺术资源（涵盖1949年至今的演出视频、音频、手稿、剧本、舞美方案等）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开展数据挖掘设计工作，完成设计方案并通过评审。</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76" w:name="_Toc32610"/>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智能体构建</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方案需求</w:t>
      </w:r>
      <w:bookmarkEnd w:id="76"/>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完成数据库治理和基础数据库建设后，</w:t>
      </w:r>
      <w:r>
        <w:rPr>
          <w:rFonts w:hint="eastAsia" w:ascii="宋体" w:hAnsi="宋体" w:eastAsia="宋体" w:cs="宋体"/>
          <w:color w:val="000000" w:themeColor="text1"/>
          <w:sz w:val="24"/>
          <w:szCs w:val="24"/>
          <w:highlight w:val="none"/>
          <w14:textFill>
            <w14:solidFill>
              <w14:schemeClr w14:val="tx1"/>
            </w14:solidFill>
          </w14:textFill>
        </w:rPr>
        <w:t>通过人工打标和基础检索，满足素材查找、查询需求。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在此基础上完成多模态AI智能体设计，规划新疆艺术剧院AI智能体，完成系列AI智能体设计方案并通过评审</w:t>
      </w:r>
      <w:r>
        <w:rPr>
          <w:rFonts w:hint="eastAsia" w:ascii="宋体" w:hAnsi="宋体" w:eastAsia="宋体" w:cs="宋体"/>
          <w:color w:val="000000" w:themeColor="text1"/>
          <w:sz w:val="24"/>
          <w:szCs w:val="24"/>
          <w:highlight w:val="none"/>
          <w14:textFill>
            <w14:solidFill>
              <w14:schemeClr w14:val="tx1"/>
            </w14:solidFill>
          </w14:textFill>
        </w:rPr>
        <w:t>。</w:t>
      </w:r>
    </w:p>
    <w:p>
      <w:pPr>
        <w:pStyle w:val="3"/>
        <w:pageBreakBefore w:val="0"/>
        <w:numPr>
          <w:ilvl w:val="2"/>
          <w:numId w:val="0"/>
        </w:numPr>
        <w:kinsoku/>
        <w:wordWrap/>
        <w:overflowPunct/>
        <w:topLinePunct w:val="0"/>
        <w:autoSpaceDE/>
        <w:autoSpaceDN/>
        <w:bidi w:val="0"/>
        <w:adjustRightInd/>
        <w:spacing w:line="560" w:lineRule="exact"/>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bookmarkStart w:id="77" w:name="_Toc5438"/>
      <w:r>
        <w:rPr>
          <w:rFonts w:hint="eastAsia" w:ascii="宋体" w:hAnsi="宋体" w:eastAsia="宋体" w:cs="宋体"/>
          <w:color w:val="000000" w:themeColor="text1"/>
          <w:sz w:val="24"/>
          <w:szCs w:val="24"/>
          <w:highlight w:val="none"/>
          <w:lang w:val="en-US" w:eastAsia="zh-CN"/>
          <w14:textFill>
            <w14:solidFill>
              <w14:schemeClr w14:val="tx1"/>
            </w14:solidFill>
          </w14:textFill>
        </w:rPr>
        <w:t>12、驻场运维</w:t>
      </w:r>
      <w:bookmarkEnd w:id="77"/>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需提供1名一线全职运维人员，开展驻场运维工作，接受新疆艺术剧院管理，提供不少于2名二线运维人员。服务方应提供重大活动期间护网方案并提供支持。</w:t>
      </w:r>
    </w:p>
    <w:p>
      <w:pPr>
        <w:pageBreakBefore w:val="0"/>
        <w:widowControl/>
        <w:kinsoku/>
        <w:wordWrap/>
        <w:overflowPunct/>
        <w:topLinePunct w:val="0"/>
        <w:autoSpaceDE/>
        <w:autoSpaceDN/>
        <w:bidi w:val="0"/>
        <w:adjustRightInd/>
        <w:spacing w:line="560" w:lineRule="exact"/>
        <w:ind w:firstLine="480" w:firstLineChars="200"/>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五、交付成果</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交付成果：数据治理服务1年含驻场及融媒体对接方案、数据挖掘方案、智能体建设方案。</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提交形式：数据治理成果、数据搜索工具、数据展示门户含存储介质、软件包及相关代码；方案包括纸质文件、电子文件，需提交完整的纸质成果4份，电子文件PDF 1份。</w:t>
      </w:r>
    </w:p>
    <w:p>
      <w:pPr>
        <w:pStyle w:val="239"/>
        <w:pageBreakBefore w:val="0"/>
        <w:kinsoku/>
        <w:wordWrap/>
        <w:overflowPunct/>
        <w:topLinePunct w:val="0"/>
        <w:autoSpaceDE/>
        <w:autoSpaceDN/>
        <w:bidi w:val="0"/>
        <w:adjustRightInd/>
        <w:spacing w:line="5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知识产权：项目成果（包括中间成果及最终成果）的知识产权归采购人所有，未经采购人允许，供应商不得对外发布或向第三方提供项目成果，否则，由此产生的一切经济损失和法律责任由供应商承担。供应商如需利用相关项目成果的，需报请采购人研究同意。供应商提供的成果如涉及到第三方知识产权，所产生的费用由供应商承担。</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六、履约验收</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提交成果资料后，采购人组织相关专家根据国家有关规定、采购文件、响应文件及合同约定的内容和验收标准进行验收，验收有关的费用均包含在报价中。</w:t>
      </w:r>
    </w:p>
    <w:p>
      <w:pPr>
        <w:pageBreakBefore w:val="0"/>
        <w:widowControl/>
        <w:kinsoku/>
        <w:wordWrap/>
        <w:overflowPunct/>
        <w:topLinePunct w:val="0"/>
        <w:autoSpaceDE/>
        <w:autoSpaceDN/>
        <w:bidi w:val="0"/>
        <w:adjustRightInd/>
        <w:spacing w:line="560" w:lineRule="exact"/>
        <w:ind w:firstLine="480" w:firstLineChars="200"/>
        <w:jc w:val="left"/>
        <w:outlineLvl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七、项目要求</w:t>
      </w:r>
    </w:p>
    <w:bookmarkEnd w:id="63"/>
    <w:bookmarkEnd w:id="64"/>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1.如期保质保量完成委托事项任务。</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2.严谨工作，所提供的最终文本达到较高水准，并具有较强的可操作性，并通过采购人组织的专家评审。</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3.为保障委托服务工作顺利进行，在成交单位开展委托事务期间，采购人可提供必要工作配合（包括调研安排、相关资料收集等）；成交单位必须如期保质保量完采购人委托的工作。</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4.成交单位向采购人提交的委托工作成果及由此而产生的著作权均归采购人所有，未经采购人同意成交单位不得擅自对外进行宣传、发表、出版等方式予以传播。</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5.成交单位保证其提交的工作成果为其独立完成，没有侵犯任何其他第三方的著作权。</w:t>
      </w:r>
    </w:p>
    <w:p>
      <w:pPr>
        <w:pageBreakBefore w:val="0"/>
        <w:widowControl/>
        <w:kinsoku/>
        <w:wordWrap/>
        <w:overflowPunct/>
        <w:topLinePunct w:val="0"/>
        <w:autoSpaceDE/>
        <w:autoSpaceDN/>
        <w:bidi w:val="0"/>
        <w:adjustRightInd/>
        <w:spacing w:line="560" w:lineRule="exact"/>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6.成交单位对于完成委托事项过程中掌握的资料、信息等负有保密义务，擅自泄密须承担法律责任。</w:t>
      </w:r>
    </w:p>
    <w:p>
      <w:pPr>
        <w:keepNext/>
        <w:keepLines/>
        <w:numPr>
          <w:ilvl w:val="0"/>
          <w:numId w:val="0"/>
        </w:numPr>
        <w:spacing w:before="260" w:after="260" w:line="413" w:lineRule="auto"/>
        <w:jc w:val="both"/>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p>
    <w:sectPr>
      <w:footerReference r:id="rId7"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36</w:t>
                    </w:r>
                    <w:r>
                      <w:fldChar w:fldCharType="end"/>
                    </w:r>
                  </w:p>
                </w:txbxContent>
              </v:textbox>
            </v:shape>
          </w:pict>
        </mc:Fallback>
      </mc:AlternateContent>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F9349"/>
    <w:multiLevelType w:val="singleLevel"/>
    <w:tmpl w:val="905F9349"/>
    <w:lvl w:ilvl="0" w:tentative="0">
      <w:start w:val="3"/>
      <w:numFmt w:val="decimal"/>
      <w:suff w:val="space"/>
      <w:lvlText w:val="%1."/>
      <w:lvlJc w:val="left"/>
    </w:lvl>
  </w:abstractNum>
  <w:abstractNum w:abstractNumId="1">
    <w:nsid w:val="B5E95EA5"/>
    <w:multiLevelType w:val="singleLevel"/>
    <w:tmpl w:val="B5E95EA5"/>
    <w:lvl w:ilvl="0" w:tentative="0">
      <w:start w:val="2"/>
      <w:numFmt w:val="chineseCounting"/>
      <w:suff w:val="nothing"/>
      <w:lvlText w:val="%1、"/>
      <w:lvlJc w:val="left"/>
      <w:rPr>
        <w:rFonts w:hint="eastAsia"/>
      </w:rPr>
    </w:lvl>
  </w:abstractNum>
  <w:abstractNum w:abstractNumId="2">
    <w:nsid w:val="CC97C420"/>
    <w:multiLevelType w:val="singleLevel"/>
    <w:tmpl w:val="CC97C420"/>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CFD6BF0D"/>
    <w:multiLevelType w:val="singleLevel"/>
    <w:tmpl w:val="CFD6BF0D"/>
    <w:lvl w:ilvl="0" w:tentative="0">
      <w:start w:val="4"/>
      <w:numFmt w:val="chineseCounting"/>
      <w:suff w:val="nothing"/>
      <w:lvlText w:val="%1、"/>
      <w:lvlJc w:val="left"/>
      <w:rPr>
        <w:rFonts w:hint="eastAsia"/>
      </w:rPr>
    </w:lvl>
  </w:abstractNum>
  <w:abstractNum w:abstractNumId="4">
    <w:nsid w:val="E885F301"/>
    <w:multiLevelType w:val="singleLevel"/>
    <w:tmpl w:val="E885F301"/>
    <w:lvl w:ilvl="0" w:tentative="0">
      <w:start w:val="2"/>
      <w:numFmt w:val="chineseCounting"/>
      <w:suff w:val="nothing"/>
      <w:lvlText w:val="第%1部分　"/>
      <w:lvlJc w:val="left"/>
      <w:rPr>
        <w:rFonts w:hint="eastAsia"/>
      </w:rPr>
    </w:lvl>
  </w:abstractNum>
  <w:abstractNum w:abstractNumId="5">
    <w:nsid w:val="0245095B"/>
    <w:multiLevelType w:val="singleLevel"/>
    <w:tmpl w:val="0245095B"/>
    <w:lvl w:ilvl="0" w:tentative="0">
      <w:start w:val="6"/>
      <w:numFmt w:val="chineseCounting"/>
      <w:suff w:val="nothing"/>
      <w:lvlText w:val="第%1章　"/>
      <w:lvlJc w:val="left"/>
      <w:rPr>
        <w:rFonts w:hint="eastAsia"/>
      </w:rPr>
    </w:lvl>
  </w:abstractNum>
  <w:abstractNum w:abstractNumId="6">
    <w:nsid w:val="277C6737"/>
    <w:multiLevelType w:val="multilevel"/>
    <w:tmpl w:val="277C6737"/>
    <w:lvl w:ilvl="0" w:tentative="0">
      <w:start w:val="1"/>
      <w:numFmt w:val="japaneseCounting"/>
      <w:pStyle w:val="95"/>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GMxZjE2M2IyZGE5ZWM3ZjRkZTliNDRmYzcwMWMifQ=="/>
    <w:docVar w:name="KSO_WPS_MARK_KEY" w:val="cb78b2d2-beae-42ea-aac7-6d0cc331d980"/>
  </w:docVars>
  <w:rsids>
    <w:rsidRoot w:val="00347557"/>
    <w:rsid w:val="00016C5E"/>
    <w:rsid w:val="000316D5"/>
    <w:rsid w:val="000318DA"/>
    <w:rsid w:val="0003306C"/>
    <w:rsid w:val="00033FEF"/>
    <w:rsid w:val="00073907"/>
    <w:rsid w:val="00081457"/>
    <w:rsid w:val="0008147B"/>
    <w:rsid w:val="00090A31"/>
    <w:rsid w:val="00091F55"/>
    <w:rsid w:val="000A788E"/>
    <w:rsid w:val="000B0CEC"/>
    <w:rsid w:val="000B27D9"/>
    <w:rsid w:val="000B5A6E"/>
    <w:rsid w:val="000E0EE7"/>
    <w:rsid w:val="000E5D71"/>
    <w:rsid w:val="000E7AC0"/>
    <w:rsid w:val="00103E93"/>
    <w:rsid w:val="00117F41"/>
    <w:rsid w:val="001227CC"/>
    <w:rsid w:val="001246BD"/>
    <w:rsid w:val="00133A0B"/>
    <w:rsid w:val="00153A54"/>
    <w:rsid w:val="00175792"/>
    <w:rsid w:val="00186D25"/>
    <w:rsid w:val="00190229"/>
    <w:rsid w:val="00195274"/>
    <w:rsid w:val="0019599B"/>
    <w:rsid w:val="00197275"/>
    <w:rsid w:val="00197EEE"/>
    <w:rsid w:val="001A2BF8"/>
    <w:rsid w:val="001C3297"/>
    <w:rsid w:val="001E7445"/>
    <w:rsid w:val="00200BE1"/>
    <w:rsid w:val="00214D3B"/>
    <w:rsid w:val="00245DC0"/>
    <w:rsid w:val="00250FC7"/>
    <w:rsid w:val="00267283"/>
    <w:rsid w:val="00272C41"/>
    <w:rsid w:val="002A0F05"/>
    <w:rsid w:val="002B1898"/>
    <w:rsid w:val="002C0AC5"/>
    <w:rsid w:val="002C319C"/>
    <w:rsid w:val="00300CE0"/>
    <w:rsid w:val="003022B5"/>
    <w:rsid w:val="0030336B"/>
    <w:rsid w:val="0031418D"/>
    <w:rsid w:val="00342A1D"/>
    <w:rsid w:val="00347557"/>
    <w:rsid w:val="00380D8E"/>
    <w:rsid w:val="00394A24"/>
    <w:rsid w:val="003973D9"/>
    <w:rsid w:val="003B55D2"/>
    <w:rsid w:val="003C2C58"/>
    <w:rsid w:val="003D7C7B"/>
    <w:rsid w:val="003E3268"/>
    <w:rsid w:val="00427012"/>
    <w:rsid w:val="00443042"/>
    <w:rsid w:val="00463175"/>
    <w:rsid w:val="004B0646"/>
    <w:rsid w:val="004B0A71"/>
    <w:rsid w:val="004D59AD"/>
    <w:rsid w:val="005067D9"/>
    <w:rsid w:val="00515FFB"/>
    <w:rsid w:val="0054775D"/>
    <w:rsid w:val="00573187"/>
    <w:rsid w:val="00591B01"/>
    <w:rsid w:val="005A29B6"/>
    <w:rsid w:val="005B6165"/>
    <w:rsid w:val="005B7B45"/>
    <w:rsid w:val="005C0EEA"/>
    <w:rsid w:val="005C6091"/>
    <w:rsid w:val="005E43CD"/>
    <w:rsid w:val="005F3D79"/>
    <w:rsid w:val="005F4201"/>
    <w:rsid w:val="00627F15"/>
    <w:rsid w:val="006320D9"/>
    <w:rsid w:val="006459DC"/>
    <w:rsid w:val="00680230"/>
    <w:rsid w:val="006A3533"/>
    <w:rsid w:val="006B2F3A"/>
    <w:rsid w:val="006C385E"/>
    <w:rsid w:val="006F03A0"/>
    <w:rsid w:val="0071136F"/>
    <w:rsid w:val="00716263"/>
    <w:rsid w:val="00723436"/>
    <w:rsid w:val="007317FA"/>
    <w:rsid w:val="007350D3"/>
    <w:rsid w:val="00735230"/>
    <w:rsid w:val="00751C12"/>
    <w:rsid w:val="00761F8A"/>
    <w:rsid w:val="007820EB"/>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355C3"/>
    <w:rsid w:val="0085078A"/>
    <w:rsid w:val="00854A34"/>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AE2C16"/>
    <w:rsid w:val="00B21A84"/>
    <w:rsid w:val="00B51AA6"/>
    <w:rsid w:val="00B55F9B"/>
    <w:rsid w:val="00B9132A"/>
    <w:rsid w:val="00BA1430"/>
    <w:rsid w:val="00BA470B"/>
    <w:rsid w:val="00BB2222"/>
    <w:rsid w:val="00BB5CC0"/>
    <w:rsid w:val="00BC62B1"/>
    <w:rsid w:val="00BF4B29"/>
    <w:rsid w:val="00C125ED"/>
    <w:rsid w:val="00C17CBB"/>
    <w:rsid w:val="00C23F84"/>
    <w:rsid w:val="00C33C4C"/>
    <w:rsid w:val="00C36136"/>
    <w:rsid w:val="00C65A85"/>
    <w:rsid w:val="00C76FD6"/>
    <w:rsid w:val="00C9092C"/>
    <w:rsid w:val="00C93F6F"/>
    <w:rsid w:val="00CA2366"/>
    <w:rsid w:val="00CB0BFA"/>
    <w:rsid w:val="00CD1948"/>
    <w:rsid w:val="00CD34AF"/>
    <w:rsid w:val="00CF6616"/>
    <w:rsid w:val="00D07BAD"/>
    <w:rsid w:val="00D119DC"/>
    <w:rsid w:val="00D550B0"/>
    <w:rsid w:val="00D6339D"/>
    <w:rsid w:val="00D76834"/>
    <w:rsid w:val="00DA0B9B"/>
    <w:rsid w:val="00DB1A6F"/>
    <w:rsid w:val="00DE1796"/>
    <w:rsid w:val="00DF12FB"/>
    <w:rsid w:val="00E041BD"/>
    <w:rsid w:val="00E371FE"/>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081B3E"/>
    <w:rsid w:val="011149CC"/>
    <w:rsid w:val="01995BAA"/>
    <w:rsid w:val="01D54B64"/>
    <w:rsid w:val="01F2753D"/>
    <w:rsid w:val="022213C4"/>
    <w:rsid w:val="027721A6"/>
    <w:rsid w:val="028D51BD"/>
    <w:rsid w:val="02A35FD5"/>
    <w:rsid w:val="02A8524A"/>
    <w:rsid w:val="02C8629C"/>
    <w:rsid w:val="035937A7"/>
    <w:rsid w:val="038C76D9"/>
    <w:rsid w:val="03A611E3"/>
    <w:rsid w:val="03C142B6"/>
    <w:rsid w:val="04036024"/>
    <w:rsid w:val="0449261E"/>
    <w:rsid w:val="04942090"/>
    <w:rsid w:val="04974587"/>
    <w:rsid w:val="04BD0AC7"/>
    <w:rsid w:val="04C133B2"/>
    <w:rsid w:val="04C63B63"/>
    <w:rsid w:val="04DF0FB4"/>
    <w:rsid w:val="04F828E3"/>
    <w:rsid w:val="05145BD8"/>
    <w:rsid w:val="051E25B2"/>
    <w:rsid w:val="05407928"/>
    <w:rsid w:val="05791C6C"/>
    <w:rsid w:val="05B35D6A"/>
    <w:rsid w:val="05C054C9"/>
    <w:rsid w:val="05C63706"/>
    <w:rsid w:val="05E80E12"/>
    <w:rsid w:val="06312DB5"/>
    <w:rsid w:val="069D7EE6"/>
    <w:rsid w:val="06F772FB"/>
    <w:rsid w:val="07230354"/>
    <w:rsid w:val="074F739B"/>
    <w:rsid w:val="077211C3"/>
    <w:rsid w:val="07BC033E"/>
    <w:rsid w:val="085C6B6F"/>
    <w:rsid w:val="087839EF"/>
    <w:rsid w:val="088017D6"/>
    <w:rsid w:val="08F822C4"/>
    <w:rsid w:val="08FC454D"/>
    <w:rsid w:val="09181A0E"/>
    <w:rsid w:val="092B7994"/>
    <w:rsid w:val="09315C2C"/>
    <w:rsid w:val="09611CF3"/>
    <w:rsid w:val="096D7EC2"/>
    <w:rsid w:val="09815C56"/>
    <w:rsid w:val="099843CC"/>
    <w:rsid w:val="09D936F7"/>
    <w:rsid w:val="0A5B21E1"/>
    <w:rsid w:val="0AA01EC3"/>
    <w:rsid w:val="0AF61D8A"/>
    <w:rsid w:val="0B1E7315"/>
    <w:rsid w:val="0B3D24FE"/>
    <w:rsid w:val="0B5D3C68"/>
    <w:rsid w:val="0B756CA4"/>
    <w:rsid w:val="0BAB6B6A"/>
    <w:rsid w:val="0BC649E1"/>
    <w:rsid w:val="0C152432"/>
    <w:rsid w:val="0C32389C"/>
    <w:rsid w:val="0C4A4530"/>
    <w:rsid w:val="0C747FFC"/>
    <w:rsid w:val="0D3835BD"/>
    <w:rsid w:val="0D583AF2"/>
    <w:rsid w:val="0D5D3F94"/>
    <w:rsid w:val="0D86245E"/>
    <w:rsid w:val="0D903C4C"/>
    <w:rsid w:val="0DBC3817"/>
    <w:rsid w:val="0DC566A4"/>
    <w:rsid w:val="0DCC602F"/>
    <w:rsid w:val="0DE85E53"/>
    <w:rsid w:val="0E0B1B42"/>
    <w:rsid w:val="0E736CD5"/>
    <w:rsid w:val="0EDC3FDD"/>
    <w:rsid w:val="0EE37CB4"/>
    <w:rsid w:val="0F1D52BA"/>
    <w:rsid w:val="0F7756E1"/>
    <w:rsid w:val="0F7E3477"/>
    <w:rsid w:val="0FF07241"/>
    <w:rsid w:val="1026620F"/>
    <w:rsid w:val="10281712"/>
    <w:rsid w:val="108B0131"/>
    <w:rsid w:val="10E01064"/>
    <w:rsid w:val="10E13BDC"/>
    <w:rsid w:val="10E4484F"/>
    <w:rsid w:val="10FE14EA"/>
    <w:rsid w:val="11335637"/>
    <w:rsid w:val="116C0B49"/>
    <w:rsid w:val="119E68E3"/>
    <w:rsid w:val="11A256FB"/>
    <w:rsid w:val="11CE181E"/>
    <w:rsid w:val="11E71BE9"/>
    <w:rsid w:val="123F1DBA"/>
    <w:rsid w:val="126F1B10"/>
    <w:rsid w:val="1283439D"/>
    <w:rsid w:val="128D6FC9"/>
    <w:rsid w:val="12921B92"/>
    <w:rsid w:val="135E2714"/>
    <w:rsid w:val="136775E5"/>
    <w:rsid w:val="13876815"/>
    <w:rsid w:val="13E37389"/>
    <w:rsid w:val="14661880"/>
    <w:rsid w:val="14A463E8"/>
    <w:rsid w:val="14D961C2"/>
    <w:rsid w:val="14E37374"/>
    <w:rsid w:val="14F075E7"/>
    <w:rsid w:val="157F4881"/>
    <w:rsid w:val="15832196"/>
    <w:rsid w:val="159C3D02"/>
    <w:rsid w:val="15B200F9"/>
    <w:rsid w:val="15BB0D33"/>
    <w:rsid w:val="15CE23A2"/>
    <w:rsid w:val="15D373E9"/>
    <w:rsid w:val="15E35027"/>
    <w:rsid w:val="16352BFB"/>
    <w:rsid w:val="163B2521"/>
    <w:rsid w:val="164125A5"/>
    <w:rsid w:val="167B1172"/>
    <w:rsid w:val="168E50BE"/>
    <w:rsid w:val="1695644C"/>
    <w:rsid w:val="16C5620B"/>
    <w:rsid w:val="16CE195E"/>
    <w:rsid w:val="17C23687"/>
    <w:rsid w:val="189D783A"/>
    <w:rsid w:val="18A90101"/>
    <w:rsid w:val="18BD6DA2"/>
    <w:rsid w:val="18D64F13"/>
    <w:rsid w:val="18E86D07"/>
    <w:rsid w:val="18F16E26"/>
    <w:rsid w:val="19224548"/>
    <w:rsid w:val="1944786D"/>
    <w:rsid w:val="195B22B0"/>
    <w:rsid w:val="19763FD2"/>
    <w:rsid w:val="19871CEE"/>
    <w:rsid w:val="1A1D12E8"/>
    <w:rsid w:val="1AAD1BF2"/>
    <w:rsid w:val="1AD47792"/>
    <w:rsid w:val="1AF35E37"/>
    <w:rsid w:val="1B4F4EDD"/>
    <w:rsid w:val="1BB73608"/>
    <w:rsid w:val="1BEE3761"/>
    <w:rsid w:val="1C08430B"/>
    <w:rsid w:val="1C1C2FAC"/>
    <w:rsid w:val="1C2344FA"/>
    <w:rsid w:val="1C2E5379"/>
    <w:rsid w:val="1C404465"/>
    <w:rsid w:val="1C5D6688"/>
    <w:rsid w:val="1C623275"/>
    <w:rsid w:val="1CF739BD"/>
    <w:rsid w:val="1D810E49"/>
    <w:rsid w:val="1D8965DF"/>
    <w:rsid w:val="1DA33B45"/>
    <w:rsid w:val="1DB10E44"/>
    <w:rsid w:val="1DB268C5"/>
    <w:rsid w:val="1DDE2C0D"/>
    <w:rsid w:val="1E026ABD"/>
    <w:rsid w:val="1E2F2C87"/>
    <w:rsid w:val="1E72416F"/>
    <w:rsid w:val="1EB11053"/>
    <w:rsid w:val="1EB4196B"/>
    <w:rsid w:val="1EC27582"/>
    <w:rsid w:val="1F730AA4"/>
    <w:rsid w:val="1F971487"/>
    <w:rsid w:val="20124F0C"/>
    <w:rsid w:val="20143EB1"/>
    <w:rsid w:val="20265145"/>
    <w:rsid w:val="2078587E"/>
    <w:rsid w:val="20B73D17"/>
    <w:rsid w:val="20C9298B"/>
    <w:rsid w:val="211278DC"/>
    <w:rsid w:val="22690B02"/>
    <w:rsid w:val="227F7259"/>
    <w:rsid w:val="22934188"/>
    <w:rsid w:val="229D2256"/>
    <w:rsid w:val="22D95913"/>
    <w:rsid w:val="23236BD0"/>
    <w:rsid w:val="24015121"/>
    <w:rsid w:val="246758CC"/>
    <w:rsid w:val="25091CCB"/>
    <w:rsid w:val="268550BF"/>
    <w:rsid w:val="26937BFF"/>
    <w:rsid w:val="26E11F56"/>
    <w:rsid w:val="27722BA2"/>
    <w:rsid w:val="27B8643F"/>
    <w:rsid w:val="27E47572"/>
    <w:rsid w:val="281210C5"/>
    <w:rsid w:val="287A4275"/>
    <w:rsid w:val="28CA52F9"/>
    <w:rsid w:val="28CF53CF"/>
    <w:rsid w:val="292F7EC3"/>
    <w:rsid w:val="29763734"/>
    <w:rsid w:val="29930F11"/>
    <w:rsid w:val="299C12A2"/>
    <w:rsid w:val="29CF1324"/>
    <w:rsid w:val="2A3F29D2"/>
    <w:rsid w:val="2A53737E"/>
    <w:rsid w:val="2AB949A8"/>
    <w:rsid w:val="2AD94492"/>
    <w:rsid w:val="2B3A1BFB"/>
    <w:rsid w:val="2B497345"/>
    <w:rsid w:val="2B4D0E60"/>
    <w:rsid w:val="2B5377AD"/>
    <w:rsid w:val="2B6568DD"/>
    <w:rsid w:val="2B9E635F"/>
    <w:rsid w:val="2B9F31F8"/>
    <w:rsid w:val="2C0E487F"/>
    <w:rsid w:val="2C1063DB"/>
    <w:rsid w:val="2C184DE2"/>
    <w:rsid w:val="2CC118F2"/>
    <w:rsid w:val="2CC66F08"/>
    <w:rsid w:val="2D144984"/>
    <w:rsid w:val="2D4241CE"/>
    <w:rsid w:val="2D6055AE"/>
    <w:rsid w:val="2D630615"/>
    <w:rsid w:val="2D844BFC"/>
    <w:rsid w:val="2D845B16"/>
    <w:rsid w:val="2E136AA5"/>
    <w:rsid w:val="2E1D777C"/>
    <w:rsid w:val="2E3236AD"/>
    <w:rsid w:val="2EDF7472"/>
    <w:rsid w:val="2FE853E7"/>
    <w:rsid w:val="309C0099"/>
    <w:rsid w:val="309F63EE"/>
    <w:rsid w:val="30CB56BD"/>
    <w:rsid w:val="30CE6CD3"/>
    <w:rsid w:val="31387E71"/>
    <w:rsid w:val="319B75A8"/>
    <w:rsid w:val="319C6071"/>
    <w:rsid w:val="320F63B0"/>
    <w:rsid w:val="325C2C2C"/>
    <w:rsid w:val="32A1591F"/>
    <w:rsid w:val="32AF53D1"/>
    <w:rsid w:val="32B77AC3"/>
    <w:rsid w:val="32C37159"/>
    <w:rsid w:val="33026C3D"/>
    <w:rsid w:val="3331778D"/>
    <w:rsid w:val="33964DB2"/>
    <w:rsid w:val="34351141"/>
    <w:rsid w:val="34355D35"/>
    <w:rsid w:val="34480A80"/>
    <w:rsid w:val="344E43B3"/>
    <w:rsid w:val="34E014B9"/>
    <w:rsid w:val="34F4706D"/>
    <w:rsid w:val="350E769E"/>
    <w:rsid w:val="352407BE"/>
    <w:rsid w:val="355E0C9B"/>
    <w:rsid w:val="35AB0D9A"/>
    <w:rsid w:val="35C43EC2"/>
    <w:rsid w:val="35CB1A33"/>
    <w:rsid w:val="36E05BEA"/>
    <w:rsid w:val="36E47B9D"/>
    <w:rsid w:val="36FD4548"/>
    <w:rsid w:val="3715036C"/>
    <w:rsid w:val="376A52B7"/>
    <w:rsid w:val="379B18CA"/>
    <w:rsid w:val="37A75B88"/>
    <w:rsid w:val="37B00CEE"/>
    <w:rsid w:val="37C75CF2"/>
    <w:rsid w:val="38060F79"/>
    <w:rsid w:val="3827300B"/>
    <w:rsid w:val="386D514E"/>
    <w:rsid w:val="38925A62"/>
    <w:rsid w:val="397228F1"/>
    <w:rsid w:val="39E62997"/>
    <w:rsid w:val="39F03816"/>
    <w:rsid w:val="3A0A5087"/>
    <w:rsid w:val="3AA55FA3"/>
    <w:rsid w:val="3AB5770D"/>
    <w:rsid w:val="3ACD2686"/>
    <w:rsid w:val="3AF52546"/>
    <w:rsid w:val="3AF95C46"/>
    <w:rsid w:val="3B042FB4"/>
    <w:rsid w:val="3B233415"/>
    <w:rsid w:val="3B2A0FAA"/>
    <w:rsid w:val="3B306EA8"/>
    <w:rsid w:val="3C1275F2"/>
    <w:rsid w:val="3C1423A5"/>
    <w:rsid w:val="3C2970C0"/>
    <w:rsid w:val="3C4547B3"/>
    <w:rsid w:val="3C616320"/>
    <w:rsid w:val="3CA31014"/>
    <w:rsid w:val="3CB56EDB"/>
    <w:rsid w:val="3CCB7F4E"/>
    <w:rsid w:val="3CD60753"/>
    <w:rsid w:val="3D207130"/>
    <w:rsid w:val="3D274DE4"/>
    <w:rsid w:val="3D531E53"/>
    <w:rsid w:val="3D6435C4"/>
    <w:rsid w:val="3DDE4973"/>
    <w:rsid w:val="3E09759C"/>
    <w:rsid w:val="3E7E3AE6"/>
    <w:rsid w:val="3E854145"/>
    <w:rsid w:val="3E887EA3"/>
    <w:rsid w:val="3EDB405D"/>
    <w:rsid w:val="3F2C58FF"/>
    <w:rsid w:val="3F2F4DE1"/>
    <w:rsid w:val="3F302536"/>
    <w:rsid w:val="3F813BC4"/>
    <w:rsid w:val="3F846BE9"/>
    <w:rsid w:val="3FDE56EE"/>
    <w:rsid w:val="40050695"/>
    <w:rsid w:val="404A3387"/>
    <w:rsid w:val="405139BA"/>
    <w:rsid w:val="408F6F36"/>
    <w:rsid w:val="40F01597"/>
    <w:rsid w:val="41177258"/>
    <w:rsid w:val="412546ED"/>
    <w:rsid w:val="4136428A"/>
    <w:rsid w:val="416B7C26"/>
    <w:rsid w:val="41D00C05"/>
    <w:rsid w:val="41F646C8"/>
    <w:rsid w:val="41F64CA7"/>
    <w:rsid w:val="42224789"/>
    <w:rsid w:val="42310A17"/>
    <w:rsid w:val="42573468"/>
    <w:rsid w:val="426104F4"/>
    <w:rsid w:val="429B73D4"/>
    <w:rsid w:val="42A70C68"/>
    <w:rsid w:val="42BF7899"/>
    <w:rsid w:val="433B1FA6"/>
    <w:rsid w:val="437E6487"/>
    <w:rsid w:val="448E3087"/>
    <w:rsid w:val="45271F81"/>
    <w:rsid w:val="452F2C10"/>
    <w:rsid w:val="459403B6"/>
    <w:rsid w:val="4598315B"/>
    <w:rsid w:val="461E0F21"/>
    <w:rsid w:val="465670F7"/>
    <w:rsid w:val="468123C6"/>
    <w:rsid w:val="46EE37D3"/>
    <w:rsid w:val="47034AA6"/>
    <w:rsid w:val="47883CE9"/>
    <w:rsid w:val="47DC1CC4"/>
    <w:rsid w:val="47EF27B7"/>
    <w:rsid w:val="483031FD"/>
    <w:rsid w:val="485C1AE8"/>
    <w:rsid w:val="488066AD"/>
    <w:rsid w:val="48C73E6E"/>
    <w:rsid w:val="48EB00AD"/>
    <w:rsid w:val="48F05C1F"/>
    <w:rsid w:val="49013973"/>
    <w:rsid w:val="491C63D6"/>
    <w:rsid w:val="49C95F9C"/>
    <w:rsid w:val="49CD3F23"/>
    <w:rsid w:val="49F46361"/>
    <w:rsid w:val="4A2758B7"/>
    <w:rsid w:val="4AB5641F"/>
    <w:rsid w:val="4AD056CA"/>
    <w:rsid w:val="4AE32C0A"/>
    <w:rsid w:val="4B6B0F4E"/>
    <w:rsid w:val="4B815370"/>
    <w:rsid w:val="4B867388"/>
    <w:rsid w:val="4B8841F9"/>
    <w:rsid w:val="4CE82F18"/>
    <w:rsid w:val="4D3B0DF4"/>
    <w:rsid w:val="4DBE6397"/>
    <w:rsid w:val="4E3441C2"/>
    <w:rsid w:val="4E4D6006"/>
    <w:rsid w:val="4E532F0D"/>
    <w:rsid w:val="4EEA4880"/>
    <w:rsid w:val="4FAE10C6"/>
    <w:rsid w:val="4FC24FED"/>
    <w:rsid w:val="4FF86042"/>
    <w:rsid w:val="502D2C76"/>
    <w:rsid w:val="505C7F65"/>
    <w:rsid w:val="50B84DFB"/>
    <w:rsid w:val="51046E4F"/>
    <w:rsid w:val="51241F2C"/>
    <w:rsid w:val="516F6B28"/>
    <w:rsid w:val="518965D2"/>
    <w:rsid w:val="51C0361C"/>
    <w:rsid w:val="52A55FBB"/>
    <w:rsid w:val="52AB5723"/>
    <w:rsid w:val="52B97D06"/>
    <w:rsid w:val="52DE1BBE"/>
    <w:rsid w:val="52E07C83"/>
    <w:rsid w:val="52FC75B4"/>
    <w:rsid w:val="5363025D"/>
    <w:rsid w:val="537D468A"/>
    <w:rsid w:val="537E6888"/>
    <w:rsid w:val="54244390"/>
    <w:rsid w:val="543F306C"/>
    <w:rsid w:val="54540E6A"/>
    <w:rsid w:val="546C2C8D"/>
    <w:rsid w:val="547D09A9"/>
    <w:rsid w:val="54B43414"/>
    <w:rsid w:val="54DB601C"/>
    <w:rsid w:val="55050666"/>
    <w:rsid w:val="5587107B"/>
    <w:rsid w:val="55A208DD"/>
    <w:rsid w:val="564C5721"/>
    <w:rsid w:val="570268B8"/>
    <w:rsid w:val="57674A5E"/>
    <w:rsid w:val="57722F85"/>
    <w:rsid w:val="579932E7"/>
    <w:rsid w:val="57B073B0"/>
    <w:rsid w:val="57D65228"/>
    <w:rsid w:val="57F131B7"/>
    <w:rsid w:val="57F829FA"/>
    <w:rsid w:val="581806B0"/>
    <w:rsid w:val="587A6C75"/>
    <w:rsid w:val="588D6F55"/>
    <w:rsid w:val="58C827FE"/>
    <w:rsid w:val="58D04427"/>
    <w:rsid w:val="58EB14ED"/>
    <w:rsid w:val="58F94086"/>
    <w:rsid w:val="591271AE"/>
    <w:rsid w:val="59324022"/>
    <w:rsid w:val="594D25DB"/>
    <w:rsid w:val="59506C93"/>
    <w:rsid w:val="59841A6C"/>
    <w:rsid w:val="59B84688"/>
    <w:rsid w:val="5A191BE6"/>
    <w:rsid w:val="5A6F20DD"/>
    <w:rsid w:val="5B70362F"/>
    <w:rsid w:val="5C621D8C"/>
    <w:rsid w:val="5CDD3C76"/>
    <w:rsid w:val="5D194ACB"/>
    <w:rsid w:val="5D6C6AD3"/>
    <w:rsid w:val="5D764607"/>
    <w:rsid w:val="5DE03882"/>
    <w:rsid w:val="5DF068B8"/>
    <w:rsid w:val="5E4A2C3E"/>
    <w:rsid w:val="5E677F12"/>
    <w:rsid w:val="5E783C56"/>
    <w:rsid w:val="5F737229"/>
    <w:rsid w:val="5F7B20B7"/>
    <w:rsid w:val="5F91425A"/>
    <w:rsid w:val="5F9167D9"/>
    <w:rsid w:val="5FA066F7"/>
    <w:rsid w:val="5FC11526"/>
    <w:rsid w:val="5FD03070"/>
    <w:rsid w:val="5FDE0E85"/>
    <w:rsid w:val="5FE926EA"/>
    <w:rsid w:val="6005158B"/>
    <w:rsid w:val="601B4929"/>
    <w:rsid w:val="60695F4D"/>
    <w:rsid w:val="60D422E8"/>
    <w:rsid w:val="61453A66"/>
    <w:rsid w:val="615F5094"/>
    <w:rsid w:val="61803A85"/>
    <w:rsid w:val="61DE29AE"/>
    <w:rsid w:val="6204045B"/>
    <w:rsid w:val="624A69D1"/>
    <w:rsid w:val="629C7631"/>
    <w:rsid w:val="62C0797A"/>
    <w:rsid w:val="637606BD"/>
    <w:rsid w:val="63E022EB"/>
    <w:rsid w:val="63EA73A4"/>
    <w:rsid w:val="647D1DE9"/>
    <w:rsid w:val="64A47AAA"/>
    <w:rsid w:val="6511270F"/>
    <w:rsid w:val="653C0F22"/>
    <w:rsid w:val="65654809"/>
    <w:rsid w:val="657213FC"/>
    <w:rsid w:val="65724C80"/>
    <w:rsid w:val="659B0E35"/>
    <w:rsid w:val="65F364D3"/>
    <w:rsid w:val="6609788A"/>
    <w:rsid w:val="663911C6"/>
    <w:rsid w:val="669058B5"/>
    <w:rsid w:val="672A213D"/>
    <w:rsid w:val="674370F9"/>
    <w:rsid w:val="677C7FF0"/>
    <w:rsid w:val="67D66668"/>
    <w:rsid w:val="67E320BC"/>
    <w:rsid w:val="692C3FBB"/>
    <w:rsid w:val="694B1A4D"/>
    <w:rsid w:val="69DC353A"/>
    <w:rsid w:val="6A542299"/>
    <w:rsid w:val="6A656EA0"/>
    <w:rsid w:val="6A7449B2"/>
    <w:rsid w:val="6B19056F"/>
    <w:rsid w:val="6B2057D3"/>
    <w:rsid w:val="6BD10E18"/>
    <w:rsid w:val="6BF32FC3"/>
    <w:rsid w:val="6C156F89"/>
    <w:rsid w:val="6C700663"/>
    <w:rsid w:val="6C74577D"/>
    <w:rsid w:val="6C7C2B89"/>
    <w:rsid w:val="6CB70040"/>
    <w:rsid w:val="6CD86F6B"/>
    <w:rsid w:val="6DAF6F69"/>
    <w:rsid w:val="6E2039C3"/>
    <w:rsid w:val="6E655F2D"/>
    <w:rsid w:val="6E7A30D3"/>
    <w:rsid w:val="6F0C36BF"/>
    <w:rsid w:val="6F0C79BF"/>
    <w:rsid w:val="6F146FCA"/>
    <w:rsid w:val="6F321F93"/>
    <w:rsid w:val="6F477302"/>
    <w:rsid w:val="6F6D2B0F"/>
    <w:rsid w:val="6F9A0BAB"/>
    <w:rsid w:val="6FEA072C"/>
    <w:rsid w:val="70100D18"/>
    <w:rsid w:val="703B0F88"/>
    <w:rsid w:val="705636CC"/>
    <w:rsid w:val="70757E8B"/>
    <w:rsid w:val="707E401E"/>
    <w:rsid w:val="70992649"/>
    <w:rsid w:val="70AA3EA1"/>
    <w:rsid w:val="70AC7C7E"/>
    <w:rsid w:val="70E62748"/>
    <w:rsid w:val="71516D57"/>
    <w:rsid w:val="7185354B"/>
    <w:rsid w:val="71FA350A"/>
    <w:rsid w:val="720B04B9"/>
    <w:rsid w:val="72161365"/>
    <w:rsid w:val="725B417D"/>
    <w:rsid w:val="726376B6"/>
    <w:rsid w:val="72B73EB2"/>
    <w:rsid w:val="72C84E5C"/>
    <w:rsid w:val="72F96C19"/>
    <w:rsid w:val="730D7B4F"/>
    <w:rsid w:val="730E0401"/>
    <w:rsid w:val="732A167E"/>
    <w:rsid w:val="73D03795"/>
    <w:rsid w:val="740E2F75"/>
    <w:rsid w:val="7416389E"/>
    <w:rsid w:val="74C10CF5"/>
    <w:rsid w:val="74DB73E7"/>
    <w:rsid w:val="754C283E"/>
    <w:rsid w:val="75761242"/>
    <w:rsid w:val="75777DEC"/>
    <w:rsid w:val="759068E8"/>
    <w:rsid w:val="75A17B08"/>
    <w:rsid w:val="75A849CA"/>
    <w:rsid w:val="75FB71EF"/>
    <w:rsid w:val="760652AE"/>
    <w:rsid w:val="76216673"/>
    <w:rsid w:val="762E09F1"/>
    <w:rsid w:val="764C7FA1"/>
    <w:rsid w:val="76985EA2"/>
    <w:rsid w:val="769B21D1"/>
    <w:rsid w:val="779161D5"/>
    <w:rsid w:val="77E867D1"/>
    <w:rsid w:val="780E1730"/>
    <w:rsid w:val="78534765"/>
    <w:rsid w:val="7870537D"/>
    <w:rsid w:val="78A029F4"/>
    <w:rsid w:val="78F636CD"/>
    <w:rsid w:val="79381C6E"/>
    <w:rsid w:val="794D6390"/>
    <w:rsid w:val="795821A2"/>
    <w:rsid w:val="796C1819"/>
    <w:rsid w:val="7AF01155"/>
    <w:rsid w:val="7AF4420D"/>
    <w:rsid w:val="7B3B5BBB"/>
    <w:rsid w:val="7B6569FF"/>
    <w:rsid w:val="7B7B492E"/>
    <w:rsid w:val="7B984DBF"/>
    <w:rsid w:val="7BB3085C"/>
    <w:rsid w:val="7BE14791"/>
    <w:rsid w:val="7C070787"/>
    <w:rsid w:val="7C3206D2"/>
    <w:rsid w:val="7C593EA6"/>
    <w:rsid w:val="7C6C5F2D"/>
    <w:rsid w:val="7CB9570E"/>
    <w:rsid w:val="7CC55842"/>
    <w:rsid w:val="7CDC4FC8"/>
    <w:rsid w:val="7D060110"/>
    <w:rsid w:val="7D41594B"/>
    <w:rsid w:val="7D641B1E"/>
    <w:rsid w:val="7DC861E9"/>
    <w:rsid w:val="7DF82266"/>
    <w:rsid w:val="7E225337"/>
    <w:rsid w:val="7E77762F"/>
    <w:rsid w:val="7EAB72D9"/>
    <w:rsid w:val="7EE03426"/>
    <w:rsid w:val="7EED054A"/>
    <w:rsid w:val="7F0204F0"/>
    <w:rsid w:val="7F547970"/>
    <w:rsid w:val="7F7676A4"/>
    <w:rsid w:val="7FA204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qFormat="1" w:unhideWhenUsed="0" w:uiPriority="99" w:semiHidden="0"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9"/>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151"/>
    <w:qFormat/>
    <w:uiPriority w:val="0"/>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60"/>
    <w:qFormat/>
    <w:uiPriority w:val="0"/>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152"/>
    <w:qFormat/>
    <w:uiPriority w:val="0"/>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59"/>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153"/>
    <w:qFormat/>
    <w:uiPriority w:val="0"/>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154"/>
    <w:qFormat/>
    <w:uiPriority w:val="0"/>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155"/>
    <w:qFormat/>
    <w:uiPriority w:val="0"/>
    <w:pPr>
      <w:keepNext/>
      <w:keepLines/>
      <w:spacing w:before="240" w:after="64" w:line="320" w:lineRule="auto"/>
      <w:outlineLvl w:val="7"/>
    </w:pPr>
    <w:rPr>
      <w:rFonts w:ascii="Calibri Light" w:hAnsi="Calibri Light" w:eastAsia="宋体" w:cs="Times New Roman"/>
      <w:kern w:val="0"/>
      <w:sz w:val="24"/>
      <w:szCs w:val="24"/>
    </w:rPr>
  </w:style>
  <w:style w:type="paragraph" w:styleId="10">
    <w:name w:val="heading 9"/>
    <w:basedOn w:val="1"/>
    <w:next w:val="1"/>
    <w:link w:val="210"/>
    <w:qFormat/>
    <w:uiPriority w:val="0"/>
    <w:pPr>
      <w:keepNext/>
      <w:keepLines/>
      <w:spacing w:before="240" w:after="64" w:line="317" w:lineRule="auto"/>
      <w:outlineLvl w:val="8"/>
    </w:pPr>
    <w:rPr>
      <w:rFonts w:ascii="Cambria" w:hAnsi="Cambria" w:eastAsia="宋体" w:cs="Times New Roman"/>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eastAsia="宋体" w:cs="Times New Roman"/>
    </w:rPr>
  </w:style>
  <w:style w:type="paragraph" w:styleId="12">
    <w:name w:val="Normal Indent"/>
    <w:basedOn w:val="1"/>
    <w:qFormat/>
    <w:uiPriority w:val="0"/>
    <w:pPr>
      <w:ind w:firstLine="420"/>
    </w:pPr>
    <w:rPr>
      <w:rFonts w:ascii="Calibri" w:hAnsi="Calibri" w:eastAsia="宋体" w:cs="Times New Roman"/>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List Bullet"/>
    <w:basedOn w:val="1"/>
    <w:next w:val="15"/>
    <w:semiHidden/>
    <w:unhideWhenUsed/>
    <w:qFormat/>
    <w:uiPriority w:val="99"/>
    <w:pPr>
      <w:numPr>
        <w:ilvl w:val="0"/>
        <w:numId w:val="1"/>
      </w:numPr>
    </w:pPr>
  </w:style>
  <w:style w:type="paragraph" w:styleId="15">
    <w:name w:val="Normal (Web)"/>
    <w:basedOn w:val="1"/>
    <w:link w:val="204"/>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Document Map"/>
    <w:basedOn w:val="1"/>
    <w:link w:val="156"/>
    <w:unhideWhenUsed/>
    <w:qFormat/>
    <w:uiPriority w:val="0"/>
    <w:rPr>
      <w:rFonts w:ascii="宋体" w:hAnsi="Calibri" w:eastAsia="宋体" w:cs="Times New Roman"/>
      <w:sz w:val="18"/>
      <w:szCs w:val="18"/>
    </w:rPr>
  </w:style>
  <w:style w:type="paragraph" w:styleId="17">
    <w:name w:val="toa heading"/>
    <w:basedOn w:val="1"/>
    <w:next w:val="1"/>
    <w:qFormat/>
    <w:uiPriority w:val="0"/>
    <w:pPr>
      <w:spacing w:line="360" w:lineRule="auto"/>
      <w:jc w:val="left"/>
    </w:pPr>
    <w:rPr>
      <w:rFonts w:ascii="Cambria" w:hAnsi="Cambria" w:eastAsia="宋体" w:cs="Times New Roman"/>
      <w:kern w:val="0"/>
      <w:sz w:val="24"/>
      <w:szCs w:val="20"/>
    </w:rPr>
  </w:style>
  <w:style w:type="paragraph" w:styleId="18">
    <w:name w:val="annotation text"/>
    <w:basedOn w:val="1"/>
    <w:link w:val="157"/>
    <w:qFormat/>
    <w:uiPriority w:val="0"/>
    <w:pPr>
      <w:jc w:val="left"/>
    </w:pPr>
    <w:rPr>
      <w:rFonts w:ascii="Calibri" w:hAnsi="Calibri" w:eastAsia="宋体" w:cs="Times New Roman"/>
      <w:kern w:val="0"/>
      <w:sz w:val="20"/>
      <w:szCs w:val="20"/>
    </w:rPr>
  </w:style>
  <w:style w:type="paragraph" w:styleId="19">
    <w:name w:val="index 6"/>
    <w:basedOn w:val="1"/>
    <w:next w:val="1"/>
    <w:qFormat/>
    <w:uiPriority w:val="99"/>
    <w:pPr>
      <w:ind w:left="2100"/>
    </w:pPr>
  </w:style>
  <w:style w:type="paragraph" w:styleId="20">
    <w:name w:val="Body Text"/>
    <w:basedOn w:val="1"/>
    <w:next w:val="21"/>
    <w:link w:val="158"/>
    <w:unhideWhenUsed/>
    <w:qFormat/>
    <w:uiPriority w:val="0"/>
    <w:pPr>
      <w:spacing w:after="12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ody Text Indent"/>
    <w:basedOn w:val="1"/>
    <w:next w:val="1"/>
    <w:link w:val="159"/>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toc 5"/>
    <w:basedOn w:val="1"/>
    <w:next w:val="1"/>
    <w:unhideWhenUsed/>
    <w:qFormat/>
    <w:uiPriority w:val="0"/>
    <w:pPr>
      <w:ind w:left="1680" w:leftChars="800"/>
    </w:pPr>
    <w:rPr>
      <w:rFonts w:ascii="Calibri" w:hAnsi="Calibri" w:eastAsia="宋体" w:cs="Times New Roman"/>
    </w:rPr>
  </w:style>
  <w:style w:type="paragraph" w:styleId="25">
    <w:name w:val="toc 3"/>
    <w:basedOn w:val="1"/>
    <w:next w:val="1"/>
    <w:qFormat/>
    <w:uiPriority w:val="0"/>
    <w:pPr>
      <w:widowControl/>
      <w:ind w:left="400" w:right="255"/>
    </w:pPr>
    <w:rPr>
      <w:rFonts w:ascii="Times New Roman" w:hAnsi="Times New Roman" w:eastAsia="宋体" w:cs="Times New Roman"/>
      <w:kern w:val="0"/>
      <w:sz w:val="24"/>
      <w:szCs w:val="20"/>
    </w:rPr>
  </w:style>
  <w:style w:type="paragraph" w:styleId="26">
    <w:name w:val="Plain Text"/>
    <w:basedOn w:val="1"/>
    <w:link w:val="160"/>
    <w:qFormat/>
    <w:uiPriority w:val="0"/>
    <w:rPr>
      <w:rFonts w:ascii="宋体" w:hAnsi="Courier New" w:eastAsia="宋体" w:cs="Times New Roman"/>
      <w:kern w:val="0"/>
      <w:sz w:val="20"/>
      <w:szCs w:val="21"/>
    </w:rPr>
  </w:style>
  <w:style w:type="paragraph" w:styleId="27">
    <w:name w:val="toc 8"/>
    <w:basedOn w:val="1"/>
    <w:next w:val="1"/>
    <w:qFormat/>
    <w:uiPriority w:val="0"/>
    <w:pPr>
      <w:ind w:left="2940" w:leftChars="1400"/>
    </w:pPr>
    <w:rPr>
      <w:rFonts w:ascii="Calibri" w:hAnsi="Calibri" w:eastAsia="宋体" w:cs="Times New Roman"/>
    </w:rPr>
  </w:style>
  <w:style w:type="paragraph" w:styleId="28">
    <w:name w:val="Date"/>
    <w:basedOn w:val="1"/>
    <w:next w:val="1"/>
    <w:link w:val="161"/>
    <w:unhideWhenUsed/>
    <w:qFormat/>
    <w:uiPriority w:val="0"/>
    <w:pPr>
      <w:ind w:left="100" w:leftChars="2500"/>
    </w:pPr>
    <w:rPr>
      <w:rFonts w:ascii="Calibri" w:hAnsi="Calibri" w:eastAsia="宋体" w:cs="Times New Roman"/>
    </w:rPr>
  </w:style>
  <w:style w:type="paragraph" w:styleId="29">
    <w:name w:val="Body Text Indent 2"/>
    <w:basedOn w:val="1"/>
    <w:link w:val="162"/>
    <w:qFormat/>
    <w:uiPriority w:val="0"/>
    <w:pPr>
      <w:ind w:firstLine="480"/>
    </w:pPr>
    <w:rPr>
      <w:rFonts w:ascii="宋体" w:hAnsi="宋体" w:eastAsia="宋体" w:cs="Times New Roman"/>
      <w:sz w:val="30"/>
      <w:szCs w:val="24"/>
    </w:rPr>
  </w:style>
  <w:style w:type="paragraph" w:styleId="30">
    <w:name w:val="Balloon Text"/>
    <w:basedOn w:val="1"/>
    <w:link w:val="170"/>
    <w:qFormat/>
    <w:uiPriority w:val="0"/>
    <w:rPr>
      <w:rFonts w:ascii="Calibri" w:hAnsi="Calibri" w:eastAsia="宋体" w:cs="Times New Roman"/>
      <w:kern w:val="0"/>
      <w:sz w:val="18"/>
      <w:szCs w:val="18"/>
    </w:rPr>
  </w:style>
  <w:style w:type="paragraph" w:styleId="31">
    <w:name w:val="footer"/>
    <w:basedOn w:val="1"/>
    <w:link w:val="16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32">
    <w:name w:val="header"/>
    <w:basedOn w:val="1"/>
    <w:link w:val="16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3">
    <w:name w:val="toc 1"/>
    <w:basedOn w:val="1"/>
    <w:next w:val="1"/>
    <w:qFormat/>
    <w:uiPriority w:val="0"/>
    <w:rPr>
      <w:rFonts w:ascii="Times New Roman" w:hAnsi="Times New Roman" w:eastAsia="宋体" w:cs="Times New Roman"/>
      <w:szCs w:val="20"/>
    </w:rPr>
  </w:style>
  <w:style w:type="paragraph" w:styleId="34">
    <w:name w:val="toc 4"/>
    <w:basedOn w:val="1"/>
    <w:next w:val="1"/>
    <w:unhideWhenUsed/>
    <w:qFormat/>
    <w:uiPriority w:val="0"/>
    <w:pPr>
      <w:ind w:left="1260" w:leftChars="600"/>
    </w:pPr>
    <w:rPr>
      <w:rFonts w:ascii="Calibri" w:hAnsi="Calibri" w:eastAsia="宋体" w:cs="Times New Roman"/>
    </w:rPr>
  </w:style>
  <w:style w:type="paragraph" w:styleId="35">
    <w:name w:val="Subtitle"/>
    <w:basedOn w:val="1"/>
    <w:next w:val="1"/>
    <w:link w:val="232"/>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6">
    <w:name w:val="List"/>
    <w:basedOn w:val="1"/>
    <w:next w:val="37"/>
    <w:qFormat/>
    <w:uiPriority w:val="99"/>
    <w:pPr>
      <w:adjustRightInd w:val="0"/>
      <w:spacing w:line="312" w:lineRule="atLeast"/>
      <w:ind w:left="200" w:hanging="200" w:hangingChars="200"/>
      <w:textAlignment w:val="baseline"/>
    </w:pPr>
    <w:rPr>
      <w:rFonts w:eastAsia="仿宋"/>
      <w:kern w:val="0"/>
      <w:sz w:val="32"/>
      <w:szCs w:val="20"/>
    </w:rPr>
  </w:style>
  <w:style w:type="paragraph" w:styleId="37">
    <w:name w:val="Body Text Indent 3"/>
    <w:basedOn w:val="1"/>
    <w:next w:val="14"/>
    <w:qFormat/>
    <w:uiPriority w:val="0"/>
    <w:pPr>
      <w:spacing w:line="440" w:lineRule="exact"/>
      <w:ind w:firstLine="200" w:firstLineChars="200"/>
    </w:pPr>
    <w:rPr>
      <w:rFonts w:ascii="宋体"/>
    </w:rPr>
  </w:style>
  <w:style w:type="paragraph" w:styleId="38">
    <w:name w:val="footnote text"/>
    <w:basedOn w:val="1"/>
    <w:qFormat/>
    <w:uiPriority w:val="99"/>
    <w:pPr>
      <w:snapToGrid w:val="0"/>
      <w:jc w:val="left"/>
    </w:pPr>
    <w:rPr>
      <w:sz w:val="18"/>
    </w:rPr>
  </w:style>
  <w:style w:type="paragraph" w:styleId="39">
    <w:name w:val="toc 6"/>
    <w:basedOn w:val="1"/>
    <w:next w:val="1"/>
    <w:unhideWhenUsed/>
    <w:qFormat/>
    <w:uiPriority w:val="0"/>
    <w:pPr>
      <w:tabs>
        <w:tab w:val="right" w:leader="dot" w:pos="8296"/>
      </w:tabs>
      <w:ind w:left="2100" w:leftChars="1000"/>
      <w:jc w:val="left"/>
    </w:pPr>
    <w:rPr>
      <w:rFonts w:ascii="Calibri" w:hAnsi="Calibri" w:eastAsia="宋体" w:cs="Times New Roman"/>
    </w:rPr>
  </w:style>
  <w:style w:type="paragraph" w:styleId="40">
    <w:name w:val="index 9"/>
    <w:basedOn w:val="1"/>
    <w:next w:val="1"/>
    <w:qFormat/>
    <w:uiPriority w:val="0"/>
    <w:pPr>
      <w:ind w:left="1600" w:leftChars="1600"/>
    </w:pPr>
    <w:rPr>
      <w:rFonts w:ascii="Times New Roman" w:hAnsi="Times New Roman" w:eastAsia="宋体" w:cs="Times New Roman"/>
      <w:szCs w:val="20"/>
    </w:rPr>
  </w:style>
  <w:style w:type="paragraph" w:styleId="41">
    <w:name w:val="toc 2"/>
    <w:basedOn w:val="1"/>
    <w:next w:val="1"/>
    <w:qFormat/>
    <w:uiPriority w:val="0"/>
    <w:pPr>
      <w:ind w:left="420" w:leftChars="200"/>
    </w:pPr>
    <w:rPr>
      <w:rFonts w:ascii="Times New Roman" w:hAnsi="Times New Roman" w:eastAsia="宋体" w:cs="Times New Roman"/>
      <w:szCs w:val="20"/>
    </w:rPr>
  </w:style>
  <w:style w:type="paragraph" w:styleId="42">
    <w:name w:val="toc 9"/>
    <w:basedOn w:val="1"/>
    <w:next w:val="1"/>
    <w:qFormat/>
    <w:uiPriority w:val="0"/>
    <w:pPr>
      <w:ind w:left="3360" w:leftChars="1600"/>
    </w:pPr>
    <w:rPr>
      <w:rFonts w:ascii="Calibri" w:hAnsi="Calibri" w:eastAsia="宋体" w:cs="Times New Roman"/>
    </w:rPr>
  </w:style>
  <w:style w:type="paragraph" w:styleId="43">
    <w:name w:val="Body Text 2"/>
    <w:basedOn w:val="1"/>
    <w:link w:val="202"/>
    <w:unhideWhenUsed/>
    <w:qFormat/>
    <w:uiPriority w:val="0"/>
    <w:pPr>
      <w:spacing w:after="120" w:line="480" w:lineRule="auto"/>
    </w:pPr>
    <w:rPr>
      <w:rFonts w:ascii="Calibri" w:hAnsi="Calibri" w:eastAsia="宋体" w:cs="Times New Roman"/>
    </w:rPr>
  </w:style>
  <w:style w:type="paragraph" w:styleId="44">
    <w:name w:val="HTML Preformatted"/>
    <w:basedOn w:val="1"/>
    <w:link w:val="20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5">
    <w:name w:val="Title"/>
    <w:basedOn w:val="1"/>
    <w:next w:val="1"/>
    <w:link w:val="231"/>
    <w:qFormat/>
    <w:uiPriority w:val="0"/>
    <w:pPr>
      <w:spacing w:before="240" w:after="60"/>
      <w:jc w:val="center"/>
      <w:outlineLvl w:val="0"/>
    </w:pPr>
    <w:rPr>
      <w:rFonts w:ascii="Cambria" w:hAnsi="Cambria" w:eastAsia="宋体" w:cs="Times New Roman"/>
      <w:b/>
      <w:bCs/>
      <w:sz w:val="32"/>
      <w:szCs w:val="32"/>
    </w:rPr>
  </w:style>
  <w:style w:type="paragraph" w:styleId="46">
    <w:name w:val="annotation subject"/>
    <w:basedOn w:val="18"/>
    <w:next w:val="18"/>
    <w:link w:val="166"/>
    <w:qFormat/>
    <w:uiPriority w:val="0"/>
    <w:rPr>
      <w:b/>
      <w:bCs/>
    </w:rPr>
  </w:style>
  <w:style w:type="paragraph" w:styleId="47">
    <w:name w:val="Body Text First Indent"/>
    <w:basedOn w:val="20"/>
    <w:next w:val="1"/>
    <w:link w:val="171"/>
    <w:qFormat/>
    <w:uiPriority w:val="99"/>
    <w:pPr>
      <w:ind w:firstLine="420" w:firstLineChars="100"/>
    </w:pPr>
  </w:style>
  <w:style w:type="paragraph" w:styleId="48">
    <w:name w:val="Body Text First Indent 2"/>
    <w:basedOn w:val="22"/>
    <w:link w:val="168"/>
    <w:qFormat/>
    <w:uiPriority w:val="0"/>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0"/>
    <w:rPr>
      <w:b/>
      <w:bCs/>
    </w:rPr>
  </w:style>
  <w:style w:type="character" w:styleId="53">
    <w:name w:val="page number"/>
    <w:qFormat/>
    <w:uiPriority w:val="0"/>
  </w:style>
  <w:style w:type="character" w:styleId="54">
    <w:name w:val="FollowedHyperlink"/>
    <w:basedOn w:val="51"/>
    <w:unhideWhenUsed/>
    <w:qFormat/>
    <w:uiPriority w:val="99"/>
    <w:rPr>
      <w:color w:val="800080"/>
      <w:u w:val="single"/>
    </w:rPr>
  </w:style>
  <w:style w:type="character" w:styleId="55">
    <w:name w:val="Emphasis"/>
    <w:basedOn w:val="51"/>
    <w:qFormat/>
    <w:uiPriority w:val="0"/>
    <w:rPr>
      <w:i/>
      <w:iCs/>
    </w:rPr>
  </w:style>
  <w:style w:type="character" w:styleId="56">
    <w:name w:val="Hyperlink"/>
    <w:qFormat/>
    <w:uiPriority w:val="0"/>
    <w:rPr>
      <w:color w:val="0563C1"/>
      <w:u w:val="single"/>
    </w:rPr>
  </w:style>
  <w:style w:type="character" w:styleId="57">
    <w:name w:val="annotation reference"/>
    <w:qFormat/>
    <w:uiPriority w:val="0"/>
    <w:rPr>
      <w:sz w:val="21"/>
      <w:szCs w:val="21"/>
    </w:rPr>
  </w:style>
  <w:style w:type="character" w:styleId="58">
    <w:name w:val="HTML Sample"/>
    <w:unhideWhenUsed/>
    <w:qFormat/>
    <w:uiPriority w:val="99"/>
    <w:rPr>
      <w:rFonts w:ascii="宋体" w:hAnsi="宋体" w:eastAsia="宋体" w:cs="宋体"/>
    </w:rPr>
  </w:style>
  <w:style w:type="character" w:customStyle="1" w:styleId="59">
    <w:name w:val="标题 5 Char"/>
    <w:basedOn w:val="51"/>
    <w:link w:val="6"/>
    <w:qFormat/>
    <w:uiPriority w:val="0"/>
    <w:rPr>
      <w:rFonts w:ascii="Calibri" w:hAnsi="Calibri" w:eastAsia="宋体" w:cs="Times New Roman"/>
      <w:b/>
      <w:bCs/>
      <w:kern w:val="0"/>
      <w:szCs w:val="28"/>
    </w:rPr>
  </w:style>
  <w:style w:type="character" w:customStyle="1" w:styleId="60">
    <w:name w:val="标题 3 Char"/>
    <w:basedOn w:val="51"/>
    <w:link w:val="4"/>
    <w:qFormat/>
    <w:uiPriority w:val="0"/>
    <w:rPr>
      <w:rFonts w:ascii="Calibri" w:hAnsi="Calibri" w:eastAsia="宋体" w:cs="Times New Roman"/>
      <w:b/>
      <w:kern w:val="0"/>
      <w:sz w:val="24"/>
      <w:szCs w:val="20"/>
    </w:rPr>
  </w:style>
  <w:style w:type="paragraph" w:customStyle="1" w:styleId="61">
    <w:name w:val="_Style 1"/>
    <w:basedOn w:val="1"/>
    <w:qFormat/>
    <w:uiPriority w:val="99"/>
    <w:pPr>
      <w:ind w:firstLine="420" w:firstLineChars="200"/>
    </w:pPr>
    <w:rPr>
      <w:rFonts w:ascii="Times New Roman" w:hAnsi="Times New Roman" w:eastAsia="宋体" w:cs="Times New Roman"/>
      <w:szCs w:val="24"/>
    </w:rPr>
  </w:style>
  <w:style w:type="paragraph" w:customStyle="1" w:styleId="62">
    <w:name w:val="Default Text"/>
    <w:link w:val="172"/>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63">
    <w:name w:val="Table Paragraph"/>
    <w:basedOn w:val="1"/>
    <w:qFormat/>
    <w:uiPriority w:val="1"/>
    <w:pPr>
      <w:jc w:val="left"/>
    </w:pPr>
    <w:rPr>
      <w:rFonts w:ascii="宋体" w:hAnsi="宋体" w:eastAsia="宋体" w:cs="宋体"/>
      <w:kern w:val="0"/>
      <w:sz w:val="22"/>
      <w:lang w:eastAsia="en-US"/>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List Paragraph"/>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67">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customStyle="1" w:styleId="68">
    <w:name w:val="No Spacing"/>
    <w:qFormat/>
    <w:uiPriority w:val="0"/>
    <w:rPr>
      <w:rFonts w:ascii="Times New Roman" w:hAnsi="Times New Roman" w:eastAsia="宋体" w:cs="Times New Roman"/>
      <w:lang w:val="en-US" w:eastAsia="zh-CN" w:bidi="ar-SA"/>
    </w:rPr>
  </w:style>
  <w:style w:type="paragraph" w:customStyle="1" w:styleId="69">
    <w:name w:val="_Style 30"/>
    <w:basedOn w:val="1"/>
    <w:next w:val="66"/>
    <w:qFormat/>
    <w:uiPriority w:val="0"/>
    <w:pPr>
      <w:widowControl/>
      <w:ind w:firstLine="420" w:firstLineChars="200"/>
      <w:jc w:val="left"/>
    </w:pPr>
    <w:rPr>
      <w:rFonts w:ascii="Times" w:hAnsi="Times" w:eastAsia="宋体" w:cs="Times New Roman"/>
      <w:kern w:val="0"/>
      <w:sz w:val="20"/>
      <w:szCs w:val="20"/>
    </w:rPr>
  </w:style>
  <w:style w:type="paragraph" w:customStyle="1" w:styleId="70">
    <w:name w:val="head 1.1"/>
    <w:basedOn w:val="66"/>
    <w:link w:val="179"/>
    <w:qFormat/>
    <w:uiPriority w:val="0"/>
    <w:pPr>
      <w:widowControl w:val="0"/>
      <w:spacing w:before="260" w:after="260"/>
      <w:ind w:firstLine="0" w:firstLineChars="0"/>
      <w:jc w:val="both"/>
    </w:pPr>
    <w:rPr>
      <w:rFonts w:ascii="宋体" w:hAnsi="宋体" w:eastAsia="宋体" w:cs="黑体"/>
      <w:bCs/>
      <w:kern w:val="2"/>
      <w:sz w:val="21"/>
      <w:szCs w:val="24"/>
    </w:rPr>
  </w:style>
  <w:style w:type="paragraph" w:customStyle="1" w:styleId="71">
    <w:name w:val="head 1.1.1"/>
    <w:basedOn w:val="66"/>
    <w:link w:val="191"/>
    <w:qFormat/>
    <w:uiPriority w:val="0"/>
    <w:pPr>
      <w:widowControl w:val="0"/>
      <w:ind w:firstLine="0" w:firstLineChars="0"/>
      <w:jc w:val="both"/>
    </w:pPr>
    <w:rPr>
      <w:rFonts w:ascii="Calibri" w:hAnsi="Calibri" w:eastAsia="宋体" w:cs="黑体"/>
      <w:bCs/>
      <w:kern w:val="2"/>
      <w:sz w:val="21"/>
      <w:szCs w:val="24"/>
    </w:rPr>
  </w:style>
  <w:style w:type="paragraph" w:customStyle="1" w:styleId="72">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73">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75">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paragraph" w:customStyle="1" w:styleId="77">
    <w:name w:val="表格"/>
    <w:qFormat/>
    <w:uiPriority w:val="0"/>
    <w:pPr>
      <w:jc w:val="center"/>
    </w:pPr>
    <w:rPr>
      <w:rFonts w:ascii="Calibri" w:hAnsi="Calibri" w:eastAsia="宋体" w:cs="Tahoma"/>
      <w:color w:val="000000"/>
      <w:sz w:val="21"/>
      <w:szCs w:val="24"/>
      <w:lang w:val="en-US" w:eastAsia="zh-CN" w:bidi="ar-SA"/>
    </w:rPr>
  </w:style>
  <w:style w:type="paragraph" w:customStyle="1" w:styleId="78">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79">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82">
    <w:name w:val="_Style 2"/>
    <w:basedOn w:val="1"/>
    <w:next w:val="1"/>
    <w:qFormat/>
    <w:uiPriority w:val="0"/>
    <w:pPr>
      <w:widowControl/>
      <w:ind w:firstLine="420" w:firstLineChars="200"/>
      <w:jc w:val="left"/>
    </w:pPr>
    <w:rPr>
      <w:rFonts w:ascii="Times" w:hAnsi="Times" w:eastAsia="宋体" w:cs="Times New Roman"/>
      <w:kern w:val="0"/>
      <w:sz w:val="20"/>
      <w:szCs w:val="20"/>
    </w:rPr>
  </w:style>
  <w:style w:type="paragraph" w:customStyle="1" w:styleId="83">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84">
    <w:name w:val="Char Char Char Char"/>
    <w:basedOn w:val="1"/>
    <w:qFormat/>
    <w:uiPriority w:val="0"/>
    <w:rPr>
      <w:rFonts w:ascii="Calibri" w:hAnsi="Calibri" w:eastAsia="Times New Roman" w:cs="Times New Roman"/>
      <w:kern w:val="0"/>
      <w:sz w:val="20"/>
      <w:szCs w:val="20"/>
    </w:rPr>
  </w:style>
  <w:style w:type="paragraph" w:customStyle="1" w:styleId="85">
    <w:name w:val="列出段落1"/>
    <w:basedOn w:val="1"/>
    <w:qFormat/>
    <w:uiPriority w:val="34"/>
    <w:pPr>
      <w:ind w:firstLine="420" w:firstLineChars="200"/>
    </w:pPr>
    <w:rPr>
      <w:rFonts w:ascii="等线" w:hAnsi="等线" w:eastAsia="等线" w:cs="Times New Roman"/>
    </w:rPr>
  </w:style>
  <w:style w:type="paragraph" w:customStyle="1" w:styleId="86">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列表段落1"/>
    <w:basedOn w:val="1"/>
    <w:link w:val="205"/>
    <w:qFormat/>
    <w:uiPriority w:val="34"/>
    <w:pPr>
      <w:ind w:firstLine="420" w:firstLineChars="200"/>
    </w:pPr>
    <w:rPr>
      <w:rFonts w:ascii="Calibri" w:hAnsi="Calibri" w:eastAsia="宋体" w:cs="Times New Roman"/>
    </w:rPr>
  </w:style>
  <w:style w:type="paragraph" w:customStyle="1" w:styleId="88">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90">
    <w:name w:val="TOC 标题1"/>
    <w:basedOn w:val="2"/>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9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号标题"/>
    <w:basedOn w:val="1"/>
    <w:qFormat/>
    <w:uiPriority w:val="0"/>
    <w:pPr>
      <w:widowControl/>
      <w:numPr>
        <w:ilvl w:val="0"/>
        <w:numId w:val="2"/>
      </w:numPr>
      <w:spacing w:line="360" w:lineRule="auto"/>
      <w:jc w:val="left"/>
    </w:pPr>
    <w:rPr>
      <w:rFonts w:ascii="Calibri" w:hAnsi="Calibri" w:eastAsia="宋体" w:cs="Times New Roman"/>
      <w:b/>
      <w:szCs w:val="24"/>
    </w:rPr>
  </w:style>
  <w:style w:type="paragraph" w:customStyle="1" w:styleId="96">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98">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99">
    <w:name w:val="Char1"/>
    <w:basedOn w:val="1"/>
    <w:qFormat/>
    <w:uiPriority w:val="0"/>
    <w:rPr>
      <w:rFonts w:ascii="Tahoma" w:hAnsi="Tahoma" w:eastAsia="宋体" w:cs="Times New Roman"/>
      <w:sz w:val="24"/>
    </w:rPr>
  </w:style>
  <w:style w:type="paragraph" w:customStyle="1" w:styleId="10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List Paragraph1"/>
    <w:basedOn w:val="1"/>
    <w:qFormat/>
    <w:uiPriority w:val="99"/>
    <w:pPr>
      <w:ind w:firstLine="420" w:firstLineChars="200"/>
    </w:pPr>
    <w:rPr>
      <w:rFonts w:ascii="Calibri" w:hAnsi="Calibri" w:eastAsia="宋体" w:cs="Times New Roman"/>
      <w:szCs w:val="21"/>
    </w:rPr>
  </w:style>
  <w:style w:type="paragraph" w:customStyle="1" w:styleId="102">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103">
    <w:name w:val="0h"/>
    <w:basedOn w:val="1"/>
    <w:link w:val="206"/>
    <w:qFormat/>
    <w:uiPriority w:val="99"/>
    <w:pPr>
      <w:spacing w:line="360" w:lineRule="auto"/>
      <w:ind w:firstLine="480" w:firstLineChars="200"/>
    </w:pPr>
    <w:rPr>
      <w:rFonts w:ascii="宋体" w:hAnsi="Times New Roman" w:eastAsia="宋体" w:cs="Times New Roman"/>
      <w:kern w:val="0"/>
      <w:sz w:val="24"/>
      <w:szCs w:val="24"/>
    </w:rPr>
  </w:style>
  <w:style w:type="paragraph" w:customStyle="1" w:styleId="104">
    <w:name w:val="p0"/>
    <w:basedOn w:val="1"/>
    <w:link w:val="207"/>
    <w:qFormat/>
    <w:uiPriority w:val="0"/>
    <w:pPr>
      <w:widowControl/>
    </w:pPr>
    <w:rPr>
      <w:rFonts w:ascii="Calibri" w:hAnsi="Calibri" w:eastAsia="宋体" w:cs="Times New Roman"/>
      <w:kern w:val="0"/>
      <w:szCs w:val="21"/>
    </w:rPr>
  </w:style>
  <w:style w:type="paragraph" w:customStyle="1" w:styleId="10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3">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4">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116">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7">
    <w:name w:val="font7"/>
    <w:basedOn w:val="1"/>
    <w:qFormat/>
    <w:uiPriority w:val="0"/>
    <w:pPr>
      <w:widowControl/>
      <w:spacing w:before="100" w:beforeAutospacing="1" w:after="100" w:afterAutospacing="1"/>
      <w:jc w:val="left"/>
    </w:pPr>
    <w:rPr>
      <w:rFonts w:ascii="楷体" w:hAnsi="楷体" w:eastAsia="楷体" w:cs="宋体"/>
      <w:color w:val="000000"/>
      <w:kern w:val="0"/>
      <w:sz w:val="24"/>
      <w:szCs w:val="24"/>
    </w:rPr>
  </w:style>
  <w:style w:type="paragraph" w:customStyle="1" w:styleId="11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9">
    <w:name w:val="List Paragraph_23798c66-ed1b-436f-b083-d3c6fb116711"/>
    <w:basedOn w:val="1"/>
    <w:qFormat/>
    <w:uiPriority w:val="34"/>
    <w:pPr>
      <w:ind w:firstLine="420" w:firstLineChars="200"/>
    </w:pPr>
    <w:rPr>
      <w:rFonts w:ascii="Calibri" w:hAnsi="Calibri" w:eastAsia="宋体" w:cs="Times New Roman"/>
    </w:rPr>
  </w:style>
  <w:style w:type="paragraph" w:customStyle="1" w:styleId="120">
    <w:name w:val="Body text|1"/>
    <w:basedOn w:val="1"/>
    <w:link w:val="209"/>
    <w:qFormat/>
    <w:uiPriority w:val="0"/>
    <w:pPr>
      <w:spacing w:line="480" w:lineRule="auto"/>
      <w:ind w:firstLine="400"/>
      <w:jc w:val="left"/>
    </w:pPr>
    <w:rPr>
      <w:rFonts w:ascii="宋体" w:hAnsi="宋体" w:eastAsia="宋体" w:cs="宋体"/>
      <w:kern w:val="0"/>
      <w:sz w:val="19"/>
      <w:szCs w:val="19"/>
      <w:lang w:val="zh-TW" w:eastAsia="zh-TW" w:bidi="zh-TW"/>
    </w:rPr>
  </w:style>
  <w:style w:type="paragraph" w:customStyle="1" w:styleId="1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2">
    <w:name w:val="*正文"/>
    <w:basedOn w:val="1"/>
    <w:qFormat/>
    <w:uiPriority w:val="0"/>
    <w:pPr>
      <w:spacing w:line="360" w:lineRule="auto"/>
    </w:pPr>
    <w:rPr>
      <w:rFonts w:ascii="Calibri" w:hAnsi="宋体" w:eastAsia="仿宋" w:cs="宋体"/>
      <w:kern w:val="0"/>
      <w:sz w:val="28"/>
      <w:szCs w:val="32"/>
    </w:rPr>
  </w:style>
  <w:style w:type="paragraph" w:customStyle="1" w:styleId="123">
    <w:name w:val="方案正文"/>
    <w:basedOn w:val="1"/>
    <w:qFormat/>
    <w:uiPriority w:val="0"/>
    <w:pPr>
      <w:ind w:firstLine="643" w:firstLineChars="200"/>
      <w:jc w:val="left"/>
    </w:pPr>
    <w:rPr>
      <w:rFonts w:ascii="仿宋_GB2312" w:hAnsi="仿宋" w:eastAsia="宋体" w:cs="仿宋"/>
      <w:sz w:val="28"/>
      <w:szCs w:val="32"/>
    </w:rPr>
  </w:style>
  <w:style w:type="paragraph" w:customStyle="1" w:styleId="124">
    <w:name w:val="玖3"/>
    <w:basedOn w:val="4"/>
    <w:next w:val="1"/>
    <w:qFormat/>
    <w:uiPriority w:val="0"/>
    <w:pPr>
      <w:tabs>
        <w:tab w:val="left" w:pos="360"/>
      </w:tabs>
      <w:adjustRightInd w:val="0"/>
      <w:spacing w:before="0" w:after="120" w:line="416" w:lineRule="atLeast"/>
      <w:ind w:left="480"/>
      <w:jc w:val="both"/>
      <w:textAlignment w:val="baseline"/>
    </w:pPr>
    <w:rPr>
      <w:rFonts w:ascii="微软雅黑" w:hAnsi="微软雅黑" w:eastAsia="微软雅黑" w:cs="Times"/>
      <w:szCs w:val="28"/>
    </w:rPr>
  </w:style>
  <w:style w:type="paragraph" w:customStyle="1" w:styleId="125">
    <w:name w:val="BodyText1I"/>
    <w:basedOn w:val="1"/>
    <w:qFormat/>
    <w:uiPriority w:val="0"/>
    <w:pPr>
      <w:widowControl/>
      <w:spacing w:before="156" w:line="360" w:lineRule="auto"/>
      <w:ind w:firstLine="200" w:firstLineChars="200"/>
      <w:textAlignment w:val="baseline"/>
    </w:pPr>
    <w:rPr>
      <w:rFonts w:ascii="仿宋_GB2312" w:hAnsi="Times New Roman" w:eastAsia="仿宋_GB2312" w:cs="Times New Roman"/>
      <w:sz w:val="30"/>
      <w:szCs w:val="30"/>
    </w:rPr>
  </w:style>
  <w:style w:type="paragraph" w:customStyle="1" w:styleId="126">
    <w:name w:val="样式 正文 + 首行缩进:  2 字符"/>
    <w:basedOn w:val="1"/>
    <w:qFormat/>
    <w:uiPriority w:val="0"/>
    <w:pPr>
      <w:keepNext/>
      <w:keepLines/>
      <w:ind w:firstLine="880"/>
    </w:pPr>
    <w:rPr>
      <w:rFonts w:ascii="宋体" w:hAnsi="宋体" w:eastAsia="仿宋" w:cs="宋体"/>
      <w:kern w:val="0"/>
    </w:rPr>
  </w:style>
  <w:style w:type="paragraph" w:customStyle="1" w:styleId="127">
    <w:name w:val="标题5"/>
    <w:basedOn w:val="4"/>
    <w:link w:val="213"/>
    <w:qFormat/>
    <w:uiPriority w:val="0"/>
    <w:pPr>
      <w:jc w:val="both"/>
    </w:pPr>
    <w:rPr>
      <w:rFonts w:ascii="Arial" w:hAnsi="Arial"/>
      <w:bCs/>
      <w:szCs w:val="32"/>
    </w:rPr>
  </w:style>
  <w:style w:type="paragraph" w:customStyle="1" w:styleId="128">
    <w:name w:val="标题4"/>
    <w:basedOn w:val="3"/>
    <w:next w:val="23"/>
    <w:link w:val="214"/>
    <w:qFormat/>
    <w:uiPriority w:val="0"/>
    <w:pPr>
      <w:jc w:val="both"/>
    </w:pPr>
    <w:rPr>
      <w:rFonts w:eastAsia="宋体"/>
      <w:bCs/>
      <w:sz w:val="24"/>
      <w:szCs w:val="32"/>
    </w:rPr>
  </w:style>
  <w:style w:type="paragraph" w:customStyle="1" w:styleId="129">
    <w:name w:val="Intense Quote"/>
    <w:basedOn w:val="1"/>
    <w:next w:val="1"/>
    <w:link w:val="216"/>
    <w:qFormat/>
    <w:uiPriority w:val="0"/>
    <w:pPr>
      <w:pBdr>
        <w:bottom w:val="single" w:color="4F81BD" w:sz="4" w:space="4"/>
      </w:pBdr>
      <w:spacing w:before="200" w:after="280"/>
      <w:ind w:left="936" w:right="936"/>
    </w:pPr>
    <w:rPr>
      <w:rFonts w:ascii="Times New Roman" w:hAnsi="Times New Roman" w:eastAsia="宋体" w:cs="Times New Roman"/>
      <w:b/>
      <w:bCs/>
      <w:i/>
      <w:iCs/>
      <w:color w:val="4F81BD"/>
    </w:rPr>
  </w:style>
  <w:style w:type="paragraph" w:customStyle="1" w:styleId="130">
    <w:name w:val="Quote"/>
    <w:basedOn w:val="1"/>
    <w:next w:val="1"/>
    <w:link w:val="228"/>
    <w:qFormat/>
    <w:uiPriority w:val="0"/>
    <w:rPr>
      <w:rFonts w:ascii="Times New Roman" w:hAnsi="Times New Roman" w:eastAsia="宋体" w:cs="Times New Roman"/>
      <w:i/>
      <w:iCs/>
      <w:color w:val="000000"/>
    </w:rPr>
  </w:style>
  <w:style w:type="paragraph" w:customStyle="1" w:styleId="131">
    <w:name w:val="样式 标题 3 + (中文) 黑体 小四 非加粗 段前: 7.8 磅 段后: 0 磅 行距: 固定值 20 磅"/>
    <w:basedOn w:val="4"/>
    <w:qFormat/>
    <w:uiPriority w:val="0"/>
    <w:pPr>
      <w:spacing w:before="0" w:after="0" w:line="400" w:lineRule="exact"/>
      <w:jc w:val="both"/>
    </w:pPr>
    <w:rPr>
      <w:rFonts w:ascii="Times New Roman" w:hAnsi="Times New Roman" w:eastAsia="黑体" w:cs="宋体"/>
      <w:b w:val="0"/>
      <w:kern w:val="2"/>
      <w:lang w:val="en-US" w:eastAsia="zh-CN"/>
    </w:rPr>
  </w:style>
  <w:style w:type="paragraph" w:customStyle="1" w:styleId="132">
    <w:name w:val="Revision"/>
    <w:qFormat/>
    <w:uiPriority w:val="0"/>
    <w:rPr>
      <w:rFonts w:ascii="Times New Roman" w:hAnsi="Times New Roman" w:eastAsia="宋体" w:cs="Times New Roman"/>
      <w:kern w:val="2"/>
      <w:sz w:val="21"/>
      <w:szCs w:val="24"/>
      <w:lang w:val="en-US" w:eastAsia="zh-CN" w:bidi="ar-SA"/>
    </w:rPr>
  </w:style>
  <w:style w:type="paragraph" w:customStyle="1" w:styleId="13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 w:val="0"/>
    </w:rPr>
  </w:style>
  <w:style w:type="paragraph" w:customStyle="1" w:styleId="134">
    <w:name w:val="TOC Heading"/>
    <w:basedOn w:val="2"/>
    <w:next w:val="1"/>
    <w:qFormat/>
    <w:uiPriority w:val="0"/>
    <w:pPr>
      <w:spacing w:line="576" w:lineRule="auto"/>
      <w:jc w:val="both"/>
      <w:outlineLvl w:val="9"/>
    </w:pPr>
    <w:rPr>
      <w:sz w:val="44"/>
    </w:rPr>
  </w:style>
  <w:style w:type="paragraph" w:customStyle="1" w:styleId="13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36">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7">
    <w:name w:val="正文_0"/>
    <w:next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8">
    <w:name w:val="表格文字2"/>
    <w:basedOn w:val="74"/>
    <w:qFormat/>
    <w:uiPriority w:val="99"/>
    <w:pPr>
      <w:spacing w:before="25" w:after="25"/>
      <w:jc w:val="left"/>
    </w:pPr>
    <w:rPr>
      <w:bCs/>
      <w:spacing w:val="10"/>
      <w:kern w:val="0"/>
    </w:rPr>
  </w:style>
  <w:style w:type="paragraph" w:customStyle="1" w:styleId="1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40">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141">
    <w:name w:val="日期_0"/>
    <w:basedOn w:val="96"/>
    <w:next w:val="96"/>
    <w:qFormat/>
    <w:uiPriority w:val="0"/>
    <w:pPr>
      <w:ind w:left="100" w:leftChars="2500"/>
    </w:pPr>
    <w:rPr>
      <w:rFonts w:ascii="Times New Roman" w:hAnsi="Times New Roman"/>
      <w:szCs w:val="24"/>
    </w:rPr>
  </w:style>
  <w:style w:type="paragraph" w:customStyle="1" w:styleId="142">
    <w:name w:val="Normal_4"/>
    <w:qFormat/>
    <w:uiPriority w:val="0"/>
    <w:rPr>
      <w:rFonts w:ascii="黑体" w:hAnsi="黑体" w:eastAsia="黑体" w:cs="Times New Roman"/>
      <w:b/>
      <w:sz w:val="32"/>
      <w:szCs w:val="24"/>
      <w:lang w:val="en-US" w:eastAsia="zh-CN" w:bidi="ar-SA"/>
    </w:rPr>
  </w:style>
  <w:style w:type="paragraph" w:customStyle="1" w:styleId="14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4_0"/>
    <w:next w:val="145"/>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5">
    <w:name w:val="正文首行缩进 2_4_1"/>
    <w:basedOn w:val="146"/>
    <w:qFormat/>
    <w:uiPriority w:val="99"/>
    <w:pPr>
      <w:ind w:firstLine="420" w:firstLineChars="200"/>
    </w:pPr>
  </w:style>
  <w:style w:type="paragraph" w:customStyle="1" w:styleId="146">
    <w:name w:val="正文文本缩进_4_1"/>
    <w:basedOn w:val="144"/>
    <w:qFormat/>
    <w:uiPriority w:val="99"/>
    <w:pPr>
      <w:spacing w:after="120"/>
      <w:ind w:left="420" w:leftChars="200"/>
    </w:pPr>
  </w:style>
  <w:style w:type="paragraph" w:customStyle="1" w:styleId="14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48">
    <w:name w:val="正文缩进1"/>
    <w:basedOn w:val="1"/>
    <w:qFormat/>
    <w:uiPriority w:val="99"/>
    <w:pPr>
      <w:ind w:firstLine="420"/>
    </w:pPr>
    <w:rPr>
      <w:rFonts w:ascii="Times New Roman" w:hAnsi="Times New Roman"/>
      <w:szCs w:val="20"/>
    </w:rPr>
  </w:style>
  <w:style w:type="paragraph" w:customStyle="1" w:styleId="149">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0">
    <w:name w:val="标题 1 Char"/>
    <w:basedOn w:val="51"/>
    <w:link w:val="2"/>
    <w:qFormat/>
    <w:uiPriority w:val="0"/>
    <w:rPr>
      <w:b/>
      <w:bCs/>
      <w:kern w:val="44"/>
      <w:sz w:val="44"/>
      <w:szCs w:val="44"/>
    </w:rPr>
  </w:style>
  <w:style w:type="character" w:customStyle="1" w:styleId="151">
    <w:name w:val="标题 2 Char"/>
    <w:basedOn w:val="51"/>
    <w:link w:val="3"/>
    <w:qFormat/>
    <w:uiPriority w:val="0"/>
    <w:rPr>
      <w:rFonts w:ascii="Arial" w:hAnsi="Arial" w:eastAsia="黑体" w:cs="Times New Roman"/>
      <w:b/>
      <w:kern w:val="0"/>
      <w:sz w:val="28"/>
      <w:szCs w:val="20"/>
    </w:rPr>
  </w:style>
  <w:style w:type="character" w:customStyle="1" w:styleId="152">
    <w:name w:val="标题 4 Char"/>
    <w:basedOn w:val="51"/>
    <w:link w:val="5"/>
    <w:qFormat/>
    <w:uiPriority w:val="0"/>
    <w:rPr>
      <w:rFonts w:ascii="Calibri Light" w:hAnsi="Calibri Light" w:eastAsia="宋体" w:cs="Times New Roman"/>
      <w:b/>
      <w:bCs/>
      <w:kern w:val="0"/>
      <w:sz w:val="24"/>
      <w:szCs w:val="28"/>
    </w:rPr>
  </w:style>
  <w:style w:type="character" w:customStyle="1" w:styleId="153">
    <w:name w:val="标题 6 Char"/>
    <w:basedOn w:val="51"/>
    <w:link w:val="7"/>
    <w:qFormat/>
    <w:uiPriority w:val="0"/>
    <w:rPr>
      <w:rFonts w:ascii="Calibri Light" w:hAnsi="Calibri Light" w:eastAsia="宋体" w:cs="Times New Roman"/>
      <w:b/>
      <w:bCs/>
      <w:kern w:val="0"/>
      <w:sz w:val="24"/>
      <w:szCs w:val="24"/>
    </w:rPr>
  </w:style>
  <w:style w:type="character" w:customStyle="1" w:styleId="154">
    <w:name w:val="标题 7 Char"/>
    <w:basedOn w:val="51"/>
    <w:link w:val="8"/>
    <w:qFormat/>
    <w:uiPriority w:val="0"/>
    <w:rPr>
      <w:rFonts w:ascii="Calibri" w:hAnsi="Calibri" w:eastAsia="宋体" w:cs="Times New Roman"/>
      <w:b/>
      <w:bCs/>
      <w:kern w:val="0"/>
      <w:sz w:val="24"/>
      <w:szCs w:val="24"/>
    </w:rPr>
  </w:style>
  <w:style w:type="character" w:customStyle="1" w:styleId="155">
    <w:name w:val="标题 8 Char"/>
    <w:basedOn w:val="51"/>
    <w:link w:val="9"/>
    <w:qFormat/>
    <w:uiPriority w:val="0"/>
    <w:rPr>
      <w:rFonts w:ascii="Calibri Light" w:hAnsi="Calibri Light" w:eastAsia="宋体" w:cs="Times New Roman"/>
      <w:kern w:val="0"/>
      <w:sz w:val="24"/>
      <w:szCs w:val="24"/>
    </w:rPr>
  </w:style>
  <w:style w:type="character" w:customStyle="1" w:styleId="156">
    <w:name w:val="文档结构图 Char"/>
    <w:basedOn w:val="51"/>
    <w:link w:val="16"/>
    <w:qFormat/>
    <w:uiPriority w:val="0"/>
    <w:rPr>
      <w:rFonts w:ascii="宋体" w:hAnsi="Calibri" w:eastAsia="宋体" w:cs="Times New Roman"/>
      <w:sz w:val="18"/>
      <w:szCs w:val="18"/>
    </w:rPr>
  </w:style>
  <w:style w:type="character" w:customStyle="1" w:styleId="157">
    <w:name w:val="批注文字 Char"/>
    <w:basedOn w:val="51"/>
    <w:link w:val="18"/>
    <w:qFormat/>
    <w:uiPriority w:val="0"/>
    <w:rPr>
      <w:rFonts w:ascii="Calibri" w:hAnsi="Calibri" w:eastAsia="宋体" w:cs="Times New Roman"/>
      <w:kern w:val="0"/>
      <w:sz w:val="20"/>
      <w:szCs w:val="20"/>
    </w:rPr>
  </w:style>
  <w:style w:type="character" w:customStyle="1" w:styleId="158">
    <w:name w:val="正文文本 Char"/>
    <w:basedOn w:val="51"/>
    <w:link w:val="20"/>
    <w:qFormat/>
    <w:uiPriority w:val="0"/>
    <w:rPr>
      <w:rFonts w:ascii="Times New Roman" w:hAnsi="Times New Roman" w:eastAsia="宋体" w:cs="Times New Roman"/>
      <w:szCs w:val="24"/>
    </w:rPr>
  </w:style>
  <w:style w:type="character" w:customStyle="1" w:styleId="159">
    <w:name w:val="正文文本缩进 Char"/>
    <w:basedOn w:val="51"/>
    <w:link w:val="22"/>
    <w:qFormat/>
    <w:uiPriority w:val="0"/>
    <w:rPr>
      <w:rFonts w:ascii="仿宋_GB2312" w:hAnsi="华文中宋" w:eastAsia="仿宋_GB2312" w:cs="Times New Roman"/>
      <w:bCs/>
      <w:color w:val="000000"/>
      <w:spacing w:val="-10"/>
      <w:sz w:val="24"/>
      <w:szCs w:val="24"/>
    </w:rPr>
  </w:style>
  <w:style w:type="character" w:customStyle="1" w:styleId="160">
    <w:name w:val="纯文本 Char"/>
    <w:basedOn w:val="51"/>
    <w:link w:val="26"/>
    <w:qFormat/>
    <w:uiPriority w:val="99"/>
    <w:rPr>
      <w:rFonts w:ascii="宋体" w:hAnsi="Courier New" w:eastAsia="宋体" w:cs="Times New Roman"/>
      <w:kern w:val="0"/>
      <w:sz w:val="20"/>
      <w:szCs w:val="21"/>
    </w:rPr>
  </w:style>
  <w:style w:type="character" w:customStyle="1" w:styleId="161">
    <w:name w:val="日期 Char"/>
    <w:basedOn w:val="51"/>
    <w:link w:val="28"/>
    <w:qFormat/>
    <w:uiPriority w:val="0"/>
    <w:rPr>
      <w:rFonts w:ascii="Calibri" w:hAnsi="Calibri" w:eastAsia="宋体" w:cs="Times New Roman"/>
    </w:rPr>
  </w:style>
  <w:style w:type="character" w:customStyle="1" w:styleId="162">
    <w:name w:val="正文文本缩进 2 Char"/>
    <w:basedOn w:val="51"/>
    <w:link w:val="29"/>
    <w:qFormat/>
    <w:uiPriority w:val="0"/>
    <w:rPr>
      <w:rFonts w:ascii="宋体" w:hAnsi="宋体" w:eastAsia="宋体" w:cs="Times New Roman"/>
      <w:sz w:val="30"/>
      <w:szCs w:val="24"/>
    </w:rPr>
  </w:style>
  <w:style w:type="character" w:customStyle="1" w:styleId="163">
    <w:name w:val="批注框文本 Char"/>
    <w:basedOn w:val="51"/>
    <w:link w:val="30"/>
    <w:qFormat/>
    <w:uiPriority w:val="0"/>
    <w:rPr>
      <w:sz w:val="18"/>
      <w:szCs w:val="18"/>
    </w:rPr>
  </w:style>
  <w:style w:type="character" w:customStyle="1" w:styleId="164">
    <w:name w:val="页脚 Char"/>
    <w:basedOn w:val="51"/>
    <w:link w:val="31"/>
    <w:qFormat/>
    <w:uiPriority w:val="0"/>
    <w:rPr>
      <w:rFonts w:ascii="Times New Roman" w:hAnsi="Times New Roman" w:eastAsia="宋体" w:cs="Times New Roman"/>
      <w:kern w:val="0"/>
      <w:sz w:val="18"/>
      <w:szCs w:val="18"/>
    </w:rPr>
  </w:style>
  <w:style w:type="character" w:customStyle="1" w:styleId="165">
    <w:name w:val="页眉 Char"/>
    <w:basedOn w:val="51"/>
    <w:link w:val="32"/>
    <w:qFormat/>
    <w:uiPriority w:val="0"/>
    <w:rPr>
      <w:rFonts w:ascii="Times New Roman" w:hAnsi="Times New Roman" w:eastAsia="宋体" w:cs="Times New Roman"/>
      <w:kern w:val="0"/>
      <w:sz w:val="18"/>
      <w:szCs w:val="18"/>
    </w:rPr>
  </w:style>
  <w:style w:type="character" w:customStyle="1" w:styleId="166">
    <w:name w:val="批注主题 Char"/>
    <w:basedOn w:val="157"/>
    <w:link w:val="46"/>
    <w:qFormat/>
    <w:uiPriority w:val="0"/>
    <w:rPr>
      <w:b/>
      <w:bCs/>
    </w:rPr>
  </w:style>
  <w:style w:type="character" w:customStyle="1" w:styleId="167">
    <w:name w:val="正文首行缩进 Char"/>
    <w:basedOn w:val="158"/>
    <w:link w:val="47"/>
    <w:qFormat/>
    <w:uiPriority w:val="0"/>
  </w:style>
  <w:style w:type="character" w:customStyle="1" w:styleId="168">
    <w:name w:val="正文首行缩进 2 Char"/>
    <w:basedOn w:val="159"/>
    <w:link w:val="48"/>
    <w:qFormat/>
    <w:uiPriority w:val="0"/>
  </w:style>
  <w:style w:type="character" w:customStyle="1" w:styleId="169">
    <w:name w:val="标题 1 Char1"/>
    <w:link w:val="2"/>
    <w:qFormat/>
    <w:uiPriority w:val="0"/>
    <w:rPr>
      <w:rFonts w:ascii="Calibri" w:hAnsi="Calibri" w:eastAsia="宋体" w:cs="Times New Roman"/>
      <w:b/>
      <w:bCs/>
      <w:kern w:val="44"/>
      <w:sz w:val="28"/>
      <w:szCs w:val="44"/>
    </w:rPr>
  </w:style>
  <w:style w:type="character" w:customStyle="1" w:styleId="170">
    <w:name w:val="批注框文本 Char1"/>
    <w:link w:val="30"/>
    <w:qFormat/>
    <w:uiPriority w:val="0"/>
    <w:rPr>
      <w:rFonts w:ascii="Calibri" w:hAnsi="Calibri" w:eastAsia="宋体" w:cs="Times New Roman"/>
      <w:kern w:val="0"/>
      <w:sz w:val="18"/>
      <w:szCs w:val="18"/>
    </w:rPr>
  </w:style>
  <w:style w:type="character" w:customStyle="1" w:styleId="171">
    <w:name w:val="正文首行缩进 Char1"/>
    <w:link w:val="47"/>
    <w:qFormat/>
    <w:uiPriority w:val="0"/>
    <w:rPr>
      <w:rFonts w:ascii="Times New Roman" w:hAnsi="Times New Roman" w:eastAsia="宋体" w:cs="Times New Roman"/>
      <w:szCs w:val="24"/>
    </w:rPr>
  </w:style>
  <w:style w:type="character" w:customStyle="1" w:styleId="172">
    <w:name w:val="Default Text Char"/>
    <w:link w:val="62"/>
    <w:qFormat/>
    <w:uiPriority w:val="0"/>
    <w:rPr>
      <w:rFonts w:ascii="Calibri" w:hAnsi="Calibri" w:cs="宋体"/>
      <w:color w:val="000000"/>
      <w:sz w:val="24"/>
    </w:rPr>
  </w:style>
  <w:style w:type="character" w:customStyle="1" w:styleId="173">
    <w:name w:val="bookmark-item"/>
    <w:qFormat/>
    <w:uiPriority w:val="0"/>
  </w:style>
  <w:style w:type="character" w:customStyle="1" w:styleId="174">
    <w:name w:val="font51"/>
    <w:qFormat/>
    <w:uiPriority w:val="0"/>
    <w:rPr>
      <w:rFonts w:hint="default" w:ascii="Calibri" w:hAnsi="Calibri" w:cs="Calibri"/>
      <w:color w:val="000000"/>
      <w:sz w:val="21"/>
      <w:szCs w:val="21"/>
      <w:u w:val="none"/>
    </w:rPr>
  </w:style>
  <w:style w:type="character" w:customStyle="1" w:styleId="175">
    <w:name w:val="NormalCharacter"/>
    <w:qFormat/>
    <w:uiPriority w:val="0"/>
  </w:style>
  <w:style w:type="character" w:customStyle="1" w:styleId="176">
    <w:name w:val="font11"/>
    <w:qFormat/>
    <w:uiPriority w:val="99"/>
    <w:rPr>
      <w:rFonts w:ascii="Arial" w:hAnsi="Arial" w:cs="Arial"/>
      <w:color w:val="000000"/>
      <w:sz w:val="24"/>
      <w:szCs w:val="24"/>
      <w:u w:val="single"/>
    </w:rPr>
  </w:style>
  <w:style w:type="character" w:customStyle="1" w:styleId="177">
    <w:name w:val="font41"/>
    <w:basedOn w:val="51"/>
    <w:qFormat/>
    <w:uiPriority w:val="0"/>
    <w:rPr>
      <w:rFonts w:hint="eastAsia" w:ascii="宋体" w:hAnsi="宋体" w:eastAsia="宋体" w:cs="宋体"/>
      <w:color w:val="000000"/>
      <w:sz w:val="24"/>
      <w:szCs w:val="24"/>
      <w:u w:val="none"/>
    </w:rPr>
  </w:style>
  <w:style w:type="character" w:customStyle="1" w:styleId="178">
    <w:name w:val="dbvalue"/>
    <w:qFormat/>
    <w:uiPriority w:val="0"/>
  </w:style>
  <w:style w:type="character" w:customStyle="1" w:styleId="179">
    <w:name w:val="head 1.1 Char"/>
    <w:link w:val="70"/>
    <w:qFormat/>
    <w:uiPriority w:val="0"/>
    <w:rPr>
      <w:rFonts w:ascii="宋体" w:hAnsi="宋体"/>
      <w:bCs/>
      <w:szCs w:val="24"/>
    </w:rPr>
  </w:style>
  <w:style w:type="character" w:customStyle="1" w:styleId="180">
    <w:name w:val="font81"/>
    <w:qFormat/>
    <w:uiPriority w:val="0"/>
    <w:rPr>
      <w:rFonts w:hint="default" w:ascii="Times New Roman" w:hAnsi="Times New Roman" w:cs="Times New Roman"/>
      <w:color w:val="000000"/>
      <w:sz w:val="21"/>
      <w:szCs w:val="21"/>
      <w:u w:val="none"/>
    </w:rPr>
  </w:style>
  <w:style w:type="character" w:customStyle="1" w:styleId="181">
    <w:name w:val="font91"/>
    <w:qFormat/>
    <w:uiPriority w:val="0"/>
    <w:rPr>
      <w:rFonts w:hint="eastAsia" w:ascii="宋体" w:hAnsi="宋体" w:eastAsia="宋体" w:cs="宋体"/>
      <w:color w:val="000000"/>
      <w:sz w:val="24"/>
      <w:szCs w:val="24"/>
      <w:u w:val="single"/>
    </w:rPr>
  </w:style>
  <w:style w:type="character" w:customStyle="1" w:styleId="182">
    <w:name w:val="font101"/>
    <w:qFormat/>
    <w:uiPriority w:val="0"/>
    <w:rPr>
      <w:rFonts w:hint="eastAsia" w:ascii="楷体_GB2312" w:eastAsia="楷体_GB2312" w:cs="楷体_GB2312"/>
      <w:color w:val="000000"/>
      <w:sz w:val="24"/>
      <w:szCs w:val="24"/>
      <w:u w:val="single"/>
    </w:rPr>
  </w:style>
  <w:style w:type="character" w:customStyle="1" w:styleId="183">
    <w:name w:val="font112"/>
    <w:qFormat/>
    <w:uiPriority w:val="0"/>
    <w:rPr>
      <w:rFonts w:hint="eastAsia" w:ascii="宋体" w:hAnsi="宋体" w:eastAsia="宋体" w:cs="宋体"/>
      <w:color w:val="000000"/>
      <w:sz w:val="21"/>
      <w:szCs w:val="21"/>
      <w:u w:val="none"/>
    </w:rPr>
  </w:style>
  <w:style w:type="character" w:customStyle="1" w:styleId="184">
    <w:name w:val="正文文本 字符1"/>
    <w:qFormat/>
    <w:uiPriority w:val="0"/>
    <w:rPr>
      <w:kern w:val="2"/>
      <w:sz w:val="21"/>
      <w:szCs w:val="24"/>
    </w:rPr>
  </w:style>
  <w:style w:type="character" w:customStyle="1" w:styleId="185">
    <w:name w:val="font121"/>
    <w:qFormat/>
    <w:uiPriority w:val="0"/>
    <w:rPr>
      <w:rFonts w:hint="eastAsia" w:ascii="宋体" w:hAnsi="宋体" w:eastAsia="宋体" w:cs="宋体"/>
      <w:color w:val="000000"/>
      <w:sz w:val="21"/>
      <w:szCs w:val="21"/>
      <w:u w:val="none"/>
    </w:rPr>
  </w:style>
  <w:style w:type="character" w:customStyle="1" w:styleId="186">
    <w:name w:val="font71"/>
    <w:qFormat/>
    <w:uiPriority w:val="0"/>
    <w:rPr>
      <w:rFonts w:hint="eastAsia" w:ascii="仿宋" w:hAnsi="仿宋" w:eastAsia="仿宋" w:cs="仿宋"/>
      <w:color w:val="000000"/>
      <w:sz w:val="21"/>
      <w:szCs w:val="21"/>
      <w:u w:val="none"/>
    </w:rPr>
  </w:style>
  <w:style w:type="character" w:customStyle="1" w:styleId="187">
    <w:name w:val="font131"/>
    <w:qFormat/>
    <w:uiPriority w:val="0"/>
    <w:rPr>
      <w:rFonts w:hint="default" w:ascii="Calibri" w:hAnsi="Calibri" w:cs="Calibri"/>
      <w:color w:val="000000"/>
      <w:sz w:val="21"/>
      <w:szCs w:val="21"/>
      <w:u w:val="none"/>
    </w:rPr>
  </w:style>
  <w:style w:type="character" w:customStyle="1" w:styleId="188">
    <w:name w:val="未处理的提及1"/>
    <w:unhideWhenUsed/>
    <w:qFormat/>
    <w:uiPriority w:val="99"/>
    <w:rPr>
      <w:color w:val="605E5C"/>
      <w:shd w:val="clear" w:color="auto" w:fill="E1DFDD"/>
    </w:rPr>
  </w:style>
  <w:style w:type="character" w:customStyle="1" w:styleId="189">
    <w:name w:val="font61"/>
    <w:qFormat/>
    <w:uiPriority w:val="0"/>
    <w:rPr>
      <w:rFonts w:hint="eastAsia" w:ascii="仿宋" w:hAnsi="仿宋" w:eastAsia="仿宋" w:cs="仿宋"/>
      <w:color w:val="000000"/>
      <w:sz w:val="21"/>
      <w:szCs w:val="21"/>
      <w:u w:val="none"/>
    </w:rPr>
  </w:style>
  <w:style w:type="character" w:customStyle="1" w:styleId="190">
    <w:name w:val="font31"/>
    <w:basedOn w:val="51"/>
    <w:qFormat/>
    <w:uiPriority w:val="0"/>
    <w:rPr>
      <w:rFonts w:hint="default" w:ascii="Calibri" w:hAnsi="Calibri" w:cs="Calibri"/>
      <w:color w:val="000000"/>
      <w:sz w:val="24"/>
      <w:szCs w:val="24"/>
      <w:u w:val="none"/>
    </w:rPr>
  </w:style>
  <w:style w:type="character" w:customStyle="1" w:styleId="191">
    <w:name w:val="head 1.1.1 Char"/>
    <w:link w:val="71"/>
    <w:qFormat/>
    <w:uiPriority w:val="0"/>
    <w:rPr>
      <w:bCs/>
      <w:szCs w:val="24"/>
    </w:rPr>
  </w:style>
  <w:style w:type="character" w:customStyle="1" w:styleId="192">
    <w:name w:val="font151"/>
    <w:qFormat/>
    <w:uiPriority w:val="0"/>
    <w:rPr>
      <w:rFonts w:hint="default" w:ascii="Calibri" w:hAnsi="Calibri" w:cs="Calibri"/>
      <w:color w:val="000000"/>
      <w:sz w:val="21"/>
      <w:szCs w:val="21"/>
      <w:u w:val="none"/>
    </w:rPr>
  </w:style>
  <w:style w:type="character" w:customStyle="1" w:styleId="193">
    <w:name w:val="font21"/>
    <w:qFormat/>
    <w:uiPriority w:val="0"/>
    <w:rPr>
      <w:rFonts w:hint="default" w:ascii="Calibri" w:hAnsi="Calibri" w:cs="Calibri"/>
      <w:color w:val="000000"/>
      <w:sz w:val="24"/>
      <w:szCs w:val="24"/>
      <w:u w:val="single"/>
    </w:rPr>
  </w:style>
  <w:style w:type="character" w:customStyle="1" w:styleId="194">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95">
    <w:name w:val="fontstyle01"/>
    <w:qFormat/>
    <w:uiPriority w:val="0"/>
    <w:rPr>
      <w:rFonts w:ascii="宋体" w:hAnsi="宋体" w:eastAsia="宋体" w:cs="宋体"/>
      <w:color w:val="000000"/>
      <w:sz w:val="22"/>
      <w:szCs w:val="22"/>
    </w:rPr>
  </w:style>
  <w:style w:type="character" w:customStyle="1" w:styleId="196">
    <w:name w:val="fgray1"/>
    <w:qFormat/>
    <w:uiPriority w:val="0"/>
    <w:rPr>
      <w:color w:val="666666"/>
    </w:rPr>
  </w:style>
  <w:style w:type="character" w:customStyle="1" w:styleId="197">
    <w:name w:val="正文首行缩进 字符1"/>
    <w:semiHidden/>
    <w:qFormat/>
    <w:uiPriority w:val="99"/>
    <w:rPr>
      <w:rFonts w:ascii="Times New Roman" w:hAnsi="Times New Roman"/>
      <w:kern w:val="2"/>
      <w:sz w:val="21"/>
      <w:szCs w:val="22"/>
    </w:rPr>
  </w:style>
  <w:style w:type="character" w:customStyle="1" w:styleId="198">
    <w:name w:val="正文文本缩进 字符2"/>
    <w:semiHidden/>
    <w:qFormat/>
    <w:uiPriority w:val="99"/>
    <w:rPr>
      <w:kern w:val="2"/>
      <w:sz w:val="21"/>
      <w:szCs w:val="22"/>
    </w:rPr>
  </w:style>
  <w:style w:type="character" w:customStyle="1" w:styleId="199">
    <w:name w:val="param-name"/>
    <w:qFormat/>
    <w:uiPriority w:val="0"/>
  </w:style>
  <w:style w:type="character" w:customStyle="1" w:styleId="200">
    <w:name w:val="apple-converted-space"/>
    <w:qFormat/>
    <w:uiPriority w:val="0"/>
  </w:style>
  <w:style w:type="character" w:customStyle="1" w:styleId="201">
    <w:name w:val="font01"/>
    <w:basedOn w:val="51"/>
    <w:qFormat/>
    <w:uiPriority w:val="0"/>
    <w:rPr>
      <w:rFonts w:ascii="Times New Roman" w:hAnsi="Times New Roman" w:cs="Times New Roman"/>
      <w:color w:val="000000"/>
      <w:sz w:val="24"/>
      <w:szCs w:val="24"/>
      <w:u w:val="none"/>
    </w:rPr>
  </w:style>
  <w:style w:type="character" w:customStyle="1" w:styleId="202">
    <w:name w:val="正文文本 2 Char"/>
    <w:basedOn w:val="51"/>
    <w:link w:val="43"/>
    <w:qFormat/>
    <w:uiPriority w:val="99"/>
    <w:rPr>
      <w:rFonts w:ascii="Calibri" w:hAnsi="Calibri"/>
      <w:kern w:val="2"/>
      <w:sz w:val="21"/>
      <w:szCs w:val="22"/>
    </w:rPr>
  </w:style>
  <w:style w:type="character" w:customStyle="1" w:styleId="203">
    <w:name w:val="HTML 预设格式 Char"/>
    <w:basedOn w:val="51"/>
    <w:link w:val="44"/>
    <w:qFormat/>
    <w:uiPriority w:val="0"/>
    <w:rPr>
      <w:rFonts w:ascii="宋体" w:hAnsi="宋体"/>
      <w:sz w:val="24"/>
      <w:szCs w:val="24"/>
    </w:rPr>
  </w:style>
  <w:style w:type="character" w:customStyle="1" w:styleId="204">
    <w:name w:val="普通(网站) Char"/>
    <w:link w:val="15"/>
    <w:qFormat/>
    <w:locked/>
    <w:uiPriority w:val="99"/>
    <w:rPr>
      <w:rFonts w:ascii="宋体" w:hAnsi="宋体" w:cs="宋体"/>
      <w:sz w:val="24"/>
      <w:szCs w:val="24"/>
    </w:rPr>
  </w:style>
  <w:style w:type="character" w:customStyle="1" w:styleId="205">
    <w:name w:val="列表段落 字符"/>
    <w:link w:val="87"/>
    <w:qFormat/>
    <w:uiPriority w:val="34"/>
    <w:rPr>
      <w:rFonts w:ascii="Calibri" w:hAnsi="Calibri"/>
      <w:kern w:val="2"/>
      <w:sz w:val="21"/>
      <w:szCs w:val="22"/>
    </w:rPr>
  </w:style>
  <w:style w:type="character" w:customStyle="1" w:styleId="206">
    <w:name w:val="0h Char"/>
    <w:basedOn w:val="51"/>
    <w:link w:val="103"/>
    <w:qFormat/>
    <w:locked/>
    <w:uiPriority w:val="99"/>
    <w:rPr>
      <w:rFonts w:ascii="宋体"/>
      <w:sz w:val="24"/>
      <w:szCs w:val="24"/>
    </w:rPr>
  </w:style>
  <w:style w:type="character" w:customStyle="1" w:styleId="207">
    <w:name w:val="p0 Char"/>
    <w:link w:val="104"/>
    <w:qFormat/>
    <w:uiPriority w:val="0"/>
    <w:rPr>
      <w:rFonts w:ascii="Calibri" w:hAnsi="Calibri"/>
      <w:sz w:val="21"/>
      <w:szCs w:val="21"/>
    </w:rPr>
  </w:style>
  <w:style w:type="character" w:customStyle="1" w:styleId="208">
    <w:name w:val="纯文本 Char1"/>
    <w:basedOn w:val="51"/>
    <w:semiHidden/>
    <w:qFormat/>
    <w:locked/>
    <w:uiPriority w:val="99"/>
    <w:rPr>
      <w:rFonts w:ascii="宋体" w:hAnsi="Courier New" w:eastAsia="宋体" w:cs="Courier New"/>
      <w:kern w:val="0"/>
      <w:sz w:val="20"/>
      <w:szCs w:val="21"/>
    </w:rPr>
  </w:style>
  <w:style w:type="character" w:customStyle="1" w:styleId="209">
    <w:name w:val="Body text|1_"/>
    <w:basedOn w:val="51"/>
    <w:link w:val="120"/>
    <w:qFormat/>
    <w:uiPriority w:val="0"/>
    <w:rPr>
      <w:rFonts w:ascii="宋体" w:hAnsi="宋体" w:cs="宋体"/>
      <w:sz w:val="19"/>
      <w:szCs w:val="19"/>
      <w:lang w:val="zh-TW" w:eastAsia="zh-TW" w:bidi="zh-TW"/>
    </w:rPr>
  </w:style>
  <w:style w:type="character" w:customStyle="1" w:styleId="210">
    <w:name w:val="标题 9 Char"/>
    <w:basedOn w:val="51"/>
    <w:link w:val="10"/>
    <w:qFormat/>
    <w:uiPriority w:val="0"/>
    <w:rPr>
      <w:rFonts w:ascii="Cambria" w:hAnsi="Cambria"/>
      <w:kern w:val="2"/>
      <w:sz w:val="21"/>
      <w:szCs w:val="21"/>
    </w:rPr>
  </w:style>
  <w:style w:type="character" w:customStyle="1" w:styleId="211">
    <w:name w:val="副标题 Char"/>
    <w:basedOn w:val="51"/>
    <w:link w:val="35"/>
    <w:qFormat/>
    <w:uiPriority w:val="0"/>
    <w:rPr>
      <w:rFonts w:ascii="Cambria" w:hAnsi="Cambria"/>
      <w:b/>
      <w:bCs/>
      <w:kern w:val="28"/>
      <w:sz w:val="32"/>
      <w:szCs w:val="32"/>
    </w:rPr>
  </w:style>
  <w:style w:type="character" w:customStyle="1" w:styleId="212">
    <w:name w:val="标题 Char"/>
    <w:basedOn w:val="51"/>
    <w:link w:val="45"/>
    <w:qFormat/>
    <w:uiPriority w:val="0"/>
    <w:rPr>
      <w:rFonts w:ascii="Cambria" w:hAnsi="Cambria"/>
      <w:b/>
      <w:bCs/>
      <w:kern w:val="2"/>
      <w:sz w:val="32"/>
      <w:szCs w:val="32"/>
    </w:rPr>
  </w:style>
  <w:style w:type="character" w:customStyle="1" w:styleId="213">
    <w:name w:val="标题5 Char Char"/>
    <w:link w:val="127"/>
    <w:qFormat/>
    <w:uiPriority w:val="0"/>
    <w:rPr>
      <w:rFonts w:ascii="Arial" w:hAnsi="Arial"/>
      <w:b/>
      <w:bCs/>
      <w:sz w:val="24"/>
      <w:szCs w:val="32"/>
    </w:rPr>
  </w:style>
  <w:style w:type="character" w:customStyle="1" w:styleId="214">
    <w:name w:val="标题4 Char Char"/>
    <w:link w:val="128"/>
    <w:qFormat/>
    <w:uiPriority w:val="0"/>
    <w:rPr>
      <w:rFonts w:ascii="Arial" w:hAnsi="Arial"/>
      <w:b/>
      <w:bCs/>
      <w:sz w:val="24"/>
      <w:szCs w:val="32"/>
    </w:rPr>
  </w:style>
  <w:style w:type="character" w:customStyle="1" w:styleId="215">
    <w:name w:val="明显引用 Char"/>
    <w:qFormat/>
    <w:uiPriority w:val="0"/>
    <w:rPr>
      <w:b/>
      <w:bCs/>
      <w:i/>
      <w:iCs/>
      <w:color w:val="4F81BD"/>
      <w:kern w:val="2"/>
      <w:sz w:val="21"/>
      <w:szCs w:val="22"/>
    </w:rPr>
  </w:style>
  <w:style w:type="character" w:customStyle="1" w:styleId="216">
    <w:name w:val="明显引用 Char1"/>
    <w:basedOn w:val="51"/>
    <w:link w:val="129"/>
    <w:semiHidden/>
    <w:qFormat/>
    <w:uiPriority w:val="99"/>
    <w:rPr>
      <w:rFonts w:ascii="Calibri" w:hAnsi="Calibri" w:eastAsia="宋体" w:cs="黑体"/>
      <w:b/>
      <w:bCs/>
      <w:i/>
      <w:iCs/>
      <w:color w:val="4F81BD"/>
      <w:kern w:val="2"/>
      <w:sz w:val="21"/>
      <w:szCs w:val="22"/>
    </w:rPr>
  </w:style>
  <w:style w:type="character" w:customStyle="1" w:styleId="217">
    <w:name w:val="Intense Reference"/>
    <w:qFormat/>
    <w:uiPriority w:val="0"/>
    <w:rPr>
      <w:b/>
      <w:bCs/>
      <w:smallCaps/>
      <w:color w:val="C0504D"/>
      <w:spacing w:val="5"/>
      <w:u w:val="single"/>
    </w:rPr>
  </w:style>
  <w:style w:type="character" w:customStyle="1" w:styleId="218">
    <w:name w:val="日期 Char1"/>
    <w:qFormat/>
    <w:uiPriority w:val="0"/>
    <w:rPr>
      <w:kern w:val="2"/>
      <w:sz w:val="21"/>
      <w:szCs w:val="22"/>
    </w:rPr>
  </w:style>
  <w:style w:type="character" w:customStyle="1" w:styleId="219">
    <w:name w:val="Book Title"/>
    <w:qFormat/>
    <w:uiPriority w:val="0"/>
    <w:rPr>
      <w:b/>
      <w:bCs/>
      <w:smallCaps/>
      <w:spacing w:val="5"/>
    </w:rPr>
  </w:style>
  <w:style w:type="character" w:customStyle="1" w:styleId="220">
    <w:name w:val="正文文本 Char1"/>
    <w:qFormat/>
    <w:uiPriority w:val="0"/>
    <w:rPr>
      <w:kern w:val="2"/>
      <w:sz w:val="21"/>
      <w:szCs w:val="22"/>
    </w:rPr>
  </w:style>
  <w:style w:type="character" w:customStyle="1" w:styleId="221">
    <w:name w:val="批注主题 Char1"/>
    <w:qFormat/>
    <w:uiPriority w:val="0"/>
    <w:rPr>
      <w:b/>
      <w:bCs/>
      <w:kern w:val="2"/>
      <w:sz w:val="21"/>
      <w:szCs w:val="22"/>
    </w:rPr>
  </w:style>
  <w:style w:type="character" w:customStyle="1" w:styleId="222">
    <w:name w:val="Subtle Emphasis"/>
    <w:qFormat/>
    <w:uiPriority w:val="0"/>
    <w:rPr>
      <w:i/>
      <w:iCs/>
      <w:color w:val="808080"/>
    </w:rPr>
  </w:style>
  <w:style w:type="character" w:customStyle="1" w:styleId="223">
    <w:name w:val="批注文字 Char Char"/>
    <w:qFormat/>
    <w:uiPriority w:val="0"/>
    <w:rPr>
      <w:rFonts w:ascii="宋体" w:hAnsi="Times New Roman" w:eastAsia="宋体" w:cs="Times New Roman"/>
      <w:sz w:val="28"/>
      <w:szCs w:val="20"/>
    </w:rPr>
  </w:style>
  <w:style w:type="character" w:customStyle="1" w:styleId="224">
    <w:name w:val="Intense Emphasis"/>
    <w:qFormat/>
    <w:uiPriority w:val="0"/>
    <w:rPr>
      <w:b/>
      <w:bCs/>
      <w:i/>
      <w:iCs/>
      <w:color w:val="4F81BD"/>
    </w:rPr>
  </w:style>
  <w:style w:type="character" w:customStyle="1" w:styleId="225">
    <w:name w:val="textcontents"/>
    <w:qFormat/>
    <w:uiPriority w:val="0"/>
    <w:rPr>
      <w:rFonts w:cs="Times New Roman"/>
    </w:rPr>
  </w:style>
  <w:style w:type="character" w:customStyle="1" w:styleId="226">
    <w:name w:val="文档结构图 Char1"/>
    <w:qFormat/>
    <w:uiPriority w:val="0"/>
    <w:rPr>
      <w:rFonts w:ascii="宋体"/>
      <w:kern w:val="2"/>
      <w:sz w:val="18"/>
      <w:szCs w:val="18"/>
    </w:rPr>
  </w:style>
  <w:style w:type="character" w:customStyle="1" w:styleId="227">
    <w:name w:val="引用 Char"/>
    <w:qFormat/>
    <w:uiPriority w:val="0"/>
    <w:rPr>
      <w:i/>
      <w:iCs/>
      <w:color w:val="000000"/>
      <w:kern w:val="2"/>
      <w:sz w:val="21"/>
      <w:szCs w:val="22"/>
    </w:rPr>
  </w:style>
  <w:style w:type="character" w:customStyle="1" w:styleId="228">
    <w:name w:val="引用 Char1"/>
    <w:basedOn w:val="51"/>
    <w:link w:val="130"/>
    <w:semiHidden/>
    <w:qFormat/>
    <w:uiPriority w:val="99"/>
    <w:rPr>
      <w:rFonts w:ascii="Calibri" w:hAnsi="Calibri" w:eastAsia="宋体" w:cs="黑体"/>
      <w:i/>
      <w:iCs/>
      <w:color w:val="000000"/>
      <w:kern w:val="2"/>
      <w:sz w:val="21"/>
      <w:szCs w:val="22"/>
    </w:rPr>
  </w:style>
  <w:style w:type="character" w:customStyle="1" w:styleId="229">
    <w:name w:val="Subtle Reference"/>
    <w:qFormat/>
    <w:uiPriority w:val="0"/>
    <w:rPr>
      <w:smallCaps/>
      <w:color w:val="C0504D"/>
      <w:u w:val="single"/>
    </w:rPr>
  </w:style>
  <w:style w:type="character" w:customStyle="1" w:styleId="230">
    <w:name w:val="15"/>
    <w:qFormat/>
    <w:uiPriority w:val="0"/>
    <w:rPr>
      <w:rFonts w:hint="default" w:ascii="Times New Roman" w:hAnsi="Times New Roman" w:cs="Times New Roman"/>
      <w:color w:val="464445"/>
      <w:u w:val="none"/>
    </w:rPr>
  </w:style>
  <w:style w:type="character" w:customStyle="1" w:styleId="231">
    <w:name w:val="标题 字符"/>
    <w:link w:val="45"/>
    <w:qFormat/>
    <w:uiPriority w:val="10"/>
    <w:rPr>
      <w:rFonts w:ascii="Cambria" w:hAnsi="Cambria"/>
      <w:b/>
      <w:bCs/>
      <w:sz w:val="24"/>
      <w:szCs w:val="32"/>
    </w:rPr>
  </w:style>
  <w:style w:type="character" w:customStyle="1" w:styleId="232">
    <w:name w:val="副标题 字符"/>
    <w:link w:val="35"/>
    <w:qFormat/>
    <w:uiPriority w:val="11"/>
    <w:rPr>
      <w:rFonts w:ascii="Calibri Light" w:hAnsi="Calibri Light" w:cs="Times New Roman"/>
      <w:b/>
      <w:bCs/>
      <w:kern w:val="28"/>
      <w:sz w:val="32"/>
      <w:szCs w:val="32"/>
    </w:rPr>
  </w:style>
  <w:style w:type="table" w:customStyle="1" w:styleId="233">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Normal"/>
    <w:unhideWhenUsed/>
    <w:qFormat/>
    <w:uiPriority w:val="0"/>
    <w:rPr>
      <w:rFonts w:ascii="Arial" w:hAnsi="Arial" w:cs="Arial"/>
    </w:rPr>
    <w:tblPr>
      <w:tblCellMar>
        <w:top w:w="0" w:type="dxa"/>
        <w:left w:w="0" w:type="dxa"/>
        <w:bottom w:w="0" w:type="dxa"/>
        <w:right w:w="0" w:type="dxa"/>
      </w:tblCellMar>
    </w:tblPr>
  </w:style>
  <w:style w:type="table" w:customStyle="1" w:styleId="235">
    <w:name w:val="网格型2"/>
    <w:basedOn w:val="4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3"/>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7">
    <w:name w:val="网格型11"/>
    <w:basedOn w:val="4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39">
    <w:name w:val="L_正文"/>
    <w:basedOn w:val="1"/>
    <w:qFormat/>
    <w:locked/>
    <w:uiPriority w:val="0"/>
    <w:pPr>
      <w:spacing w:line="360" w:lineRule="auto"/>
      <w:ind w:firstLine="480" w:firstLineChars="200"/>
      <w:jc w:val="left"/>
    </w:pPr>
    <w:rPr>
      <w:rFonts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Documents%252525252525252525252525252525252525252525252520and%252525252525252525252525252525252525252525252520Settings/Administrator/My%252525252525252525252525252525252525252525252520Documents/Tencent%252525252525252525252525252525252525252525252520Files/348424112/Image/C2C/%25252525252525252525252525252525252525252525255b35@IDDQEUL@STM3E(G$%25252525252525252525252525252525252525252525257bUT.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80</Pages>
  <Words>16082</Words>
  <Characters>17596</Characters>
  <Lines>509</Lines>
  <Paragraphs>143</Paragraphs>
  <TotalTime>16</TotalTime>
  <ScaleCrop>false</ScaleCrop>
  <LinksUpToDate>false</LinksUpToDate>
  <CharactersWithSpaces>17777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2023-03-16T13:44:00Z</dcterms:created>
  <dc:creator>Administrator</dc:creator>
  <cp:lastModifiedBy>mEng</cp:lastModifiedBy>
  <cp:lastPrinted>2025-05-26T12:09:00Z</cp:lastPrinted>
  <dcterms:modified xsi:type="dcterms:W3CDTF">2026-05-13T08:39:25Z</dcterms:modified>
  <dc:title>项目名称：新疆职业大学新校区治安保安服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93AF131DDAE543B4943CB1124EE72957</vt:lpwstr>
  </property>
  <property fmtid="{D5CDD505-2E9C-101B-9397-08002B2CF9AE}" pid="4" name="KSOTemplateDocerSaveRecord">
    <vt:lpwstr>eyJoZGlkIjoiYTMxNDM5ZDFkNjZmN2MyY2RlMjhlNjJmODY2YWNhMDkiLCJ1c2VySWQiOiI2NTAxMDg1OTIifQ==</vt:lpwstr>
  </property>
</Properties>
</file>