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C06">
      <w:pPr>
        <w:pStyle w:val="40"/>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14:paraId="0446D075">
      <w:pPr>
        <w:pStyle w:val="40"/>
        <w:spacing w:line="360" w:lineRule="auto"/>
        <w:jc w:val="both"/>
        <w:rPr>
          <w:rFonts w:ascii="宋体" w:hAnsi="宋体" w:cs="宋体"/>
          <w:b/>
          <w:bCs/>
          <w:color w:val="auto"/>
          <w:kern w:val="2"/>
          <w:sz w:val="44"/>
          <w:szCs w:val="44"/>
          <w:highlight w:val="none"/>
        </w:rPr>
      </w:pPr>
    </w:p>
    <w:p w14:paraId="30D8A67B">
      <w:pPr>
        <w:autoSpaceDE w:val="0"/>
        <w:autoSpaceDN w:val="0"/>
        <w:adjustRightInd w:val="0"/>
        <w:spacing w:line="360" w:lineRule="auto"/>
        <w:jc w:val="center"/>
        <w:rPr>
          <w:rStyle w:val="55"/>
          <w:rFonts w:ascii="宋体" w:hAnsi="宋体" w:cs="Calibri"/>
          <w:b/>
          <w:bCs/>
          <w:spacing w:val="34"/>
          <w:kern w:val="0"/>
          <w:sz w:val="44"/>
          <w:szCs w:val="44"/>
          <w:highlight w:val="none"/>
        </w:rPr>
      </w:pPr>
      <w:r>
        <w:rPr>
          <w:rFonts w:hint="eastAsia" w:asciiTheme="minorEastAsia" w:hAnsiTheme="minorEastAsia" w:eastAsiaTheme="minorEastAsia" w:cstheme="minorEastAsia"/>
          <w:b/>
          <w:bCs/>
          <w:color w:val="000000"/>
          <w:sz w:val="44"/>
          <w:szCs w:val="44"/>
          <w:highlight w:val="none"/>
          <w:lang w:eastAsia="zh-CN"/>
        </w:rPr>
        <w:t>2026年度职工食堂采购项目-副食品类</w:t>
      </w:r>
      <w:r>
        <w:rPr>
          <w:rStyle w:val="55"/>
          <w:rFonts w:hint="eastAsia" w:ascii="宋体" w:hAnsi="宋体" w:cs="Calibri"/>
          <w:b/>
          <w:bCs/>
          <w:spacing w:val="34"/>
          <w:kern w:val="0"/>
          <w:sz w:val="44"/>
          <w:szCs w:val="44"/>
          <w:highlight w:val="none"/>
        </w:rPr>
        <w:t xml:space="preserve"> </w:t>
      </w:r>
    </w:p>
    <w:p w14:paraId="1C2CE84E">
      <w:pPr>
        <w:tabs>
          <w:tab w:val="left" w:pos="7543"/>
        </w:tabs>
        <w:jc w:val="left"/>
        <w:rPr>
          <w:rFonts w:ascii="宋体" w:hAnsi="宋体" w:cs="宋体"/>
          <w:b/>
          <w:bCs/>
          <w:sz w:val="32"/>
          <w:szCs w:val="32"/>
          <w:highlight w:val="none"/>
        </w:rPr>
      </w:pPr>
      <w:r>
        <w:rPr>
          <w:rFonts w:hint="eastAsia" w:ascii="宋体" w:hAnsi="宋体" w:cs="宋体"/>
          <w:b/>
          <w:bCs/>
          <w:sz w:val="32"/>
          <w:szCs w:val="32"/>
          <w:highlight w:val="none"/>
        </w:rPr>
        <w:tab/>
      </w:r>
    </w:p>
    <w:p w14:paraId="1CA97E3D">
      <w:pPr>
        <w:jc w:val="center"/>
        <w:rPr>
          <w:rFonts w:ascii="宋体" w:hAnsi="宋体" w:cs="宋体"/>
          <w:b/>
          <w:bCs/>
          <w:sz w:val="32"/>
          <w:szCs w:val="32"/>
          <w:highlight w:val="none"/>
        </w:rPr>
      </w:pPr>
    </w:p>
    <w:p w14:paraId="494454C5">
      <w:pPr>
        <w:pStyle w:val="5"/>
        <w:rPr>
          <w:highlight w:val="none"/>
        </w:rPr>
      </w:pPr>
    </w:p>
    <w:p w14:paraId="6656E5DB">
      <w:pPr>
        <w:pStyle w:val="5"/>
        <w:rPr>
          <w:highlight w:val="none"/>
        </w:rPr>
      </w:pPr>
    </w:p>
    <w:p w14:paraId="502E511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XJJRX-GKZB(2026)-0608</w:t>
      </w:r>
    </w:p>
    <w:p w14:paraId="58F17200">
      <w:pPr>
        <w:snapToGrid w:val="0"/>
        <w:spacing w:line="360" w:lineRule="auto"/>
        <w:jc w:val="center"/>
        <w:rPr>
          <w:rFonts w:ascii="宋体" w:hAnsi="宋体"/>
          <w:b/>
          <w:sz w:val="48"/>
          <w:szCs w:val="48"/>
          <w:highlight w:val="none"/>
        </w:rPr>
      </w:pPr>
    </w:p>
    <w:p w14:paraId="2FCC279D">
      <w:pPr>
        <w:snapToGrid w:val="0"/>
        <w:spacing w:line="360" w:lineRule="auto"/>
        <w:jc w:val="center"/>
        <w:rPr>
          <w:rFonts w:ascii="宋体" w:hAnsi="宋体"/>
          <w:b/>
          <w:sz w:val="48"/>
          <w:szCs w:val="48"/>
          <w:highlight w:val="none"/>
        </w:rPr>
      </w:pPr>
    </w:p>
    <w:p w14:paraId="7062DA41">
      <w:pPr>
        <w:pStyle w:val="5"/>
        <w:rPr>
          <w:highlight w:val="none"/>
        </w:rPr>
      </w:pPr>
    </w:p>
    <w:p w14:paraId="3B6DE2D5">
      <w:pPr>
        <w:snapToGrid w:val="0"/>
        <w:spacing w:line="360" w:lineRule="auto"/>
        <w:jc w:val="center"/>
        <w:rPr>
          <w:rFonts w:ascii="宋体" w:hAnsi="宋体"/>
          <w:b/>
          <w:sz w:val="72"/>
          <w:szCs w:val="72"/>
          <w:highlight w:val="none"/>
        </w:rPr>
      </w:pPr>
      <w:r>
        <w:rPr>
          <w:rFonts w:hint="eastAsia" w:ascii="宋体" w:hAnsi="宋体"/>
          <w:b/>
          <w:sz w:val="72"/>
          <w:szCs w:val="72"/>
          <w:highlight w:val="none"/>
        </w:rPr>
        <w:t>公开招标文件</w:t>
      </w:r>
    </w:p>
    <w:p w14:paraId="2ADC9E14">
      <w:pPr>
        <w:snapToGrid w:val="0"/>
        <w:spacing w:line="360" w:lineRule="auto"/>
        <w:rPr>
          <w:rFonts w:ascii="宋体" w:hAnsi="宋体"/>
          <w:b/>
          <w:sz w:val="28"/>
          <w:szCs w:val="28"/>
          <w:highlight w:val="none"/>
        </w:rPr>
      </w:pPr>
    </w:p>
    <w:p w14:paraId="47B5BCFD">
      <w:pPr>
        <w:pStyle w:val="13"/>
        <w:rPr>
          <w:highlight w:val="none"/>
        </w:rPr>
      </w:pPr>
    </w:p>
    <w:p w14:paraId="73A88416">
      <w:pPr>
        <w:pStyle w:val="13"/>
        <w:rPr>
          <w:highlight w:val="none"/>
        </w:rPr>
      </w:pPr>
    </w:p>
    <w:p w14:paraId="7500154C">
      <w:pPr>
        <w:pStyle w:val="19"/>
        <w:ind w:left="0"/>
        <w:rPr>
          <w:highlight w:val="none"/>
        </w:rPr>
      </w:pPr>
    </w:p>
    <w:p w14:paraId="3DFEFA3E">
      <w:pPr>
        <w:rPr>
          <w:highlight w:val="none"/>
        </w:rPr>
      </w:pPr>
    </w:p>
    <w:p w14:paraId="2E57F772">
      <w:pPr>
        <w:rPr>
          <w:highlight w:val="none"/>
        </w:rPr>
      </w:pPr>
    </w:p>
    <w:p w14:paraId="49C50CAE">
      <w:pPr>
        <w:rPr>
          <w:highlight w:val="none"/>
        </w:rPr>
      </w:pPr>
    </w:p>
    <w:p w14:paraId="38B035BC">
      <w:pPr>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采购单位：</w:t>
      </w:r>
      <w:r>
        <w:rPr>
          <w:rFonts w:hint="eastAsia" w:ascii="宋体" w:hAnsi="宋体"/>
          <w:sz w:val="32"/>
          <w:szCs w:val="32"/>
          <w:highlight w:val="none"/>
          <w:lang w:eastAsia="zh-CN"/>
        </w:rPr>
        <w:t>新疆维吾尔自治区库尔勒开发区某单位</w:t>
      </w:r>
    </w:p>
    <w:p w14:paraId="5115F8CC">
      <w:pPr>
        <w:spacing w:before="156" w:beforeLines="50" w:after="156" w:afterLines="50"/>
        <w:ind w:firstLine="640" w:firstLineChars="200"/>
        <w:textAlignment w:val="baseline"/>
        <w:rPr>
          <w:rFonts w:hint="eastAsia" w:ascii="宋体" w:hAnsi="宋体" w:eastAsia="宋体"/>
          <w:sz w:val="32"/>
          <w:szCs w:val="32"/>
          <w:highlight w:val="none"/>
          <w:lang w:eastAsia="zh-CN"/>
        </w:rPr>
      </w:pPr>
      <w:r>
        <w:rPr>
          <w:rFonts w:hint="eastAsia" w:ascii="宋体" w:hAnsi="宋体"/>
          <w:sz w:val="32"/>
          <w:szCs w:val="32"/>
          <w:highlight w:val="none"/>
        </w:rPr>
        <w:t>采购代理机构：</w:t>
      </w:r>
      <w:r>
        <w:rPr>
          <w:rFonts w:hint="eastAsia" w:ascii="宋体" w:hAnsi="宋体"/>
          <w:sz w:val="32"/>
          <w:szCs w:val="32"/>
          <w:highlight w:val="none"/>
          <w:lang w:eastAsia="zh-CN"/>
        </w:rPr>
        <w:t>新疆锦瑞祥工程项目咨询管理有限公司</w:t>
      </w:r>
    </w:p>
    <w:p w14:paraId="4A648282">
      <w:pPr>
        <w:pStyle w:val="13"/>
        <w:rPr>
          <w:highlight w:val="none"/>
        </w:rPr>
      </w:pPr>
    </w:p>
    <w:p w14:paraId="246990B4">
      <w:pPr>
        <w:jc w:val="center"/>
        <w:rPr>
          <w:rFonts w:ascii="宋体" w:hAnsi="宋体"/>
          <w:kern w:val="0"/>
          <w:sz w:val="28"/>
          <w:szCs w:val="28"/>
          <w:highlight w:val="none"/>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cols w:space="720" w:num="1"/>
          <w:docGrid w:type="lines" w:linePitch="312" w:charSpace="0"/>
        </w:sectPr>
      </w:pPr>
      <w:r>
        <w:rPr>
          <w:rFonts w:hint="eastAsia" w:ascii="宋体" w:hAnsi="宋体" w:cs="仿宋"/>
          <w:b/>
          <w:bCs/>
          <w:sz w:val="30"/>
          <w:szCs w:val="32"/>
          <w:highlight w:val="none"/>
        </w:rPr>
        <w:t>二〇二六年</w:t>
      </w:r>
      <w:r>
        <w:rPr>
          <w:rFonts w:hint="eastAsia" w:ascii="宋体" w:hAnsi="宋体" w:cs="仿宋"/>
          <w:b/>
          <w:bCs/>
          <w:sz w:val="30"/>
          <w:szCs w:val="32"/>
          <w:highlight w:val="none"/>
          <w:lang w:val="en-US" w:eastAsia="zh-CN"/>
        </w:rPr>
        <w:t>六</w:t>
      </w:r>
      <w:r>
        <w:rPr>
          <w:rFonts w:hint="eastAsia" w:ascii="宋体" w:hAnsi="宋体" w:cs="仿宋"/>
          <w:b/>
          <w:bCs/>
          <w:sz w:val="30"/>
          <w:szCs w:val="32"/>
          <w:highlight w:val="none"/>
        </w:rPr>
        <w:t>月</w:t>
      </w:r>
    </w:p>
    <w:p w14:paraId="195AB13E">
      <w:pPr>
        <w:spacing w:line="360" w:lineRule="auto"/>
        <w:rPr>
          <w:rFonts w:ascii="宋体" w:hAnsi="宋体"/>
          <w:b/>
          <w:sz w:val="32"/>
          <w:szCs w:val="32"/>
          <w:highlight w:val="none"/>
        </w:rPr>
      </w:pPr>
    </w:p>
    <w:p w14:paraId="653527CE">
      <w:pPr>
        <w:spacing w:line="360" w:lineRule="auto"/>
        <w:jc w:val="center"/>
        <w:outlineLvl w:val="0"/>
        <w:rPr>
          <w:rFonts w:ascii="宋体" w:hAnsi="宋体"/>
          <w:b/>
          <w:sz w:val="32"/>
          <w:szCs w:val="32"/>
          <w:highlight w:val="none"/>
        </w:rPr>
      </w:pPr>
      <w:r>
        <w:rPr>
          <w:rFonts w:hint="eastAsia" w:ascii="宋体" w:hAnsi="宋体"/>
          <w:b/>
          <w:sz w:val="32"/>
          <w:szCs w:val="32"/>
          <w:highlight w:val="none"/>
        </w:rPr>
        <w:t>目    录</w:t>
      </w:r>
    </w:p>
    <w:p w14:paraId="4A779242">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第一部分 招标公告</w:t>
      </w:r>
    </w:p>
    <w:p w14:paraId="3D9F496D">
      <w:pPr>
        <w:pStyle w:val="40"/>
        <w:spacing w:line="360" w:lineRule="auto"/>
        <w:ind w:firstLine="748" w:firstLineChars="312"/>
        <w:rPr>
          <w:rFonts w:ascii="宋体" w:hAnsi="宋体"/>
          <w:b/>
          <w:bCs/>
          <w:color w:val="auto"/>
          <w:highlight w:val="none"/>
        </w:rPr>
      </w:pPr>
      <w:r>
        <w:rPr>
          <w:rFonts w:hint="eastAsia" w:ascii="宋体" w:hAnsi="宋体"/>
          <w:color w:val="auto"/>
          <w:highlight w:val="none"/>
        </w:rPr>
        <w:t>招标公告</w:t>
      </w:r>
    </w:p>
    <w:p w14:paraId="640DA001">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第二部分 投标须知</w:t>
      </w:r>
    </w:p>
    <w:p w14:paraId="70080834">
      <w:pPr>
        <w:pStyle w:val="40"/>
        <w:spacing w:line="360" w:lineRule="auto"/>
        <w:ind w:firstLine="720" w:firstLineChars="300"/>
        <w:rPr>
          <w:rFonts w:ascii="宋体" w:hAnsi="宋体"/>
          <w:color w:val="auto"/>
          <w:highlight w:val="none"/>
        </w:rPr>
      </w:pPr>
      <w:r>
        <w:rPr>
          <w:rFonts w:hint="eastAsia" w:ascii="宋体" w:hAnsi="宋体"/>
          <w:color w:val="auto"/>
          <w:highlight w:val="none"/>
        </w:rPr>
        <w:t>投标须知</w:t>
      </w:r>
    </w:p>
    <w:p w14:paraId="52D9CEE7">
      <w:pPr>
        <w:pStyle w:val="40"/>
        <w:spacing w:line="360" w:lineRule="auto"/>
        <w:ind w:firstLine="241" w:firstLineChars="100"/>
        <w:outlineLvl w:val="0"/>
        <w:rPr>
          <w:rFonts w:ascii="仿宋_GB2312" w:hAnsi="宋体" w:eastAsia="仿宋_GB2312"/>
          <w:b/>
          <w:bCs/>
          <w:color w:val="auto"/>
          <w:highlight w:val="none"/>
        </w:rPr>
      </w:pPr>
      <w:r>
        <w:rPr>
          <w:rFonts w:hint="eastAsia" w:ascii="宋体" w:hAnsi="宋体"/>
          <w:b/>
          <w:bCs/>
          <w:color w:val="auto"/>
          <w:highlight w:val="none"/>
        </w:rPr>
        <w:t xml:space="preserve">第三部分 </w:t>
      </w:r>
      <w:r>
        <w:rPr>
          <w:rFonts w:hint="eastAsia"/>
          <w:b/>
          <w:color w:val="auto"/>
          <w:kern w:val="2"/>
          <w:sz w:val="28"/>
          <w:szCs w:val="36"/>
          <w:highlight w:val="none"/>
          <w:lang w:bidi="ar"/>
        </w:rPr>
        <w:t>货物需求、技术规格说明</w:t>
      </w:r>
    </w:p>
    <w:p w14:paraId="325EEC83">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w:t>
      </w:r>
      <w:r>
        <w:rPr>
          <w:rFonts w:ascii="宋体" w:hAnsi="宋体"/>
          <w:bCs/>
          <w:sz w:val="24"/>
          <w:szCs w:val="24"/>
          <w:highlight w:val="none"/>
        </w:rPr>
        <w:t xml:space="preserve"> </w:t>
      </w:r>
      <w:r>
        <w:rPr>
          <w:rFonts w:hint="eastAsia" w:ascii="宋体" w:hAnsi="宋体"/>
          <w:bCs/>
          <w:sz w:val="24"/>
          <w:szCs w:val="24"/>
          <w:highlight w:val="none"/>
        </w:rPr>
        <w:t>技术规格及报价明细表</w:t>
      </w:r>
    </w:p>
    <w:p w14:paraId="31D50777">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第四部分 招标说明</w:t>
      </w:r>
      <w:r>
        <w:rPr>
          <w:rFonts w:hint="eastAsia" w:ascii="宋体" w:hAnsi="宋体"/>
          <w:color w:val="auto"/>
          <w:highlight w:val="none"/>
        </w:rPr>
        <w:t xml:space="preserve"> </w:t>
      </w:r>
    </w:p>
    <w:p w14:paraId="5DA585B2">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第五部分 投标说明</w:t>
      </w:r>
    </w:p>
    <w:p w14:paraId="1A7B0CF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对投标方的资质要求</w:t>
      </w:r>
      <w:r>
        <w:rPr>
          <w:rFonts w:hint="eastAsia" w:ascii="宋体" w:hAnsi="宋体"/>
          <w:sz w:val="24"/>
          <w:szCs w:val="24"/>
          <w:highlight w:val="none"/>
        </w:rPr>
        <w:t xml:space="preserve"> </w:t>
      </w:r>
    </w:p>
    <w:p w14:paraId="50D8264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投标文件的编写</w:t>
      </w:r>
      <w:r>
        <w:rPr>
          <w:rFonts w:hint="eastAsia" w:ascii="宋体" w:hAnsi="宋体"/>
          <w:sz w:val="24"/>
          <w:szCs w:val="24"/>
          <w:highlight w:val="none"/>
        </w:rPr>
        <w:t xml:space="preserve"> </w:t>
      </w:r>
    </w:p>
    <w:p w14:paraId="6ADB9F41">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投标文件的递交</w:t>
      </w:r>
      <w:r>
        <w:rPr>
          <w:rFonts w:hint="eastAsia" w:ascii="宋体" w:hAnsi="宋体"/>
          <w:sz w:val="24"/>
          <w:szCs w:val="24"/>
          <w:highlight w:val="none"/>
        </w:rPr>
        <w:t xml:space="preserve"> </w:t>
      </w:r>
    </w:p>
    <w:p w14:paraId="07C4020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评标委员会</w:t>
      </w:r>
      <w:r>
        <w:rPr>
          <w:rFonts w:hint="eastAsia" w:ascii="宋体" w:hAnsi="宋体"/>
          <w:sz w:val="24"/>
          <w:szCs w:val="24"/>
          <w:highlight w:val="none"/>
        </w:rPr>
        <w:t xml:space="preserve"> </w:t>
      </w:r>
    </w:p>
    <w:p w14:paraId="767868A5">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第六部分 开标 评标 定标说明</w:t>
      </w:r>
    </w:p>
    <w:p w14:paraId="0922D4F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开　标</w:t>
      </w:r>
      <w:r>
        <w:rPr>
          <w:rFonts w:hint="eastAsia" w:ascii="宋体" w:hAnsi="宋体"/>
          <w:sz w:val="24"/>
          <w:szCs w:val="24"/>
          <w:highlight w:val="none"/>
        </w:rPr>
        <w:t xml:space="preserve"> </w:t>
      </w:r>
    </w:p>
    <w:p w14:paraId="6B9AD8A5">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评　标</w:t>
      </w:r>
      <w:r>
        <w:rPr>
          <w:rFonts w:hint="eastAsia" w:ascii="宋体" w:hAnsi="宋体"/>
          <w:sz w:val="24"/>
          <w:szCs w:val="24"/>
          <w:highlight w:val="none"/>
        </w:rPr>
        <w:t xml:space="preserve"> </w:t>
      </w:r>
    </w:p>
    <w:p w14:paraId="3140BCB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定　标</w:t>
      </w:r>
      <w:r>
        <w:rPr>
          <w:rFonts w:hint="eastAsia" w:ascii="宋体" w:hAnsi="宋体"/>
          <w:sz w:val="24"/>
          <w:szCs w:val="24"/>
          <w:highlight w:val="none"/>
        </w:rPr>
        <w:t xml:space="preserve"> </w:t>
      </w:r>
    </w:p>
    <w:p w14:paraId="56E73BD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授予合同</w:t>
      </w:r>
      <w:r>
        <w:rPr>
          <w:rFonts w:hint="eastAsia" w:ascii="宋体" w:hAnsi="宋体"/>
          <w:sz w:val="24"/>
          <w:szCs w:val="24"/>
          <w:highlight w:val="none"/>
        </w:rPr>
        <w:t xml:space="preserve"> </w:t>
      </w:r>
    </w:p>
    <w:p w14:paraId="1BD27BFD">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第七部分 商务部分</w:t>
      </w:r>
    </w:p>
    <w:p w14:paraId="456AFF6F">
      <w:pPr>
        <w:pStyle w:val="40"/>
        <w:spacing w:line="360" w:lineRule="auto"/>
        <w:ind w:firstLine="720" w:firstLineChars="300"/>
        <w:outlineLvl w:val="1"/>
        <w:rPr>
          <w:rFonts w:ascii="宋体" w:hAnsi="宋体"/>
          <w:bCs/>
          <w:color w:val="auto"/>
          <w:kern w:val="2"/>
          <w:highlight w:val="none"/>
        </w:rPr>
      </w:pPr>
      <w:r>
        <w:rPr>
          <w:rFonts w:hint="eastAsia" w:ascii="宋体" w:hAnsi="宋体"/>
          <w:bCs/>
          <w:color w:val="auto"/>
          <w:kern w:val="2"/>
          <w:highlight w:val="none"/>
        </w:rPr>
        <w:t xml:space="preserve"> 合同条款 </w:t>
      </w:r>
    </w:p>
    <w:p w14:paraId="61B1BD54">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第八部分  投标文件的编制装订</w:t>
      </w:r>
    </w:p>
    <w:p w14:paraId="028FA270">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一、投标文件编制和装订顺序</w:t>
      </w:r>
    </w:p>
    <w:p w14:paraId="25BB7B4A">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 xml:space="preserve">二、投标报价文件顺序及格式范本 </w:t>
      </w:r>
    </w:p>
    <w:p w14:paraId="50FB3206">
      <w:pPr>
        <w:pStyle w:val="40"/>
        <w:spacing w:line="360" w:lineRule="auto"/>
        <w:ind w:firstLine="720" w:firstLineChars="300"/>
        <w:rPr>
          <w:color w:val="auto"/>
          <w:highlight w:val="none"/>
        </w:rPr>
      </w:pPr>
    </w:p>
    <w:p w14:paraId="6A0DE33D">
      <w:pPr>
        <w:pStyle w:val="40"/>
        <w:spacing w:line="360" w:lineRule="auto"/>
        <w:rPr>
          <w:color w:val="auto"/>
          <w:highlight w:val="none"/>
        </w:rPr>
      </w:pPr>
    </w:p>
    <w:p w14:paraId="12E7B666">
      <w:pPr>
        <w:pStyle w:val="40"/>
        <w:spacing w:line="360" w:lineRule="auto"/>
        <w:ind w:firstLine="1084" w:firstLineChars="300"/>
        <w:jc w:val="center"/>
        <w:outlineLvl w:val="0"/>
        <w:rPr>
          <w:rFonts w:ascii="宋体" w:hAnsi="宋体"/>
          <w:b/>
          <w:color w:val="auto"/>
          <w:sz w:val="36"/>
          <w:szCs w:val="36"/>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14:paraId="39A99490">
      <w:pPr>
        <w:pStyle w:val="40"/>
        <w:spacing w:line="36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第一部分 招标公告</w:t>
      </w:r>
    </w:p>
    <w:p w14:paraId="07F23066">
      <w:pPr>
        <w:spacing w:line="360" w:lineRule="auto"/>
        <w:rPr>
          <w:rFonts w:ascii="宋体" w:hAnsi="宋体" w:cs="宋体"/>
          <w:sz w:val="24"/>
          <w:highlight w:val="none"/>
        </w:rPr>
      </w:pPr>
      <w:r>
        <w:rPr>
          <w:rFonts w:hint="eastAsia" w:ascii="宋体" w:hAnsi="宋体" w:cs="宋体"/>
          <w:sz w:val="24"/>
          <w:highlight w:val="none"/>
        </w:rPr>
        <w:t>项目概况</w:t>
      </w:r>
    </w:p>
    <w:p w14:paraId="221EFB2B">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2026年度职工食堂采购项目-副食品类</w:t>
      </w:r>
      <w:r>
        <w:rPr>
          <w:rFonts w:hint="eastAsia" w:ascii="宋体" w:hAnsi="宋体" w:cs="宋体"/>
          <w:sz w:val="24"/>
          <w:szCs w:val="24"/>
          <w:highlight w:val="none"/>
        </w:rPr>
        <w:t>的潜在投标人应在供应商登陆政采云平台http://www.zcygov.cn/，在线申请获取采购文件（登录政府采购云平台 → 项目采购 → 获取采购文件 → 申请）获取招标文件，并于2026年</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月2日10:00</w:t>
      </w:r>
      <w:r>
        <w:rPr>
          <w:rFonts w:hint="eastAsia" w:ascii="宋体" w:hAnsi="宋体" w:cs="宋体"/>
          <w:sz w:val="24"/>
          <w:szCs w:val="24"/>
          <w:highlight w:val="none"/>
        </w:rPr>
        <w:t>（北京时间）前提交（上传）投标文件。</w:t>
      </w:r>
    </w:p>
    <w:p w14:paraId="19FA2E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一、项目基本情况</w:t>
      </w:r>
    </w:p>
    <w:p w14:paraId="6D4E022C">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项目编号：</w:t>
      </w:r>
      <w:r>
        <w:rPr>
          <w:rFonts w:hint="eastAsia" w:ascii="宋体" w:hAnsi="宋体" w:cs="宋体"/>
          <w:color w:val="000000"/>
          <w:kern w:val="0"/>
          <w:sz w:val="24"/>
          <w:szCs w:val="24"/>
          <w:highlight w:val="none"/>
          <w:lang w:eastAsia="zh-CN"/>
        </w:rPr>
        <w:t>XJJRX-GKZB(2026)-0608</w:t>
      </w:r>
    </w:p>
    <w:p w14:paraId="579C1C1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宋体" w:hAnsi="宋体" w:cs="宋体"/>
          <w:color w:val="000000"/>
          <w:kern w:val="0"/>
          <w:sz w:val="24"/>
          <w:szCs w:val="24"/>
          <w:highlight w:val="none"/>
          <w:lang w:eastAsia="zh-CN"/>
        </w:rPr>
        <w:t>2026年度职工食堂采购项目-副食品类</w:t>
      </w:r>
      <w:r>
        <w:rPr>
          <w:rFonts w:hint="eastAsia" w:ascii="宋体" w:hAnsi="宋体" w:cs="宋体"/>
          <w:color w:val="000000"/>
          <w:kern w:val="0"/>
          <w:sz w:val="24"/>
          <w:szCs w:val="24"/>
          <w:highlight w:val="none"/>
        </w:rPr>
        <w:t> </w:t>
      </w:r>
    </w:p>
    <w:p w14:paraId="48A7EF3A">
      <w:pPr>
        <w:spacing w:line="360" w:lineRule="auto"/>
        <w:ind w:firstLine="480" w:firstLineChars="200"/>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预算总金额：</w:t>
      </w:r>
      <w:r>
        <w:rPr>
          <w:rFonts w:hint="eastAsia" w:ascii="宋体" w:hAnsi="宋体" w:cs="宋体"/>
          <w:color w:val="000000"/>
          <w:kern w:val="0"/>
          <w:sz w:val="24"/>
          <w:szCs w:val="24"/>
          <w:highlight w:val="none"/>
          <w:lang w:eastAsia="zh-CN"/>
        </w:rPr>
        <w:t>220万</w:t>
      </w:r>
      <w:r>
        <w:rPr>
          <w:rFonts w:hint="eastAsia" w:ascii="宋体" w:hAnsi="宋体" w:cs="宋体"/>
          <w:color w:val="000000"/>
          <w:kern w:val="0"/>
          <w:sz w:val="24"/>
          <w:szCs w:val="24"/>
          <w:highlight w:val="none"/>
          <w:lang w:val="en-US" w:eastAsia="zh-CN"/>
        </w:rPr>
        <w:t>元</w:t>
      </w:r>
    </w:p>
    <w:p w14:paraId="4F8B44F2">
      <w:pPr>
        <w:pStyle w:val="13"/>
        <w:spacing w:line="360" w:lineRule="auto"/>
        <w:ind w:firstLine="480" w:firstLineChars="200"/>
        <w:jc w:val="both"/>
        <w:rPr>
          <w:rFonts w:ascii="宋体" w:hAnsi="宋体" w:cs="宋体"/>
          <w:color w:val="000000"/>
          <w:sz w:val="24"/>
          <w:szCs w:val="24"/>
          <w:highlight w:val="none"/>
          <w:lang w:val="en-US"/>
        </w:rPr>
      </w:pPr>
      <w:r>
        <w:rPr>
          <w:rFonts w:hint="eastAsia" w:ascii="宋体" w:hAnsi="宋体" w:cs="宋体"/>
          <w:color w:val="000000"/>
          <w:sz w:val="24"/>
          <w:szCs w:val="24"/>
          <w:highlight w:val="none"/>
          <w:lang w:val="en-US"/>
        </w:rPr>
        <w:t>采购需求：</w:t>
      </w:r>
    </w:p>
    <w:p w14:paraId="09F1F8AE">
      <w:pPr>
        <w:pStyle w:val="13"/>
        <w:spacing w:line="360" w:lineRule="auto"/>
        <w:ind w:left="437" w:leftChars="208"/>
        <w:jc w:val="both"/>
        <w:rPr>
          <w:rFonts w:ascii="宋体" w:hAnsi="宋体" w:cs="宋体"/>
          <w:color w:val="000000"/>
          <w:sz w:val="24"/>
          <w:szCs w:val="24"/>
          <w:highlight w:val="none"/>
          <w:lang w:val="en-US"/>
        </w:rPr>
      </w:pPr>
      <w:r>
        <w:rPr>
          <w:rFonts w:hint="eastAsia" w:ascii="宋体" w:hAnsi="宋体" w:cs="宋体"/>
          <w:b/>
          <w:bCs/>
          <w:color w:val="000000"/>
          <w:sz w:val="24"/>
          <w:szCs w:val="24"/>
          <w:highlight w:val="none"/>
          <w:lang w:val="en-US"/>
        </w:rPr>
        <w:t>标项一</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标项名称:</w:t>
      </w:r>
      <w:r>
        <w:rPr>
          <w:rFonts w:hint="eastAsia" w:ascii="宋体" w:hAnsi="宋体" w:cs="宋体"/>
          <w:sz w:val="24"/>
          <w:szCs w:val="24"/>
          <w:highlight w:val="none"/>
          <w:lang w:val="en-US" w:eastAsia="zh-CN"/>
        </w:rPr>
        <w:t>2026年度职工食堂采购项目-副食品类</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数量:1</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 xml:space="preserve">预算总金额: </w:t>
      </w:r>
      <w:r>
        <w:rPr>
          <w:rFonts w:hint="eastAsia" w:ascii="宋体" w:hAnsi="宋体" w:cs="宋体"/>
          <w:color w:val="000000"/>
          <w:kern w:val="0"/>
          <w:sz w:val="24"/>
          <w:szCs w:val="24"/>
          <w:highlight w:val="none"/>
          <w:lang w:eastAsia="zh-CN"/>
        </w:rPr>
        <w:t>220万</w:t>
      </w:r>
      <w:r>
        <w:rPr>
          <w:rFonts w:hint="eastAsia" w:ascii="宋体" w:hAnsi="宋体" w:cs="宋体"/>
          <w:color w:val="000000"/>
          <w:kern w:val="0"/>
          <w:sz w:val="24"/>
          <w:szCs w:val="24"/>
          <w:highlight w:val="none"/>
          <w:lang w:val="en-US" w:eastAsia="zh-CN"/>
        </w:rPr>
        <w:t>元</w:t>
      </w:r>
      <w:r>
        <w:rPr>
          <w:rFonts w:hint="eastAsia" w:ascii="宋体" w:hAnsi="宋体" w:cs="宋体"/>
          <w:color w:val="000000"/>
          <w:sz w:val="24"/>
          <w:szCs w:val="24"/>
          <w:highlight w:val="none"/>
          <w:lang w:val="en-US"/>
        </w:rPr>
        <w:t xml:space="preserve">  </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单位：批 </w:t>
      </w:r>
    </w:p>
    <w:p w14:paraId="1955072B">
      <w:pPr>
        <w:pStyle w:val="13"/>
        <w:spacing w:line="360" w:lineRule="auto"/>
        <w:ind w:firstLine="480" w:firstLineChars="200"/>
        <w:jc w:val="both"/>
        <w:rPr>
          <w:rFonts w:ascii="宋体" w:hAnsi="宋体" w:cs="宋体"/>
          <w:color w:val="000000"/>
          <w:sz w:val="24"/>
          <w:szCs w:val="24"/>
          <w:highlight w:val="none"/>
          <w:lang w:val="en-US"/>
        </w:rPr>
      </w:pPr>
      <w:r>
        <w:rPr>
          <w:rFonts w:hint="eastAsia" w:ascii="宋体" w:hAnsi="宋体" w:eastAsia="宋体" w:cs="宋体"/>
          <w:color w:val="000000"/>
          <w:sz w:val="24"/>
          <w:szCs w:val="24"/>
          <w:highlight w:val="none"/>
          <w:lang w:val="en-US"/>
        </w:rPr>
        <w:t>简要规格描述或项目基本概况介绍、用途：</w:t>
      </w:r>
      <w:r>
        <w:rPr>
          <w:rFonts w:hint="eastAsia" w:ascii="宋体" w:hAnsi="宋体" w:eastAsia="宋体" w:cs="宋体"/>
          <w:color w:val="000000"/>
          <w:sz w:val="24"/>
          <w:szCs w:val="24"/>
          <w:highlight w:val="none"/>
          <w:lang w:val="en-US" w:eastAsia="zh-CN"/>
        </w:rPr>
        <w:t>主要包含</w:t>
      </w:r>
      <w:r>
        <w:rPr>
          <w:rFonts w:hint="eastAsia" w:ascii="宋体" w:hAnsi="宋体" w:cs="宋体"/>
          <w:color w:val="000000"/>
          <w:sz w:val="24"/>
          <w:szCs w:val="24"/>
          <w:highlight w:val="none"/>
          <w:lang w:val="en-US" w:eastAsia="zh-CN"/>
        </w:rPr>
        <w:t>调味品、干货、冻货</w:t>
      </w:r>
      <w:r>
        <w:rPr>
          <w:rFonts w:hint="eastAsia" w:ascii="宋体" w:hAnsi="宋体" w:eastAsia="宋体" w:cs="宋体"/>
          <w:color w:val="000000"/>
          <w:sz w:val="24"/>
          <w:szCs w:val="24"/>
          <w:highlight w:val="none"/>
          <w:lang w:val="en-US" w:eastAsia="zh-CN"/>
        </w:rPr>
        <w:t>等其他副食品采购</w:t>
      </w:r>
      <w:r>
        <w:rPr>
          <w:rFonts w:hint="eastAsia" w:ascii="宋体" w:hAnsi="宋体" w:eastAsia="宋体" w:cs="宋体"/>
          <w:color w:val="000000"/>
          <w:sz w:val="24"/>
          <w:szCs w:val="24"/>
          <w:highlight w:val="none"/>
          <w:lang w:val="en-US"/>
        </w:rPr>
        <w:t>。</w:t>
      </w:r>
    </w:p>
    <w:p w14:paraId="027AC979">
      <w:pPr>
        <w:pStyle w:val="13"/>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合同履行期限：自合同签订之日起一年，</w:t>
      </w:r>
      <w:r>
        <w:rPr>
          <w:rFonts w:hint="eastAsia" w:ascii="宋体" w:hAnsi="宋体" w:cs="宋体"/>
          <w:spacing w:val="-2"/>
          <w:sz w:val="24"/>
          <w:szCs w:val="24"/>
          <w:highlight w:val="none"/>
        </w:rPr>
        <w:t>按业主需求进行供货</w:t>
      </w:r>
      <w:r>
        <w:rPr>
          <w:rFonts w:hint="eastAsia" w:ascii="宋体" w:hAnsi="宋体" w:cs="宋体"/>
          <w:sz w:val="24"/>
          <w:szCs w:val="24"/>
          <w:highlight w:val="none"/>
          <w:lang w:val="en-US"/>
        </w:rPr>
        <w:t>。</w:t>
      </w:r>
    </w:p>
    <w:p w14:paraId="27685503">
      <w:pPr>
        <w:pStyle w:val="13"/>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本项目不接受联合体投标。</w:t>
      </w:r>
    </w:p>
    <w:p w14:paraId="7E7EF8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二、申请人的资格要求：</w:t>
      </w:r>
    </w:p>
    <w:p w14:paraId="6DEF11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251B30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422AF4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（1）财政部、国家发展改革委、生态环境部、市场监管总局《关于调整优化节能产品、环境标志产品政府采购执行机制的通知》（财库[2019]9号文）；</w:t>
      </w:r>
    </w:p>
    <w:p w14:paraId="763635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（2）财政部、生态环境部《关于印发环境标志产品政府采购品目清单的通知》（财库[2019]18号文）；</w:t>
      </w:r>
    </w:p>
    <w:p w14:paraId="32DC8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（3）财政部、发展改革委《关于印发节能产品政府采购品目清单的通知》（财库[2019]19号文）；</w:t>
      </w:r>
    </w:p>
    <w:p w14:paraId="1621E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（4）市场监管总局《市场监管总局关于发布参与实施政府采购节能产品、环境标志产品认证机构名录的公告》（2019年第16号）；</w:t>
      </w:r>
    </w:p>
    <w:p w14:paraId="371953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（5）财政部、工业和信息化部《关于印发《政府采购促进中小企业发展管理办法》的通知》（财库[2020]46号文）；</w:t>
      </w:r>
    </w:p>
    <w:p w14:paraId="5308DA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（6）财政部《关于进一步加大政府采购支持中小企业力度的通知》(财库(2022〕19号)；</w:t>
      </w:r>
    </w:p>
    <w:p w14:paraId="6805B6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（7）财政部、民政部、中国残疾人联合会《关于促进残疾人就业政府采购政策的通知》（财库[2017]141号）；</w:t>
      </w:r>
    </w:p>
    <w:p w14:paraId="7A0B0C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（8）财政部、司法部《关于政府采购支持监狱企业发展有关问题的通知》（财库[2014]68号文）。（中小企业优惠、监狱企业、节能产品、环境标志产品等）。 </w:t>
      </w:r>
    </w:p>
    <w:p w14:paraId="1CA08EA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（9）扶持中小企业政策：评审时小型和微型企业产品享受10%的价格折扣。监狱企业、残疾人福利组织视同小型、微型企业。</w:t>
      </w:r>
    </w:p>
    <w:p w14:paraId="1B29A4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（10）《关于运用政府采购政策支持脱贫攻坚的通知》（财库【2019】27号文）。  </w:t>
      </w:r>
    </w:p>
    <w:p w14:paraId="057DA1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（11）《财政部等三部门联合印发商品包装和快递包装政府采购需求标准（试行）》（财办库【2020】123号）。</w:t>
      </w:r>
    </w:p>
    <w:p w14:paraId="08A38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 </w:t>
      </w:r>
    </w:p>
    <w:p w14:paraId="46D0EC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65151F4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（2）法人须提供法定代表人资格证明书及身份证或法人授权委托书及被授权人身份证；</w:t>
      </w:r>
    </w:p>
    <w:p w14:paraId="69A4A37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（3）单位负责人为同一人或者存在直接控股、管理关系的不同投标人，不得参加同一合同项下的政府采购活动；</w:t>
      </w:r>
    </w:p>
    <w:p w14:paraId="3DB0DAA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 xml:space="preserve">； </w:t>
      </w:r>
    </w:p>
    <w:p w14:paraId="7CD579E1">
      <w:pPr>
        <w:pStyle w:val="13"/>
        <w:spacing w:line="360" w:lineRule="auto"/>
        <w:ind w:firstLine="480" w:firstLineChars="200"/>
        <w:jc w:val="both"/>
        <w:rPr>
          <w:rFonts w:ascii="宋体" w:hAnsi="宋体" w:cs="宋体"/>
          <w:bCs/>
          <w:kern w:val="2"/>
          <w:sz w:val="24"/>
          <w:szCs w:val="24"/>
          <w:highlight w:val="none"/>
          <w:lang w:val="en-US"/>
        </w:rPr>
      </w:pPr>
      <w:r>
        <w:rPr>
          <w:rFonts w:hint="eastAsia" w:ascii="宋体" w:hAnsi="宋体" w:cs="宋体"/>
          <w:bCs/>
          <w:kern w:val="2"/>
          <w:sz w:val="24"/>
          <w:szCs w:val="24"/>
          <w:highlight w:val="none"/>
          <w:lang w:val="en-US"/>
        </w:rPr>
        <w:t>（</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lang w:val="en-US"/>
        </w:rPr>
        <w:t>）投标保证金缴纳凭证或保函；</w:t>
      </w:r>
    </w:p>
    <w:p w14:paraId="4E33BFB8">
      <w:pPr>
        <w:pStyle w:val="37"/>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GB"/>
        </w:rPr>
        <w:t>本项目不接受联合体投标。</w:t>
      </w:r>
    </w:p>
    <w:p w14:paraId="4825ACF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三、获取（下载）采购文件</w:t>
      </w:r>
    </w:p>
    <w:p w14:paraId="7EE13F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rPr>
        <w:t>日，每天上午00:00至14:00，下午14:00至23:59（北京时间，法定节假日除外）</w:t>
      </w:r>
    </w:p>
    <w:p w14:paraId="3037CC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2、地点（网址）：供应商登陆政采云平台http://www.zcygov.cn/，在线申请获取采购文件（登录政府采购云平台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6697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3、获取方式：线上获取 </w:t>
      </w:r>
    </w:p>
    <w:p w14:paraId="51B6A4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4、售价（元）：0元</w:t>
      </w:r>
    </w:p>
    <w:p w14:paraId="1442365C">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四、提交投标文件截止时间、开标时间和地点</w:t>
      </w:r>
    </w:p>
    <w:p w14:paraId="10AE44CE">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提交投标文件截止时间：202</w:t>
      </w:r>
      <w:r>
        <w:rPr>
          <w:rFonts w:hint="eastAsia"/>
          <w:kern w:val="2"/>
          <w:highlight w:val="none"/>
        </w:rPr>
        <w:t>6</w:t>
      </w:r>
      <w:r>
        <w:rPr>
          <w:rFonts w:hint="eastAsia"/>
          <w:kern w:val="2"/>
          <w:highlight w:val="none"/>
          <w:lang w:val="en-GB"/>
        </w:rPr>
        <w:t>年</w:t>
      </w:r>
      <w:r>
        <w:rPr>
          <w:rFonts w:hint="eastAsia"/>
          <w:kern w:val="2"/>
          <w:highlight w:val="none"/>
          <w:lang w:eastAsia="zh-CN"/>
        </w:rPr>
        <w:t>7月2日10:00</w:t>
      </w:r>
      <w:r>
        <w:rPr>
          <w:rFonts w:hint="eastAsia"/>
          <w:kern w:val="2"/>
          <w:highlight w:val="none"/>
          <w:lang w:val="en-GB"/>
        </w:rPr>
        <w:t>（北京时间）</w:t>
      </w:r>
    </w:p>
    <w:p w14:paraId="42B6B595">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投标地点：政采云开标大厅（https://www.zcygov.cn在线投标）</w:t>
      </w:r>
    </w:p>
    <w:p w14:paraId="31B637E1">
      <w:pPr>
        <w:pStyle w:val="25"/>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开标时间：202</w:t>
      </w:r>
      <w:r>
        <w:rPr>
          <w:rFonts w:hint="eastAsia"/>
          <w:kern w:val="2"/>
          <w:highlight w:val="none"/>
        </w:rPr>
        <w:t>6</w:t>
      </w:r>
      <w:r>
        <w:rPr>
          <w:rFonts w:hint="eastAsia"/>
          <w:kern w:val="2"/>
          <w:highlight w:val="none"/>
          <w:lang w:val="en-GB"/>
        </w:rPr>
        <w:t>年</w:t>
      </w:r>
      <w:r>
        <w:rPr>
          <w:rFonts w:hint="eastAsia"/>
          <w:kern w:val="2"/>
          <w:highlight w:val="none"/>
          <w:lang w:eastAsia="zh-CN"/>
        </w:rPr>
        <w:t>7月2日10:00</w:t>
      </w:r>
      <w:r>
        <w:rPr>
          <w:rFonts w:hint="eastAsia"/>
          <w:kern w:val="2"/>
          <w:highlight w:val="none"/>
          <w:lang w:val="en-GB"/>
        </w:rPr>
        <w:t>（北京时间）</w:t>
      </w:r>
    </w:p>
    <w:p w14:paraId="6349FCAB">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开标地点：政采云开标大厅（https://www.zcygov.cn在线投标）</w:t>
      </w:r>
      <w:r>
        <w:rPr>
          <w:rFonts w:hint="eastAsia" w:ascii="宋体" w:hAnsi="宋体" w:cs="宋体"/>
          <w:sz w:val="24"/>
          <w:szCs w:val="24"/>
          <w:highlight w:val="none"/>
        </w:rPr>
        <w:t> </w:t>
      </w:r>
      <w:r>
        <w:rPr>
          <w:rFonts w:hint="eastAsia" w:ascii="宋体" w:hAnsi="宋体" w:cs="宋体"/>
          <w:sz w:val="24"/>
          <w:szCs w:val="24"/>
          <w:highlight w:val="none"/>
          <w:lang w:val="en-GB"/>
        </w:rPr>
        <w:t> </w:t>
      </w:r>
    </w:p>
    <w:p w14:paraId="758C04C8">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五、公告期限</w:t>
      </w:r>
    </w:p>
    <w:p w14:paraId="751A07F7">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自本公告发布之日起</w:t>
      </w:r>
      <w:r>
        <w:rPr>
          <w:rFonts w:hint="eastAsia" w:ascii="宋体" w:hAnsi="宋体" w:cs="宋体"/>
          <w:sz w:val="24"/>
          <w:szCs w:val="24"/>
          <w:highlight w:val="none"/>
        </w:rPr>
        <w:t>5</w:t>
      </w:r>
      <w:r>
        <w:rPr>
          <w:rFonts w:hint="eastAsia" w:ascii="宋体" w:hAnsi="宋体" w:cs="宋体"/>
          <w:sz w:val="24"/>
          <w:szCs w:val="24"/>
          <w:highlight w:val="none"/>
          <w:lang w:val="en-GB"/>
        </w:rPr>
        <w:t>个工作日。</w:t>
      </w:r>
    </w:p>
    <w:p w14:paraId="3351B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六、其他补充事宜</w:t>
      </w:r>
    </w:p>
    <w:p w14:paraId="7355472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 xml:space="preserve">本公告在新疆政府采购网发布。 </w:t>
      </w:r>
    </w:p>
    <w:p w14:paraId="76B8D640">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请各投标人随时关注本项目的变更、答疑、澄清文件。</w:t>
      </w:r>
    </w:p>
    <w:p w14:paraId="19C9AFE9">
      <w:pPr>
        <w:spacing w:line="360" w:lineRule="auto"/>
        <w:ind w:firstLine="480" w:firstLineChars="200"/>
        <w:rPr>
          <w:rFonts w:hint="default" w:eastAsia="宋体"/>
          <w:color w:val="auto"/>
          <w:lang w:val="en-US" w:eastAsia="zh-CN"/>
        </w:rPr>
      </w:pPr>
      <w:r>
        <w:rPr>
          <w:rFonts w:hint="eastAsia" w:ascii="宋体" w:hAnsi="宋体" w:cs="宋体"/>
          <w:bCs/>
          <w:color w:val="auto"/>
          <w:sz w:val="24"/>
          <w:szCs w:val="24"/>
          <w:highlight w:val="none"/>
          <w:lang w:val="en-US" w:eastAsia="zh-CN"/>
        </w:rPr>
        <w:t>3.本项目为非专门面向中小企业采购项目。</w:t>
      </w:r>
    </w:p>
    <w:p w14:paraId="7DB750D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.本项目实行网上投标，采用电子投标文件。若投标人参与投标，自行承担投标一切费用。</w:t>
      </w:r>
    </w:p>
    <w:p w14:paraId="4D17C797">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.本次采购采用电子交易方式，电子交易平台为“政府采购云平台（www.zcygov.cn）”。供应商参与本项目电子交易活动前，应注册成为政府采</w:t>
      </w:r>
      <w:r>
        <w:rPr>
          <w:rFonts w:hint="eastAsia" w:ascii="宋体" w:hAnsi="宋体" w:cs="宋体"/>
          <w:sz w:val="24"/>
          <w:szCs w:val="24"/>
          <w:highlight w:val="none"/>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如需咨询，请联系新疆 CA 服务热线 0991-2819290；</w:t>
      </w:r>
    </w:p>
    <w:p w14:paraId="04969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如因投标人自身原因导致在规定时间内无法正常解密的（如：浏览器故障、未安装相关驱动、网络故障、加密 CA 与解密 CA 不一致等），采购中心/代理机构不予异常处理，视为投标人自动弃标。</w:t>
      </w:r>
    </w:p>
    <w:p w14:paraId="295F2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供应商钉钉群号：政采云新疆供应商服务</w:t>
      </w:r>
      <w:r>
        <w:rPr>
          <w:rFonts w:hint="eastAsia" w:ascii="宋体" w:hAnsi="宋体" w:cs="宋体"/>
          <w:bCs/>
          <w:sz w:val="24"/>
          <w:szCs w:val="24"/>
          <w:highlight w:val="none"/>
        </w:rPr>
        <w:t>二十一群：44303812（如已加入1-20群，无需重复加入，二十一个群联动直播）</w:t>
      </w:r>
      <w:r>
        <w:rPr>
          <w:rFonts w:hint="eastAsia" w:ascii="宋体" w:hAnsi="宋体" w:cs="宋体"/>
          <w:sz w:val="24"/>
          <w:szCs w:val="24"/>
          <w:highlight w:val="none"/>
        </w:rPr>
        <w:t>，钉钉工具软件具有回放功能，直播培训结束后可在钉钉群中回放观看学习。</w:t>
      </w:r>
    </w:p>
    <w:p w14:paraId="7E4F92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七、对本次招标提出询问，请按以下方式联系。　　　　　　　　　　　　</w:t>
      </w:r>
    </w:p>
    <w:p w14:paraId="5C48FDF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1.采购人信息</w:t>
      </w:r>
    </w:p>
    <w:p w14:paraId="634FB901">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名    称</w:t>
      </w:r>
      <w:r>
        <w:rPr>
          <w:rFonts w:hint="eastAsia" w:ascii="宋体" w:hAnsi="宋体" w:cs="宋体"/>
          <w:sz w:val="24"/>
          <w:szCs w:val="24"/>
          <w:highlight w:val="none"/>
        </w:rPr>
        <w:t>：</w:t>
      </w:r>
      <w:r>
        <w:rPr>
          <w:rFonts w:hint="eastAsia" w:ascii="宋体" w:hAnsi="宋体" w:cs="宋体"/>
          <w:sz w:val="24"/>
          <w:szCs w:val="24"/>
          <w:highlight w:val="none"/>
          <w:lang w:eastAsia="zh-CN"/>
        </w:rPr>
        <w:t>新疆维吾尔自治区库尔勒开发区某单位</w:t>
      </w:r>
      <w:r>
        <w:rPr>
          <w:rFonts w:hint="eastAsia" w:ascii="宋体" w:hAnsi="宋体" w:cs="宋体"/>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w:t>
      </w:r>
    </w:p>
    <w:p w14:paraId="14592F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eastAsia="zh-CN"/>
        </w:rPr>
        <w:t>库尔勒市经济技术开发区科创路160号</w:t>
      </w:r>
      <w:r>
        <w:rPr>
          <w:rFonts w:hint="eastAsia" w:ascii="宋体" w:hAnsi="宋体" w:cs="宋体"/>
          <w:sz w:val="24"/>
          <w:szCs w:val="24"/>
          <w:highlight w:val="none"/>
        </w:rPr>
        <w:t>　　　　　  </w:t>
      </w:r>
    </w:p>
    <w:p w14:paraId="27D64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eastAsia="zh-CN"/>
        </w:rPr>
        <w:t>魏先生</w:t>
      </w:r>
      <w:r>
        <w:rPr>
          <w:rFonts w:hint="eastAsia" w:ascii="宋体" w:hAnsi="宋体" w:cs="宋体"/>
          <w:sz w:val="24"/>
          <w:szCs w:val="24"/>
          <w:highlight w:val="none"/>
        </w:rPr>
        <w:t>  　　　　　　　　　　</w:t>
      </w:r>
    </w:p>
    <w:p w14:paraId="14125A04">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项目联系方式（询问）：18742879577</w:t>
      </w:r>
      <w:r>
        <w:rPr>
          <w:rFonts w:hint="eastAsia" w:ascii="宋体" w:hAnsi="宋体" w:cs="宋体"/>
          <w:bCs/>
          <w:sz w:val="24"/>
          <w:szCs w:val="24"/>
          <w:highlight w:val="none"/>
        </w:rPr>
        <w:t>　　　　　　　　</w:t>
      </w:r>
    </w:p>
    <w:p w14:paraId="75965730">
      <w:pPr>
        <w:spacing w:line="48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2.采购代理机构信息</w:t>
      </w:r>
    </w:p>
    <w:p w14:paraId="5C85536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新疆锦瑞祥工程项目咨询管理有限公司</w:t>
      </w:r>
      <w:r>
        <w:rPr>
          <w:rFonts w:hint="eastAsia" w:ascii="宋体" w:hAnsi="宋体" w:cs="宋体"/>
          <w:bCs/>
          <w:sz w:val="24"/>
          <w:szCs w:val="24"/>
          <w:highlight w:val="none"/>
        </w:rPr>
        <w:t> 　　　　　　　　　　　</w:t>
      </w:r>
    </w:p>
    <w:p w14:paraId="71944F4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eastAsia="zh-CN"/>
        </w:rPr>
        <w:t>新疆库尔勒市石化大道天缘商务酒店4楼617室</w:t>
      </w:r>
    </w:p>
    <w:p w14:paraId="7373FB5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项目联系人（询问）：雷女士 　　　　　　　　　　　</w:t>
      </w:r>
    </w:p>
    <w:p w14:paraId="5A1D41D0">
      <w:pPr>
        <w:pStyle w:val="13"/>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rPr>
        <w:t>项目联系方式（询问）：</w:t>
      </w:r>
      <w:r>
        <w:rPr>
          <w:rFonts w:hint="eastAsia" w:ascii="宋体" w:hAnsi="宋体" w:cs="宋体"/>
          <w:bCs/>
          <w:sz w:val="24"/>
          <w:szCs w:val="24"/>
          <w:highlight w:val="none"/>
          <w:lang w:val="en-US" w:eastAsia="zh-CN"/>
        </w:rPr>
        <w:t>17797975425</w:t>
      </w:r>
    </w:p>
    <w:p w14:paraId="414447A1">
      <w:pPr>
        <w:rPr>
          <w:highlight w:val="none"/>
        </w:rPr>
      </w:pPr>
      <w:r>
        <w:rPr>
          <w:highlight w:val="none"/>
        </w:rPr>
        <w:br w:type="page"/>
      </w:r>
    </w:p>
    <w:p w14:paraId="59BDF4BD">
      <w:pPr>
        <w:widowControl/>
        <w:spacing w:line="360" w:lineRule="auto"/>
        <w:jc w:val="center"/>
        <w:outlineLvl w:val="0"/>
        <w:rPr>
          <w:rFonts w:ascii="宋体" w:hAnsi="宋体"/>
          <w:b/>
          <w:sz w:val="36"/>
          <w:highlight w:val="none"/>
        </w:rPr>
      </w:pPr>
      <w:r>
        <w:rPr>
          <w:rFonts w:hint="eastAsia" w:ascii="宋体" w:hAnsi="宋体"/>
          <w:b/>
          <w:sz w:val="36"/>
          <w:highlight w:val="none"/>
        </w:rPr>
        <w:t>第二部分 投标须知</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0"/>
        <w:gridCol w:w="7144"/>
      </w:tblGrid>
      <w:tr w14:paraId="5B37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E7562A3">
            <w:pPr>
              <w:jc w:val="center"/>
              <w:rPr>
                <w:rFonts w:ascii="宋体" w:hAnsi="宋体" w:cs="宋体"/>
                <w:sz w:val="24"/>
                <w:szCs w:val="24"/>
                <w:highlight w:val="none"/>
              </w:rPr>
            </w:pPr>
            <w:r>
              <w:rPr>
                <w:rFonts w:hint="eastAsia" w:ascii="宋体" w:hAnsi="宋体" w:cs="宋体"/>
                <w:sz w:val="24"/>
                <w:szCs w:val="24"/>
                <w:highlight w:val="none"/>
              </w:rPr>
              <w:t>项号</w:t>
            </w:r>
          </w:p>
        </w:tc>
        <w:tc>
          <w:tcPr>
            <w:tcW w:w="1270" w:type="dxa"/>
            <w:vAlign w:val="center"/>
          </w:tcPr>
          <w:p w14:paraId="42E360E8">
            <w:pPr>
              <w:jc w:val="center"/>
              <w:rPr>
                <w:rFonts w:ascii="宋体" w:hAnsi="宋体" w:cs="宋体"/>
                <w:sz w:val="24"/>
                <w:szCs w:val="24"/>
                <w:highlight w:val="none"/>
              </w:rPr>
            </w:pPr>
            <w:r>
              <w:rPr>
                <w:rFonts w:hint="eastAsia" w:ascii="宋体" w:hAnsi="宋体" w:cs="宋体"/>
                <w:sz w:val="24"/>
                <w:szCs w:val="24"/>
                <w:highlight w:val="none"/>
              </w:rPr>
              <w:t>项目</w:t>
            </w:r>
          </w:p>
        </w:tc>
        <w:tc>
          <w:tcPr>
            <w:tcW w:w="7144" w:type="dxa"/>
            <w:vAlign w:val="center"/>
          </w:tcPr>
          <w:p w14:paraId="3774780C">
            <w:pPr>
              <w:jc w:val="center"/>
              <w:rPr>
                <w:rFonts w:ascii="宋体" w:hAnsi="宋体" w:cs="宋体"/>
                <w:sz w:val="24"/>
                <w:szCs w:val="24"/>
                <w:highlight w:val="none"/>
              </w:rPr>
            </w:pPr>
            <w:r>
              <w:rPr>
                <w:rFonts w:hint="eastAsia" w:ascii="宋体" w:hAnsi="宋体" w:cs="宋体"/>
                <w:sz w:val="24"/>
                <w:szCs w:val="24"/>
                <w:highlight w:val="none"/>
              </w:rPr>
              <w:t>内</w:t>
            </w:r>
            <w:r>
              <w:rPr>
                <w:rFonts w:hint="eastAsia" w:ascii="宋体" w:hAnsi="宋体" w:cs="宋体"/>
                <w:sz w:val="24"/>
                <w:szCs w:val="24"/>
                <w:highlight w:val="none"/>
              </w:rPr>
              <w:tab/>
            </w:r>
            <w:r>
              <w:rPr>
                <w:rFonts w:hint="eastAsia" w:ascii="宋体" w:hAnsi="宋体" w:cs="宋体"/>
                <w:sz w:val="24"/>
                <w:szCs w:val="24"/>
                <w:highlight w:val="none"/>
              </w:rPr>
              <w:t>容</w:t>
            </w:r>
          </w:p>
        </w:tc>
      </w:tr>
      <w:tr w14:paraId="40A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44" w:type="dxa"/>
            <w:vAlign w:val="center"/>
          </w:tcPr>
          <w:p w14:paraId="054142E2">
            <w:pPr>
              <w:jc w:val="center"/>
              <w:rPr>
                <w:rFonts w:ascii="宋体" w:hAnsi="宋体" w:cs="宋体"/>
                <w:sz w:val="24"/>
                <w:szCs w:val="24"/>
                <w:highlight w:val="none"/>
              </w:rPr>
            </w:pPr>
            <w:r>
              <w:rPr>
                <w:rFonts w:hint="eastAsia" w:ascii="宋体" w:hAnsi="宋体" w:cs="宋体"/>
                <w:sz w:val="24"/>
                <w:szCs w:val="24"/>
                <w:highlight w:val="none"/>
              </w:rPr>
              <w:t>1</w:t>
            </w:r>
          </w:p>
        </w:tc>
        <w:tc>
          <w:tcPr>
            <w:tcW w:w="1270" w:type="dxa"/>
            <w:vAlign w:val="center"/>
          </w:tcPr>
          <w:p w14:paraId="2905B591">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7144" w:type="dxa"/>
            <w:vAlign w:val="center"/>
          </w:tcPr>
          <w:p w14:paraId="3EEFFA0D">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2026年度职工食堂采购项目-副食品类</w:t>
            </w:r>
          </w:p>
        </w:tc>
      </w:tr>
      <w:tr w14:paraId="55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3B3154F">
            <w:pPr>
              <w:jc w:val="center"/>
              <w:rPr>
                <w:rFonts w:ascii="宋体" w:hAnsi="宋体" w:cs="宋体"/>
                <w:sz w:val="24"/>
                <w:szCs w:val="24"/>
                <w:highlight w:val="none"/>
              </w:rPr>
            </w:pPr>
            <w:r>
              <w:rPr>
                <w:rFonts w:hint="eastAsia" w:ascii="宋体" w:hAnsi="宋体" w:cs="宋体"/>
                <w:sz w:val="24"/>
                <w:szCs w:val="24"/>
                <w:highlight w:val="none"/>
              </w:rPr>
              <w:t>2</w:t>
            </w:r>
          </w:p>
        </w:tc>
        <w:tc>
          <w:tcPr>
            <w:tcW w:w="1270" w:type="dxa"/>
            <w:vAlign w:val="center"/>
          </w:tcPr>
          <w:p w14:paraId="6AEFD8E1">
            <w:pPr>
              <w:jc w:val="center"/>
              <w:rPr>
                <w:rFonts w:ascii="宋体" w:hAnsi="宋体" w:cs="宋体"/>
                <w:sz w:val="24"/>
                <w:szCs w:val="24"/>
                <w:highlight w:val="none"/>
              </w:rPr>
            </w:pPr>
            <w:r>
              <w:rPr>
                <w:rFonts w:hint="eastAsia" w:ascii="宋体" w:hAnsi="宋体" w:cs="宋体"/>
                <w:sz w:val="24"/>
                <w:szCs w:val="24"/>
                <w:highlight w:val="none"/>
              </w:rPr>
              <w:t>项目编号</w:t>
            </w:r>
          </w:p>
        </w:tc>
        <w:tc>
          <w:tcPr>
            <w:tcW w:w="7144" w:type="dxa"/>
            <w:vAlign w:val="center"/>
          </w:tcPr>
          <w:p w14:paraId="0BB9C2D5">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XJJRX-GKZB(2026)-0608</w:t>
            </w:r>
          </w:p>
        </w:tc>
      </w:tr>
      <w:tr w14:paraId="666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4" w:type="dxa"/>
            <w:vAlign w:val="center"/>
          </w:tcPr>
          <w:p w14:paraId="5427782B">
            <w:pPr>
              <w:jc w:val="center"/>
              <w:rPr>
                <w:rFonts w:ascii="宋体" w:hAnsi="宋体" w:cs="宋体"/>
                <w:sz w:val="24"/>
                <w:szCs w:val="24"/>
                <w:highlight w:val="none"/>
              </w:rPr>
            </w:pPr>
            <w:r>
              <w:rPr>
                <w:rFonts w:hint="eastAsia" w:ascii="宋体" w:hAnsi="宋体" w:cs="宋体"/>
                <w:sz w:val="24"/>
                <w:szCs w:val="24"/>
                <w:highlight w:val="none"/>
              </w:rPr>
              <w:t>3</w:t>
            </w:r>
          </w:p>
        </w:tc>
        <w:tc>
          <w:tcPr>
            <w:tcW w:w="1270" w:type="dxa"/>
            <w:vAlign w:val="center"/>
          </w:tcPr>
          <w:p w14:paraId="589089CD">
            <w:pPr>
              <w:jc w:val="center"/>
              <w:rPr>
                <w:rFonts w:ascii="宋体" w:hAnsi="宋体" w:cs="宋体"/>
                <w:sz w:val="24"/>
                <w:szCs w:val="24"/>
                <w:highlight w:val="none"/>
              </w:rPr>
            </w:pPr>
            <w:r>
              <w:rPr>
                <w:rFonts w:hint="eastAsia" w:ascii="宋体" w:hAnsi="宋体" w:cs="宋体"/>
                <w:sz w:val="24"/>
                <w:szCs w:val="24"/>
                <w:highlight w:val="none"/>
              </w:rPr>
              <w:t>合同履行期限</w:t>
            </w:r>
          </w:p>
        </w:tc>
        <w:tc>
          <w:tcPr>
            <w:tcW w:w="7144" w:type="dxa"/>
            <w:vAlign w:val="center"/>
          </w:tcPr>
          <w:p w14:paraId="6AE69FEC">
            <w:pPr>
              <w:jc w:val="left"/>
              <w:rPr>
                <w:rFonts w:ascii="宋体" w:hAnsi="宋体" w:cs="宋体"/>
                <w:sz w:val="24"/>
                <w:szCs w:val="24"/>
                <w:highlight w:val="none"/>
              </w:rPr>
            </w:pPr>
            <w:r>
              <w:rPr>
                <w:rFonts w:hint="eastAsia" w:ascii="宋体" w:hAnsi="宋体" w:cs="宋体"/>
                <w:sz w:val="24"/>
                <w:szCs w:val="22"/>
                <w:highlight w:val="none"/>
              </w:rPr>
              <w:t>自合同签订之日起一年，按业主需求进行供货。</w:t>
            </w:r>
          </w:p>
        </w:tc>
      </w:tr>
      <w:tr w14:paraId="3F5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ECB0455">
            <w:pPr>
              <w:jc w:val="center"/>
              <w:rPr>
                <w:rFonts w:ascii="宋体" w:hAnsi="宋体" w:cs="宋体"/>
                <w:sz w:val="24"/>
                <w:szCs w:val="24"/>
                <w:highlight w:val="none"/>
              </w:rPr>
            </w:pPr>
            <w:r>
              <w:rPr>
                <w:rFonts w:hint="eastAsia" w:ascii="宋体" w:hAnsi="宋体" w:cs="宋体"/>
                <w:sz w:val="24"/>
                <w:szCs w:val="24"/>
                <w:highlight w:val="none"/>
              </w:rPr>
              <w:t>4</w:t>
            </w:r>
          </w:p>
        </w:tc>
        <w:tc>
          <w:tcPr>
            <w:tcW w:w="1270" w:type="dxa"/>
            <w:vAlign w:val="center"/>
          </w:tcPr>
          <w:p w14:paraId="0892F60E">
            <w:pPr>
              <w:jc w:val="both"/>
              <w:rPr>
                <w:rFonts w:ascii="宋体" w:hAnsi="宋体" w:cs="宋体"/>
                <w:sz w:val="24"/>
                <w:szCs w:val="24"/>
                <w:highlight w:val="none"/>
              </w:rPr>
            </w:pPr>
            <w:r>
              <w:rPr>
                <w:rFonts w:hint="eastAsia" w:ascii="宋体" w:hAnsi="宋体" w:cs="宋体"/>
                <w:sz w:val="24"/>
                <w:szCs w:val="24"/>
                <w:highlight w:val="none"/>
              </w:rPr>
              <w:t>供货地点</w:t>
            </w:r>
          </w:p>
        </w:tc>
        <w:tc>
          <w:tcPr>
            <w:tcW w:w="7144" w:type="dxa"/>
            <w:vAlign w:val="center"/>
          </w:tcPr>
          <w:p w14:paraId="791F91B3">
            <w:pPr>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甲方指定地点</w:t>
            </w:r>
          </w:p>
        </w:tc>
      </w:tr>
      <w:tr w14:paraId="6B5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5FAA58CC">
            <w:pPr>
              <w:jc w:val="center"/>
              <w:rPr>
                <w:rFonts w:ascii="宋体" w:hAnsi="宋体" w:cs="宋体"/>
                <w:sz w:val="24"/>
                <w:szCs w:val="24"/>
                <w:highlight w:val="none"/>
              </w:rPr>
            </w:pPr>
            <w:r>
              <w:rPr>
                <w:rFonts w:hint="eastAsia" w:ascii="宋体" w:hAnsi="宋体" w:cs="宋体"/>
                <w:sz w:val="24"/>
                <w:szCs w:val="24"/>
                <w:highlight w:val="none"/>
              </w:rPr>
              <w:t>5</w:t>
            </w:r>
          </w:p>
        </w:tc>
        <w:tc>
          <w:tcPr>
            <w:tcW w:w="1270" w:type="dxa"/>
            <w:vAlign w:val="center"/>
          </w:tcPr>
          <w:p w14:paraId="5EC9BB88">
            <w:pPr>
              <w:jc w:val="both"/>
              <w:rPr>
                <w:rFonts w:ascii="宋体" w:hAnsi="宋体" w:cs="宋体"/>
                <w:sz w:val="24"/>
                <w:szCs w:val="24"/>
                <w:highlight w:val="none"/>
              </w:rPr>
            </w:pPr>
            <w:r>
              <w:rPr>
                <w:rFonts w:hint="eastAsia" w:ascii="宋体" w:hAnsi="宋体" w:cs="宋体"/>
                <w:sz w:val="24"/>
                <w:szCs w:val="24"/>
                <w:highlight w:val="none"/>
              </w:rPr>
              <w:t>资金来源</w:t>
            </w:r>
          </w:p>
        </w:tc>
        <w:tc>
          <w:tcPr>
            <w:tcW w:w="7144" w:type="dxa"/>
            <w:vAlign w:val="center"/>
          </w:tcPr>
          <w:p w14:paraId="1055528D">
            <w:pPr>
              <w:jc w:val="both"/>
              <w:rPr>
                <w:rFonts w:ascii="宋体" w:hAnsi="宋体" w:cs="宋体"/>
                <w:sz w:val="24"/>
                <w:szCs w:val="24"/>
                <w:highlight w:val="none"/>
              </w:rPr>
            </w:pPr>
            <w:r>
              <w:rPr>
                <w:rFonts w:hint="eastAsia" w:ascii="宋体" w:hAnsi="宋体" w:cs="宋体"/>
                <w:sz w:val="24"/>
                <w:szCs w:val="24"/>
                <w:highlight w:val="none"/>
              </w:rPr>
              <w:t>财政资金</w:t>
            </w:r>
          </w:p>
        </w:tc>
      </w:tr>
      <w:tr w14:paraId="4971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A4D65EE">
            <w:pPr>
              <w:jc w:val="center"/>
              <w:rPr>
                <w:rFonts w:ascii="宋体" w:hAnsi="宋体" w:cs="宋体"/>
                <w:sz w:val="24"/>
                <w:szCs w:val="24"/>
                <w:highlight w:val="none"/>
              </w:rPr>
            </w:pPr>
            <w:r>
              <w:rPr>
                <w:rFonts w:hint="eastAsia" w:ascii="宋体" w:hAnsi="宋体" w:cs="宋体"/>
                <w:sz w:val="24"/>
                <w:szCs w:val="24"/>
                <w:highlight w:val="none"/>
              </w:rPr>
              <w:t>6</w:t>
            </w:r>
          </w:p>
        </w:tc>
        <w:tc>
          <w:tcPr>
            <w:tcW w:w="1270" w:type="dxa"/>
            <w:vAlign w:val="center"/>
          </w:tcPr>
          <w:p w14:paraId="5907E7EB">
            <w:pPr>
              <w:jc w:val="both"/>
              <w:rPr>
                <w:rFonts w:ascii="宋体" w:hAnsi="宋体" w:cs="宋体"/>
                <w:sz w:val="24"/>
                <w:szCs w:val="24"/>
                <w:highlight w:val="none"/>
              </w:rPr>
            </w:pPr>
            <w:r>
              <w:rPr>
                <w:rFonts w:hint="eastAsia" w:ascii="宋体" w:hAnsi="宋体" w:cs="宋体"/>
                <w:sz w:val="24"/>
                <w:szCs w:val="24"/>
                <w:highlight w:val="none"/>
              </w:rPr>
              <w:t>采购方式</w:t>
            </w:r>
          </w:p>
        </w:tc>
        <w:tc>
          <w:tcPr>
            <w:tcW w:w="7144" w:type="dxa"/>
            <w:vAlign w:val="center"/>
          </w:tcPr>
          <w:p w14:paraId="4DD2497D">
            <w:pPr>
              <w:jc w:val="both"/>
              <w:rPr>
                <w:rFonts w:ascii="宋体" w:hAnsi="宋体" w:cs="宋体"/>
                <w:sz w:val="24"/>
                <w:szCs w:val="24"/>
                <w:highlight w:val="none"/>
              </w:rPr>
            </w:pPr>
            <w:r>
              <w:rPr>
                <w:rFonts w:hint="eastAsia" w:ascii="宋体" w:hAnsi="宋体" w:cs="宋体"/>
                <w:sz w:val="24"/>
                <w:szCs w:val="24"/>
                <w:highlight w:val="none"/>
              </w:rPr>
              <w:t>公开招标</w:t>
            </w:r>
          </w:p>
        </w:tc>
      </w:tr>
      <w:tr w14:paraId="30F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44" w:type="dxa"/>
            <w:vAlign w:val="center"/>
          </w:tcPr>
          <w:p w14:paraId="41AFAF05">
            <w:pPr>
              <w:jc w:val="center"/>
              <w:rPr>
                <w:rFonts w:ascii="宋体" w:hAnsi="宋体" w:cs="宋体"/>
                <w:sz w:val="24"/>
                <w:szCs w:val="24"/>
                <w:highlight w:val="none"/>
              </w:rPr>
            </w:pPr>
            <w:r>
              <w:rPr>
                <w:rFonts w:hint="eastAsia" w:ascii="宋体" w:hAnsi="宋体" w:cs="宋体"/>
                <w:sz w:val="24"/>
                <w:szCs w:val="24"/>
                <w:highlight w:val="none"/>
              </w:rPr>
              <w:t>7</w:t>
            </w:r>
          </w:p>
        </w:tc>
        <w:tc>
          <w:tcPr>
            <w:tcW w:w="1270" w:type="dxa"/>
            <w:vAlign w:val="center"/>
          </w:tcPr>
          <w:p w14:paraId="221E56D6">
            <w:pPr>
              <w:jc w:val="center"/>
              <w:rPr>
                <w:rFonts w:ascii="宋体" w:hAnsi="宋体" w:cs="宋体"/>
                <w:sz w:val="24"/>
                <w:szCs w:val="24"/>
                <w:highlight w:val="none"/>
              </w:rPr>
            </w:pPr>
            <w:r>
              <w:rPr>
                <w:rFonts w:hint="eastAsia" w:ascii="宋体" w:hAnsi="宋体" w:cs="宋体"/>
                <w:sz w:val="24"/>
                <w:szCs w:val="24"/>
                <w:highlight w:val="none"/>
              </w:rPr>
              <w:t>采购人</w:t>
            </w:r>
          </w:p>
        </w:tc>
        <w:tc>
          <w:tcPr>
            <w:tcW w:w="7144" w:type="dxa"/>
            <w:vAlign w:val="center"/>
          </w:tcPr>
          <w:p w14:paraId="757005D9">
            <w:pPr>
              <w:spacing w:line="360" w:lineRule="auto"/>
              <w:jc w:val="left"/>
              <w:rPr>
                <w:rFonts w:ascii="宋体" w:hAnsi="宋体" w:cs="宋体"/>
                <w:sz w:val="24"/>
                <w:szCs w:val="24"/>
                <w:highlight w:val="none"/>
              </w:rPr>
            </w:pPr>
            <w:r>
              <w:rPr>
                <w:rFonts w:ascii="宋体" w:hAnsi="宋体" w:cs="宋体"/>
                <w:sz w:val="24"/>
                <w:szCs w:val="24"/>
                <w:highlight w:val="none"/>
              </w:rPr>
              <w:t>名   称：</w:t>
            </w:r>
            <w:r>
              <w:rPr>
                <w:rFonts w:hint="eastAsia" w:ascii="宋体" w:hAnsi="宋体" w:cs="宋体"/>
                <w:sz w:val="24"/>
                <w:szCs w:val="24"/>
                <w:highlight w:val="none"/>
                <w:lang w:eastAsia="zh-CN"/>
              </w:rPr>
              <w:t>新疆维吾尔自治区库尔勒开发区某单位</w:t>
            </w:r>
            <w:r>
              <w:rPr>
                <w:rFonts w:ascii="宋体" w:hAnsi="宋体" w:cs="宋体"/>
                <w:sz w:val="24"/>
                <w:szCs w:val="24"/>
                <w:highlight w:val="none"/>
              </w:rPr>
              <w:t>　　　　　　　　　　　</w:t>
            </w:r>
          </w:p>
          <w:p w14:paraId="1BF5CA5B">
            <w:pPr>
              <w:spacing w:line="360" w:lineRule="auto"/>
              <w:jc w:val="left"/>
              <w:rPr>
                <w:rFonts w:ascii="宋体" w:hAnsi="宋体" w:cs="宋体"/>
                <w:sz w:val="24"/>
                <w:szCs w:val="24"/>
                <w:highlight w:val="none"/>
              </w:rPr>
            </w:pPr>
            <w:r>
              <w:rPr>
                <w:rFonts w:hint="eastAsia" w:ascii="宋体" w:hAnsi="宋体" w:cs="宋体"/>
                <w:sz w:val="24"/>
                <w:szCs w:val="24"/>
                <w:highlight w:val="none"/>
              </w:rPr>
              <w:t>地      址：库尔勒市经济技术开发区科创路16</w:t>
            </w:r>
            <w:r>
              <w:rPr>
                <w:rFonts w:hint="eastAsia" w:ascii="宋体" w:hAnsi="宋体" w:cs="宋体"/>
                <w:sz w:val="24"/>
                <w:szCs w:val="24"/>
                <w:highlight w:val="none"/>
                <w:lang w:val="en-US" w:eastAsia="zh-CN"/>
              </w:rPr>
              <w:t>0</w:t>
            </w:r>
            <w:r>
              <w:rPr>
                <w:rFonts w:hint="eastAsia" w:ascii="宋体" w:hAnsi="宋体" w:cs="宋体"/>
                <w:sz w:val="24"/>
                <w:szCs w:val="24"/>
                <w:highlight w:val="none"/>
              </w:rPr>
              <w:t>号　　　　　  </w:t>
            </w:r>
          </w:p>
          <w:p w14:paraId="431095BA">
            <w:pPr>
              <w:spacing w:line="360" w:lineRule="auto"/>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eastAsia="zh-CN"/>
              </w:rPr>
              <w:t>魏先生</w:t>
            </w:r>
            <w:r>
              <w:rPr>
                <w:rFonts w:hint="eastAsia" w:ascii="宋体" w:hAnsi="宋体" w:cs="宋体"/>
                <w:sz w:val="24"/>
                <w:szCs w:val="24"/>
                <w:highlight w:val="none"/>
              </w:rPr>
              <w:t>  　　　　　　　　　　</w:t>
            </w:r>
          </w:p>
          <w:p w14:paraId="572BA9E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项目联系方式（询问）：18742879577</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w:t>
            </w:r>
            <w:r>
              <w:rPr>
                <w:rFonts w:ascii="宋体" w:hAnsi="宋体" w:cs="宋体"/>
                <w:bCs/>
                <w:sz w:val="24"/>
                <w:szCs w:val="24"/>
                <w:highlight w:val="none"/>
              </w:rPr>
              <w:t>　</w:t>
            </w:r>
          </w:p>
        </w:tc>
      </w:tr>
      <w:tr w14:paraId="285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4" w:type="dxa"/>
            <w:vAlign w:val="center"/>
          </w:tcPr>
          <w:p w14:paraId="1371729D">
            <w:pPr>
              <w:jc w:val="center"/>
              <w:rPr>
                <w:rFonts w:ascii="宋体" w:hAnsi="宋体" w:cs="宋体"/>
                <w:sz w:val="24"/>
                <w:szCs w:val="24"/>
                <w:highlight w:val="none"/>
              </w:rPr>
            </w:pPr>
            <w:r>
              <w:rPr>
                <w:rFonts w:hint="eastAsia" w:ascii="宋体" w:hAnsi="宋体" w:cs="宋体"/>
                <w:sz w:val="24"/>
                <w:szCs w:val="24"/>
                <w:highlight w:val="none"/>
              </w:rPr>
              <w:t>8</w:t>
            </w:r>
          </w:p>
        </w:tc>
        <w:tc>
          <w:tcPr>
            <w:tcW w:w="1270" w:type="dxa"/>
            <w:vAlign w:val="center"/>
          </w:tcPr>
          <w:p w14:paraId="729E967B">
            <w:pPr>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7144" w:type="dxa"/>
            <w:vAlign w:val="center"/>
          </w:tcPr>
          <w:p w14:paraId="356E1977">
            <w:pPr>
              <w:spacing w:line="360" w:lineRule="auto"/>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新疆锦瑞祥工程项目咨询管理有限公司</w:t>
            </w:r>
            <w:r>
              <w:rPr>
                <w:rFonts w:hint="eastAsia" w:ascii="宋体" w:hAnsi="宋体" w:cs="宋体"/>
                <w:sz w:val="24"/>
                <w:szCs w:val="24"/>
                <w:highlight w:val="none"/>
              </w:rPr>
              <w:t> 　　　　　　　　　　　</w:t>
            </w:r>
          </w:p>
          <w:p w14:paraId="3DB5AE50">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新疆库尔勒市石化大道天缘商务酒店4楼617室</w:t>
            </w:r>
          </w:p>
          <w:p w14:paraId="0F7595B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项目联系人（询问）：雷女士  　　　　　　　　　　　</w:t>
            </w:r>
          </w:p>
          <w:p w14:paraId="566324C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17797975425</w:t>
            </w:r>
          </w:p>
        </w:tc>
      </w:tr>
      <w:tr w14:paraId="668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22FE111A">
            <w:pPr>
              <w:jc w:val="center"/>
              <w:rPr>
                <w:rFonts w:ascii="宋体" w:hAnsi="宋体" w:cs="宋体"/>
                <w:sz w:val="24"/>
                <w:szCs w:val="24"/>
                <w:highlight w:val="none"/>
              </w:rPr>
            </w:pPr>
            <w:r>
              <w:rPr>
                <w:rFonts w:hint="eastAsia" w:ascii="宋体" w:hAnsi="宋体" w:cs="宋体"/>
                <w:sz w:val="24"/>
                <w:szCs w:val="24"/>
                <w:highlight w:val="none"/>
              </w:rPr>
              <w:t>9</w:t>
            </w:r>
          </w:p>
        </w:tc>
        <w:tc>
          <w:tcPr>
            <w:tcW w:w="1270" w:type="dxa"/>
            <w:vAlign w:val="center"/>
          </w:tcPr>
          <w:p w14:paraId="7F6ECF93">
            <w:pPr>
              <w:jc w:val="center"/>
              <w:rPr>
                <w:rFonts w:ascii="宋体" w:hAnsi="宋体" w:cs="宋体"/>
                <w:sz w:val="24"/>
                <w:szCs w:val="24"/>
                <w:highlight w:val="none"/>
              </w:rPr>
            </w:pPr>
            <w:r>
              <w:rPr>
                <w:rFonts w:hint="eastAsia" w:ascii="宋体" w:hAnsi="宋体" w:cs="宋体"/>
                <w:sz w:val="24"/>
                <w:szCs w:val="24"/>
                <w:highlight w:val="none"/>
              </w:rPr>
              <w:t>投标人必备资质</w:t>
            </w:r>
          </w:p>
        </w:tc>
        <w:tc>
          <w:tcPr>
            <w:tcW w:w="7144" w:type="dxa"/>
            <w:vAlign w:val="center"/>
          </w:tcPr>
          <w:p w14:paraId="5C718A33">
            <w:pPr>
              <w:spacing w:line="360" w:lineRule="auto"/>
              <w:ind w:left="21" w:leftChars="10"/>
              <w:jc w:val="left"/>
              <w:rPr>
                <w:sz w:val="24"/>
                <w:szCs w:val="24"/>
                <w:highlight w:val="none"/>
              </w:rPr>
            </w:pPr>
            <w:r>
              <w:rPr>
                <w:rFonts w:hint="eastAsia"/>
                <w:sz w:val="24"/>
                <w:szCs w:val="24"/>
                <w:highlight w:val="none"/>
              </w:rPr>
              <w:t>（1）满足《中华人民共和国政府采购法》第二十二条规定；</w:t>
            </w:r>
          </w:p>
          <w:p w14:paraId="10AEDEF7">
            <w:pPr>
              <w:pStyle w:val="13"/>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2</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ED084C1">
            <w:pPr>
              <w:pStyle w:val="13"/>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3</w:t>
            </w:r>
            <w:r>
              <w:rPr>
                <w:rFonts w:ascii="Times New Roman" w:hAnsi="Times New Roman"/>
                <w:kern w:val="2"/>
                <w:sz w:val="24"/>
                <w:szCs w:val="24"/>
                <w:highlight w:val="none"/>
                <w:lang w:val="en-US"/>
              </w:rPr>
              <w:t>）法人须提供法定代表人资格证明书及身份证或法人授权委托书及被授权人身份证；</w:t>
            </w:r>
          </w:p>
          <w:p w14:paraId="02BE74B7">
            <w:pPr>
              <w:pStyle w:val="13"/>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4</w:t>
            </w:r>
            <w:r>
              <w:rPr>
                <w:rFonts w:ascii="Times New Roman" w:hAnsi="Times New Roman"/>
                <w:kern w:val="2"/>
                <w:sz w:val="24"/>
                <w:szCs w:val="24"/>
                <w:highlight w:val="none"/>
                <w:lang w:val="en-US"/>
              </w:rPr>
              <w:t>）单位负责人为同一人或者存在直接控股、管理关系的不同投标人，不得参加同一合同项下的政府采购活动；</w:t>
            </w:r>
          </w:p>
          <w:p w14:paraId="059D8AF2">
            <w:pPr>
              <w:pStyle w:val="13"/>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5</w:t>
            </w:r>
            <w:r>
              <w:rPr>
                <w:rFonts w:ascii="Times New Roman" w:hAnsi="Times New Roman"/>
                <w:kern w:val="2"/>
                <w:sz w:val="24"/>
                <w:szCs w:val="24"/>
                <w:highlight w:val="none"/>
                <w:lang w:val="en-US"/>
              </w:rPr>
              <w:t>）</w:t>
            </w:r>
            <w:r>
              <w:rPr>
                <w:rFonts w:hint="eastAsia" w:ascii="宋体" w:hAnsi="宋体" w:cs="宋体"/>
                <w:bCs/>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ascii="Times New Roman" w:hAnsi="Times New Roman"/>
                <w:kern w:val="2"/>
                <w:sz w:val="24"/>
                <w:szCs w:val="24"/>
                <w:highlight w:val="none"/>
                <w:lang w:val="en-US"/>
              </w:rPr>
              <w:t xml:space="preserve">； </w:t>
            </w:r>
          </w:p>
          <w:p w14:paraId="33E51750">
            <w:pPr>
              <w:pStyle w:val="13"/>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6</w:t>
            </w:r>
            <w:r>
              <w:rPr>
                <w:rFonts w:ascii="Times New Roman" w:hAnsi="Times New Roman"/>
                <w:kern w:val="2"/>
                <w:sz w:val="24"/>
                <w:szCs w:val="24"/>
                <w:highlight w:val="none"/>
                <w:lang w:val="en-US"/>
              </w:rPr>
              <w:t>）投标保证金缴纳凭证或保函；</w:t>
            </w:r>
          </w:p>
          <w:p w14:paraId="6EB29E1D">
            <w:pPr>
              <w:pStyle w:val="13"/>
              <w:spacing w:line="360" w:lineRule="auto"/>
              <w:ind w:left="21" w:leftChars="10"/>
              <w:rPr>
                <w:rFonts w:hint="eastAsia" w:ascii="Times New Roman" w:hAnsi="Times New Roman" w:eastAsia="宋体"/>
                <w:kern w:val="2"/>
                <w:sz w:val="24"/>
                <w:szCs w:val="24"/>
                <w:highlight w:val="none"/>
                <w:lang w:val="en-US" w:eastAsia="zh-CN"/>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7</w:t>
            </w:r>
            <w:r>
              <w:rPr>
                <w:rFonts w:ascii="Times New Roman" w:hAnsi="Times New Roman"/>
                <w:kern w:val="2"/>
                <w:sz w:val="24"/>
                <w:szCs w:val="24"/>
                <w:highlight w:val="none"/>
                <w:lang w:val="en-US"/>
              </w:rPr>
              <w:t>）本项目不接受联合体投标</w:t>
            </w:r>
            <w:r>
              <w:rPr>
                <w:rFonts w:hint="eastAsia" w:ascii="Times New Roman" w:hAnsi="Times New Roman"/>
                <w:kern w:val="2"/>
                <w:sz w:val="24"/>
                <w:szCs w:val="24"/>
                <w:highlight w:val="none"/>
                <w:lang w:val="en-US" w:eastAsia="zh-CN"/>
              </w:rPr>
              <w:t>。</w:t>
            </w:r>
          </w:p>
        </w:tc>
      </w:tr>
      <w:tr w14:paraId="7A4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4" w:type="dxa"/>
            <w:vAlign w:val="center"/>
          </w:tcPr>
          <w:p w14:paraId="0D821B08">
            <w:pPr>
              <w:jc w:val="center"/>
              <w:rPr>
                <w:rFonts w:ascii="宋体" w:hAnsi="宋体" w:cs="宋体"/>
                <w:sz w:val="24"/>
                <w:szCs w:val="24"/>
                <w:highlight w:val="none"/>
              </w:rPr>
            </w:pPr>
            <w:r>
              <w:rPr>
                <w:rFonts w:hint="eastAsia" w:ascii="宋体" w:hAnsi="宋体" w:cs="宋体"/>
                <w:sz w:val="24"/>
                <w:szCs w:val="24"/>
                <w:highlight w:val="none"/>
              </w:rPr>
              <w:t>10</w:t>
            </w:r>
          </w:p>
        </w:tc>
        <w:tc>
          <w:tcPr>
            <w:tcW w:w="1270" w:type="dxa"/>
            <w:vAlign w:val="center"/>
          </w:tcPr>
          <w:p w14:paraId="63B01698">
            <w:pPr>
              <w:jc w:val="center"/>
              <w:rPr>
                <w:rFonts w:ascii="宋体" w:hAnsi="宋体" w:cs="宋体"/>
                <w:sz w:val="24"/>
                <w:szCs w:val="24"/>
                <w:highlight w:val="none"/>
              </w:rPr>
            </w:pPr>
            <w:r>
              <w:rPr>
                <w:rFonts w:hint="eastAsia" w:ascii="宋体" w:hAnsi="宋体" w:cs="宋体"/>
                <w:sz w:val="24"/>
                <w:szCs w:val="24"/>
                <w:highlight w:val="none"/>
              </w:rPr>
              <w:t>开标时必须携带的证件</w:t>
            </w:r>
          </w:p>
        </w:tc>
        <w:tc>
          <w:tcPr>
            <w:tcW w:w="7144" w:type="dxa"/>
            <w:vAlign w:val="center"/>
          </w:tcPr>
          <w:p w14:paraId="2D08B48B">
            <w:pPr>
              <w:jc w:val="left"/>
              <w:rPr>
                <w:rFonts w:ascii="宋体" w:hAnsi="宋体" w:cs="宋体"/>
                <w:sz w:val="24"/>
                <w:szCs w:val="24"/>
                <w:highlight w:val="none"/>
              </w:rPr>
            </w:pPr>
            <w:r>
              <w:rPr>
                <w:rFonts w:hint="eastAsia"/>
                <w:sz w:val="24"/>
                <w:szCs w:val="24"/>
                <w:highlight w:val="none"/>
                <w:lang w:val="zh-CN"/>
              </w:rPr>
              <w:t>不见面开标方式的取消本条款</w:t>
            </w:r>
          </w:p>
        </w:tc>
      </w:tr>
      <w:tr w14:paraId="638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287977B6">
            <w:pPr>
              <w:jc w:val="center"/>
              <w:rPr>
                <w:rFonts w:ascii="宋体" w:hAnsi="宋体" w:cs="宋体"/>
                <w:sz w:val="24"/>
                <w:szCs w:val="24"/>
                <w:highlight w:val="none"/>
              </w:rPr>
            </w:pPr>
            <w:r>
              <w:rPr>
                <w:rFonts w:hint="eastAsia" w:ascii="宋体" w:hAnsi="宋体" w:cs="宋体"/>
                <w:sz w:val="24"/>
                <w:szCs w:val="24"/>
                <w:highlight w:val="none"/>
              </w:rPr>
              <w:t>11</w:t>
            </w:r>
          </w:p>
        </w:tc>
        <w:tc>
          <w:tcPr>
            <w:tcW w:w="1270" w:type="dxa"/>
            <w:vAlign w:val="center"/>
          </w:tcPr>
          <w:p w14:paraId="40FE1036">
            <w:pPr>
              <w:jc w:val="center"/>
              <w:rPr>
                <w:rFonts w:ascii="宋体" w:hAnsi="宋体" w:cs="宋体"/>
                <w:sz w:val="24"/>
                <w:szCs w:val="24"/>
                <w:highlight w:val="none"/>
              </w:rPr>
            </w:pPr>
            <w:r>
              <w:rPr>
                <w:rFonts w:hint="eastAsia" w:ascii="宋体" w:hAnsi="宋体" w:cs="宋体"/>
                <w:sz w:val="24"/>
                <w:szCs w:val="24"/>
                <w:highlight w:val="none"/>
              </w:rPr>
              <w:t>开标时间</w:t>
            </w:r>
          </w:p>
        </w:tc>
        <w:tc>
          <w:tcPr>
            <w:tcW w:w="7144" w:type="dxa"/>
            <w:vAlign w:val="center"/>
          </w:tcPr>
          <w:p w14:paraId="3C1F1ED8">
            <w:pPr>
              <w:jc w:val="left"/>
              <w:rPr>
                <w:rFonts w:ascii="宋体" w:hAnsi="宋体" w:cs="宋体"/>
                <w:sz w:val="24"/>
                <w:szCs w:val="24"/>
                <w:highlight w:val="none"/>
              </w:rPr>
            </w:pPr>
            <w:r>
              <w:rPr>
                <w:rFonts w:hint="eastAsia" w:ascii="宋体" w:hAnsi="宋体" w:cs="宋体"/>
                <w:sz w:val="24"/>
                <w:szCs w:val="24"/>
                <w:highlight w:val="none"/>
                <w:lang w:val="en-GB"/>
              </w:rPr>
              <w:t>202</w:t>
            </w:r>
            <w:r>
              <w:rPr>
                <w:rFonts w:hint="eastAsia" w:ascii="宋体" w:hAnsi="宋体" w:cs="宋体"/>
                <w:sz w:val="24"/>
                <w:szCs w:val="24"/>
                <w:highlight w:val="none"/>
              </w:rPr>
              <w:t>6</w:t>
            </w:r>
            <w:r>
              <w:rPr>
                <w:rFonts w:hint="eastAsia" w:ascii="宋体" w:hAnsi="宋体" w:cs="宋体"/>
                <w:sz w:val="24"/>
                <w:szCs w:val="24"/>
                <w:highlight w:val="none"/>
                <w:lang w:val="en-GB"/>
              </w:rPr>
              <w:t>年</w:t>
            </w:r>
            <w:r>
              <w:rPr>
                <w:rFonts w:hint="eastAsia" w:ascii="宋体" w:hAnsi="宋体" w:cs="宋体"/>
                <w:sz w:val="24"/>
                <w:szCs w:val="24"/>
                <w:highlight w:val="none"/>
                <w:lang w:eastAsia="zh-CN"/>
              </w:rPr>
              <w:t>7月2日10:00</w:t>
            </w:r>
            <w:r>
              <w:rPr>
                <w:rFonts w:ascii="宋体" w:hAnsi="宋体" w:cs="宋体"/>
                <w:sz w:val="24"/>
                <w:szCs w:val="24"/>
                <w:highlight w:val="none"/>
                <w:lang w:val="en-GB"/>
              </w:rPr>
              <w:t>（北京时间）</w:t>
            </w:r>
          </w:p>
        </w:tc>
      </w:tr>
      <w:tr w14:paraId="63F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4" w:type="dxa"/>
            <w:vAlign w:val="center"/>
          </w:tcPr>
          <w:p w14:paraId="11F4914A">
            <w:pPr>
              <w:jc w:val="center"/>
              <w:rPr>
                <w:rFonts w:ascii="宋体" w:hAnsi="宋体" w:cs="宋体"/>
                <w:sz w:val="24"/>
                <w:szCs w:val="24"/>
                <w:highlight w:val="none"/>
              </w:rPr>
            </w:pPr>
            <w:r>
              <w:rPr>
                <w:rFonts w:hint="eastAsia" w:ascii="宋体" w:hAnsi="宋体" w:cs="宋体"/>
                <w:sz w:val="24"/>
                <w:szCs w:val="24"/>
                <w:highlight w:val="none"/>
              </w:rPr>
              <w:t>12</w:t>
            </w:r>
          </w:p>
        </w:tc>
        <w:tc>
          <w:tcPr>
            <w:tcW w:w="1270" w:type="dxa"/>
            <w:vAlign w:val="center"/>
          </w:tcPr>
          <w:p w14:paraId="40D4DB6F">
            <w:pPr>
              <w:jc w:val="center"/>
              <w:rPr>
                <w:rFonts w:ascii="宋体" w:hAnsi="宋体" w:cs="宋体"/>
                <w:sz w:val="24"/>
                <w:szCs w:val="24"/>
                <w:highlight w:val="none"/>
              </w:rPr>
            </w:pPr>
            <w:r>
              <w:rPr>
                <w:rFonts w:hint="eastAsia" w:ascii="宋体" w:hAnsi="宋体" w:cs="宋体"/>
                <w:sz w:val="24"/>
                <w:szCs w:val="24"/>
                <w:highlight w:val="none"/>
              </w:rPr>
              <w:t>开标地点</w:t>
            </w:r>
          </w:p>
        </w:tc>
        <w:tc>
          <w:tcPr>
            <w:tcW w:w="7144" w:type="dxa"/>
            <w:vAlign w:val="center"/>
          </w:tcPr>
          <w:p w14:paraId="61292BD8">
            <w:pPr>
              <w:jc w:val="left"/>
              <w:rPr>
                <w:rFonts w:ascii="宋体" w:hAnsi="宋体" w:cs="宋体"/>
                <w:sz w:val="24"/>
                <w:szCs w:val="24"/>
                <w:highlight w:val="none"/>
              </w:rPr>
            </w:pPr>
            <w:r>
              <w:rPr>
                <w:rFonts w:hint="eastAsia" w:ascii="宋体" w:hAnsi="宋体" w:cs="宋体"/>
                <w:sz w:val="24"/>
                <w:szCs w:val="24"/>
                <w:highlight w:val="none"/>
              </w:rPr>
              <w:t>政采云开标大厅</w:t>
            </w:r>
            <w:r>
              <w:rPr>
                <w:rFonts w:hint="eastAsia" w:ascii="宋体" w:hAnsi="宋体" w:cs="宋体"/>
                <w:sz w:val="24"/>
                <w:szCs w:val="24"/>
                <w:highlight w:val="none"/>
                <w:lang w:val="en-GB"/>
              </w:rPr>
              <w:t>（</w:t>
            </w:r>
            <w:r>
              <w:rPr>
                <w:rFonts w:ascii="宋体" w:hAnsi="宋体" w:cs="宋体"/>
                <w:sz w:val="24"/>
                <w:szCs w:val="24"/>
                <w:highlight w:val="none"/>
              </w:rPr>
              <w:t>https://www.zcygov.cn在线投标</w:t>
            </w:r>
            <w:r>
              <w:rPr>
                <w:rFonts w:hint="eastAsia" w:ascii="宋体" w:hAnsi="宋体" w:cs="宋体"/>
                <w:sz w:val="24"/>
                <w:szCs w:val="24"/>
                <w:highlight w:val="none"/>
                <w:lang w:val="en-GB"/>
              </w:rPr>
              <w:t>）</w:t>
            </w:r>
          </w:p>
        </w:tc>
      </w:tr>
      <w:tr w14:paraId="597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31CD1A3">
            <w:pPr>
              <w:jc w:val="center"/>
              <w:rPr>
                <w:rFonts w:ascii="宋体" w:hAnsi="宋体" w:cs="宋体"/>
                <w:sz w:val="24"/>
                <w:szCs w:val="24"/>
                <w:highlight w:val="none"/>
              </w:rPr>
            </w:pPr>
            <w:r>
              <w:rPr>
                <w:rFonts w:hint="eastAsia" w:ascii="宋体" w:hAnsi="宋体" w:cs="宋体"/>
                <w:sz w:val="24"/>
                <w:szCs w:val="24"/>
                <w:highlight w:val="none"/>
              </w:rPr>
              <w:t>13</w:t>
            </w:r>
          </w:p>
        </w:tc>
        <w:tc>
          <w:tcPr>
            <w:tcW w:w="1270" w:type="dxa"/>
            <w:vAlign w:val="center"/>
          </w:tcPr>
          <w:p w14:paraId="3735B5AB">
            <w:pPr>
              <w:jc w:val="center"/>
              <w:rPr>
                <w:rFonts w:ascii="宋体" w:hAnsi="宋体" w:cs="宋体"/>
                <w:sz w:val="24"/>
                <w:szCs w:val="24"/>
                <w:highlight w:val="none"/>
              </w:rPr>
            </w:pPr>
            <w:r>
              <w:rPr>
                <w:rFonts w:hint="eastAsia" w:ascii="宋体" w:hAnsi="宋体" w:cs="宋体"/>
                <w:sz w:val="24"/>
                <w:szCs w:val="24"/>
                <w:highlight w:val="none"/>
              </w:rPr>
              <w:t>联合体</w:t>
            </w:r>
          </w:p>
        </w:tc>
        <w:tc>
          <w:tcPr>
            <w:tcW w:w="7144" w:type="dxa"/>
            <w:vAlign w:val="center"/>
          </w:tcPr>
          <w:p w14:paraId="13B93DEA">
            <w:pPr>
              <w:jc w:val="left"/>
              <w:rPr>
                <w:rFonts w:ascii="宋体" w:hAnsi="宋体" w:cs="宋体"/>
                <w:sz w:val="24"/>
                <w:szCs w:val="24"/>
                <w:highlight w:val="none"/>
              </w:rPr>
            </w:pPr>
            <w:r>
              <w:rPr>
                <w:rFonts w:hint="eastAsia" w:ascii="宋体" w:hAnsi="宋体" w:cs="宋体"/>
                <w:sz w:val="24"/>
                <w:szCs w:val="24"/>
                <w:highlight w:val="none"/>
              </w:rPr>
              <w:t>不接受联合体</w:t>
            </w:r>
          </w:p>
        </w:tc>
      </w:tr>
      <w:tr w14:paraId="3C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4" w:type="dxa"/>
            <w:vAlign w:val="center"/>
          </w:tcPr>
          <w:p w14:paraId="2912CFBB">
            <w:pPr>
              <w:jc w:val="center"/>
              <w:rPr>
                <w:rFonts w:ascii="宋体" w:hAnsi="宋体" w:cs="宋体"/>
                <w:sz w:val="24"/>
                <w:szCs w:val="24"/>
                <w:highlight w:val="none"/>
              </w:rPr>
            </w:pPr>
            <w:r>
              <w:rPr>
                <w:rFonts w:hint="eastAsia" w:ascii="宋体" w:hAnsi="宋体" w:cs="宋体"/>
                <w:sz w:val="24"/>
                <w:szCs w:val="24"/>
                <w:highlight w:val="none"/>
              </w:rPr>
              <w:t>14</w:t>
            </w:r>
          </w:p>
        </w:tc>
        <w:tc>
          <w:tcPr>
            <w:tcW w:w="1270" w:type="dxa"/>
            <w:vAlign w:val="center"/>
          </w:tcPr>
          <w:p w14:paraId="0FAD83B3">
            <w:pPr>
              <w:jc w:val="center"/>
              <w:rPr>
                <w:rFonts w:ascii="宋体" w:hAnsi="宋体" w:cs="宋体"/>
                <w:sz w:val="24"/>
                <w:szCs w:val="24"/>
                <w:highlight w:val="none"/>
              </w:rPr>
            </w:pPr>
            <w:r>
              <w:rPr>
                <w:rFonts w:hint="eastAsia" w:ascii="宋体" w:hAnsi="宋体" w:cs="宋体"/>
                <w:sz w:val="24"/>
                <w:szCs w:val="24"/>
                <w:highlight w:val="none"/>
              </w:rPr>
              <w:t>投标文件解密时长</w:t>
            </w:r>
          </w:p>
        </w:tc>
        <w:tc>
          <w:tcPr>
            <w:tcW w:w="7144" w:type="dxa"/>
            <w:vAlign w:val="center"/>
          </w:tcPr>
          <w:p w14:paraId="393A4AFD">
            <w:pPr>
              <w:jc w:val="left"/>
              <w:rPr>
                <w:rFonts w:ascii="宋体" w:hAnsi="宋体" w:cs="宋体"/>
                <w:sz w:val="24"/>
                <w:szCs w:val="24"/>
                <w:highlight w:val="none"/>
              </w:rPr>
            </w:pPr>
            <w:r>
              <w:rPr>
                <w:rFonts w:hint="eastAsia" w:ascii="宋体" w:hAnsi="宋体" w:cs="宋体"/>
                <w:sz w:val="24"/>
                <w:szCs w:val="24"/>
                <w:highlight w:val="none"/>
              </w:rPr>
              <w:t>30分钟（投标人若未在规定时间内完成，所造成的一切后果由投标人自行承担）</w:t>
            </w:r>
          </w:p>
        </w:tc>
      </w:tr>
      <w:tr w14:paraId="270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44" w:type="dxa"/>
            <w:vAlign w:val="center"/>
          </w:tcPr>
          <w:p w14:paraId="58A7EC3C">
            <w:pPr>
              <w:jc w:val="center"/>
              <w:rPr>
                <w:rFonts w:ascii="宋体" w:hAnsi="宋体" w:cs="宋体"/>
                <w:sz w:val="24"/>
                <w:szCs w:val="24"/>
                <w:highlight w:val="none"/>
              </w:rPr>
            </w:pPr>
            <w:r>
              <w:rPr>
                <w:rFonts w:hint="eastAsia" w:ascii="宋体" w:hAnsi="宋体" w:cs="宋体"/>
                <w:sz w:val="24"/>
                <w:szCs w:val="24"/>
                <w:highlight w:val="none"/>
              </w:rPr>
              <w:t>15</w:t>
            </w:r>
          </w:p>
        </w:tc>
        <w:tc>
          <w:tcPr>
            <w:tcW w:w="1270" w:type="dxa"/>
            <w:vAlign w:val="center"/>
          </w:tcPr>
          <w:p w14:paraId="249334EC">
            <w:pPr>
              <w:jc w:val="center"/>
              <w:rPr>
                <w:rFonts w:ascii="宋体" w:hAnsi="宋体" w:cs="宋体"/>
                <w:sz w:val="24"/>
                <w:szCs w:val="24"/>
                <w:highlight w:val="none"/>
              </w:rPr>
            </w:pPr>
            <w:r>
              <w:rPr>
                <w:rFonts w:hint="eastAsia" w:ascii="宋体" w:hAnsi="宋体" w:cs="宋体"/>
                <w:sz w:val="24"/>
                <w:szCs w:val="24"/>
                <w:highlight w:val="none"/>
              </w:rPr>
              <w:t>投标人报价确认报价签字时长</w:t>
            </w:r>
          </w:p>
        </w:tc>
        <w:tc>
          <w:tcPr>
            <w:tcW w:w="7144" w:type="dxa"/>
            <w:vAlign w:val="center"/>
          </w:tcPr>
          <w:p w14:paraId="6BC6A23E">
            <w:pPr>
              <w:jc w:val="left"/>
              <w:rPr>
                <w:rFonts w:ascii="宋体" w:hAnsi="宋体" w:cs="宋体"/>
                <w:sz w:val="24"/>
                <w:szCs w:val="24"/>
                <w:highlight w:val="none"/>
              </w:rPr>
            </w:pPr>
            <w:r>
              <w:rPr>
                <w:rFonts w:hint="eastAsia" w:ascii="宋体" w:hAnsi="宋体" w:cs="宋体"/>
                <w:sz w:val="24"/>
                <w:szCs w:val="24"/>
                <w:highlight w:val="none"/>
              </w:rPr>
              <w:t>20分钟（投标人若未在规定时间内完成，所造成的一切后果由投标人自行承担）</w:t>
            </w:r>
          </w:p>
        </w:tc>
      </w:tr>
      <w:tr w14:paraId="2D9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vAlign w:val="center"/>
          </w:tcPr>
          <w:p w14:paraId="087A0B08">
            <w:pPr>
              <w:jc w:val="center"/>
              <w:rPr>
                <w:rFonts w:ascii="宋体" w:hAnsi="宋体" w:cs="宋体"/>
                <w:sz w:val="24"/>
                <w:szCs w:val="24"/>
                <w:highlight w:val="none"/>
              </w:rPr>
            </w:pPr>
            <w:r>
              <w:rPr>
                <w:rFonts w:hint="eastAsia" w:ascii="宋体" w:hAnsi="宋体" w:cs="宋体"/>
                <w:sz w:val="24"/>
                <w:szCs w:val="24"/>
                <w:highlight w:val="none"/>
              </w:rPr>
              <w:t>16</w:t>
            </w:r>
          </w:p>
        </w:tc>
        <w:tc>
          <w:tcPr>
            <w:tcW w:w="1270" w:type="dxa"/>
            <w:vAlign w:val="center"/>
          </w:tcPr>
          <w:p w14:paraId="15C23D36">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144" w:type="dxa"/>
            <w:vAlign w:val="center"/>
          </w:tcPr>
          <w:p w14:paraId="0FC28B02">
            <w:pPr>
              <w:jc w:val="left"/>
              <w:rPr>
                <w:rFonts w:ascii="宋体" w:hAnsi="宋体" w:cs="宋体"/>
                <w:sz w:val="24"/>
                <w:szCs w:val="24"/>
                <w:highlight w:val="none"/>
              </w:rPr>
            </w:pPr>
            <w:r>
              <w:rPr>
                <w:rFonts w:hint="eastAsia" w:ascii="宋体" w:hAnsi="宋体" w:cs="宋体"/>
                <w:sz w:val="24"/>
                <w:szCs w:val="24"/>
                <w:highlight w:val="none"/>
              </w:rPr>
              <w:t>90日（从递交投标文件截止日起计算）。</w:t>
            </w:r>
          </w:p>
        </w:tc>
      </w:tr>
      <w:tr w14:paraId="71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2" w:hRule="atLeast"/>
          <w:jc w:val="center"/>
        </w:trPr>
        <w:tc>
          <w:tcPr>
            <w:tcW w:w="744" w:type="dxa"/>
            <w:vAlign w:val="center"/>
          </w:tcPr>
          <w:p w14:paraId="4310EB8F">
            <w:pPr>
              <w:jc w:val="center"/>
              <w:rPr>
                <w:rFonts w:ascii="宋体" w:hAnsi="宋体" w:cs="宋体"/>
                <w:sz w:val="24"/>
                <w:szCs w:val="24"/>
                <w:highlight w:val="none"/>
              </w:rPr>
            </w:pPr>
            <w:r>
              <w:rPr>
                <w:rFonts w:hint="eastAsia" w:ascii="宋体" w:hAnsi="宋体" w:cs="宋体"/>
                <w:sz w:val="24"/>
                <w:szCs w:val="24"/>
                <w:highlight w:val="none"/>
              </w:rPr>
              <w:t>17</w:t>
            </w:r>
          </w:p>
        </w:tc>
        <w:tc>
          <w:tcPr>
            <w:tcW w:w="1270" w:type="dxa"/>
            <w:vAlign w:val="center"/>
          </w:tcPr>
          <w:p w14:paraId="3A1D1545">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144" w:type="dxa"/>
            <w:vAlign w:val="center"/>
          </w:tcPr>
          <w:p w14:paraId="7CCC19A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投标保证金缴纳形式：支票、汇票、本票或者金融机构、担保机构出具的保函、电子保证金、政采云电子保函等非现金形式缴纳或提交保证金（若投标人采用银行保函，须提供近三个月银行流水）。</w:t>
            </w:r>
          </w:p>
          <w:p w14:paraId="7A36497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一:电子保证金账户信息:按系统自动生成的收款账号信息进行缴纳。具体操作在【保证金管理】页选择【电子保证金(在线获取账号)】，点击【新疆保证金平台】，自动从银行获取保证金的收款户名、收款账号、收款银行信息。供应商需将保证金转入获取到的收款账号。</w:t>
            </w:r>
          </w:p>
          <w:p w14:paraId="034C6B3A">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二：以政采云电子保函方式缴纳，具体办理流程详见新疆政府采购网《新疆维吾尔自治区政府采购电子保函工作方案》。投标人以电子保函形式缴纳投标保证金的，应通过“新疆政府采购网”的“电子保函”模块申请购买：</w:t>
            </w:r>
          </w:p>
          <w:p w14:paraId="5101BD20">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直达链接（电子保函）：</w:t>
            </w:r>
          </w:p>
          <w:p w14:paraId="436034A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https://jinrong.zcygov.cn/luban/finance/letter/xinjia</w:t>
            </w:r>
          </w:p>
          <w:p w14:paraId="6443331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ng?pageModelFlag=650000</w:t>
            </w:r>
          </w:p>
          <w:p w14:paraId="4BEBF739">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金融服务支撑热线：0991-2661159</w:t>
            </w:r>
          </w:p>
          <w:p w14:paraId="5994CE50">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投标保证金</w:t>
            </w:r>
            <w:r>
              <w:rPr>
                <w:rFonts w:hint="eastAsia" w:ascii="宋体" w:hAnsi="宋体" w:cs="宋体"/>
                <w:sz w:val="24"/>
                <w:szCs w:val="24"/>
                <w:highlight w:val="none"/>
                <w:lang w:val="en-US" w:bidi="zh-CN"/>
              </w:rPr>
              <w:t>金额</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40000</w:t>
            </w:r>
            <w:r>
              <w:rPr>
                <w:rFonts w:hint="eastAsia" w:ascii="宋体" w:hAnsi="宋体" w:cs="宋体"/>
                <w:sz w:val="24"/>
                <w:szCs w:val="24"/>
                <w:highlight w:val="none"/>
                <w:lang w:val="zh-CN" w:bidi="zh-CN"/>
              </w:rPr>
              <w:t>元，大写：</w:t>
            </w:r>
            <w:r>
              <w:rPr>
                <w:rFonts w:hint="eastAsia" w:ascii="宋体" w:hAnsi="宋体" w:cs="宋体"/>
                <w:sz w:val="24"/>
                <w:szCs w:val="24"/>
                <w:highlight w:val="none"/>
                <w:lang w:val="en-US" w:bidi="zh-CN"/>
              </w:rPr>
              <w:t>肆</w:t>
            </w:r>
            <w:r>
              <w:rPr>
                <w:rFonts w:hint="eastAsia" w:ascii="宋体" w:hAnsi="宋体" w:cs="宋体"/>
                <w:sz w:val="24"/>
                <w:szCs w:val="24"/>
                <w:highlight w:val="none"/>
                <w:lang w:bidi="zh-CN"/>
              </w:rPr>
              <w:t>万</w:t>
            </w:r>
            <w:r>
              <w:rPr>
                <w:rFonts w:hint="eastAsia" w:ascii="宋体" w:hAnsi="宋体" w:cs="宋体"/>
                <w:sz w:val="24"/>
                <w:szCs w:val="24"/>
                <w:highlight w:val="none"/>
                <w:lang w:val="zh-CN" w:bidi="zh-CN"/>
              </w:rPr>
              <w:t>元整</w:t>
            </w:r>
          </w:p>
          <w:p w14:paraId="0B6D146F">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投标保证金必须在投标截止时间(开标时间)前</w:t>
            </w:r>
            <w:r>
              <w:rPr>
                <w:rFonts w:hint="eastAsia" w:ascii="宋体" w:hAnsi="宋体" w:cs="宋体"/>
                <w:sz w:val="24"/>
                <w:szCs w:val="24"/>
                <w:highlight w:val="none"/>
                <w:lang w:bidi="zh-CN"/>
              </w:rPr>
              <w:t>按所投标项的具体金额</w:t>
            </w:r>
            <w:r>
              <w:rPr>
                <w:rFonts w:hint="eastAsia" w:ascii="宋体" w:hAnsi="宋体" w:cs="宋体"/>
                <w:sz w:val="24"/>
                <w:szCs w:val="24"/>
                <w:highlight w:val="none"/>
                <w:lang w:val="zh-CN" w:bidi="zh-CN"/>
              </w:rPr>
              <w:t>转入缴纳至保证金账户</w:t>
            </w:r>
            <w:r>
              <w:rPr>
                <w:rFonts w:hint="eastAsia" w:ascii="宋体" w:hAnsi="宋体" w:cs="宋体"/>
                <w:sz w:val="24"/>
                <w:szCs w:val="24"/>
                <w:highlight w:val="none"/>
                <w:lang w:val="zh-CN" w:eastAsia="zh-CN" w:bidi="zh-CN"/>
              </w:rPr>
              <w:t>并</w:t>
            </w:r>
            <w:r>
              <w:rPr>
                <w:rFonts w:hint="eastAsia" w:ascii="宋体" w:hAnsi="宋体" w:cs="宋体"/>
                <w:b/>
                <w:bCs/>
                <w:sz w:val="24"/>
                <w:szCs w:val="24"/>
                <w:highlight w:val="none"/>
                <w:lang w:val="zh-CN" w:eastAsia="zh-CN" w:bidi="zh-CN"/>
              </w:rPr>
              <w:t>备注</w:t>
            </w:r>
            <w:r>
              <w:rPr>
                <w:rFonts w:hint="eastAsia" w:ascii="宋体" w:hAnsi="宋体" w:cs="宋体"/>
                <w:b/>
                <w:bCs/>
                <w:sz w:val="24"/>
                <w:szCs w:val="24"/>
                <w:highlight w:val="none"/>
                <w:lang w:val="en-US" w:eastAsia="zh-CN" w:bidi="zh-CN"/>
              </w:rPr>
              <w:t>项目</w:t>
            </w:r>
            <w:r>
              <w:rPr>
                <w:rFonts w:hint="eastAsia" w:ascii="宋体" w:hAnsi="宋体" w:cs="宋体"/>
                <w:b/>
                <w:bCs/>
                <w:sz w:val="24"/>
                <w:szCs w:val="24"/>
                <w:highlight w:val="none"/>
                <w:lang w:val="zh-CN" w:eastAsia="zh-CN" w:bidi="zh-CN"/>
              </w:rPr>
              <w:t>名称或</w:t>
            </w:r>
            <w:r>
              <w:rPr>
                <w:rFonts w:hint="eastAsia" w:ascii="宋体" w:hAnsi="宋体" w:cs="宋体"/>
                <w:b/>
                <w:bCs/>
                <w:sz w:val="24"/>
                <w:szCs w:val="24"/>
                <w:highlight w:val="none"/>
                <w:lang w:val="en-US" w:eastAsia="zh-CN" w:bidi="zh-CN"/>
              </w:rPr>
              <w:t>项目编号</w:t>
            </w:r>
            <w:r>
              <w:rPr>
                <w:rFonts w:hint="eastAsia" w:ascii="宋体" w:hAnsi="宋体" w:cs="宋体"/>
                <w:sz w:val="24"/>
                <w:szCs w:val="24"/>
                <w:highlight w:val="none"/>
                <w:lang w:val="zh-CN" w:bidi="zh-CN"/>
              </w:rPr>
              <w:t>。投标人需自行评估因异地、跨行、公休日等因素造成的投标保证金到账延迟风险，并承担相应责任。</w:t>
            </w:r>
          </w:p>
          <w:p w14:paraId="14D61D8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投标保证金退还方式：投标保证金由政采云平台自动退还。</w:t>
            </w:r>
          </w:p>
        </w:tc>
      </w:tr>
      <w:tr w14:paraId="6E5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528E2E84">
            <w:pPr>
              <w:jc w:val="center"/>
              <w:rPr>
                <w:rFonts w:ascii="宋体" w:hAnsi="宋体" w:cs="宋体"/>
                <w:sz w:val="24"/>
                <w:szCs w:val="24"/>
                <w:highlight w:val="none"/>
              </w:rPr>
            </w:pPr>
            <w:r>
              <w:rPr>
                <w:rFonts w:hint="eastAsia" w:ascii="宋体" w:hAnsi="宋体" w:cs="宋体"/>
                <w:sz w:val="24"/>
                <w:szCs w:val="24"/>
                <w:highlight w:val="none"/>
              </w:rPr>
              <w:t>18</w:t>
            </w:r>
          </w:p>
        </w:tc>
        <w:tc>
          <w:tcPr>
            <w:tcW w:w="1270" w:type="dxa"/>
            <w:vAlign w:val="center"/>
          </w:tcPr>
          <w:p w14:paraId="7D9A43E4">
            <w:pPr>
              <w:pStyle w:val="43"/>
              <w:spacing w:before="21"/>
              <w:jc w:val="center"/>
              <w:rPr>
                <w:sz w:val="24"/>
                <w:szCs w:val="24"/>
                <w:highlight w:val="none"/>
                <w:lang w:val="en-US" w:bidi="ar-SA"/>
              </w:rPr>
            </w:pPr>
            <w:r>
              <w:rPr>
                <w:rFonts w:hint="eastAsia"/>
                <w:sz w:val="24"/>
                <w:szCs w:val="24"/>
                <w:highlight w:val="none"/>
                <w:lang w:val="en-US" w:bidi="ar-SA"/>
              </w:rPr>
              <w:t>招标文件</w:t>
            </w:r>
          </w:p>
          <w:p w14:paraId="6544714E">
            <w:pPr>
              <w:jc w:val="center"/>
              <w:rPr>
                <w:rFonts w:ascii="宋体" w:hAnsi="宋体" w:cs="宋体"/>
                <w:sz w:val="24"/>
                <w:szCs w:val="24"/>
                <w:highlight w:val="none"/>
              </w:rPr>
            </w:pPr>
            <w:r>
              <w:rPr>
                <w:rFonts w:hint="eastAsia" w:ascii="宋体" w:hAnsi="宋体" w:cs="宋体"/>
                <w:sz w:val="24"/>
                <w:szCs w:val="24"/>
                <w:highlight w:val="none"/>
              </w:rPr>
              <w:t>发售时间</w:t>
            </w:r>
          </w:p>
        </w:tc>
        <w:tc>
          <w:tcPr>
            <w:tcW w:w="7144" w:type="dxa"/>
            <w:vAlign w:val="center"/>
          </w:tcPr>
          <w:p w14:paraId="358CE445">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发售时间：</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6</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11</w:t>
            </w:r>
            <w:r>
              <w:rPr>
                <w:rFonts w:hint="eastAsia" w:ascii="宋体" w:hAnsi="宋体" w:cs="宋体"/>
                <w:sz w:val="24"/>
                <w:szCs w:val="24"/>
                <w:highlight w:val="none"/>
                <w:lang w:val="zh-CN" w:bidi="zh-CN"/>
              </w:rPr>
              <w:t>至</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6</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18</w:t>
            </w:r>
            <w:r>
              <w:rPr>
                <w:rFonts w:hint="eastAsia" w:ascii="宋体" w:hAnsi="宋体" w:cs="宋体"/>
                <w:sz w:val="24"/>
                <w:szCs w:val="24"/>
                <w:highlight w:val="none"/>
                <w:lang w:val="zh-CN" w:bidi="zh-CN"/>
              </w:rPr>
              <w:t>，</w:t>
            </w:r>
          </w:p>
          <w:p w14:paraId="12C778A3">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上午：</w:t>
            </w:r>
            <w:r>
              <w:rPr>
                <w:rFonts w:hint="eastAsia" w:ascii="宋体" w:hAnsi="宋体" w:cs="宋体"/>
                <w:sz w:val="24"/>
                <w:szCs w:val="24"/>
                <w:highlight w:val="none"/>
                <w:lang w:val="en-US" w:bidi="zh-CN"/>
              </w:rPr>
              <w:t>00</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0至1</w:t>
            </w:r>
            <w:r>
              <w:rPr>
                <w:rFonts w:hint="eastAsia" w:ascii="宋体" w:hAnsi="宋体" w:cs="宋体"/>
                <w:sz w:val="24"/>
                <w:szCs w:val="24"/>
                <w:highlight w:val="none"/>
                <w:lang w:val="en-US"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w:t>
            </w:r>
            <w:bookmarkStart w:id="10" w:name="_GoBack"/>
            <w:bookmarkEnd w:id="10"/>
          </w:p>
          <w:p w14:paraId="37A2E4C4">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下午：1</w:t>
            </w:r>
            <w:r>
              <w:rPr>
                <w:rFonts w:hint="eastAsia" w:ascii="宋体" w:hAnsi="宋体" w:cs="宋体"/>
                <w:sz w:val="24"/>
                <w:szCs w:val="24"/>
                <w:highlight w:val="none"/>
                <w:lang w:val="en-US"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val="zh-CN" w:bidi="zh-CN"/>
              </w:rPr>
              <w:t>0至</w:t>
            </w:r>
            <w:r>
              <w:rPr>
                <w:rFonts w:hint="eastAsia" w:ascii="宋体" w:hAnsi="宋体" w:cs="宋体"/>
                <w:sz w:val="24"/>
                <w:szCs w:val="24"/>
                <w:highlight w:val="none"/>
                <w:lang w:val="en-US" w:bidi="zh-CN"/>
              </w:rPr>
              <w:t>23:59</w:t>
            </w:r>
            <w:r>
              <w:rPr>
                <w:rFonts w:hint="eastAsia" w:ascii="宋体" w:hAnsi="宋体" w:cs="宋体"/>
                <w:sz w:val="24"/>
                <w:szCs w:val="24"/>
                <w:highlight w:val="none"/>
                <w:lang w:val="zh-CN" w:bidi="zh-CN"/>
              </w:rPr>
              <w:t>（北京时间，法定节假日除外）</w:t>
            </w:r>
          </w:p>
        </w:tc>
      </w:tr>
      <w:tr w14:paraId="5C5E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4" w:type="dxa"/>
            <w:vAlign w:val="center"/>
          </w:tcPr>
          <w:p w14:paraId="5E35C403">
            <w:pPr>
              <w:jc w:val="center"/>
              <w:rPr>
                <w:rFonts w:ascii="宋体" w:hAnsi="宋体" w:cs="宋体"/>
                <w:sz w:val="24"/>
                <w:szCs w:val="24"/>
                <w:highlight w:val="none"/>
              </w:rPr>
            </w:pPr>
            <w:r>
              <w:rPr>
                <w:rFonts w:hint="eastAsia" w:ascii="宋体" w:hAnsi="宋体" w:cs="宋体"/>
                <w:sz w:val="24"/>
                <w:szCs w:val="24"/>
                <w:highlight w:val="none"/>
              </w:rPr>
              <w:t>19</w:t>
            </w:r>
          </w:p>
        </w:tc>
        <w:tc>
          <w:tcPr>
            <w:tcW w:w="1270" w:type="dxa"/>
            <w:vAlign w:val="center"/>
          </w:tcPr>
          <w:p w14:paraId="5FD35EB8">
            <w:pPr>
              <w:pStyle w:val="43"/>
              <w:spacing w:before="21"/>
              <w:jc w:val="center"/>
              <w:rPr>
                <w:sz w:val="24"/>
                <w:szCs w:val="24"/>
                <w:highlight w:val="none"/>
                <w:lang w:val="en-US"/>
              </w:rPr>
            </w:pPr>
            <w:r>
              <w:rPr>
                <w:rFonts w:hint="eastAsia"/>
                <w:sz w:val="24"/>
                <w:szCs w:val="24"/>
                <w:highlight w:val="none"/>
                <w:lang w:val="en-US"/>
              </w:rPr>
              <w:t>投标文件</w:t>
            </w:r>
          </w:p>
          <w:p w14:paraId="7F60242E">
            <w:pPr>
              <w:pStyle w:val="43"/>
              <w:spacing w:before="21"/>
              <w:jc w:val="center"/>
              <w:rPr>
                <w:sz w:val="24"/>
                <w:szCs w:val="24"/>
                <w:highlight w:val="none"/>
              </w:rPr>
            </w:pPr>
            <w:r>
              <w:rPr>
                <w:rFonts w:hint="eastAsia"/>
                <w:sz w:val="24"/>
                <w:szCs w:val="24"/>
                <w:highlight w:val="none"/>
                <w:lang w:val="en-US"/>
              </w:rPr>
              <w:t>递交上传地址</w:t>
            </w:r>
          </w:p>
        </w:tc>
        <w:tc>
          <w:tcPr>
            <w:tcW w:w="7144" w:type="dxa"/>
            <w:vAlign w:val="center"/>
          </w:tcPr>
          <w:p w14:paraId="0A332E07">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rPr>
              <w:t>政采云线上开标大厅（https://www.zcygov.cn在线投标）</w:t>
            </w:r>
          </w:p>
        </w:tc>
      </w:tr>
      <w:tr w14:paraId="43E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4" w:type="dxa"/>
            <w:vAlign w:val="center"/>
          </w:tcPr>
          <w:p w14:paraId="6F4CE5DA">
            <w:pPr>
              <w:jc w:val="center"/>
              <w:rPr>
                <w:rFonts w:ascii="宋体" w:hAnsi="宋体" w:cs="宋体"/>
                <w:sz w:val="24"/>
                <w:szCs w:val="24"/>
                <w:highlight w:val="none"/>
              </w:rPr>
            </w:pPr>
            <w:r>
              <w:rPr>
                <w:rFonts w:hint="eastAsia" w:ascii="宋体" w:hAnsi="宋体" w:cs="宋体"/>
                <w:sz w:val="24"/>
                <w:szCs w:val="24"/>
                <w:highlight w:val="none"/>
              </w:rPr>
              <w:t>20</w:t>
            </w:r>
          </w:p>
        </w:tc>
        <w:tc>
          <w:tcPr>
            <w:tcW w:w="1270" w:type="dxa"/>
            <w:vAlign w:val="center"/>
          </w:tcPr>
          <w:p w14:paraId="1245BA2D">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7144" w:type="dxa"/>
            <w:vAlign w:val="center"/>
          </w:tcPr>
          <w:p w14:paraId="11DB5F0E">
            <w:pPr>
              <w:spacing w:line="360" w:lineRule="auto"/>
              <w:rPr>
                <w:rFonts w:ascii="宋体" w:hAnsi="宋体" w:cs="宋体"/>
                <w:sz w:val="24"/>
                <w:szCs w:val="24"/>
                <w:highlight w:val="none"/>
              </w:rPr>
            </w:pPr>
            <w:r>
              <w:rPr>
                <w:rFonts w:hint="eastAsia" w:ascii="宋体" w:hAnsi="宋体" w:cs="宋体"/>
                <w:sz w:val="24"/>
                <w:szCs w:val="24"/>
                <w:highlight w:val="none"/>
              </w:rPr>
              <w:t>(1)乙方应按照甲方的通知开具符合国家税务规定的正规</w:t>
            </w:r>
            <w:r>
              <w:rPr>
                <w:rFonts w:hint="eastAsia" w:ascii="宋体" w:hAnsi="宋体" w:cs="宋体"/>
                <w:sz w:val="24"/>
                <w:szCs w:val="24"/>
                <w:highlight w:val="none"/>
                <w:lang w:val="en-US" w:eastAsia="zh-CN"/>
              </w:rPr>
              <w:t>普通</w:t>
            </w:r>
            <w:r>
              <w:rPr>
                <w:rFonts w:hint="eastAsia" w:ascii="宋体" w:hAnsi="宋体" w:cs="宋体"/>
                <w:sz w:val="24"/>
                <w:szCs w:val="24"/>
                <w:highlight w:val="none"/>
              </w:rPr>
              <w:t>发票(发票内容需与验收单一致，不能在税务局代开发票)交甲方查验，否则视为自行放弃供货资格。如发票被税务机关认定为无效或不符合规定，乙方应在收到甲方通知后3个工作日内重新开具有效发票，否则甲方有权延迟支付相应货款直至收到有效发票，且不承担延迟付款责任。(2)甲乙双方签订合同之后，实行按月滚动结款。(备注:最终付款方式以双方签订合同为准)</w:t>
            </w:r>
          </w:p>
        </w:tc>
      </w:tr>
      <w:tr w14:paraId="1EA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4" w:type="dxa"/>
            <w:vAlign w:val="center"/>
          </w:tcPr>
          <w:p w14:paraId="64364955">
            <w:pPr>
              <w:jc w:val="center"/>
              <w:rPr>
                <w:rFonts w:ascii="宋体" w:hAnsi="宋体" w:cs="宋体"/>
                <w:sz w:val="24"/>
                <w:szCs w:val="24"/>
                <w:highlight w:val="none"/>
              </w:rPr>
            </w:pPr>
            <w:r>
              <w:rPr>
                <w:rFonts w:hint="eastAsia" w:ascii="宋体" w:hAnsi="宋体" w:cs="宋体"/>
                <w:sz w:val="24"/>
                <w:szCs w:val="24"/>
                <w:highlight w:val="none"/>
              </w:rPr>
              <w:t>21</w:t>
            </w:r>
          </w:p>
        </w:tc>
        <w:tc>
          <w:tcPr>
            <w:tcW w:w="1270" w:type="dxa"/>
            <w:vAlign w:val="center"/>
          </w:tcPr>
          <w:p w14:paraId="71CB3225">
            <w:pPr>
              <w:jc w:val="center"/>
              <w:rPr>
                <w:rFonts w:ascii="宋体" w:hAnsi="宋体" w:cs="宋体"/>
                <w:sz w:val="24"/>
                <w:szCs w:val="24"/>
                <w:highlight w:val="none"/>
              </w:rPr>
            </w:pPr>
            <w:r>
              <w:rPr>
                <w:rFonts w:hint="eastAsia" w:ascii="宋体" w:hAnsi="宋体" w:cs="宋体"/>
                <w:sz w:val="24"/>
                <w:szCs w:val="24"/>
                <w:highlight w:val="none"/>
              </w:rPr>
              <w:t>质保期</w:t>
            </w:r>
          </w:p>
        </w:tc>
        <w:tc>
          <w:tcPr>
            <w:tcW w:w="7144" w:type="dxa"/>
            <w:vAlign w:val="center"/>
          </w:tcPr>
          <w:p w14:paraId="4F43CC73">
            <w:pPr>
              <w:spacing w:line="360" w:lineRule="auto"/>
              <w:rPr>
                <w:rFonts w:ascii="宋体" w:hAnsi="宋体" w:cs="宋体"/>
                <w:sz w:val="24"/>
                <w:szCs w:val="24"/>
                <w:highlight w:val="none"/>
              </w:rPr>
            </w:pPr>
            <w:r>
              <w:rPr>
                <w:rFonts w:hint="eastAsia" w:ascii="宋体" w:hAnsi="宋体" w:cs="宋体"/>
                <w:sz w:val="24"/>
                <w:szCs w:val="24"/>
                <w:highlight w:val="none"/>
              </w:rPr>
              <w:t>乙方保证所供货物质量新鲜，</w:t>
            </w:r>
            <w:r>
              <w:rPr>
                <w:rFonts w:hint="eastAsia" w:ascii="宋体" w:hAnsi="宋体" w:cs="宋体"/>
                <w:sz w:val="24"/>
                <w:szCs w:val="24"/>
                <w:highlight w:val="none"/>
                <w:lang w:val="en-US" w:eastAsia="zh-CN"/>
              </w:rPr>
              <w:t>有</w:t>
            </w:r>
            <w:r>
              <w:rPr>
                <w:rFonts w:hint="eastAsia" w:ascii="宋体" w:hAnsi="宋体" w:cs="宋体"/>
                <w:sz w:val="24"/>
                <w:szCs w:val="24"/>
                <w:highlight w:val="none"/>
              </w:rPr>
              <w:t>保质期约定的货品，乙方配送的货品质保期应在80%以上，否则甲方有权按照不符合合同约定要求退换货物。(例:如质保期为10个月的，供货时剩余的质保期应当大于或等于8个月)。</w:t>
            </w:r>
          </w:p>
        </w:tc>
      </w:tr>
      <w:tr w14:paraId="7B4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4" w:type="dxa"/>
            <w:vAlign w:val="center"/>
          </w:tcPr>
          <w:p w14:paraId="1B13E8C1">
            <w:pPr>
              <w:jc w:val="center"/>
              <w:rPr>
                <w:rFonts w:ascii="宋体" w:hAnsi="宋体" w:cs="宋体"/>
                <w:sz w:val="24"/>
                <w:szCs w:val="24"/>
                <w:highlight w:val="none"/>
              </w:rPr>
            </w:pPr>
            <w:r>
              <w:rPr>
                <w:rFonts w:hint="eastAsia" w:ascii="宋体" w:hAnsi="宋体" w:cs="宋体"/>
                <w:sz w:val="24"/>
                <w:szCs w:val="24"/>
                <w:highlight w:val="none"/>
              </w:rPr>
              <w:t>22</w:t>
            </w:r>
          </w:p>
        </w:tc>
        <w:tc>
          <w:tcPr>
            <w:tcW w:w="1270" w:type="dxa"/>
            <w:vAlign w:val="center"/>
          </w:tcPr>
          <w:p w14:paraId="27A248C0">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144" w:type="dxa"/>
            <w:vAlign w:val="center"/>
          </w:tcPr>
          <w:p w14:paraId="754FAB5E">
            <w:pPr>
              <w:spacing w:line="360" w:lineRule="auto"/>
              <w:rPr>
                <w:rFonts w:hint="default" w:ascii="宋体" w:hAnsi="宋体" w:cs="宋体"/>
                <w:sz w:val="24"/>
                <w:szCs w:val="24"/>
                <w:highlight w:val="none"/>
                <w:lang w:val="en-US"/>
              </w:rPr>
            </w:pPr>
            <w:r>
              <w:rPr>
                <w:rFonts w:hint="eastAsia" w:ascii="宋体" w:hAnsi="宋体" w:cs="宋体"/>
                <w:sz w:val="24"/>
                <w:szCs w:val="24"/>
                <w:highlight w:val="none"/>
                <w:lang w:val="en-US" w:eastAsia="zh-CN"/>
              </w:rPr>
              <w:t>预算金额</w:t>
            </w:r>
            <w:r>
              <w:rPr>
                <w:rFonts w:hint="eastAsia" w:ascii="宋体" w:hAnsi="宋体" w:cs="宋体"/>
                <w:sz w:val="24"/>
                <w:szCs w:val="24"/>
                <w:highlight w:val="none"/>
              </w:rPr>
              <w:t>的</w:t>
            </w:r>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通过电汇或支票方式缴纳。</w:t>
            </w:r>
          </w:p>
        </w:tc>
      </w:tr>
      <w:tr w14:paraId="7B1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712A3082">
            <w:pPr>
              <w:jc w:val="center"/>
              <w:rPr>
                <w:rFonts w:ascii="宋体" w:hAnsi="宋体" w:cs="宋体"/>
                <w:sz w:val="24"/>
                <w:szCs w:val="24"/>
                <w:highlight w:val="none"/>
              </w:rPr>
            </w:pPr>
            <w:r>
              <w:rPr>
                <w:rFonts w:hint="eastAsia" w:ascii="宋体" w:hAnsi="宋体" w:cs="宋体"/>
                <w:sz w:val="24"/>
                <w:szCs w:val="24"/>
                <w:highlight w:val="none"/>
              </w:rPr>
              <w:t>23</w:t>
            </w:r>
          </w:p>
        </w:tc>
        <w:tc>
          <w:tcPr>
            <w:tcW w:w="1270" w:type="dxa"/>
            <w:vAlign w:val="center"/>
          </w:tcPr>
          <w:p w14:paraId="67BD6276">
            <w:pPr>
              <w:jc w:val="center"/>
              <w:rPr>
                <w:rFonts w:ascii="宋体" w:hAnsi="宋体" w:cs="宋体"/>
                <w:sz w:val="24"/>
                <w:szCs w:val="24"/>
                <w:highlight w:val="none"/>
              </w:rPr>
            </w:pPr>
            <w:r>
              <w:rPr>
                <w:rFonts w:ascii="宋体" w:hAnsi="宋体" w:cs="宋体"/>
                <w:sz w:val="24"/>
                <w:szCs w:val="24"/>
                <w:highlight w:val="none"/>
              </w:rPr>
              <w:t>报价</w:t>
            </w:r>
            <w:r>
              <w:rPr>
                <w:rFonts w:hint="eastAsia" w:ascii="宋体" w:hAnsi="宋体" w:cs="宋体"/>
                <w:sz w:val="24"/>
                <w:szCs w:val="24"/>
                <w:highlight w:val="none"/>
              </w:rPr>
              <w:t>要求</w:t>
            </w:r>
          </w:p>
        </w:tc>
        <w:tc>
          <w:tcPr>
            <w:tcW w:w="7144" w:type="dxa"/>
            <w:vAlign w:val="center"/>
          </w:tcPr>
          <w:p w14:paraId="415AE683">
            <w:pPr>
              <w:pStyle w:val="43"/>
              <w:numPr>
                <w:ilvl w:val="0"/>
                <w:numId w:val="5"/>
              </w:numPr>
              <w:spacing w:before="2" w:line="360" w:lineRule="auto"/>
              <w:ind w:right="95"/>
              <w:outlineLvl w:val="1"/>
              <w:rPr>
                <w:b w:val="0"/>
                <w:bCs w:val="0"/>
                <w:sz w:val="24"/>
                <w:szCs w:val="24"/>
                <w:highlight w:val="none"/>
                <w:lang w:val="en-US"/>
              </w:rPr>
            </w:pPr>
            <w:r>
              <w:rPr>
                <w:rFonts w:hint="eastAsia"/>
                <w:b w:val="0"/>
                <w:bCs w:val="0"/>
                <w:sz w:val="24"/>
                <w:szCs w:val="24"/>
                <w:highlight w:val="none"/>
                <w:lang w:val="en-US"/>
              </w:rPr>
              <w:t>报价方式：本次报价为下浮率报价</w:t>
            </w:r>
            <w:r>
              <w:rPr>
                <w:rFonts w:hint="eastAsia"/>
                <w:b w:val="0"/>
                <w:bCs w:val="0"/>
                <w:sz w:val="24"/>
                <w:szCs w:val="24"/>
                <w:highlight w:val="none"/>
                <w:lang w:val="en-US" w:eastAsia="zh-CN"/>
              </w:rPr>
              <w:t>，投标人按照所有副食品单价最高限价报整体下浮率</w:t>
            </w:r>
            <w:r>
              <w:rPr>
                <w:rFonts w:hint="eastAsia"/>
                <w:b w:val="0"/>
                <w:bCs w:val="0"/>
                <w:sz w:val="24"/>
                <w:szCs w:val="24"/>
                <w:highlight w:val="none"/>
                <w:lang w:val="en-US"/>
              </w:rPr>
              <w:t xml:space="preserve">。 </w:t>
            </w:r>
          </w:p>
          <w:p w14:paraId="61C6FC5C">
            <w:pPr>
              <w:pStyle w:val="43"/>
              <w:spacing w:before="2" w:line="360" w:lineRule="auto"/>
              <w:ind w:right="95"/>
              <w:outlineLvl w:val="1"/>
              <w:rPr>
                <w:b w:val="0"/>
                <w:bCs w:val="0"/>
                <w:sz w:val="24"/>
                <w:szCs w:val="24"/>
                <w:highlight w:val="none"/>
                <w:lang w:val="en-US"/>
              </w:rPr>
            </w:pPr>
            <w:r>
              <w:rPr>
                <w:rFonts w:hint="eastAsia"/>
                <w:b w:val="0"/>
                <w:bCs w:val="0"/>
                <w:sz w:val="24"/>
                <w:szCs w:val="24"/>
                <w:highlight w:val="none"/>
                <w:lang w:val="en-US"/>
              </w:rPr>
              <w:t>2、价格下浮比例是指供应商在</w:t>
            </w:r>
            <w:r>
              <w:rPr>
                <w:rFonts w:hint="eastAsia"/>
                <w:b w:val="0"/>
                <w:bCs w:val="0"/>
                <w:sz w:val="24"/>
                <w:szCs w:val="24"/>
                <w:highlight w:val="none"/>
                <w:lang w:val="en-US" w:eastAsia="zh-CN"/>
              </w:rPr>
              <w:t>单价最高限价</w:t>
            </w:r>
            <w:r>
              <w:rPr>
                <w:rFonts w:hint="eastAsia"/>
                <w:b w:val="0"/>
                <w:bCs w:val="0"/>
                <w:sz w:val="24"/>
                <w:szCs w:val="24"/>
                <w:highlight w:val="none"/>
                <w:lang w:val="en-US"/>
              </w:rPr>
              <w:t>的基础上让利的百分点，例如某货物</w:t>
            </w:r>
            <w:r>
              <w:rPr>
                <w:rFonts w:hint="eastAsia"/>
                <w:b w:val="0"/>
                <w:bCs w:val="0"/>
                <w:sz w:val="24"/>
                <w:szCs w:val="24"/>
                <w:highlight w:val="none"/>
                <w:lang w:val="en-US" w:eastAsia="zh-CN"/>
              </w:rPr>
              <w:t>单价最高限价</w:t>
            </w:r>
            <w:r>
              <w:rPr>
                <w:rFonts w:hint="eastAsia"/>
                <w:b w:val="0"/>
                <w:bCs w:val="0"/>
                <w:sz w:val="24"/>
                <w:szCs w:val="24"/>
                <w:highlight w:val="none"/>
                <w:lang w:val="en-US"/>
              </w:rPr>
              <w:t xml:space="preserve">是100元，让利10个百分点（打九折），即表述为供应商价格下浮比例为10%； </w:t>
            </w:r>
          </w:p>
          <w:p w14:paraId="17CEF29F">
            <w:pPr>
              <w:pStyle w:val="43"/>
              <w:spacing w:before="2" w:line="360" w:lineRule="auto"/>
              <w:ind w:right="95"/>
              <w:outlineLvl w:val="1"/>
              <w:rPr>
                <w:b w:val="0"/>
                <w:bCs w:val="0"/>
                <w:sz w:val="24"/>
                <w:szCs w:val="24"/>
                <w:highlight w:val="none"/>
              </w:rPr>
            </w:pPr>
            <w:r>
              <w:rPr>
                <w:rFonts w:hint="eastAsia"/>
                <w:b w:val="0"/>
                <w:bCs w:val="0"/>
                <w:sz w:val="24"/>
                <w:szCs w:val="24"/>
                <w:highlight w:val="none"/>
                <w:lang w:val="en-US"/>
              </w:rPr>
              <w:t>3、供应商一旦通过本次招标成为中标人，在今后合同期内提供货物价格须按照本次投标下浮比例执行，可以在本次成交下浮比例基础上再次下浮让利，但不能上浮</w:t>
            </w:r>
            <w:r>
              <w:rPr>
                <w:rFonts w:hint="eastAsia"/>
                <w:b w:val="0"/>
                <w:bCs w:val="0"/>
                <w:sz w:val="24"/>
                <w:szCs w:val="24"/>
                <w:highlight w:val="none"/>
                <w:lang w:val="en-US" w:eastAsia="zh-CN"/>
              </w:rPr>
              <w:t>；</w:t>
            </w:r>
            <w:r>
              <w:rPr>
                <w:rFonts w:hint="eastAsia"/>
                <w:b w:val="0"/>
                <w:bCs w:val="0"/>
                <w:sz w:val="24"/>
                <w:szCs w:val="24"/>
                <w:highlight w:val="none"/>
                <w:lang w:val="en-US"/>
              </w:rPr>
              <w:t xml:space="preserve"> </w:t>
            </w:r>
          </w:p>
          <w:p w14:paraId="3EB89B26">
            <w:pPr>
              <w:pStyle w:val="43"/>
              <w:spacing w:before="2" w:line="360" w:lineRule="auto"/>
              <w:ind w:right="95"/>
              <w:jc w:val="left"/>
              <w:outlineLvl w:val="1"/>
              <w:rPr>
                <w:rFonts w:hint="eastAsia"/>
                <w:b w:val="0"/>
                <w:bCs w:val="0"/>
                <w:sz w:val="24"/>
                <w:szCs w:val="24"/>
                <w:highlight w:val="none"/>
                <w:lang w:val="en-US"/>
              </w:rPr>
            </w:pPr>
            <w:r>
              <w:rPr>
                <w:rFonts w:hint="eastAsia"/>
                <w:b w:val="0"/>
                <w:bCs w:val="0"/>
                <w:sz w:val="24"/>
                <w:szCs w:val="24"/>
                <w:highlight w:val="none"/>
                <w:lang w:val="en-US"/>
              </w:rPr>
              <w:t>4、</w:t>
            </w:r>
            <w:r>
              <w:rPr>
                <w:rFonts w:hint="eastAsia"/>
                <w:b w:val="0"/>
                <w:bCs w:val="0"/>
                <w:sz w:val="24"/>
                <w:szCs w:val="24"/>
                <w:highlight w:val="none"/>
                <w:lang w:val="en-US" w:eastAsia="zh-CN"/>
              </w:rPr>
              <w:t>单项货物</w:t>
            </w:r>
            <w:r>
              <w:rPr>
                <w:rFonts w:hint="eastAsia"/>
                <w:b w:val="0"/>
                <w:bCs w:val="0"/>
                <w:sz w:val="24"/>
                <w:szCs w:val="24"/>
                <w:highlight w:val="none"/>
                <w:lang w:val="en-US"/>
              </w:rPr>
              <w:t>最终结算价=</w:t>
            </w:r>
            <w:r>
              <w:rPr>
                <w:rFonts w:hint="eastAsia"/>
                <w:b w:val="0"/>
                <w:bCs w:val="0"/>
                <w:sz w:val="24"/>
                <w:szCs w:val="24"/>
                <w:highlight w:val="none"/>
                <w:lang w:val="en-US" w:eastAsia="zh-CN"/>
              </w:rPr>
              <w:t>单价最高限价</w:t>
            </w:r>
            <w:r>
              <w:rPr>
                <w:rFonts w:hint="eastAsia"/>
                <w:b w:val="0"/>
                <w:bCs w:val="0"/>
                <w:sz w:val="24"/>
                <w:szCs w:val="24"/>
                <w:highlight w:val="none"/>
                <w:lang w:val="en-US"/>
              </w:rPr>
              <w:t>×（1-中标下浮率）。</w:t>
            </w:r>
          </w:p>
          <w:p w14:paraId="79932C60">
            <w:pPr>
              <w:pStyle w:val="43"/>
              <w:spacing w:before="2" w:line="360" w:lineRule="auto"/>
              <w:ind w:right="95"/>
              <w:outlineLvl w:val="1"/>
              <w:rPr>
                <w:b w:val="0"/>
                <w:bCs w:val="0"/>
                <w:sz w:val="24"/>
                <w:szCs w:val="24"/>
                <w:highlight w:val="none"/>
                <w:lang w:val="en-US"/>
              </w:rPr>
            </w:pPr>
            <w:r>
              <w:rPr>
                <w:rFonts w:hint="eastAsia"/>
                <w:b w:val="0"/>
                <w:bCs w:val="0"/>
                <w:sz w:val="24"/>
                <w:szCs w:val="24"/>
                <w:highlight w:val="none"/>
                <w:lang w:val="en-US"/>
              </w:rPr>
              <w:t>注：投标报价包括项目实施所需的货物费、分割包装运输费、装卸费、管理费、利润、税费及其他一切费用。</w:t>
            </w:r>
          </w:p>
        </w:tc>
      </w:tr>
      <w:tr w14:paraId="69AE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06FFCCE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270" w:type="dxa"/>
            <w:vAlign w:val="center"/>
          </w:tcPr>
          <w:p w14:paraId="3DFAC36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确定中标人原则</w:t>
            </w:r>
          </w:p>
        </w:tc>
        <w:tc>
          <w:tcPr>
            <w:tcW w:w="7144" w:type="dxa"/>
            <w:vAlign w:val="center"/>
          </w:tcPr>
          <w:p w14:paraId="7F7B70E9">
            <w:pPr>
              <w:pStyle w:val="43"/>
              <w:spacing w:before="2" w:line="360" w:lineRule="auto"/>
              <w:ind w:right="95"/>
              <w:outlineLvl w:val="1"/>
              <w:rPr>
                <w:rFonts w:hint="eastAsia"/>
                <w:b w:val="0"/>
                <w:bCs w:val="0"/>
                <w:sz w:val="24"/>
                <w:szCs w:val="24"/>
                <w:highlight w:val="none"/>
                <w:lang w:val="en-US" w:eastAsia="zh-CN"/>
              </w:rPr>
            </w:pPr>
            <w:r>
              <w:rPr>
                <w:rFonts w:hint="eastAsia"/>
                <w:b w:val="0"/>
                <w:bCs w:val="0"/>
                <w:sz w:val="24"/>
                <w:szCs w:val="24"/>
                <w:highlight w:val="none"/>
                <w:lang w:val="en-US" w:eastAsia="zh-CN"/>
              </w:rPr>
              <w:t>2026年度职工食堂采购项目共三个标项，三个标项供应商可兼投但不兼中，即本项目三个标项供应商均可参与投标，但同一供应商只允许中标一个标项，已确定为第一中标候选人的供应商，其投标文件仍参与后面标项的评审，但不作为中标候选人进行排序。</w:t>
            </w:r>
          </w:p>
          <w:p w14:paraId="70E671F0">
            <w:pPr>
              <w:pStyle w:val="43"/>
              <w:spacing w:before="2" w:line="360" w:lineRule="auto"/>
              <w:ind w:right="95"/>
              <w:outlineLvl w:val="1"/>
              <w:rPr>
                <w:rFonts w:hint="eastAsia"/>
                <w:b w:val="0"/>
                <w:bCs w:val="0"/>
                <w:sz w:val="24"/>
                <w:szCs w:val="24"/>
                <w:highlight w:val="none"/>
                <w:lang w:val="en-US" w:eastAsia="zh-CN"/>
              </w:rPr>
            </w:pPr>
            <w:r>
              <w:rPr>
                <w:rFonts w:hint="eastAsia"/>
                <w:b w:val="0"/>
                <w:bCs w:val="0"/>
                <w:sz w:val="24"/>
                <w:szCs w:val="24"/>
                <w:highlight w:val="none"/>
                <w:lang w:val="en-US" w:eastAsia="zh-CN"/>
              </w:rPr>
              <w:t>2026年度职工食堂采购项目三个标项分别为:</w:t>
            </w:r>
          </w:p>
          <w:p w14:paraId="25B9D29C">
            <w:pPr>
              <w:pStyle w:val="43"/>
              <w:spacing w:before="2" w:line="360" w:lineRule="auto"/>
              <w:ind w:right="95"/>
              <w:outlineLvl w:val="1"/>
              <w:rPr>
                <w:rFonts w:hint="eastAsia"/>
                <w:b w:val="0"/>
                <w:bCs w:val="0"/>
                <w:sz w:val="24"/>
                <w:szCs w:val="24"/>
                <w:highlight w:val="none"/>
                <w:lang w:val="en-US" w:eastAsia="zh-CN"/>
              </w:rPr>
            </w:pPr>
            <w:r>
              <w:rPr>
                <w:rFonts w:hint="eastAsia"/>
                <w:b w:val="0"/>
                <w:bCs w:val="0"/>
                <w:sz w:val="24"/>
                <w:szCs w:val="24"/>
                <w:highlight w:val="none"/>
                <w:lang w:val="en-US" w:eastAsia="zh-CN"/>
              </w:rPr>
              <w:t>标项1：2026年度职工食堂采购项目-肉类</w:t>
            </w:r>
          </w:p>
          <w:p w14:paraId="7261E6BB">
            <w:pPr>
              <w:pStyle w:val="43"/>
              <w:spacing w:before="2" w:line="360" w:lineRule="auto"/>
              <w:ind w:right="95"/>
              <w:outlineLvl w:val="1"/>
              <w:rPr>
                <w:rFonts w:hint="eastAsia"/>
                <w:b w:val="0"/>
                <w:bCs w:val="0"/>
                <w:sz w:val="24"/>
                <w:szCs w:val="24"/>
                <w:highlight w:val="none"/>
                <w:lang w:val="en-US" w:eastAsia="zh-CN"/>
              </w:rPr>
            </w:pPr>
            <w:r>
              <w:rPr>
                <w:rFonts w:hint="eastAsia"/>
                <w:b w:val="0"/>
                <w:bCs w:val="0"/>
                <w:sz w:val="24"/>
                <w:szCs w:val="24"/>
                <w:highlight w:val="none"/>
                <w:lang w:val="en-US" w:eastAsia="zh-CN"/>
              </w:rPr>
              <w:t>标项2：2026年度职工食堂采购项目-蔬菜水果类</w:t>
            </w:r>
          </w:p>
          <w:p w14:paraId="7853A3AD">
            <w:pPr>
              <w:pStyle w:val="43"/>
              <w:spacing w:before="2" w:line="360" w:lineRule="auto"/>
              <w:ind w:right="95"/>
              <w:outlineLvl w:val="1"/>
              <w:rPr>
                <w:rFonts w:hint="default"/>
                <w:b w:val="0"/>
                <w:bCs w:val="0"/>
                <w:sz w:val="24"/>
                <w:szCs w:val="24"/>
                <w:highlight w:val="yellow"/>
                <w:lang w:val="en-US" w:eastAsia="zh-CN"/>
              </w:rPr>
            </w:pPr>
            <w:r>
              <w:rPr>
                <w:rFonts w:hint="eastAsia"/>
                <w:b w:val="0"/>
                <w:bCs w:val="0"/>
                <w:sz w:val="24"/>
                <w:szCs w:val="24"/>
                <w:highlight w:val="none"/>
                <w:lang w:val="en-US" w:eastAsia="zh-CN"/>
              </w:rPr>
              <w:t>标项3：2026年度职工食堂采购项目-副食品类</w:t>
            </w:r>
          </w:p>
        </w:tc>
      </w:tr>
      <w:tr w14:paraId="79A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44" w:type="dxa"/>
            <w:vAlign w:val="center"/>
          </w:tcPr>
          <w:p w14:paraId="61E12F7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270" w:type="dxa"/>
            <w:vAlign w:val="center"/>
          </w:tcPr>
          <w:p w14:paraId="150A233C">
            <w:pPr>
              <w:jc w:val="center"/>
              <w:rPr>
                <w:rFonts w:ascii="宋体" w:hAnsi="宋体" w:cs="宋体"/>
                <w:sz w:val="24"/>
                <w:szCs w:val="24"/>
                <w:highlight w:val="none"/>
              </w:rPr>
            </w:pPr>
            <w:r>
              <w:rPr>
                <w:rFonts w:hint="eastAsia" w:ascii="宋体" w:hAnsi="宋体" w:cs="宋体"/>
                <w:sz w:val="24"/>
                <w:szCs w:val="24"/>
                <w:highlight w:val="none"/>
              </w:rPr>
              <w:t>招标代理服务费</w:t>
            </w:r>
          </w:p>
        </w:tc>
        <w:tc>
          <w:tcPr>
            <w:tcW w:w="7144" w:type="dxa"/>
            <w:vAlign w:val="center"/>
          </w:tcPr>
          <w:p w14:paraId="0DB6D667">
            <w:pPr>
              <w:pStyle w:val="43"/>
              <w:spacing w:before="2" w:line="360" w:lineRule="auto"/>
              <w:ind w:right="95"/>
              <w:jc w:val="left"/>
              <w:outlineLvl w:val="1"/>
              <w:rPr>
                <w:rFonts w:hint="default" w:eastAsia="宋体"/>
                <w:bCs/>
                <w:sz w:val="24"/>
                <w:szCs w:val="24"/>
                <w:highlight w:val="none"/>
                <w:lang w:val="en-US" w:eastAsia="zh-CN"/>
              </w:rPr>
            </w:pPr>
            <w:r>
              <w:rPr>
                <w:rFonts w:hint="eastAsia"/>
                <w:sz w:val="24"/>
                <w:szCs w:val="24"/>
                <w:highlight w:val="none"/>
              </w:rPr>
              <w:t>1、代理报酬的计算方法：</w:t>
            </w:r>
            <w:r>
              <w:rPr>
                <w:rFonts w:hint="eastAsia"/>
                <w:sz w:val="24"/>
                <w:szCs w:val="24"/>
                <w:highlight w:val="none"/>
                <w:lang w:val="en-US" w:eastAsia="zh-CN"/>
              </w:rPr>
              <w:t>按预算金额，根据国家计委计价格【2002】1980号文下浮50%计取。</w:t>
            </w:r>
          </w:p>
          <w:p w14:paraId="54BA613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2、代理报酬支付方式：由中标人支付</w:t>
            </w:r>
          </w:p>
          <w:p w14:paraId="4A224870">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3、代理报酬的支付时间：由中标人领取中标通知书前支付</w:t>
            </w:r>
          </w:p>
        </w:tc>
      </w:tr>
      <w:tr w14:paraId="2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744" w:type="dxa"/>
            <w:vAlign w:val="center"/>
          </w:tcPr>
          <w:p w14:paraId="412596F2">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p>
        </w:tc>
        <w:tc>
          <w:tcPr>
            <w:tcW w:w="1270" w:type="dxa"/>
            <w:vAlign w:val="center"/>
          </w:tcPr>
          <w:p w14:paraId="6A2B23D0">
            <w:pPr>
              <w:jc w:val="center"/>
              <w:rPr>
                <w:rFonts w:ascii="宋体" w:hAnsi="宋体" w:cs="宋体"/>
                <w:sz w:val="24"/>
                <w:szCs w:val="24"/>
                <w:highlight w:val="none"/>
              </w:rPr>
            </w:pPr>
            <w:r>
              <w:rPr>
                <w:rFonts w:hint="eastAsia" w:ascii="宋体" w:hAnsi="宋体" w:cs="宋体"/>
                <w:sz w:val="24"/>
                <w:szCs w:val="24"/>
                <w:highlight w:val="none"/>
              </w:rPr>
              <w:t>质疑须知</w:t>
            </w:r>
          </w:p>
        </w:tc>
        <w:tc>
          <w:tcPr>
            <w:tcW w:w="7144" w:type="dxa"/>
            <w:vAlign w:val="center"/>
          </w:tcPr>
          <w:p w14:paraId="4ADE0C99">
            <w:pPr>
              <w:pStyle w:val="54"/>
              <w:spacing w:line="360" w:lineRule="auto"/>
              <w:ind w:left="494" w:hanging="494" w:hangingChars="206"/>
              <w:jc w:val="both"/>
              <w:rPr>
                <w:kern w:val="2"/>
                <w:highlight w:val="none"/>
                <w:lang w:val="zh-CN" w:bidi="zh-CN"/>
              </w:rPr>
            </w:pPr>
            <w:r>
              <w:rPr>
                <w:rFonts w:hint="eastAsia"/>
                <w:kern w:val="2"/>
                <w:highlight w:val="none"/>
                <w:lang w:bidi="zh-CN"/>
              </w:rPr>
              <w:t>1、</w:t>
            </w:r>
            <w:r>
              <w:rPr>
                <w:rFonts w:hint="eastAsia"/>
                <w:kern w:val="2"/>
                <w:highlight w:val="none"/>
                <w:lang w:val="zh-CN" w:bidi="zh-CN"/>
              </w:rPr>
              <w:t>接收质疑函的方式：现场递交纸质版及Word格式电子版质疑文件至接收</w:t>
            </w:r>
          </w:p>
          <w:p w14:paraId="299FFA89">
            <w:pPr>
              <w:pStyle w:val="22"/>
              <w:spacing w:line="360" w:lineRule="auto"/>
              <w:ind w:firstLine="0" w:firstLineChars="0"/>
              <w:rPr>
                <w:rFonts w:ascii="宋体" w:hAnsi="宋体" w:cs="宋体"/>
                <w:sz w:val="24"/>
                <w:szCs w:val="24"/>
                <w:highlight w:val="none"/>
                <w:lang w:bidi="zh-CN"/>
              </w:rPr>
            </w:pPr>
            <w:r>
              <w:rPr>
                <w:rFonts w:hint="eastAsia" w:ascii="宋体" w:hAnsi="宋体" w:cs="宋体"/>
                <w:sz w:val="24"/>
                <w:szCs w:val="24"/>
                <w:highlight w:val="none"/>
                <w:lang w:bidi="zh-CN"/>
              </w:rPr>
              <w:t>2、接受质疑函的单位：新疆锦瑞祥工程项目咨询管理有限公司</w:t>
            </w:r>
          </w:p>
          <w:p w14:paraId="68A4DE4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bidi="zh-CN"/>
              </w:rPr>
              <w:t>地址：</w:t>
            </w:r>
            <w:r>
              <w:rPr>
                <w:rFonts w:hint="eastAsia" w:ascii="宋体" w:hAnsi="宋体" w:cs="宋体"/>
                <w:sz w:val="24"/>
                <w:szCs w:val="24"/>
                <w:highlight w:val="none"/>
              </w:rPr>
              <w:t>新疆库尔勒市石化大道天缘商务酒店61</w:t>
            </w:r>
            <w:r>
              <w:rPr>
                <w:rFonts w:hint="eastAsia" w:ascii="宋体" w:hAnsi="宋体" w:cs="宋体"/>
                <w:sz w:val="24"/>
                <w:szCs w:val="24"/>
                <w:highlight w:val="none"/>
                <w:lang w:val="en-US" w:eastAsia="zh-CN"/>
              </w:rPr>
              <w:t>7</w:t>
            </w:r>
            <w:r>
              <w:rPr>
                <w:rFonts w:hint="eastAsia" w:ascii="宋体" w:hAnsi="宋体" w:cs="宋体"/>
                <w:sz w:val="24"/>
                <w:szCs w:val="24"/>
                <w:highlight w:val="none"/>
              </w:rPr>
              <w:t>室</w:t>
            </w:r>
          </w:p>
        </w:tc>
      </w:tr>
      <w:tr w14:paraId="27D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4C290E81">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1270" w:type="dxa"/>
            <w:vAlign w:val="center"/>
          </w:tcPr>
          <w:p w14:paraId="38DDEC7B">
            <w:pPr>
              <w:jc w:val="center"/>
              <w:rPr>
                <w:rFonts w:ascii="宋体" w:hAnsi="宋体" w:cs="宋体"/>
                <w:sz w:val="24"/>
                <w:szCs w:val="24"/>
                <w:highlight w:val="none"/>
              </w:rPr>
            </w:pPr>
            <w:r>
              <w:rPr>
                <w:rFonts w:hint="eastAsia"/>
                <w:sz w:val="24"/>
                <w:szCs w:val="24"/>
                <w:highlight w:val="none"/>
              </w:rPr>
              <w:t>政府采购政策支持</w:t>
            </w:r>
          </w:p>
        </w:tc>
        <w:tc>
          <w:tcPr>
            <w:tcW w:w="7144" w:type="dxa"/>
            <w:vAlign w:val="center"/>
          </w:tcPr>
          <w:p w14:paraId="4443655C">
            <w:pPr>
              <w:pStyle w:val="43"/>
              <w:tabs>
                <w:tab w:val="left" w:pos="636"/>
              </w:tabs>
              <w:spacing w:line="360" w:lineRule="auto"/>
              <w:ind w:left="107" w:right="98"/>
              <w:outlineLvl w:val="1"/>
              <w:rPr>
                <w:sz w:val="24"/>
                <w:szCs w:val="24"/>
                <w:highlight w:val="none"/>
              </w:rPr>
            </w:pPr>
            <w:r>
              <w:rPr>
                <w:rFonts w:hint="eastAsia"/>
                <w:sz w:val="24"/>
                <w:szCs w:val="24"/>
                <w:highlight w:val="none"/>
              </w:rPr>
              <w:t>（1）财政部、国家发展改革委、生态环境部、市场监管总局《关于调整优化节能产品、环境标志产品政府采购执行机制的通知》（财库[2019]9号文）；</w:t>
            </w:r>
          </w:p>
          <w:p w14:paraId="710FF7E0">
            <w:pPr>
              <w:pStyle w:val="43"/>
              <w:tabs>
                <w:tab w:val="left" w:pos="636"/>
              </w:tabs>
              <w:spacing w:line="360" w:lineRule="auto"/>
              <w:ind w:left="107" w:right="98"/>
              <w:outlineLvl w:val="1"/>
              <w:rPr>
                <w:sz w:val="24"/>
                <w:szCs w:val="24"/>
                <w:highlight w:val="none"/>
              </w:rPr>
            </w:pPr>
            <w:r>
              <w:rPr>
                <w:rFonts w:hint="eastAsia"/>
                <w:sz w:val="24"/>
                <w:szCs w:val="24"/>
                <w:highlight w:val="none"/>
              </w:rPr>
              <w:t>（2）财政部、生态环境部《关于印发环境标志产品政府采购品目清单的通知》（财库[2019]18号文）；</w:t>
            </w:r>
          </w:p>
          <w:p w14:paraId="477D42FD">
            <w:pPr>
              <w:pStyle w:val="43"/>
              <w:tabs>
                <w:tab w:val="left" w:pos="636"/>
              </w:tabs>
              <w:spacing w:line="360" w:lineRule="auto"/>
              <w:ind w:left="107" w:right="98"/>
              <w:outlineLvl w:val="1"/>
              <w:rPr>
                <w:sz w:val="24"/>
                <w:szCs w:val="24"/>
                <w:highlight w:val="none"/>
              </w:rPr>
            </w:pPr>
            <w:r>
              <w:rPr>
                <w:rFonts w:hint="eastAsia"/>
                <w:sz w:val="24"/>
                <w:szCs w:val="24"/>
                <w:highlight w:val="none"/>
              </w:rPr>
              <w:t>（3）财政部、发展改革委《关于印发节能产品政府采购品目清单的通知》（财库[2019]19号文）；</w:t>
            </w:r>
          </w:p>
          <w:p w14:paraId="7DF17F8B">
            <w:pPr>
              <w:pStyle w:val="43"/>
              <w:tabs>
                <w:tab w:val="left" w:pos="636"/>
              </w:tabs>
              <w:spacing w:line="360" w:lineRule="auto"/>
              <w:ind w:left="107" w:right="98"/>
              <w:outlineLvl w:val="1"/>
              <w:rPr>
                <w:sz w:val="24"/>
                <w:szCs w:val="24"/>
                <w:highlight w:val="none"/>
              </w:rPr>
            </w:pPr>
            <w:r>
              <w:rPr>
                <w:rFonts w:hint="eastAsia"/>
                <w:sz w:val="24"/>
                <w:szCs w:val="24"/>
                <w:highlight w:val="none"/>
              </w:rPr>
              <w:t>（4）市场监管总局《市场监管总局关于发布参与实施政府采购节能产品、环境标志产品认证机构名录的公告》（2019年第16号）；</w:t>
            </w:r>
          </w:p>
          <w:p w14:paraId="06CBBCB3">
            <w:pPr>
              <w:pStyle w:val="43"/>
              <w:tabs>
                <w:tab w:val="left" w:pos="636"/>
              </w:tabs>
              <w:spacing w:line="360" w:lineRule="auto"/>
              <w:ind w:left="107" w:right="98"/>
              <w:outlineLvl w:val="1"/>
              <w:rPr>
                <w:sz w:val="24"/>
                <w:szCs w:val="24"/>
                <w:highlight w:val="none"/>
              </w:rPr>
            </w:pPr>
            <w:r>
              <w:rPr>
                <w:rFonts w:hint="eastAsia"/>
                <w:sz w:val="24"/>
                <w:szCs w:val="24"/>
                <w:highlight w:val="none"/>
              </w:rPr>
              <w:t>（5）财政部、工业和信息化部《关于印发《政府采购促进中小企业发展管理办法》的通知》（财库[2020]46号文）；</w:t>
            </w:r>
          </w:p>
          <w:p w14:paraId="660CC21E">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6</w:t>
            </w:r>
            <w:r>
              <w:rPr>
                <w:rFonts w:hint="eastAsia"/>
                <w:sz w:val="24"/>
                <w:szCs w:val="24"/>
                <w:highlight w:val="none"/>
              </w:rPr>
              <w:t>）财政部《关于进一步加大政府采购支持中小企业力度的通知》(财库(2022〕19号)；</w:t>
            </w:r>
          </w:p>
          <w:p w14:paraId="4465A6AF">
            <w:pPr>
              <w:pStyle w:val="43"/>
              <w:tabs>
                <w:tab w:val="left" w:pos="636"/>
              </w:tabs>
              <w:spacing w:line="360" w:lineRule="auto"/>
              <w:ind w:left="107" w:right="98"/>
              <w:outlineLvl w:val="1"/>
              <w:rPr>
                <w:sz w:val="24"/>
                <w:szCs w:val="24"/>
                <w:highlight w:val="none"/>
              </w:rPr>
            </w:pPr>
            <w:r>
              <w:rPr>
                <w:rFonts w:hint="eastAsia"/>
                <w:sz w:val="24"/>
                <w:szCs w:val="24"/>
                <w:highlight w:val="none"/>
              </w:rPr>
              <w:t>（7）财政部、民政部、中国残疾人联合会《关于促进残疾人就业政府采购政策的通知》（财库[2017]141号）；</w:t>
            </w:r>
          </w:p>
          <w:p w14:paraId="0C7E923F">
            <w:pPr>
              <w:pStyle w:val="43"/>
              <w:tabs>
                <w:tab w:val="left" w:pos="636"/>
              </w:tabs>
              <w:spacing w:line="360" w:lineRule="auto"/>
              <w:ind w:left="107" w:right="98"/>
              <w:outlineLvl w:val="1"/>
              <w:rPr>
                <w:sz w:val="24"/>
                <w:szCs w:val="24"/>
                <w:highlight w:val="none"/>
              </w:rPr>
            </w:pPr>
            <w:r>
              <w:rPr>
                <w:rFonts w:hint="eastAsia"/>
                <w:sz w:val="24"/>
                <w:szCs w:val="24"/>
                <w:highlight w:val="none"/>
              </w:rPr>
              <w:t>（8）财政部、司法部《关于政府采购支持监狱企业发展有关问题的通知》（财库[2014]68号文）（中小企业优惠、监狱企业、节能产品、环境标志产品等）； </w:t>
            </w:r>
          </w:p>
          <w:p w14:paraId="4447C897">
            <w:pPr>
              <w:pStyle w:val="43"/>
              <w:tabs>
                <w:tab w:val="left" w:pos="636"/>
              </w:tabs>
              <w:spacing w:line="360" w:lineRule="auto"/>
              <w:ind w:left="107" w:right="98"/>
              <w:outlineLvl w:val="1"/>
              <w:rPr>
                <w:sz w:val="24"/>
                <w:szCs w:val="24"/>
                <w:highlight w:val="none"/>
              </w:rPr>
            </w:pPr>
            <w:r>
              <w:rPr>
                <w:rFonts w:hint="eastAsia"/>
                <w:sz w:val="24"/>
                <w:szCs w:val="24"/>
                <w:highlight w:val="none"/>
              </w:rPr>
              <w:t>（9）扶持中小企业政策：评审时小型和微型企业产品享受10%的价格折扣。监狱企业、残疾人福利组织视同小型、微型企业</w:t>
            </w:r>
            <w:r>
              <w:rPr>
                <w:rFonts w:hint="eastAsia"/>
                <w:sz w:val="24"/>
                <w:szCs w:val="24"/>
                <w:highlight w:val="none"/>
                <w:lang w:eastAsia="zh-CN"/>
              </w:rPr>
              <w:t>；</w:t>
            </w:r>
            <w:r>
              <w:rPr>
                <w:rFonts w:hint="eastAsia"/>
                <w:sz w:val="24"/>
                <w:szCs w:val="24"/>
                <w:highlight w:val="none"/>
              </w:rPr>
              <w:t> </w:t>
            </w:r>
          </w:p>
          <w:p w14:paraId="30156A8F">
            <w:pPr>
              <w:pStyle w:val="43"/>
              <w:tabs>
                <w:tab w:val="left" w:pos="636"/>
              </w:tabs>
              <w:spacing w:line="360" w:lineRule="auto"/>
              <w:ind w:left="107" w:right="98"/>
              <w:outlineLvl w:val="1"/>
              <w:rPr>
                <w:sz w:val="24"/>
                <w:szCs w:val="24"/>
                <w:highlight w:val="none"/>
              </w:rPr>
            </w:pPr>
            <w:r>
              <w:rPr>
                <w:rFonts w:hint="eastAsia"/>
                <w:sz w:val="24"/>
                <w:szCs w:val="24"/>
                <w:highlight w:val="none"/>
              </w:rPr>
              <w:t>（10）《关于运用政府采购政策支持脱贫攻坚的通知》（财库【2019】27号文）；  </w:t>
            </w:r>
          </w:p>
          <w:p w14:paraId="54ABAA80">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11</w:t>
            </w:r>
            <w:r>
              <w:rPr>
                <w:rFonts w:hint="eastAsia"/>
                <w:sz w:val="24"/>
                <w:szCs w:val="24"/>
                <w:highlight w:val="none"/>
              </w:rPr>
              <w:t>）《财政部等三部门联合印发商品包装和快递包装政府采购需求标准（试行）》（财办库【2020】123号）。 </w:t>
            </w:r>
          </w:p>
        </w:tc>
      </w:tr>
      <w:tr w14:paraId="7E19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44" w:type="dxa"/>
            <w:vAlign w:val="center"/>
          </w:tcPr>
          <w:p w14:paraId="3DDFD2F6">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8</w:t>
            </w:r>
          </w:p>
        </w:tc>
        <w:tc>
          <w:tcPr>
            <w:tcW w:w="1270" w:type="dxa"/>
            <w:vAlign w:val="center"/>
          </w:tcPr>
          <w:p w14:paraId="5DD19C36">
            <w:pPr>
              <w:jc w:val="center"/>
              <w:rPr>
                <w:sz w:val="24"/>
                <w:szCs w:val="24"/>
                <w:highlight w:val="none"/>
              </w:rPr>
            </w:pPr>
            <w:r>
              <w:rPr>
                <w:rFonts w:hint="eastAsia" w:ascii="宋体" w:hAnsi="宋体" w:cs="宋体"/>
                <w:sz w:val="24"/>
                <w:szCs w:val="24"/>
                <w:highlight w:val="none"/>
              </w:rPr>
              <w:t>售后服务</w:t>
            </w:r>
          </w:p>
        </w:tc>
        <w:tc>
          <w:tcPr>
            <w:tcW w:w="7144" w:type="dxa"/>
            <w:vAlign w:val="center"/>
          </w:tcPr>
          <w:p w14:paraId="079E0EB2">
            <w:pPr>
              <w:spacing w:line="360" w:lineRule="auto"/>
              <w:jc w:val="left"/>
              <w:rPr>
                <w:rFonts w:ascii="宋体" w:hAnsi="宋体" w:cs="仿宋"/>
                <w:sz w:val="24"/>
                <w:szCs w:val="24"/>
                <w:highlight w:val="none"/>
              </w:rPr>
            </w:pPr>
            <w:r>
              <w:rPr>
                <w:rFonts w:hint="eastAsia" w:ascii="宋体" w:hAnsi="宋体" w:cs="仿宋"/>
                <w:sz w:val="24"/>
                <w:szCs w:val="24"/>
                <w:highlight w:val="none"/>
              </w:rPr>
              <w:t>1、提供给买方详细的清单；</w:t>
            </w:r>
          </w:p>
          <w:p w14:paraId="7D622F2C">
            <w:pPr>
              <w:spacing w:line="360" w:lineRule="auto"/>
              <w:jc w:val="left"/>
              <w:rPr>
                <w:rFonts w:ascii="宋体" w:hAnsi="宋体" w:cs="仿宋"/>
                <w:sz w:val="24"/>
                <w:szCs w:val="24"/>
                <w:highlight w:val="none"/>
              </w:rPr>
            </w:pPr>
            <w:r>
              <w:rPr>
                <w:rFonts w:hint="eastAsia" w:ascii="宋体" w:hAnsi="宋体" w:cs="仿宋"/>
                <w:sz w:val="24"/>
                <w:szCs w:val="24"/>
                <w:highlight w:val="none"/>
              </w:rPr>
              <w:t>2、提供相应的售后服务承诺，并附在投标文件中；</w:t>
            </w:r>
          </w:p>
          <w:p w14:paraId="4C63A8E7">
            <w:pPr>
              <w:spacing w:line="360" w:lineRule="auto"/>
              <w:jc w:val="left"/>
              <w:rPr>
                <w:sz w:val="24"/>
                <w:szCs w:val="24"/>
                <w:highlight w:val="none"/>
              </w:rPr>
            </w:pPr>
            <w:r>
              <w:rPr>
                <w:rFonts w:hint="eastAsia" w:ascii="宋体" w:hAnsi="宋体" w:cs="仿宋"/>
                <w:sz w:val="24"/>
                <w:szCs w:val="24"/>
                <w:highlight w:val="none"/>
              </w:rPr>
              <w:t>3、第三部分货物需求、技术规格说明中对售后有特殊要求的按第三部分执行。</w:t>
            </w:r>
          </w:p>
        </w:tc>
      </w:tr>
      <w:tr w14:paraId="5D8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4" w:type="dxa"/>
            <w:vAlign w:val="center"/>
          </w:tcPr>
          <w:p w14:paraId="68C05B78">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p>
        </w:tc>
        <w:tc>
          <w:tcPr>
            <w:tcW w:w="1270" w:type="dxa"/>
            <w:vAlign w:val="center"/>
          </w:tcPr>
          <w:p w14:paraId="5CD07724">
            <w:pPr>
              <w:jc w:val="center"/>
              <w:rPr>
                <w:rFonts w:ascii="宋体" w:hAnsi="宋体" w:cs="宋体"/>
                <w:sz w:val="24"/>
                <w:szCs w:val="24"/>
                <w:highlight w:val="none"/>
              </w:rPr>
            </w:pPr>
            <w:r>
              <w:rPr>
                <w:rFonts w:hint="eastAsia" w:ascii="宋体" w:hAnsi="宋体" w:cs="宋体"/>
                <w:sz w:val="24"/>
                <w:szCs w:val="24"/>
                <w:highlight w:val="none"/>
              </w:rPr>
              <w:t>CA服务</w:t>
            </w:r>
          </w:p>
        </w:tc>
        <w:tc>
          <w:tcPr>
            <w:tcW w:w="7144" w:type="dxa"/>
            <w:vAlign w:val="center"/>
          </w:tcPr>
          <w:p w14:paraId="4AC5AB60">
            <w:pPr>
              <w:spacing w:line="360" w:lineRule="auto"/>
              <w:jc w:val="left"/>
              <w:rPr>
                <w:rFonts w:ascii="宋体" w:hAnsi="宋体" w:cs="仿宋"/>
                <w:sz w:val="24"/>
                <w:szCs w:val="24"/>
                <w:highlight w:val="none"/>
              </w:rPr>
            </w:pPr>
            <w:r>
              <w:rPr>
                <w:rFonts w:hint="eastAsia" w:ascii="宋体" w:hAnsi="宋体" w:cs="仿宋"/>
                <w:sz w:val="24"/>
                <w:szCs w:val="24"/>
                <w:highlight w:val="none"/>
              </w:rPr>
              <w:t>1.请投标单位提前自学线上开标流程，投标人应提前调试好在线参标电脑的各项配置，并在投标截止时间前准备好CA锁进行相关操作。CA申领</w:t>
            </w:r>
            <w:r>
              <w:rPr>
                <w:rFonts w:hint="eastAsia"/>
                <w:sz w:val="24"/>
                <w:szCs w:val="24"/>
                <w:highlight w:val="none"/>
              </w:rPr>
              <w:t>访问新疆数字证书认证中心官方网站（https://www.xjca.com.cn/）或下载“新疆政务通”APP自行进行申领。如需咨询，请联系新疆CA服务热线0991-2819290。</w:t>
            </w:r>
          </w:p>
        </w:tc>
      </w:tr>
      <w:tr w14:paraId="47E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4" w:type="dxa"/>
            <w:vAlign w:val="center"/>
          </w:tcPr>
          <w:p w14:paraId="77B8914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270" w:type="dxa"/>
            <w:vAlign w:val="center"/>
          </w:tcPr>
          <w:p w14:paraId="31365F09">
            <w:pPr>
              <w:jc w:val="center"/>
              <w:rPr>
                <w:rFonts w:ascii="宋体" w:hAnsi="宋体" w:cs="宋体"/>
                <w:sz w:val="24"/>
                <w:szCs w:val="24"/>
                <w:highlight w:val="none"/>
              </w:rPr>
            </w:pPr>
            <w:r>
              <w:rPr>
                <w:rFonts w:hint="eastAsia" w:ascii="宋体" w:hAnsi="宋体" w:cs="宋体"/>
                <w:sz w:val="24"/>
                <w:szCs w:val="24"/>
                <w:highlight w:val="none"/>
              </w:rPr>
              <w:t>电子投标注意事项</w:t>
            </w:r>
          </w:p>
        </w:tc>
        <w:tc>
          <w:tcPr>
            <w:tcW w:w="7144" w:type="dxa"/>
            <w:vAlign w:val="center"/>
          </w:tcPr>
          <w:p w14:paraId="6F1CCBAE">
            <w:pPr>
              <w:spacing w:line="360" w:lineRule="auto"/>
              <w:jc w:val="left"/>
              <w:rPr>
                <w:rFonts w:ascii="宋体" w:hAnsi="宋体" w:cs="宋体"/>
                <w:sz w:val="24"/>
                <w:szCs w:val="24"/>
                <w:highlight w:val="none"/>
              </w:rPr>
            </w:pPr>
            <w:r>
              <w:rPr>
                <w:rFonts w:hint="eastAsia" w:ascii="宋体" w:hAnsi="宋体" w:cs="宋体"/>
                <w:sz w:val="24"/>
                <w:szCs w:val="24"/>
                <w:highlight w:val="none"/>
              </w:rPr>
              <w:t>1、 本项目实行网上投标，采用电子投标文件，投标人需要使用 CA 加密设备，凡参加本项目投标人自行必须办理 CA 锁。</w:t>
            </w:r>
          </w:p>
          <w:p w14:paraId="79AC9FAC">
            <w:pPr>
              <w:spacing w:line="360" w:lineRule="auto"/>
              <w:jc w:val="left"/>
              <w:rPr>
                <w:rFonts w:ascii="宋体" w:hAnsi="宋体" w:cs="宋体"/>
                <w:sz w:val="24"/>
                <w:szCs w:val="24"/>
                <w:highlight w:val="none"/>
              </w:rPr>
            </w:pPr>
            <w:r>
              <w:rPr>
                <w:rFonts w:hint="eastAsia" w:ascii="宋体" w:hAnsi="宋体" w:cs="宋体"/>
                <w:sz w:val="24"/>
                <w:szCs w:val="24"/>
                <w:highlight w:val="none"/>
              </w:rPr>
              <w:t>2、 供应商备份文件可自愿在2026年</w:t>
            </w:r>
            <w:r>
              <w:rPr>
                <w:rFonts w:hint="eastAsia" w:ascii="宋体" w:hAnsi="宋体" w:cs="宋体"/>
                <w:sz w:val="24"/>
                <w:szCs w:val="24"/>
                <w:highlight w:val="none"/>
                <w:lang w:val="en-US" w:eastAsia="zh-CN"/>
              </w:rPr>
              <w:t>7月2日10:00</w:t>
            </w:r>
            <w:r>
              <w:rPr>
                <w:rFonts w:hint="eastAsia" w:ascii="宋体" w:hAnsi="宋体" w:cs="宋体"/>
                <w:sz w:val="24"/>
                <w:szCs w:val="24"/>
                <w:highlight w:val="none"/>
              </w:rPr>
              <w:t>分前（北京时间）以 U 盘邮寄或电子邮件方式提供给代理机构（具体联系人：雷女士，联系电话</w:t>
            </w:r>
            <w:r>
              <w:rPr>
                <w:rFonts w:hint="eastAsia" w:ascii="宋体" w:hAnsi="宋体" w:cs="宋体"/>
                <w:sz w:val="24"/>
                <w:szCs w:val="24"/>
                <w:highlight w:val="none"/>
                <w:lang w:eastAsia="zh-CN"/>
              </w:rPr>
              <w:t>17797975425</w:t>
            </w:r>
            <w:r>
              <w:rPr>
                <w:rFonts w:hint="eastAsia" w:ascii="宋体" w:hAnsi="宋体" w:cs="宋体"/>
                <w:sz w:val="24"/>
                <w:szCs w:val="24"/>
                <w:highlight w:val="none"/>
              </w:rPr>
              <w:t>；邮箱：</w:t>
            </w:r>
            <w:r>
              <w:rPr>
                <w:rFonts w:hint="eastAsia" w:ascii="宋体" w:hAnsi="宋体" w:cs="宋体"/>
                <w:sz w:val="24"/>
                <w:szCs w:val="24"/>
                <w:highlight w:val="none"/>
                <w:lang w:val="en-US" w:eastAsia="zh-CN"/>
              </w:rPr>
              <w:t>3360808269</w:t>
            </w:r>
            <w:r>
              <w:rPr>
                <w:rFonts w:hint="eastAsia" w:ascii="宋体" w:hAnsi="宋体" w:cs="宋体"/>
                <w:sz w:val="24"/>
                <w:szCs w:val="24"/>
                <w:highlight w:val="none"/>
              </w:rPr>
              <w:t>@qq.com）。</w:t>
            </w:r>
          </w:p>
          <w:p w14:paraId="63E335EF">
            <w:pPr>
              <w:spacing w:line="360" w:lineRule="auto"/>
              <w:jc w:val="left"/>
              <w:rPr>
                <w:rFonts w:ascii="宋体" w:hAnsi="宋体" w:cs="宋体"/>
                <w:sz w:val="24"/>
                <w:szCs w:val="24"/>
                <w:highlight w:val="none"/>
              </w:rPr>
            </w:pPr>
            <w:r>
              <w:rPr>
                <w:rFonts w:hint="eastAsia" w:ascii="宋体" w:hAnsi="宋体" w:cs="宋体"/>
                <w:sz w:val="24"/>
                <w:szCs w:val="24"/>
                <w:highlight w:val="none"/>
              </w:rPr>
              <w:t>注：（1）与加密标书同时生成的备份标书，在出现异常情况进行异常处理时使用。比如当加密标书无法正常解密时，可以在开启标书信息前，通过异常处理上传备份标书。</w:t>
            </w:r>
          </w:p>
          <w:p w14:paraId="73AF67CD">
            <w:pPr>
              <w:spacing w:line="360" w:lineRule="auto"/>
              <w:jc w:val="left"/>
              <w:rPr>
                <w:rFonts w:ascii="宋体" w:hAnsi="宋体" w:cs="宋体"/>
                <w:sz w:val="24"/>
                <w:szCs w:val="24"/>
                <w:highlight w:val="none"/>
              </w:rPr>
            </w:pPr>
            <w:r>
              <w:rPr>
                <w:rFonts w:hint="eastAsia" w:ascii="宋体" w:hAnsi="宋体" w:cs="宋体"/>
                <w:sz w:val="24"/>
                <w:szCs w:val="24"/>
                <w:highlight w:val="none"/>
              </w:rPr>
              <w:t>（2）平台会校验标书一致性及标书身份识别，切勿手动修改标书。</w:t>
            </w:r>
          </w:p>
          <w:p w14:paraId="2431C120">
            <w:pPr>
              <w:spacing w:line="360" w:lineRule="auto"/>
              <w:jc w:val="left"/>
              <w:rPr>
                <w:rFonts w:ascii="宋体" w:hAnsi="宋体" w:cs="宋体"/>
                <w:sz w:val="24"/>
                <w:szCs w:val="24"/>
                <w:highlight w:val="none"/>
              </w:rPr>
            </w:pPr>
            <w:r>
              <w:rPr>
                <w:rFonts w:hint="eastAsia" w:ascii="宋体" w:hAnsi="宋体" w:cs="宋体"/>
                <w:sz w:val="24"/>
                <w:szCs w:val="24"/>
                <w:highlight w:val="none"/>
              </w:rPr>
              <w:t>（3）供应商生成的后缀格式为.bfbs 的备份标书是无法查看的，主要是为了在开标解密时异常处理使用。</w:t>
            </w:r>
          </w:p>
          <w:p w14:paraId="12084486">
            <w:pPr>
              <w:spacing w:line="360" w:lineRule="auto"/>
              <w:jc w:val="left"/>
              <w:rPr>
                <w:rFonts w:ascii="宋体" w:hAnsi="宋体" w:cs="宋体"/>
                <w:sz w:val="24"/>
                <w:szCs w:val="24"/>
                <w:highlight w:val="none"/>
              </w:rPr>
            </w:pPr>
            <w:r>
              <w:rPr>
                <w:rFonts w:hint="eastAsia" w:ascii="宋体" w:hAnsi="宋体" w:cs="宋体"/>
                <w:sz w:val="24"/>
                <w:szCs w:val="24"/>
                <w:highlight w:val="none"/>
              </w:rPr>
              <w:t>（4）关联点链接。</w:t>
            </w:r>
          </w:p>
          <w:p w14:paraId="2F184BD3">
            <w:pPr>
              <w:spacing w:line="360" w:lineRule="auto"/>
              <w:jc w:val="left"/>
              <w:rPr>
                <w:rFonts w:ascii="宋体" w:hAnsi="宋体" w:cs="仿宋"/>
                <w:sz w:val="24"/>
                <w:szCs w:val="24"/>
                <w:highlight w:val="none"/>
              </w:rPr>
            </w:pPr>
            <w:r>
              <w:rPr>
                <w:rFonts w:hint="eastAsia" w:ascii="宋体" w:hAnsi="宋体" w:cs="宋体"/>
                <w:sz w:val="24"/>
                <w:szCs w:val="24"/>
                <w:highlight w:val="none"/>
              </w:rPr>
              <w:t>（5）凡因个人原因无法正常解密投标文件（且没提供备份文件至采购代理机构），致使供应商无法参与评标，供应商自行承担后果。</w:t>
            </w:r>
          </w:p>
        </w:tc>
      </w:tr>
      <w:tr w14:paraId="42E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C40C15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270" w:type="dxa"/>
            <w:vAlign w:val="center"/>
          </w:tcPr>
          <w:p w14:paraId="5EC01AF4">
            <w:pPr>
              <w:jc w:val="center"/>
              <w:rPr>
                <w:sz w:val="24"/>
                <w:szCs w:val="24"/>
                <w:highlight w:val="none"/>
              </w:rPr>
            </w:pPr>
            <w:r>
              <w:rPr>
                <w:rFonts w:hint="eastAsia"/>
                <w:sz w:val="24"/>
                <w:szCs w:val="24"/>
                <w:highlight w:val="none"/>
              </w:rPr>
              <w:t>评标方法</w:t>
            </w:r>
          </w:p>
        </w:tc>
        <w:tc>
          <w:tcPr>
            <w:tcW w:w="7144" w:type="dxa"/>
            <w:vAlign w:val="center"/>
          </w:tcPr>
          <w:p w14:paraId="33510687">
            <w:pPr>
              <w:jc w:val="left"/>
              <w:rPr>
                <w:sz w:val="24"/>
                <w:szCs w:val="24"/>
                <w:highlight w:val="none"/>
              </w:rPr>
            </w:pPr>
            <w:r>
              <w:rPr>
                <w:rFonts w:hint="eastAsia"/>
                <w:sz w:val="24"/>
                <w:szCs w:val="24"/>
                <w:highlight w:val="none"/>
              </w:rPr>
              <w:t>综合评分法</w:t>
            </w:r>
          </w:p>
        </w:tc>
      </w:tr>
      <w:tr w14:paraId="00C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B66968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270" w:type="dxa"/>
            <w:vAlign w:val="center"/>
          </w:tcPr>
          <w:p w14:paraId="07E23D11">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政府采购异常低价</w:t>
            </w:r>
          </w:p>
        </w:tc>
        <w:tc>
          <w:tcPr>
            <w:tcW w:w="7144" w:type="dxa"/>
            <w:vAlign w:val="center"/>
          </w:tcPr>
          <w:p w14:paraId="68AD017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74865EE1">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1462B0E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5130664">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E3D121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2A33998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7FD0134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B602D56">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68620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15C03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1D3597">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D7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488E10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270" w:type="dxa"/>
            <w:vAlign w:val="center"/>
          </w:tcPr>
          <w:p w14:paraId="4DC38837">
            <w:pPr>
              <w:spacing w:line="360" w:lineRule="auto"/>
              <w:jc w:val="center"/>
              <w:rPr>
                <w:rFonts w:ascii="宋体" w:hAnsi="宋体" w:cs="宋体"/>
                <w:sz w:val="24"/>
                <w:szCs w:val="24"/>
                <w:highlight w:val="none"/>
              </w:rPr>
            </w:pPr>
            <w:r>
              <w:rPr>
                <w:rFonts w:hint="eastAsia" w:ascii="宋体" w:hAnsi="宋体" w:cs="宋体"/>
                <w:sz w:val="24"/>
                <w:szCs w:val="24"/>
                <w:highlight w:val="none"/>
              </w:rPr>
              <w:t>项目采购标的对应的中小企业划分标准所属行业</w:t>
            </w:r>
          </w:p>
        </w:tc>
        <w:tc>
          <w:tcPr>
            <w:tcW w:w="7144" w:type="dxa"/>
            <w:vAlign w:val="center"/>
          </w:tcPr>
          <w:p w14:paraId="6A47DDBF">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工业</w:t>
            </w:r>
          </w:p>
        </w:tc>
      </w:tr>
      <w:tr w14:paraId="300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4" w:type="dxa"/>
            <w:vAlign w:val="center"/>
          </w:tcPr>
          <w:p w14:paraId="32EB3ED4">
            <w:pPr>
              <w:jc w:val="center"/>
              <w:rPr>
                <w:rFonts w:ascii="宋体" w:hAnsi="宋体" w:cs="宋体"/>
                <w:sz w:val="24"/>
                <w:szCs w:val="24"/>
                <w:highlight w:val="none"/>
              </w:rPr>
            </w:pPr>
          </w:p>
          <w:p w14:paraId="546E191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270" w:type="dxa"/>
            <w:vAlign w:val="center"/>
          </w:tcPr>
          <w:p w14:paraId="7341E249">
            <w:pPr>
              <w:jc w:val="center"/>
              <w:rPr>
                <w:sz w:val="24"/>
                <w:szCs w:val="24"/>
                <w:highlight w:val="none"/>
              </w:rPr>
            </w:pPr>
            <w:r>
              <w:rPr>
                <w:rFonts w:hint="eastAsia"/>
                <w:sz w:val="24"/>
                <w:szCs w:val="24"/>
                <w:highlight w:val="none"/>
              </w:rPr>
              <w:t>其它</w:t>
            </w:r>
          </w:p>
        </w:tc>
        <w:tc>
          <w:tcPr>
            <w:tcW w:w="7144" w:type="dxa"/>
            <w:vAlign w:val="center"/>
          </w:tcPr>
          <w:p w14:paraId="2F94AE4C">
            <w:pPr>
              <w:spacing w:line="360" w:lineRule="auto"/>
              <w:jc w:val="left"/>
              <w:rPr>
                <w:sz w:val="24"/>
                <w:szCs w:val="24"/>
                <w:highlight w:val="none"/>
              </w:rPr>
            </w:pPr>
            <w:r>
              <w:rPr>
                <w:rFonts w:hint="eastAsia"/>
                <w:sz w:val="24"/>
                <w:szCs w:val="24"/>
                <w:highlight w:val="none"/>
              </w:rPr>
              <w:t>1.请投标单位提前自学线上开标流程，投标人应提前调试好在线参标电脑的各项配置，并在投标截止时间前准备好CA锁进行相关操作。</w:t>
            </w:r>
          </w:p>
          <w:p w14:paraId="64748541">
            <w:pPr>
              <w:spacing w:line="360" w:lineRule="auto"/>
              <w:rPr>
                <w:sz w:val="24"/>
                <w:szCs w:val="24"/>
                <w:highlight w:val="none"/>
              </w:rPr>
            </w:pPr>
            <w:r>
              <w:rPr>
                <w:rFonts w:hint="eastAsia"/>
                <w:sz w:val="24"/>
                <w:szCs w:val="24"/>
                <w:highlight w:val="none"/>
              </w:rPr>
              <w:t>2.</w:t>
            </w:r>
            <w:r>
              <w:rPr>
                <w:rFonts w:ascii="Segoe UI" w:hAnsi="Segoe UI" w:eastAsia="Segoe UI" w:cs="Segoe UI"/>
                <w:sz w:val="24"/>
                <w:szCs w:val="24"/>
                <w:highlight w:val="none"/>
                <w:shd w:val="clear" w:color="auto"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sz w:val="24"/>
                <w:szCs w:val="24"/>
                <w:highlight w:val="none"/>
              </w:rPr>
              <w:t>。</w:t>
            </w:r>
          </w:p>
          <w:p w14:paraId="303FFC45">
            <w:pPr>
              <w:spacing w:line="360" w:lineRule="auto"/>
              <w:jc w:val="left"/>
              <w:rPr>
                <w:sz w:val="24"/>
                <w:szCs w:val="24"/>
                <w:highlight w:val="none"/>
              </w:rPr>
            </w:pPr>
            <w:r>
              <w:rPr>
                <w:rFonts w:hint="eastAsia"/>
                <w:sz w:val="24"/>
                <w:szCs w:val="24"/>
                <w:highlight w:val="none"/>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14:paraId="30B9568B">
            <w:pPr>
              <w:spacing w:line="360" w:lineRule="auto"/>
              <w:jc w:val="left"/>
              <w:rPr>
                <w:sz w:val="24"/>
                <w:szCs w:val="24"/>
                <w:highlight w:val="none"/>
              </w:rPr>
            </w:pPr>
            <w:r>
              <w:rPr>
                <w:rFonts w:hint="eastAsia"/>
                <w:sz w:val="24"/>
                <w:szCs w:val="24"/>
                <w:highlight w:val="none"/>
              </w:rPr>
              <w:t>4.本项目采用资格后审，请投标人仔细阅读招标文件和各项要求，制作文件及相关资料过程中，若因投标人资格条件不符、提供资料不全等原因导致投标文件予以退还，责任自负。</w:t>
            </w:r>
          </w:p>
          <w:p w14:paraId="36B15E1F">
            <w:pPr>
              <w:spacing w:line="360" w:lineRule="auto"/>
              <w:jc w:val="left"/>
              <w:rPr>
                <w:sz w:val="24"/>
                <w:szCs w:val="24"/>
                <w:highlight w:val="none"/>
              </w:rPr>
            </w:pPr>
            <w:r>
              <w:rPr>
                <w:rFonts w:hint="eastAsia"/>
                <w:sz w:val="24"/>
                <w:szCs w:val="24"/>
                <w:highlight w:val="none"/>
              </w:rPr>
              <w:t>5.招标文件中如有内容冲突的地方，以投标须知要求为准。</w:t>
            </w:r>
          </w:p>
        </w:tc>
      </w:tr>
      <w:tr w14:paraId="264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4" w:type="dxa"/>
            <w:vAlign w:val="center"/>
          </w:tcPr>
          <w:p w14:paraId="4C988E27">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c>
          <w:tcPr>
            <w:tcW w:w="8414" w:type="dxa"/>
            <w:gridSpan w:val="2"/>
            <w:vAlign w:val="center"/>
          </w:tcPr>
          <w:p w14:paraId="7AF3BF7A">
            <w:pPr>
              <w:spacing w:line="360" w:lineRule="auto"/>
              <w:jc w:val="left"/>
              <w:rPr>
                <w:rFonts w:ascii="宋体" w:hAnsi="宋体" w:cs="仿宋"/>
                <w:sz w:val="24"/>
                <w:szCs w:val="24"/>
                <w:highlight w:val="none"/>
              </w:rPr>
            </w:pPr>
            <w:r>
              <w:rPr>
                <w:rFonts w:hint="eastAsia" w:ascii="宋体" w:hAnsi="宋体" w:cs="仿宋"/>
                <w:sz w:val="24"/>
                <w:szCs w:val="24"/>
                <w:highlight w:val="none"/>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14:paraId="563642F5">
            <w:pPr>
              <w:spacing w:line="360" w:lineRule="auto"/>
              <w:jc w:val="left"/>
              <w:rPr>
                <w:rFonts w:ascii="宋体" w:hAnsi="宋体" w:cs="宋体"/>
                <w:sz w:val="24"/>
                <w:szCs w:val="24"/>
                <w:highlight w:val="none"/>
              </w:rPr>
            </w:pPr>
            <w:r>
              <w:rPr>
                <w:rFonts w:hint="eastAsia" w:ascii="宋体" w:hAnsi="宋体" w:cs="仿宋"/>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w:t>
            </w:r>
          </w:p>
        </w:tc>
      </w:tr>
      <w:tr w14:paraId="635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8" w:type="dxa"/>
            <w:gridSpan w:val="3"/>
            <w:vAlign w:val="center"/>
          </w:tcPr>
          <w:p w14:paraId="4942192B">
            <w:pPr>
              <w:pStyle w:val="13"/>
              <w:spacing w:line="360" w:lineRule="auto"/>
              <w:ind w:firstLine="480" w:firstLineChars="200"/>
              <w:rPr>
                <w:rFonts w:ascii="宋体" w:hAnsi="宋体" w:cs="宋体"/>
                <w:sz w:val="24"/>
                <w:szCs w:val="24"/>
                <w:highlight w:val="none"/>
              </w:rPr>
            </w:pPr>
            <w:r>
              <w:rPr>
                <w:rFonts w:hint="eastAsia" w:ascii="宋体" w:hAnsi="宋体" w:cs="仿宋"/>
                <w:kern w:val="2"/>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02B189C">
      <w:pPr>
        <w:pStyle w:val="4"/>
        <w:spacing w:line="360" w:lineRule="auto"/>
        <w:ind w:firstLine="0"/>
        <w:jc w:val="center"/>
        <w:rPr>
          <w:rFonts w:cs="宋体"/>
          <w:b/>
          <w:sz w:val="36"/>
          <w:highlight w:val="none"/>
        </w:rPr>
        <w:sectPr>
          <w:footerReference r:id="rId9" w:type="default"/>
          <w:pgSz w:w="11910" w:h="16840"/>
          <w:pgMar w:top="1440" w:right="1800" w:bottom="1440" w:left="1800" w:header="714" w:footer="850" w:gutter="0"/>
          <w:pgNumType w:start="1"/>
          <w:cols w:space="720" w:num="1"/>
        </w:sectPr>
      </w:pPr>
    </w:p>
    <w:p w14:paraId="485A5CEA">
      <w:pPr>
        <w:pStyle w:val="4"/>
        <w:numPr>
          <w:ilvl w:val="0"/>
          <w:numId w:val="6"/>
        </w:numPr>
        <w:spacing w:line="360" w:lineRule="auto"/>
        <w:ind w:firstLine="0"/>
        <w:jc w:val="center"/>
        <w:rPr>
          <w:rFonts w:cs="宋体"/>
          <w:b/>
          <w:sz w:val="36"/>
          <w:highlight w:val="none"/>
        </w:rPr>
      </w:pPr>
      <w:r>
        <w:rPr>
          <w:rFonts w:hint="eastAsia" w:cs="宋体"/>
          <w:b/>
          <w:sz w:val="36"/>
          <w:highlight w:val="none"/>
        </w:rPr>
        <w:t>货物需求、技术规格说明</w:t>
      </w:r>
    </w:p>
    <w:p w14:paraId="6015AF31">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
          <w:bCs w:val="0"/>
          <w:kern w:val="2"/>
          <w:sz w:val="24"/>
          <w:highlight w:val="none"/>
          <w:lang w:val="en-US" w:eastAsia="zh-CN" w:bidi="ar-SA"/>
        </w:rPr>
      </w:pPr>
      <w:bookmarkStart w:id="0" w:name="_Toc285612596"/>
      <w:r>
        <w:rPr>
          <w:rFonts w:hint="eastAsia" w:ascii="宋体" w:hAnsi="宋体" w:eastAsia="宋体" w:cs="宋体"/>
          <w:b/>
          <w:bCs w:val="0"/>
          <w:kern w:val="2"/>
          <w:sz w:val="24"/>
          <w:highlight w:val="none"/>
          <w:lang w:val="en-US" w:eastAsia="zh-CN" w:bidi="ar-SA"/>
        </w:rPr>
        <w:t>一、项目概况</w:t>
      </w:r>
    </w:p>
    <w:p w14:paraId="7A36C2D0">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1.招标内容：确定1家供应商，为采购单位提供副食品保障服务。</w:t>
      </w:r>
    </w:p>
    <w:p w14:paraId="10BCB0AE">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kern w:val="2"/>
          <w:sz w:val="24"/>
          <w:highlight w:val="none"/>
          <w:lang w:val="en-US" w:eastAsia="zh-CN" w:bidi="ar-SA"/>
        </w:rPr>
        <w:t>2.服务期限：自合同签订之日起一年，按业主需求进行供货。</w:t>
      </w:r>
      <w:bookmarkEnd w:id="0"/>
    </w:p>
    <w:p w14:paraId="23839C58">
      <w:pPr>
        <w:numPr>
          <w:ilvl w:val="0"/>
          <w:numId w:val="0"/>
        </w:numPr>
        <w:spacing w:line="360" w:lineRule="auto"/>
        <w:jc w:val="left"/>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bCs w:val="0"/>
          <w:color w:val="auto"/>
          <w:sz w:val="24"/>
          <w:szCs w:val="24"/>
          <w:highlight w:val="none"/>
          <w:lang w:val="en-US" w:eastAsia="zh-CN"/>
        </w:rPr>
        <w:t>二、采购项目技术标准</w:t>
      </w:r>
      <w:r>
        <w:rPr>
          <w:rFonts w:hint="eastAsia" w:ascii="宋体" w:hAnsi="宋体" w:eastAsia="宋体" w:cs="宋体"/>
          <w:b w:val="0"/>
          <w:bCs/>
          <w:color w:val="auto"/>
          <w:kern w:val="2"/>
          <w:sz w:val="24"/>
          <w:szCs w:val="24"/>
          <w:highlight w:val="none"/>
          <w:shd w:val="clear" w:color="auto" w:fill="auto"/>
          <w:lang w:val="en-US" w:eastAsia="zh-CN" w:bidi="ar-SA"/>
        </w:rPr>
        <w:t xml:space="preserve">  </w:t>
      </w:r>
    </w:p>
    <w:p w14:paraId="7580FB43">
      <w:pPr>
        <w:pStyle w:val="13"/>
        <w:spacing w:before="91" w:line="394" w:lineRule="auto"/>
        <w:ind w:left="33" w:right="238" w:firstLine="236" w:firstLineChars="102"/>
        <w:rPr>
          <w:rFonts w:hint="eastAsia" w:ascii="宋体" w:hAnsi="宋体" w:eastAsia="宋体" w:cs="宋体"/>
          <w:color w:val="auto"/>
          <w:sz w:val="24"/>
          <w:szCs w:val="24"/>
        </w:rPr>
      </w:pPr>
      <w:r>
        <w:rPr>
          <w:rFonts w:hint="eastAsia" w:ascii="宋体" w:hAnsi="宋体" w:cs="宋体"/>
          <w:color w:val="auto"/>
          <w:spacing w:val="-4"/>
          <w:sz w:val="24"/>
          <w:szCs w:val="24"/>
          <w:lang w:val="en-US" w:eastAsia="zh-CN"/>
        </w:rPr>
        <w:t>1、</w:t>
      </w:r>
      <w:r>
        <w:rPr>
          <w:rFonts w:hint="eastAsia" w:ascii="宋体" w:hAnsi="宋体" w:eastAsia="宋体" w:cs="宋体"/>
          <w:color w:val="auto"/>
          <w:spacing w:val="-4"/>
          <w:sz w:val="24"/>
          <w:szCs w:val="24"/>
        </w:rPr>
        <w:t>执行相关标准：所供应的食品符合新的食品安全法和安全管理</w:t>
      </w:r>
      <w:r>
        <w:rPr>
          <w:rFonts w:hint="eastAsia" w:ascii="宋体" w:hAnsi="宋体" w:eastAsia="宋体" w:cs="宋体"/>
          <w:color w:val="auto"/>
          <w:spacing w:val="-3"/>
          <w:sz w:val="24"/>
          <w:szCs w:val="24"/>
        </w:rPr>
        <w:t>标准及要求</w:t>
      </w:r>
    </w:p>
    <w:tbl>
      <w:tblPr>
        <w:tblStyle w:val="69"/>
        <w:tblW w:w="84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3473"/>
        <w:gridCol w:w="4030"/>
      </w:tblGrid>
      <w:tr w14:paraId="1A4C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2" w:hRule="atLeast"/>
        </w:trPr>
        <w:tc>
          <w:tcPr>
            <w:tcW w:w="975" w:type="dxa"/>
            <w:tcBorders>
              <w:top w:val="single" w:color="000000" w:sz="2" w:space="0"/>
              <w:left w:val="single" w:color="000000" w:sz="2" w:space="0"/>
            </w:tcBorders>
            <w:vAlign w:val="top"/>
          </w:tcPr>
          <w:p w14:paraId="0FCB0A8C">
            <w:pPr>
              <w:spacing w:before="41" w:line="211" w:lineRule="auto"/>
              <w:ind w:left="255"/>
              <w:rPr>
                <w:rFonts w:hint="eastAsia" w:ascii="宋体" w:hAnsi="宋体" w:eastAsia="宋体" w:cs="宋体"/>
                <w:color w:val="auto"/>
                <w:sz w:val="24"/>
                <w:szCs w:val="24"/>
              </w:rPr>
            </w:pPr>
            <w:r>
              <w:rPr>
                <w:rFonts w:hint="eastAsia" w:ascii="宋体" w:hAnsi="宋体" w:eastAsia="宋体" w:cs="宋体"/>
                <w:color w:val="auto"/>
                <w:spacing w:val="-8"/>
                <w:sz w:val="24"/>
                <w:szCs w:val="24"/>
              </w:rPr>
              <w:t>序号</w:t>
            </w:r>
          </w:p>
        </w:tc>
        <w:tc>
          <w:tcPr>
            <w:tcW w:w="3473" w:type="dxa"/>
            <w:tcBorders>
              <w:top w:val="single" w:color="000000" w:sz="2" w:space="0"/>
              <w:right w:val="single" w:color="000000" w:sz="2" w:space="0"/>
            </w:tcBorders>
            <w:vAlign w:val="top"/>
          </w:tcPr>
          <w:p w14:paraId="238F14BD">
            <w:pPr>
              <w:spacing w:before="41" w:line="211" w:lineRule="auto"/>
              <w:ind w:left="1362"/>
              <w:rPr>
                <w:rFonts w:hint="eastAsia" w:ascii="宋体" w:hAnsi="宋体" w:eastAsia="宋体" w:cs="宋体"/>
                <w:color w:val="auto"/>
                <w:sz w:val="24"/>
                <w:szCs w:val="24"/>
              </w:rPr>
            </w:pPr>
            <w:r>
              <w:rPr>
                <w:rFonts w:hint="eastAsia" w:ascii="宋体" w:hAnsi="宋体" w:eastAsia="宋体" w:cs="宋体"/>
                <w:color w:val="auto"/>
                <w:spacing w:val="-6"/>
                <w:sz w:val="24"/>
                <w:szCs w:val="24"/>
              </w:rPr>
              <w:t>标准号</w:t>
            </w:r>
          </w:p>
        </w:tc>
        <w:tc>
          <w:tcPr>
            <w:tcW w:w="4030" w:type="dxa"/>
            <w:tcBorders>
              <w:left w:val="single" w:color="000000" w:sz="2" w:space="0"/>
            </w:tcBorders>
            <w:vAlign w:val="top"/>
          </w:tcPr>
          <w:p w14:paraId="5860060D">
            <w:pPr>
              <w:spacing w:before="41" w:line="211" w:lineRule="auto"/>
              <w:ind w:left="1520"/>
              <w:rPr>
                <w:rFonts w:hint="eastAsia" w:ascii="宋体" w:hAnsi="宋体" w:eastAsia="宋体" w:cs="宋体"/>
                <w:color w:val="auto"/>
                <w:sz w:val="24"/>
                <w:szCs w:val="24"/>
              </w:rPr>
            </w:pPr>
            <w:r>
              <w:rPr>
                <w:rFonts w:hint="eastAsia" w:ascii="宋体" w:hAnsi="宋体" w:eastAsia="宋体" w:cs="宋体"/>
                <w:color w:val="auto"/>
                <w:spacing w:val="-4"/>
                <w:sz w:val="24"/>
                <w:szCs w:val="24"/>
              </w:rPr>
              <w:t>标准名称</w:t>
            </w:r>
          </w:p>
        </w:tc>
      </w:tr>
      <w:tr w14:paraId="33D6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975" w:type="dxa"/>
            <w:tcBorders>
              <w:left w:val="single" w:color="000000" w:sz="2" w:space="0"/>
            </w:tcBorders>
            <w:vAlign w:val="top"/>
          </w:tcPr>
          <w:p w14:paraId="0AF57C40">
            <w:pPr>
              <w:spacing w:before="36" w:line="208" w:lineRule="auto"/>
              <w:ind w:left="445"/>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473" w:type="dxa"/>
            <w:tcBorders>
              <w:right w:val="single" w:color="000000" w:sz="2" w:space="0"/>
            </w:tcBorders>
            <w:vAlign w:val="top"/>
          </w:tcPr>
          <w:p w14:paraId="04525051">
            <w:pPr>
              <w:spacing w:before="36" w:line="208" w:lineRule="auto"/>
              <w:ind w:left="890"/>
              <w:rPr>
                <w:rFonts w:hint="eastAsia" w:ascii="宋体" w:hAnsi="宋体" w:eastAsia="宋体" w:cs="宋体"/>
                <w:color w:val="auto"/>
                <w:sz w:val="24"/>
                <w:szCs w:val="24"/>
              </w:rPr>
            </w:pPr>
            <w:r>
              <w:rPr>
                <w:rFonts w:hint="eastAsia" w:ascii="宋体" w:hAnsi="宋体" w:eastAsia="宋体" w:cs="宋体"/>
                <w:color w:val="auto"/>
                <w:spacing w:val="-5"/>
                <w:sz w:val="24"/>
                <w:szCs w:val="24"/>
              </w:rPr>
              <w:t>主席令第</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5"/>
                <w:sz w:val="24"/>
                <w:szCs w:val="24"/>
                <w:lang w:val="en-US" w:eastAsia="zh-CN"/>
              </w:rPr>
              <w:t>56</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5"/>
                <w:sz w:val="24"/>
                <w:szCs w:val="24"/>
              </w:rPr>
              <w:t>号</w:t>
            </w:r>
          </w:p>
        </w:tc>
        <w:tc>
          <w:tcPr>
            <w:tcW w:w="4030" w:type="dxa"/>
            <w:tcBorders>
              <w:left w:val="single" w:color="000000" w:sz="2" w:space="0"/>
            </w:tcBorders>
            <w:vAlign w:val="top"/>
          </w:tcPr>
          <w:p w14:paraId="7A881A8B">
            <w:pPr>
              <w:spacing w:before="36" w:line="208" w:lineRule="auto"/>
              <w:ind w:left="592"/>
              <w:rPr>
                <w:rFonts w:hint="eastAsia" w:ascii="宋体" w:hAnsi="宋体" w:eastAsia="宋体" w:cs="宋体"/>
                <w:color w:val="auto"/>
                <w:sz w:val="24"/>
                <w:szCs w:val="24"/>
              </w:rPr>
            </w:pPr>
            <w:r>
              <w:rPr>
                <w:rFonts w:hint="eastAsia" w:ascii="宋体" w:hAnsi="宋体" w:eastAsia="宋体" w:cs="宋体"/>
                <w:color w:val="auto"/>
                <w:spacing w:val="-4"/>
                <w:sz w:val="24"/>
                <w:szCs w:val="24"/>
              </w:rPr>
              <w:t>中华人民共和国食品安全法</w:t>
            </w:r>
          </w:p>
        </w:tc>
      </w:tr>
      <w:tr w14:paraId="6FF2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975" w:type="dxa"/>
            <w:tcBorders>
              <w:left w:val="single" w:color="000000" w:sz="2" w:space="0"/>
            </w:tcBorders>
            <w:vAlign w:val="top"/>
          </w:tcPr>
          <w:p w14:paraId="1E3F99AC">
            <w:pPr>
              <w:spacing w:before="40" w:line="205" w:lineRule="auto"/>
              <w:ind w:left="431"/>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473" w:type="dxa"/>
            <w:tcBorders>
              <w:right w:val="single" w:color="000000" w:sz="2" w:space="0"/>
            </w:tcBorders>
            <w:vAlign w:val="top"/>
          </w:tcPr>
          <w:p w14:paraId="7264806B">
            <w:pPr>
              <w:spacing w:before="40" w:line="205" w:lineRule="auto"/>
              <w:ind w:left="890"/>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主席令第 </w:t>
            </w:r>
            <w:r>
              <w:rPr>
                <w:rFonts w:hint="eastAsia" w:ascii="宋体" w:hAnsi="宋体" w:eastAsia="宋体" w:cs="宋体"/>
                <w:color w:val="auto"/>
                <w:spacing w:val="-3"/>
                <w:sz w:val="24"/>
                <w:szCs w:val="24"/>
                <w:lang w:val="en-US" w:eastAsia="zh-CN"/>
              </w:rPr>
              <w:t>81</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3"/>
                <w:sz w:val="24"/>
                <w:szCs w:val="24"/>
              </w:rPr>
              <w:t>号</w:t>
            </w:r>
          </w:p>
        </w:tc>
        <w:tc>
          <w:tcPr>
            <w:tcW w:w="4030" w:type="dxa"/>
            <w:tcBorders>
              <w:left w:val="single" w:color="000000" w:sz="2" w:space="0"/>
            </w:tcBorders>
            <w:vAlign w:val="top"/>
          </w:tcPr>
          <w:p w14:paraId="22AFAB9F">
            <w:pPr>
              <w:spacing w:before="40" w:line="205" w:lineRule="auto"/>
              <w:ind w:left="352"/>
              <w:rPr>
                <w:rFonts w:hint="eastAsia" w:ascii="宋体" w:hAnsi="宋体" w:eastAsia="宋体" w:cs="宋体"/>
                <w:color w:val="auto"/>
                <w:sz w:val="24"/>
                <w:szCs w:val="24"/>
              </w:rPr>
            </w:pPr>
            <w:r>
              <w:rPr>
                <w:rFonts w:hint="eastAsia" w:ascii="宋体" w:hAnsi="宋体" w:eastAsia="宋体" w:cs="宋体"/>
                <w:color w:val="auto"/>
                <w:spacing w:val="-4"/>
                <w:sz w:val="24"/>
                <w:szCs w:val="24"/>
              </w:rPr>
              <w:t>中华人民共和国道路交通安全法</w:t>
            </w:r>
          </w:p>
        </w:tc>
      </w:tr>
      <w:tr w14:paraId="24FAE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975" w:type="dxa"/>
            <w:tcBorders>
              <w:left w:val="single" w:color="000000" w:sz="2" w:space="0"/>
              <w:bottom w:val="single" w:color="000000" w:sz="2" w:space="0"/>
            </w:tcBorders>
            <w:vAlign w:val="top"/>
          </w:tcPr>
          <w:p w14:paraId="76588227">
            <w:pPr>
              <w:spacing w:before="198" w:line="241" w:lineRule="auto"/>
              <w:ind w:left="433"/>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473" w:type="dxa"/>
            <w:tcBorders>
              <w:bottom w:val="single" w:color="000000" w:sz="2" w:space="0"/>
              <w:right w:val="single" w:color="000000" w:sz="2" w:space="0"/>
            </w:tcBorders>
            <w:vAlign w:val="top"/>
          </w:tcPr>
          <w:p w14:paraId="31A10EB9">
            <w:pPr>
              <w:spacing w:before="198" w:line="222"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国务院令</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lang w:val="en-US" w:eastAsia="zh-CN"/>
              </w:rPr>
              <w:t>2007</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第 503</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5"/>
                <w:sz w:val="24"/>
                <w:szCs w:val="24"/>
              </w:rPr>
              <w:t>号</w:t>
            </w:r>
          </w:p>
        </w:tc>
        <w:tc>
          <w:tcPr>
            <w:tcW w:w="4030" w:type="dxa"/>
            <w:tcBorders>
              <w:left w:val="single" w:color="000000" w:sz="2" w:space="0"/>
            </w:tcBorders>
            <w:vAlign w:val="top"/>
          </w:tcPr>
          <w:p w14:paraId="13F8461A">
            <w:pPr>
              <w:spacing w:before="42" w:line="222" w:lineRule="auto"/>
              <w:ind w:left="228"/>
              <w:rPr>
                <w:rFonts w:hint="eastAsia" w:ascii="宋体" w:hAnsi="宋体" w:eastAsia="宋体" w:cs="宋体"/>
                <w:color w:val="auto"/>
                <w:sz w:val="24"/>
                <w:szCs w:val="24"/>
              </w:rPr>
            </w:pPr>
            <w:r>
              <w:rPr>
                <w:rFonts w:hint="eastAsia" w:ascii="宋体" w:hAnsi="宋体" w:eastAsia="宋体" w:cs="宋体"/>
                <w:color w:val="auto"/>
                <w:spacing w:val="-3"/>
                <w:sz w:val="24"/>
                <w:szCs w:val="24"/>
              </w:rPr>
              <w:t>国务院关于加强食品等产品安全监</w:t>
            </w:r>
          </w:p>
          <w:p w14:paraId="706894F3">
            <w:pPr>
              <w:spacing w:before="22" w:line="207" w:lineRule="auto"/>
              <w:ind w:left="1408"/>
              <w:rPr>
                <w:rFonts w:hint="eastAsia" w:ascii="宋体" w:hAnsi="宋体" w:eastAsia="宋体" w:cs="宋体"/>
                <w:color w:val="auto"/>
                <w:sz w:val="24"/>
                <w:szCs w:val="24"/>
              </w:rPr>
            </w:pPr>
            <w:r>
              <w:rPr>
                <w:rFonts w:hint="eastAsia" w:ascii="宋体" w:hAnsi="宋体" w:eastAsia="宋体" w:cs="宋体"/>
                <w:color w:val="auto"/>
                <w:spacing w:val="-5"/>
                <w:sz w:val="24"/>
                <w:szCs w:val="24"/>
              </w:rPr>
              <w:t>督管理条例</w:t>
            </w:r>
          </w:p>
        </w:tc>
      </w:tr>
    </w:tbl>
    <w:p w14:paraId="12CD92B4">
      <w:pPr>
        <w:pStyle w:val="13"/>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hint="eastAsia" w:ascii="宋体" w:hAnsi="宋体" w:cs="宋体"/>
          <w:color w:val="auto"/>
          <w:sz w:val="24"/>
          <w:szCs w:val="24"/>
          <w:lang w:val="en-US" w:eastAsia="zh-CN"/>
        </w:rPr>
      </w:pPr>
    </w:p>
    <w:p w14:paraId="1CBDA85A">
      <w:pPr>
        <w:pStyle w:val="13"/>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调料类技术标准规范及要求：</w:t>
      </w:r>
      <w:r>
        <w:rPr>
          <w:rFonts w:hint="eastAsia" w:ascii="宋体" w:hAnsi="宋体" w:eastAsia="宋体" w:cs="宋体"/>
          <w:color w:val="auto"/>
          <w:spacing w:val="-10"/>
          <w:sz w:val="24"/>
          <w:szCs w:val="24"/>
        </w:rPr>
        <w:t>调料，包括食用盐 500g/袋、花椒、大料、辣椒面等。调料必须具有“OS</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pacing w:val="-1"/>
          <w:sz w:val="24"/>
          <w:szCs w:val="24"/>
        </w:rPr>
        <w:t>食品质量认证标志，包装上须标有生产日期和保质日期</w:t>
      </w:r>
      <w:r>
        <w:rPr>
          <w:rFonts w:hint="eastAsia" w:ascii="宋体" w:hAnsi="宋体" w:eastAsia="宋体" w:cs="宋体"/>
          <w:color w:val="auto"/>
          <w:spacing w:val="-1"/>
          <w:sz w:val="28"/>
          <w:szCs w:val="28"/>
        </w:rPr>
        <w:t>。</w:t>
      </w:r>
      <w:r>
        <w:rPr>
          <w:rFonts w:hint="eastAsia" w:ascii="宋体" w:hAnsi="宋体" w:eastAsia="宋体" w:cs="宋体"/>
          <w:color w:val="auto"/>
          <w:sz w:val="24"/>
          <w:szCs w:val="24"/>
        </w:rPr>
        <w:t>物品包装</w:t>
      </w:r>
      <w:r>
        <w:rPr>
          <w:rFonts w:hint="eastAsia" w:ascii="宋体" w:hAnsi="宋体" w:eastAsia="宋体" w:cs="宋体"/>
          <w:color w:val="auto"/>
          <w:spacing w:val="-1"/>
          <w:sz w:val="24"/>
          <w:szCs w:val="24"/>
        </w:rPr>
        <w:t>符合国家规定，散货达到同类物资中等以上品质， 无霉烂变质现象。</w:t>
      </w:r>
    </w:p>
    <w:p w14:paraId="060A9382">
      <w:pPr>
        <w:pStyle w:val="13"/>
        <w:keepNext w:val="0"/>
        <w:keepLines w:val="0"/>
        <w:pageBreakBefore w:val="0"/>
        <w:widowControl/>
        <w:kinsoku/>
        <w:wordWrap/>
        <w:overflowPunct/>
        <w:topLinePunct w:val="0"/>
        <w:autoSpaceDE/>
        <w:autoSpaceDN/>
        <w:bidi w:val="0"/>
        <w:adjustRightInd/>
        <w:snapToGrid/>
        <w:spacing w:line="360" w:lineRule="auto"/>
        <w:ind w:left="0" w:right="0" w:firstLine="481"/>
        <w:textAlignment w:val="auto"/>
        <w:rPr>
          <w:rFonts w:hint="eastAsia" w:ascii="宋体" w:hAnsi="宋体" w:eastAsia="宋体" w:cs="宋体"/>
          <w:color w:val="auto"/>
          <w:sz w:val="24"/>
          <w:szCs w:val="24"/>
        </w:rPr>
      </w:pPr>
      <w:r>
        <w:rPr>
          <w:rFonts w:hint="eastAsia" w:ascii="宋体" w:hAnsi="宋体" w:cs="宋体"/>
          <w:color w:val="auto"/>
          <w:spacing w:val="-8"/>
          <w:sz w:val="24"/>
          <w:szCs w:val="24"/>
          <w:lang w:val="en-US" w:eastAsia="zh-CN"/>
        </w:rPr>
        <w:t>（2）</w:t>
      </w:r>
      <w:r>
        <w:rPr>
          <w:rFonts w:hint="eastAsia" w:ascii="宋体" w:hAnsi="宋体" w:eastAsia="宋体" w:cs="宋体"/>
          <w:color w:val="auto"/>
          <w:spacing w:val="-8"/>
          <w:sz w:val="24"/>
          <w:szCs w:val="24"/>
        </w:rPr>
        <w:t>干货，包括木耳、香菇、银耳等，要求大小均匀， 货物干燥</w:t>
      </w:r>
      <w:r>
        <w:rPr>
          <w:rFonts w:hint="eastAsia" w:ascii="宋体" w:hAnsi="宋体" w:eastAsia="宋体" w:cs="宋体"/>
          <w:color w:val="auto"/>
          <w:spacing w:val="-9"/>
          <w:sz w:val="24"/>
          <w:szCs w:val="24"/>
        </w:rPr>
        <w:t>，气味正常，</w:t>
      </w:r>
      <w:r>
        <w:rPr>
          <w:rFonts w:hint="eastAsia" w:ascii="宋体" w:hAnsi="宋体" w:eastAsia="宋体" w:cs="宋体"/>
          <w:color w:val="auto"/>
          <w:spacing w:val="-2"/>
          <w:sz w:val="24"/>
          <w:szCs w:val="24"/>
        </w:rPr>
        <w:t>色泽正常，无霉点。</w:t>
      </w:r>
    </w:p>
    <w:p w14:paraId="1646C2D7">
      <w:pPr>
        <w:pStyle w:val="13"/>
        <w:keepNext w:val="0"/>
        <w:keepLines w:val="0"/>
        <w:pageBreakBefore w:val="0"/>
        <w:widowControl/>
        <w:kinsoku/>
        <w:wordWrap/>
        <w:overflowPunct/>
        <w:topLinePunct w:val="0"/>
        <w:autoSpaceDE/>
        <w:autoSpaceDN/>
        <w:bidi w:val="0"/>
        <w:adjustRightInd/>
        <w:snapToGrid/>
        <w:spacing w:line="360" w:lineRule="auto"/>
        <w:ind w:left="0" w:right="0" w:firstLine="479"/>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cs="宋体"/>
          <w:color w:val="auto"/>
          <w:spacing w:val="-5"/>
          <w:sz w:val="24"/>
          <w:szCs w:val="24"/>
          <w:lang w:val="en-US" w:eastAsia="zh-CN"/>
        </w:rPr>
        <w:t>（3）</w:t>
      </w:r>
      <w:r>
        <w:rPr>
          <w:rFonts w:hint="eastAsia" w:ascii="宋体" w:hAnsi="宋体" w:eastAsia="宋体" w:cs="宋体"/>
          <w:color w:val="auto"/>
          <w:spacing w:val="-5"/>
          <w:sz w:val="24"/>
          <w:szCs w:val="24"/>
        </w:rPr>
        <w:t>杂粮，必须符合 GB</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5"/>
          <w:sz w:val="24"/>
          <w:szCs w:val="24"/>
        </w:rPr>
        <w:t>2715-2016、GB</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5"/>
          <w:sz w:val="24"/>
          <w:szCs w:val="24"/>
        </w:rPr>
        <w:t>1354-2018 标准及国家现行标准，</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5"/>
          <w:sz w:val="24"/>
          <w:szCs w:val="24"/>
        </w:rPr>
        <w:t>并</w:t>
      </w:r>
      <w:r>
        <w:rPr>
          <w:rFonts w:hint="eastAsia" w:ascii="宋体" w:hAnsi="宋体" w:eastAsia="宋体" w:cs="宋体"/>
          <w:color w:val="auto"/>
          <w:spacing w:val="-3"/>
          <w:sz w:val="24"/>
          <w:szCs w:val="24"/>
        </w:rPr>
        <w:t>拥有“OS</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3"/>
          <w:sz w:val="24"/>
          <w:szCs w:val="24"/>
        </w:rPr>
        <w:t>”食品质量安全认证。</w:t>
      </w:r>
    </w:p>
    <w:p w14:paraId="18951FB5">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参考但不限于以下标准：</w:t>
      </w:r>
    </w:p>
    <w:p w14:paraId="5D5358C6">
      <w:pPr>
        <w:pStyle w:val="13"/>
        <w:keepNext w:val="0"/>
        <w:keepLines w:val="0"/>
        <w:pageBreakBefore w:val="0"/>
        <w:widowControl/>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b w:val="0"/>
          <w:bCs w:val="0"/>
          <w:color w:val="000000"/>
          <w:kern w:val="0"/>
          <w:sz w:val="24"/>
          <w:szCs w:val="24"/>
          <w:highlight w:val="none"/>
          <w:lang w:val="en-US" w:eastAsia="zh-CN" w:bidi="ar"/>
        </w:rPr>
        <w:t xml:space="preserve"> </w:t>
      </w:r>
      <w:r>
        <w:rPr>
          <w:rFonts w:hint="eastAsia" w:ascii="宋体" w:hAnsi="宋体" w:cs="宋体"/>
          <w:b w:val="0"/>
          <w:bCs w:val="0"/>
          <w:color w:val="000000"/>
          <w:kern w:val="0"/>
          <w:sz w:val="24"/>
          <w:szCs w:val="24"/>
          <w:highlight w:val="none"/>
          <w:lang w:val="en-US" w:eastAsia="zh-CN" w:bidi="ar"/>
        </w:rPr>
        <w:t>1.</w:t>
      </w:r>
      <w:r>
        <w:rPr>
          <w:rFonts w:hint="eastAsia" w:ascii="宋体" w:hAnsi="宋体" w:eastAsia="宋体" w:cs="宋体"/>
          <w:color w:val="auto"/>
          <w:spacing w:val="-1"/>
          <w:sz w:val="24"/>
          <w:szCs w:val="24"/>
        </w:rPr>
        <w:t>冷冻食品技术标准规范及要求：</w:t>
      </w:r>
    </w:p>
    <w:p w14:paraId="451130E8">
      <w:pPr>
        <w:spacing w:line="237" w:lineRule="exact"/>
        <w:rPr>
          <w:rFonts w:hint="eastAsia" w:ascii="宋体" w:hAnsi="宋体" w:eastAsia="宋体" w:cs="宋体"/>
          <w:color w:val="auto"/>
          <w:sz w:val="24"/>
          <w:szCs w:val="24"/>
        </w:rPr>
      </w:pPr>
    </w:p>
    <w:tbl>
      <w:tblPr>
        <w:tblStyle w:val="6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5"/>
        <w:gridCol w:w="5541"/>
      </w:tblGrid>
      <w:tr w14:paraId="4957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985" w:type="dxa"/>
            <w:vAlign w:val="top"/>
          </w:tcPr>
          <w:p w14:paraId="3D3FCBA5">
            <w:pPr>
              <w:spacing w:before="78" w:line="223"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特征</w:t>
            </w:r>
          </w:p>
        </w:tc>
        <w:tc>
          <w:tcPr>
            <w:tcW w:w="5541" w:type="dxa"/>
            <w:vAlign w:val="top"/>
          </w:tcPr>
          <w:p w14:paraId="38970E89">
            <w:pPr>
              <w:spacing w:before="78" w:line="36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冷冻制肉类</w:t>
            </w:r>
          </w:p>
        </w:tc>
      </w:tr>
      <w:tr w14:paraId="44BF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985" w:type="dxa"/>
            <w:vAlign w:val="top"/>
          </w:tcPr>
          <w:p w14:paraId="5D1D0528">
            <w:pPr>
              <w:spacing w:before="36" w:line="208"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外部形态</w:t>
            </w:r>
          </w:p>
        </w:tc>
        <w:tc>
          <w:tcPr>
            <w:tcW w:w="5541" w:type="dxa"/>
            <w:vAlign w:val="top"/>
          </w:tcPr>
          <w:p w14:paraId="42A20D6C">
            <w:pPr>
              <w:spacing w:before="36" w:line="360"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表面有干膜</w:t>
            </w:r>
          </w:p>
        </w:tc>
      </w:tr>
      <w:tr w14:paraId="6F2B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985" w:type="dxa"/>
            <w:vAlign w:val="top"/>
          </w:tcPr>
          <w:p w14:paraId="3333D0E9">
            <w:pPr>
              <w:spacing w:line="271" w:lineRule="auto"/>
              <w:jc w:val="center"/>
              <w:rPr>
                <w:rFonts w:hint="eastAsia" w:ascii="宋体" w:hAnsi="宋体" w:eastAsia="宋体" w:cs="宋体"/>
                <w:color w:val="auto"/>
                <w:sz w:val="24"/>
                <w:szCs w:val="24"/>
              </w:rPr>
            </w:pPr>
          </w:p>
          <w:p w14:paraId="63504D75">
            <w:pPr>
              <w:spacing w:before="78" w:line="224"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颜色</w:t>
            </w:r>
          </w:p>
        </w:tc>
        <w:tc>
          <w:tcPr>
            <w:tcW w:w="5541" w:type="dxa"/>
            <w:vAlign w:val="top"/>
          </w:tcPr>
          <w:p w14:paraId="6C79DFED">
            <w:pPr>
              <w:spacing w:before="36" w:line="360" w:lineRule="auto"/>
              <w:ind w:right="106"/>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干膜的颜色呈浅粉红色或浅红色。新切断面的表面微湿，但不粘，具有每种牲</w:t>
            </w:r>
            <w:r>
              <w:rPr>
                <w:rFonts w:hint="eastAsia" w:ascii="宋体" w:hAnsi="宋体" w:eastAsia="宋体" w:cs="宋体"/>
                <w:color w:val="auto"/>
                <w:spacing w:val="-3"/>
                <w:sz w:val="24"/>
                <w:szCs w:val="24"/>
              </w:rPr>
              <w:t>畜特有颜色，肉汁透明</w:t>
            </w:r>
          </w:p>
        </w:tc>
      </w:tr>
      <w:tr w14:paraId="3E0F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85" w:type="dxa"/>
            <w:vAlign w:val="top"/>
          </w:tcPr>
          <w:p w14:paraId="17B87E28">
            <w:pPr>
              <w:spacing w:before="195" w:line="22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弹性</w:t>
            </w:r>
          </w:p>
        </w:tc>
        <w:tc>
          <w:tcPr>
            <w:tcW w:w="5541" w:type="dxa"/>
            <w:vAlign w:val="top"/>
          </w:tcPr>
          <w:p w14:paraId="37A36B16">
            <w:pPr>
              <w:spacing w:before="38" w:line="360" w:lineRule="auto"/>
              <w:ind w:right="106"/>
              <w:rPr>
                <w:rFonts w:hint="eastAsia" w:ascii="宋体" w:hAnsi="宋体" w:eastAsia="宋体" w:cs="宋体"/>
                <w:color w:val="auto"/>
                <w:sz w:val="24"/>
                <w:szCs w:val="24"/>
              </w:rPr>
            </w:pPr>
            <w:r>
              <w:rPr>
                <w:rFonts w:hint="eastAsia" w:ascii="宋体" w:hAnsi="宋体" w:eastAsia="宋体" w:cs="宋体"/>
                <w:color w:val="auto"/>
                <w:spacing w:val="-3"/>
                <w:sz w:val="24"/>
                <w:szCs w:val="24"/>
              </w:rPr>
              <w:t>有切断面上肉是致密有弹性的，手指压</w:t>
            </w:r>
            <w:r>
              <w:rPr>
                <w:rFonts w:hint="eastAsia" w:ascii="宋体" w:hAnsi="宋体" w:eastAsia="宋体" w:cs="宋体"/>
                <w:color w:val="auto"/>
                <w:spacing w:val="-4"/>
                <w:sz w:val="24"/>
                <w:szCs w:val="24"/>
              </w:rPr>
              <w:t>出的小窝可迅速地恢复原状</w:t>
            </w:r>
          </w:p>
        </w:tc>
      </w:tr>
      <w:tr w14:paraId="5460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985" w:type="dxa"/>
            <w:vAlign w:val="top"/>
          </w:tcPr>
          <w:p w14:paraId="72A25276">
            <w:pPr>
              <w:spacing w:before="40" w:line="205"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气味</w:t>
            </w:r>
          </w:p>
        </w:tc>
        <w:tc>
          <w:tcPr>
            <w:tcW w:w="5541" w:type="dxa"/>
            <w:vAlign w:val="top"/>
          </w:tcPr>
          <w:p w14:paraId="555CEC43">
            <w:pPr>
              <w:spacing w:before="40"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rPr>
              <w:t>该种牲畜特有的恰好的气味</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lang w:val="en-US" w:eastAsia="zh-CN"/>
              </w:rPr>
              <w:t>无腐烂、腐败等其他异味。</w:t>
            </w:r>
          </w:p>
        </w:tc>
      </w:tr>
    </w:tbl>
    <w:p w14:paraId="68D1027C">
      <w:pPr>
        <w:pStyle w:val="13"/>
        <w:spacing w:before="91" w:line="220" w:lineRule="auto"/>
        <w:ind w:left="147"/>
        <w:rPr>
          <w:rFonts w:hint="eastAsia" w:ascii="宋体" w:hAnsi="宋体" w:eastAsia="宋体" w:cs="宋体"/>
          <w:color w:val="auto"/>
          <w:spacing w:val="-2"/>
          <w:sz w:val="24"/>
          <w:szCs w:val="24"/>
          <w:lang w:val="en-US" w:eastAsia="zh-CN"/>
        </w:rPr>
      </w:pPr>
    </w:p>
    <w:p w14:paraId="3FC11726">
      <w:pPr>
        <w:pStyle w:val="13"/>
        <w:numPr>
          <w:ilvl w:val="0"/>
          <w:numId w:val="7"/>
        </w:numPr>
        <w:spacing w:before="91" w:line="220" w:lineRule="auto"/>
        <w:ind w:left="147"/>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干货类技术标准规范及要求</w:t>
      </w:r>
      <w:r>
        <w:rPr>
          <w:rFonts w:hint="eastAsia" w:ascii="宋体" w:hAnsi="宋体" w:cs="宋体"/>
          <w:color w:val="auto"/>
          <w:spacing w:val="-2"/>
          <w:sz w:val="24"/>
          <w:szCs w:val="24"/>
          <w:lang w:eastAsia="zh-CN"/>
        </w:rPr>
        <w:t>：</w:t>
      </w:r>
    </w:p>
    <w:p w14:paraId="7BBBE700">
      <w:pPr>
        <w:pStyle w:val="14"/>
        <w:numPr>
          <w:ilvl w:val="0"/>
          <w:numId w:val="0"/>
        </w:numPr>
        <w:rPr>
          <w:rFonts w:hint="eastAsia"/>
        </w:rPr>
      </w:pPr>
    </w:p>
    <w:tbl>
      <w:tblPr>
        <w:tblStyle w:val="69"/>
        <w:tblW w:w="859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1917"/>
        <w:gridCol w:w="5619"/>
      </w:tblGrid>
      <w:tr w14:paraId="777D5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61" w:type="dxa"/>
            <w:vAlign w:val="top"/>
          </w:tcPr>
          <w:p w14:paraId="0B21DCC3">
            <w:pPr>
              <w:spacing w:before="165" w:line="221" w:lineRule="auto"/>
              <w:ind w:left="333"/>
              <w:rPr>
                <w:rFonts w:hint="eastAsia" w:ascii="宋体" w:hAnsi="宋体" w:eastAsia="宋体" w:cs="宋体"/>
                <w:color w:val="auto"/>
                <w:sz w:val="24"/>
                <w:szCs w:val="24"/>
              </w:rPr>
            </w:pPr>
            <w:r>
              <w:rPr>
                <w:rFonts w:hint="eastAsia" w:ascii="宋体" w:hAnsi="宋体" w:eastAsia="宋体" w:cs="宋体"/>
                <w:color w:val="auto"/>
                <w:spacing w:val="-22"/>
                <w:sz w:val="24"/>
                <w:szCs w:val="24"/>
              </w:rPr>
              <w:t>品种</w:t>
            </w:r>
          </w:p>
        </w:tc>
        <w:tc>
          <w:tcPr>
            <w:tcW w:w="1917" w:type="dxa"/>
            <w:vAlign w:val="top"/>
          </w:tcPr>
          <w:p w14:paraId="4BBDD4B0">
            <w:pPr>
              <w:spacing w:before="165" w:line="222" w:lineRule="auto"/>
              <w:ind w:left="724"/>
              <w:rPr>
                <w:rFonts w:hint="eastAsia" w:ascii="宋体" w:hAnsi="宋体" w:eastAsia="宋体" w:cs="宋体"/>
                <w:color w:val="auto"/>
                <w:sz w:val="24"/>
                <w:szCs w:val="24"/>
              </w:rPr>
            </w:pPr>
            <w:r>
              <w:rPr>
                <w:rFonts w:hint="eastAsia" w:ascii="宋体" w:hAnsi="宋体" w:eastAsia="宋体" w:cs="宋体"/>
                <w:color w:val="auto"/>
                <w:spacing w:val="-8"/>
                <w:sz w:val="24"/>
                <w:szCs w:val="24"/>
              </w:rPr>
              <w:t>规格</w:t>
            </w:r>
          </w:p>
        </w:tc>
        <w:tc>
          <w:tcPr>
            <w:tcW w:w="5619" w:type="dxa"/>
            <w:vAlign w:val="top"/>
          </w:tcPr>
          <w:p w14:paraId="178EC270">
            <w:pPr>
              <w:spacing w:before="165" w:line="222" w:lineRule="auto"/>
              <w:ind w:left="1743"/>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技术标准规范及要求</w:t>
            </w:r>
          </w:p>
        </w:tc>
      </w:tr>
      <w:tr w14:paraId="48A0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061" w:type="dxa"/>
            <w:vAlign w:val="top"/>
          </w:tcPr>
          <w:p w14:paraId="39BBBF3A">
            <w:pPr>
              <w:spacing w:line="405" w:lineRule="auto"/>
              <w:rPr>
                <w:rFonts w:hint="eastAsia" w:ascii="宋体" w:hAnsi="宋体" w:eastAsia="宋体" w:cs="宋体"/>
                <w:color w:val="auto"/>
                <w:sz w:val="24"/>
                <w:szCs w:val="24"/>
              </w:rPr>
            </w:pPr>
          </w:p>
          <w:p w14:paraId="2818E8F4">
            <w:pPr>
              <w:spacing w:before="78" w:line="222" w:lineRule="auto"/>
              <w:ind w:left="306"/>
              <w:rPr>
                <w:rFonts w:hint="eastAsia" w:ascii="宋体" w:hAnsi="宋体" w:eastAsia="宋体" w:cs="宋体"/>
                <w:color w:val="auto"/>
                <w:sz w:val="24"/>
                <w:szCs w:val="24"/>
                <w:lang w:val="en-US" w:eastAsia="zh-CN"/>
              </w:rPr>
            </w:pPr>
            <w:r>
              <w:rPr>
                <w:rFonts w:hint="eastAsia" w:ascii="宋体" w:hAnsi="宋体" w:eastAsia="宋体" w:cs="宋体"/>
                <w:color w:val="auto"/>
                <w:spacing w:val="-8"/>
                <w:sz w:val="24"/>
                <w:szCs w:val="24"/>
              </w:rPr>
              <w:t>核桃</w:t>
            </w:r>
            <w:r>
              <w:rPr>
                <w:rFonts w:hint="eastAsia" w:ascii="宋体" w:hAnsi="宋体" w:cs="宋体"/>
                <w:color w:val="auto"/>
                <w:spacing w:val="-8"/>
                <w:sz w:val="24"/>
                <w:szCs w:val="24"/>
                <w:lang w:val="en-US" w:eastAsia="zh-CN"/>
              </w:rPr>
              <w:t>仁</w:t>
            </w:r>
          </w:p>
        </w:tc>
        <w:tc>
          <w:tcPr>
            <w:tcW w:w="1917" w:type="dxa"/>
            <w:vAlign w:val="top"/>
          </w:tcPr>
          <w:p w14:paraId="2E073238">
            <w:pPr>
              <w:spacing w:line="404" w:lineRule="auto"/>
              <w:rPr>
                <w:rFonts w:hint="eastAsia" w:ascii="宋体" w:hAnsi="宋体" w:eastAsia="宋体" w:cs="宋体"/>
                <w:color w:val="auto"/>
                <w:sz w:val="24"/>
                <w:szCs w:val="24"/>
              </w:rPr>
            </w:pPr>
          </w:p>
          <w:p w14:paraId="41A7A361">
            <w:pPr>
              <w:spacing w:before="78" w:line="224" w:lineRule="auto"/>
              <w:ind w:left="729"/>
              <w:rPr>
                <w:rFonts w:hint="eastAsia" w:ascii="宋体" w:hAnsi="宋体" w:eastAsia="宋体" w:cs="宋体"/>
                <w:color w:val="auto"/>
                <w:sz w:val="24"/>
                <w:szCs w:val="24"/>
              </w:rPr>
            </w:pPr>
            <w:r>
              <w:rPr>
                <w:rFonts w:hint="eastAsia" w:ascii="宋体" w:hAnsi="宋体" w:eastAsia="宋体" w:cs="宋体"/>
                <w:color w:val="auto"/>
                <w:spacing w:val="-10"/>
                <w:sz w:val="24"/>
                <w:szCs w:val="24"/>
              </w:rPr>
              <w:t>一级</w:t>
            </w:r>
          </w:p>
        </w:tc>
        <w:tc>
          <w:tcPr>
            <w:tcW w:w="5619" w:type="dxa"/>
            <w:vAlign w:val="top"/>
          </w:tcPr>
          <w:p w14:paraId="7B8FDD81">
            <w:pPr>
              <w:spacing w:before="175" w:line="360" w:lineRule="auto"/>
              <w:ind w:left="14" w:firstLine="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外观应完整，无霉变、发黑现象；</w:t>
            </w:r>
            <w:r>
              <w:rPr>
                <w:rFonts w:hint="eastAsia" w:ascii="宋体" w:hAnsi="宋体" w:eastAsia="宋体" w:cs="宋体"/>
                <w:color w:val="auto"/>
                <w:spacing w:val="-2"/>
                <w:sz w:val="24"/>
                <w:szCs w:val="24"/>
              </w:rPr>
              <w:t>仁衣黄色或泛黄，果仁饱满。无任何化学催熟和农药残留痕迹。</w:t>
            </w:r>
          </w:p>
        </w:tc>
      </w:tr>
      <w:tr w14:paraId="1F44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061" w:type="dxa"/>
            <w:vAlign w:val="top"/>
          </w:tcPr>
          <w:p w14:paraId="44BB5D03">
            <w:pPr>
              <w:spacing w:line="259" w:lineRule="auto"/>
              <w:rPr>
                <w:rFonts w:hint="eastAsia" w:ascii="宋体" w:hAnsi="宋体" w:eastAsia="宋体" w:cs="宋体"/>
                <w:color w:val="auto"/>
                <w:sz w:val="24"/>
                <w:szCs w:val="24"/>
              </w:rPr>
            </w:pPr>
          </w:p>
          <w:p w14:paraId="60621CAB">
            <w:pPr>
              <w:spacing w:line="259" w:lineRule="auto"/>
              <w:rPr>
                <w:rFonts w:hint="eastAsia" w:ascii="宋体" w:hAnsi="宋体" w:eastAsia="宋体" w:cs="宋体"/>
                <w:color w:val="auto"/>
                <w:sz w:val="24"/>
                <w:szCs w:val="24"/>
              </w:rPr>
            </w:pPr>
          </w:p>
          <w:p w14:paraId="6F2C6983">
            <w:pPr>
              <w:spacing w:before="78" w:line="223" w:lineRule="auto"/>
              <w:ind w:left="191"/>
              <w:rPr>
                <w:rFonts w:hint="eastAsia" w:ascii="宋体" w:hAnsi="宋体" w:eastAsia="宋体" w:cs="宋体"/>
                <w:color w:val="auto"/>
                <w:sz w:val="24"/>
                <w:szCs w:val="24"/>
              </w:rPr>
            </w:pPr>
            <w:r>
              <w:rPr>
                <w:rFonts w:hint="eastAsia" w:ascii="宋体" w:hAnsi="宋体" w:eastAsia="宋体" w:cs="宋体"/>
                <w:color w:val="auto"/>
                <w:spacing w:val="-7"/>
                <w:sz w:val="24"/>
                <w:szCs w:val="24"/>
              </w:rPr>
              <w:t>葡萄干</w:t>
            </w:r>
          </w:p>
        </w:tc>
        <w:tc>
          <w:tcPr>
            <w:tcW w:w="1917" w:type="dxa"/>
            <w:vAlign w:val="top"/>
          </w:tcPr>
          <w:p w14:paraId="08CC0D5E">
            <w:pPr>
              <w:spacing w:line="259" w:lineRule="auto"/>
              <w:rPr>
                <w:rFonts w:hint="eastAsia" w:ascii="宋体" w:hAnsi="宋体" w:eastAsia="宋体" w:cs="宋体"/>
                <w:color w:val="auto"/>
                <w:sz w:val="24"/>
                <w:szCs w:val="24"/>
              </w:rPr>
            </w:pPr>
          </w:p>
          <w:p w14:paraId="50B6E2D1">
            <w:pPr>
              <w:spacing w:line="259" w:lineRule="auto"/>
              <w:rPr>
                <w:rFonts w:hint="eastAsia" w:ascii="宋体" w:hAnsi="宋体" w:eastAsia="宋体" w:cs="宋体"/>
                <w:color w:val="auto"/>
                <w:sz w:val="24"/>
                <w:szCs w:val="24"/>
              </w:rPr>
            </w:pPr>
          </w:p>
          <w:p w14:paraId="574F23FB">
            <w:pPr>
              <w:spacing w:before="78" w:line="224" w:lineRule="auto"/>
              <w:ind w:left="729"/>
              <w:rPr>
                <w:rFonts w:hint="eastAsia" w:ascii="宋体" w:hAnsi="宋体" w:eastAsia="宋体" w:cs="宋体"/>
                <w:color w:val="auto"/>
                <w:sz w:val="24"/>
                <w:szCs w:val="24"/>
              </w:rPr>
            </w:pPr>
            <w:r>
              <w:rPr>
                <w:rFonts w:hint="eastAsia" w:ascii="宋体" w:hAnsi="宋体" w:eastAsia="宋体" w:cs="宋体"/>
                <w:color w:val="auto"/>
                <w:spacing w:val="-10"/>
                <w:sz w:val="24"/>
                <w:szCs w:val="24"/>
              </w:rPr>
              <w:t>一级</w:t>
            </w:r>
          </w:p>
        </w:tc>
        <w:tc>
          <w:tcPr>
            <w:tcW w:w="5619" w:type="dxa"/>
            <w:vAlign w:val="top"/>
          </w:tcPr>
          <w:p w14:paraId="1C2ADC10">
            <w:pPr>
              <w:spacing w:before="288" w:line="360" w:lineRule="auto"/>
              <w:ind w:left="14" w:right="95" w:firstLine="1"/>
              <w:rPr>
                <w:rFonts w:hint="eastAsia" w:ascii="宋体" w:hAnsi="宋体" w:eastAsia="宋体" w:cs="宋体"/>
                <w:color w:val="auto"/>
                <w:sz w:val="24"/>
                <w:szCs w:val="24"/>
              </w:rPr>
            </w:pPr>
            <w:r>
              <w:rPr>
                <w:rFonts w:hint="eastAsia" w:ascii="宋体" w:hAnsi="宋体" w:eastAsia="宋体" w:cs="宋体"/>
                <w:color w:val="auto"/>
                <w:spacing w:val="-1"/>
                <w:sz w:val="24"/>
                <w:szCs w:val="24"/>
              </w:rPr>
              <w:t>颗粒完整，无破损，无虫蛀，无霉变，呈黄绿色，红</w:t>
            </w:r>
            <w:r>
              <w:rPr>
                <w:rFonts w:hint="eastAsia" w:ascii="宋体" w:hAnsi="宋体" w:eastAsia="宋体" w:cs="宋体"/>
                <w:color w:val="auto"/>
                <w:spacing w:val="-2"/>
                <w:sz w:val="24"/>
                <w:szCs w:val="24"/>
              </w:rPr>
              <w:t>棕色或棕色，质地柔软，无虫蛀，</w:t>
            </w:r>
            <w:r>
              <w:rPr>
                <w:rFonts w:hint="eastAsia" w:ascii="宋体" w:hAnsi="宋体" w:eastAsia="宋体" w:cs="宋体"/>
                <w:color w:val="auto"/>
                <w:spacing w:val="-7"/>
                <w:sz w:val="24"/>
                <w:szCs w:val="24"/>
              </w:rPr>
              <w:t>无霉变。具有本品固有鲜醇甜味，略带酸味，无异味。</w:t>
            </w:r>
          </w:p>
        </w:tc>
      </w:tr>
      <w:tr w14:paraId="0F31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061" w:type="dxa"/>
            <w:vAlign w:val="top"/>
          </w:tcPr>
          <w:p w14:paraId="04B76B58">
            <w:pPr>
              <w:spacing w:line="261" w:lineRule="auto"/>
              <w:rPr>
                <w:rFonts w:hint="eastAsia" w:ascii="宋体" w:hAnsi="宋体" w:eastAsia="宋体" w:cs="宋体"/>
                <w:color w:val="auto"/>
                <w:sz w:val="24"/>
                <w:szCs w:val="24"/>
              </w:rPr>
            </w:pPr>
          </w:p>
          <w:p w14:paraId="53594431">
            <w:pPr>
              <w:spacing w:line="262" w:lineRule="auto"/>
              <w:rPr>
                <w:rFonts w:hint="eastAsia" w:ascii="宋体" w:hAnsi="宋体" w:eastAsia="宋体" w:cs="宋体"/>
                <w:color w:val="auto"/>
                <w:sz w:val="24"/>
                <w:szCs w:val="24"/>
              </w:rPr>
            </w:pPr>
          </w:p>
          <w:p w14:paraId="02D925BB">
            <w:pPr>
              <w:spacing w:before="78" w:line="224" w:lineRule="auto"/>
              <w:ind w:left="308"/>
              <w:rPr>
                <w:rFonts w:hint="eastAsia" w:ascii="宋体" w:hAnsi="宋体" w:eastAsia="宋体" w:cs="宋体"/>
                <w:color w:val="auto"/>
                <w:sz w:val="24"/>
                <w:szCs w:val="24"/>
              </w:rPr>
            </w:pPr>
            <w:r>
              <w:rPr>
                <w:rFonts w:hint="eastAsia" w:ascii="宋体" w:hAnsi="宋体" w:eastAsia="宋体" w:cs="宋体"/>
                <w:color w:val="auto"/>
                <w:spacing w:val="-9"/>
                <w:sz w:val="24"/>
                <w:szCs w:val="24"/>
              </w:rPr>
              <w:t>红枣</w:t>
            </w:r>
          </w:p>
        </w:tc>
        <w:tc>
          <w:tcPr>
            <w:tcW w:w="1917" w:type="dxa"/>
            <w:vAlign w:val="top"/>
          </w:tcPr>
          <w:p w14:paraId="4041B240">
            <w:pPr>
              <w:spacing w:line="261" w:lineRule="auto"/>
              <w:rPr>
                <w:rFonts w:hint="eastAsia" w:ascii="宋体" w:hAnsi="宋体" w:eastAsia="宋体" w:cs="宋体"/>
                <w:color w:val="auto"/>
                <w:sz w:val="24"/>
                <w:szCs w:val="24"/>
              </w:rPr>
            </w:pPr>
          </w:p>
          <w:p w14:paraId="51260C60">
            <w:pPr>
              <w:spacing w:line="262" w:lineRule="auto"/>
              <w:rPr>
                <w:rFonts w:hint="eastAsia" w:ascii="宋体" w:hAnsi="宋体" w:eastAsia="宋体" w:cs="宋体"/>
                <w:color w:val="auto"/>
                <w:sz w:val="24"/>
                <w:szCs w:val="24"/>
              </w:rPr>
            </w:pPr>
          </w:p>
          <w:p w14:paraId="08B1B4DD">
            <w:pPr>
              <w:spacing w:before="78" w:line="224" w:lineRule="auto"/>
              <w:ind w:left="729"/>
              <w:rPr>
                <w:rFonts w:hint="eastAsia" w:ascii="宋体" w:hAnsi="宋体" w:eastAsia="宋体" w:cs="宋体"/>
                <w:color w:val="auto"/>
                <w:sz w:val="24"/>
                <w:szCs w:val="24"/>
              </w:rPr>
            </w:pPr>
            <w:r>
              <w:rPr>
                <w:rFonts w:hint="eastAsia" w:ascii="宋体" w:hAnsi="宋体" w:eastAsia="宋体" w:cs="宋体"/>
                <w:color w:val="auto"/>
                <w:spacing w:val="-10"/>
                <w:sz w:val="24"/>
                <w:szCs w:val="24"/>
              </w:rPr>
              <w:t>一级</w:t>
            </w:r>
          </w:p>
        </w:tc>
        <w:tc>
          <w:tcPr>
            <w:tcW w:w="5619" w:type="dxa"/>
            <w:vAlign w:val="top"/>
          </w:tcPr>
          <w:p w14:paraId="7B7CE2D8">
            <w:pPr>
              <w:spacing w:before="139" w:line="360" w:lineRule="auto"/>
              <w:ind w:left="14" w:firstLine="1"/>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果形饱满，具本品种应有的特征，个头均匀；肉质肥</w:t>
            </w:r>
            <w:r>
              <w:rPr>
                <w:rFonts w:hint="eastAsia" w:ascii="宋体" w:hAnsi="宋体" w:eastAsia="宋体" w:cs="宋体"/>
                <w:color w:val="auto"/>
                <w:spacing w:val="-2"/>
                <w:sz w:val="24"/>
                <w:szCs w:val="24"/>
              </w:rPr>
              <w:t>厚，身干；手握时不粘个；无霉烂， 无浆头，无不熟</w:t>
            </w:r>
            <w:r>
              <w:rPr>
                <w:rFonts w:hint="eastAsia" w:ascii="宋体" w:hAnsi="宋体" w:eastAsia="宋体" w:cs="宋体"/>
                <w:color w:val="auto"/>
                <w:spacing w:val="-1"/>
                <w:sz w:val="24"/>
                <w:szCs w:val="24"/>
              </w:rPr>
              <w:t>果，无病虫。炒馅枣要求不空，不烂，核小，应做到</w:t>
            </w:r>
            <w:r>
              <w:rPr>
                <w:rFonts w:hint="eastAsia" w:ascii="宋体" w:hAnsi="宋体" w:eastAsia="宋体" w:cs="宋体"/>
                <w:color w:val="auto"/>
                <w:spacing w:val="-3"/>
                <w:sz w:val="24"/>
                <w:szCs w:val="24"/>
              </w:rPr>
              <w:t>基本无杂质。</w:t>
            </w:r>
          </w:p>
        </w:tc>
      </w:tr>
      <w:tr w14:paraId="4CC2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061" w:type="dxa"/>
            <w:vAlign w:val="center"/>
          </w:tcPr>
          <w:p w14:paraId="2A24F3FA">
            <w:pPr>
              <w:spacing w:line="40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花生</w:t>
            </w:r>
          </w:p>
        </w:tc>
        <w:tc>
          <w:tcPr>
            <w:tcW w:w="1917" w:type="dxa"/>
            <w:vAlign w:val="center"/>
          </w:tcPr>
          <w:p w14:paraId="5070E2E4">
            <w:pPr>
              <w:spacing w:line="40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一级</w:t>
            </w:r>
          </w:p>
        </w:tc>
        <w:tc>
          <w:tcPr>
            <w:tcW w:w="5619" w:type="dxa"/>
            <w:vAlign w:val="top"/>
          </w:tcPr>
          <w:p w14:paraId="32119E1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种皮呈红棕芭，颜色基本均匀；有该品种应有滋味，</w:t>
            </w:r>
          </w:p>
          <w:p w14:paraId="21A6161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无哈喇味和其他异味；颗粒完整、饱满，大小基本均匀；无外来杂质。</w:t>
            </w:r>
          </w:p>
        </w:tc>
      </w:tr>
    </w:tbl>
    <w:p w14:paraId="640AF376">
      <w:pPr>
        <w:rPr>
          <w:rFonts w:hint="eastAsia" w:ascii="宋体" w:hAnsi="宋体" w:eastAsia="宋体" w:cs="宋体"/>
          <w:color w:val="auto"/>
          <w:spacing w:val="1"/>
          <w:sz w:val="24"/>
          <w:szCs w:val="24"/>
          <w:lang w:val="en-US" w:eastAsia="zh-CN"/>
        </w:rPr>
      </w:pPr>
    </w:p>
    <w:p w14:paraId="57A49F46">
      <w:pPr>
        <w:numPr>
          <w:ilvl w:val="0"/>
          <w:numId w:val="8"/>
        </w:numPr>
        <w:spacing w:line="360" w:lineRule="auto"/>
        <w:rPr>
          <w:rFonts w:hint="eastAsia"/>
        </w:rPr>
      </w:pPr>
      <w:r>
        <w:rPr>
          <w:rFonts w:hint="eastAsia" w:ascii="宋体" w:hAnsi="宋体" w:eastAsia="宋体" w:cs="宋体"/>
          <w:color w:val="auto"/>
          <w:spacing w:val="1"/>
          <w:sz w:val="24"/>
          <w:szCs w:val="24"/>
        </w:rPr>
        <w:t>调料类技术标准规范及要求：物品包装符合国家规定</w:t>
      </w:r>
      <w:r>
        <w:rPr>
          <w:rFonts w:hint="eastAsia" w:ascii="宋体" w:hAnsi="宋体" w:eastAsia="宋体" w:cs="宋体"/>
          <w:color w:val="auto"/>
          <w:spacing w:val="-4"/>
          <w:sz w:val="24"/>
          <w:szCs w:val="24"/>
        </w:rPr>
        <w:t>，散货达到同类物资中等以上品质，无霉烂变质现</w:t>
      </w:r>
      <w:r>
        <w:rPr>
          <w:rFonts w:hint="eastAsia" w:ascii="宋体" w:hAnsi="宋体" w:eastAsia="宋体" w:cs="宋体"/>
          <w:color w:val="auto"/>
          <w:spacing w:val="-6"/>
          <w:sz w:val="24"/>
          <w:szCs w:val="24"/>
        </w:rPr>
        <w:t>象。</w:t>
      </w:r>
    </w:p>
    <w:tbl>
      <w:tblPr>
        <w:tblStyle w:val="69"/>
        <w:tblW w:w="8369" w:type="dxa"/>
        <w:tblInd w:w="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8"/>
        <w:gridCol w:w="1979"/>
        <w:gridCol w:w="5422"/>
      </w:tblGrid>
      <w:tr w14:paraId="08E5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968" w:type="dxa"/>
            <w:tcBorders>
              <w:bottom w:val="single" w:color="000000" w:sz="2" w:space="0"/>
            </w:tcBorders>
            <w:vAlign w:val="center"/>
          </w:tcPr>
          <w:p w14:paraId="69EA8574">
            <w:pPr>
              <w:spacing w:before="41" w:line="207" w:lineRule="auto"/>
              <w:ind w:left="25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序号</w:t>
            </w:r>
          </w:p>
        </w:tc>
        <w:tc>
          <w:tcPr>
            <w:tcW w:w="1979" w:type="dxa"/>
            <w:tcBorders>
              <w:bottom w:val="single" w:color="000000" w:sz="2" w:space="0"/>
            </w:tcBorders>
            <w:vAlign w:val="center"/>
          </w:tcPr>
          <w:p w14:paraId="57960B60">
            <w:pPr>
              <w:spacing w:before="41" w:line="207" w:lineRule="auto"/>
              <w:jc w:val="center"/>
              <w:rPr>
                <w:rFonts w:hint="eastAsia" w:ascii="宋体" w:hAnsi="宋体" w:eastAsia="宋体" w:cs="宋体"/>
                <w:color w:val="auto"/>
                <w:sz w:val="24"/>
                <w:szCs w:val="24"/>
              </w:rPr>
            </w:pPr>
            <w:r>
              <w:rPr>
                <w:rFonts w:hint="eastAsia" w:ascii="宋体" w:hAnsi="宋体" w:eastAsia="宋体" w:cs="宋体"/>
                <w:color w:val="auto"/>
                <w:spacing w:val="-22"/>
                <w:sz w:val="24"/>
                <w:szCs w:val="24"/>
              </w:rPr>
              <w:t>品种</w:t>
            </w:r>
          </w:p>
        </w:tc>
        <w:tc>
          <w:tcPr>
            <w:tcW w:w="5422" w:type="dxa"/>
            <w:tcBorders>
              <w:bottom w:val="single" w:color="000000" w:sz="2" w:space="0"/>
            </w:tcBorders>
            <w:vAlign w:val="center"/>
          </w:tcPr>
          <w:p w14:paraId="44304914">
            <w:pPr>
              <w:spacing w:before="41" w:line="207" w:lineRule="auto"/>
              <w:ind w:left="91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技术标准规范及要求</w:t>
            </w:r>
          </w:p>
        </w:tc>
      </w:tr>
      <w:tr w14:paraId="0D4D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68" w:type="dxa"/>
            <w:vMerge w:val="restart"/>
            <w:tcBorders>
              <w:top w:val="single" w:color="000000" w:sz="2" w:space="0"/>
              <w:left w:val="single" w:color="000000" w:sz="2" w:space="0"/>
              <w:bottom w:val="nil"/>
              <w:right w:val="single" w:color="000000" w:sz="2" w:space="0"/>
            </w:tcBorders>
            <w:vAlign w:val="top"/>
          </w:tcPr>
          <w:p w14:paraId="7DF0C3DE">
            <w:pPr>
              <w:spacing w:line="243" w:lineRule="auto"/>
              <w:rPr>
                <w:rFonts w:hint="eastAsia" w:ascii="宋体" w:hAnsi="宋体" w:eastAsia="宋体" w:cs="宋体"/>
                <w:color w:val="auto"/>
                <w:sz w:val="24"/>
                <w:szCs w:val="24"/>
              </w:rPr>
            </w:pPr>
          </w:p>
          <w:p w14:paraId="37DB65CD">
            <w:pPr>
              <w:spacing w:line="244" w:lineRule="auto"/>
              <w:rPr>
                <w:rFonts w:hint="eastAsia" w:ascii="宋体" w:hAnsi="宋体" w:eastAsia="宋体" w:cs="宋体"/>
                <w:color w:val="auto"/>
                <w:sz w:val="24"/>
                <w:szCs w:val="24"/>
              </w:rPr>
            </w:pPr>
          </w:p>
          <w:p w14:paraId="44021C6E">
            <w:pPr>
              <w:spacing w:line="244" w:lineRule="auto"/>
              <w:rPr>
                <w:rFonts w:hint="eastAsia" w:ascii="宋体" w:hAnsi="宋体" w:eastAsia="宋体" w:cs="宋体"/>
                <w:color w:val="auto"/>
                <w:sz w:val="24"/>
                <w:szCs w:val="24"/>
              </w:rPr>
            </w:pPr>
          </w:p>
          <w:p w14:paraId="5DCE8E73">
            <w:pPr>
              <w:spacing w:before="78" w:line="315" w:lineRule="exact"/>
              <w:ind w:left="445"/>
              <w:rPr>
                <w:rFonts w:hint="eastAsia" w:ascii="宋体" w:hAnsi="宋体" w:eastAsia="宋体" w:cs="宋体"/>
                <w:color w:val="auto"/>
                <w:sz w:val="24"/>
                <w:szCs w:val="24"/>
              </w:rPr>
            </w:pPr>
            <w:r>
              <w:rPr>
                <w:rFonts w:hint="eastAsia" w:ascii="宋体" w:hAnsi="宋体" w:eastAsia="宋体" w:cs="宋体"/>
                <w:color w:val="auto"/>
                <w:position w:val="1"/>
                <w:sz w:val="24"/>
                <w:szCs w:val="24"/>
              </w:rPr>
              <w:t>1</w:t>
            </w:r>
          </w:p>
        </w:tc>
        <w:tc>
          <w:tcPr>
            <w:tcW w:w="1979" w:type="dxa"/>
            <w:vMerge w:val="restart"/>
            <w:tcBorders>
              <w:top w:val="single" w:color="000000" w:sz="2" w:space="0"/>
              <w:left w:val="single" w:color="000000" w:sz="2" w:space="0"/>
              <w:bottom w:val="nil"/>
              <w:right w:val="single" w:color="000000" w:sz="2" w:space="0"/>
            </w:tcBorders>
            <w:vAlign w:val="top"/>
          </w:tcPr>
          <w:p w14:paraId="68239972">
            <w:pPr>
              <w:spacing w:line="244" w:lineRule="auto"/>
              <w:jc w:val="center"/>
              <w:rPr>
                <w:rFonts w:hint="eastAsia" w:ascii="宋体" w:hAnsi="宋体" w:eastAsia="宋体" w:cs="宋体"/>
                <w:color w:val="auto"/>
                <w:sz w:val="24"/>
                <w:szCs w:val="24"/>
              </w:rPr>
            </w:pPr>
          </w:p>
          <w:p w14:paraId="52A6B68F">
            <w:pPr>
              <w:spacing w:line="244" w:lineRule="auto"/>
              <w:jc w:val="center"/>
              <w:rPr>
                <w:rFonts w:hint="eastAsia" w:ascii="宋体" w:hAnsi="宋体" w:eastAsia="宋体" w:cs="宋体"/>
                <w:color w:val="auto"/>
                <w:sz w:val="24"/>
                <w:szCs w:val="24"/>
              </w:rPr>
            </w:pPr>
          </w:p>
          <w:p w14:paraId="0EA6B367">
            <w:pPr>
              <w:spacing w:before="78" w:line="220" w:lineRule="auto"/>
              <w:jc w:val="center"/>
              <w:rPr>
                <w:rFonts w:hint="eastAsia" w:ascii="宋体" w:hAnsi="宋体" w:eastAsia="宋体" w:cs="宋体"/>
                <w:color w:val="auto"/>
                <w:spacing w:val="-8"/>
                <w:sz w:val="24"/>
                <w:szCs w:val="24"/>
              </w:rPr>
            </w:pPr>
          </w:p>
          <w:p w14:paraId="72036B75">
            <w:pPr>
              <w:spacing w:before="78" w:line="220"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调料</w:t>
            </w:r>
          </w:p>
        </w:tc>
        <w:tc>
          <w:tcPr>
            <w:tcW w:w="5422" w:type="dxa"/>
            <w:tcBorders>
              <w:top w:val="single" w:color="000000" w:sz="2" w:space="0"/>
              <w:left w:val="single" w:color="000000" w:sz="2" w:space="0"/>
              <w:bottom w:val="single" w:color="000000" w:sz="2" w:space="0"/>
              <w:right w:val="single" w:color="000000" w:sz="2" w:space="0"/>
            </w:tcBorders>
            <w:vAlign w:val="top"/>
          </w:tcPr>
          <w:p w14:paraId="644C3F0D">
            <w:pPr>
              <w:spacing w:before="78" w:line="360" w:lineRule="auto"/>
              <w:ind w:left="128" w:right="108" w:hanging="2"/>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感官指标：色泽正常，滋气味具有该</w:t>
            </w:r>
            <w:r>
              <w:rPr>
                <w:rFonts w:hint="eastAsia" w:ascii="宋体" w:hAnsi="宋体" w:eastAsia="宋体" w:cs="宋体"/>
                <w:color w:val="auto"/>
                <w:spacing w:val="-2"/>
                <w:sz w:val="24"/>
                <w:szCs w:val="24"/>
              </w:rPr>
              <w:t>品种固有的香味,滋味无异味、无霉</w:t>
            </w:r>
            <w:r>
              <w:rPr>
                <w:rFonts w:hint="eastAsia" w:ascii="宋体" w:hAnsi="宋体" w:eastAsia="宋体" w:cs="宋体"/>
                <w:color w:val="auto"/>
                <w:spacing w:val="-3"/>
                <w:sz w:val="24"/>
                <w:szCs w:val="24"/>
              </w:rPr>
              <w:t>变和虫蛀鼠咬现象。</w:t>
            </w:r>
          </w:p>
        </w:tc>
      </w:tr>
      <w:tr w14:paraId="0724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968" w:type="dxa"/>
            <w:vMerge w:val="continue"/>
            <w:tcBorders>
              <w:top w:val="nil"/>
              <w:left w:val="single" w:color="000000" w:sz="2" w:space="0"/>
              <w:bottom w:val="nil"/>
              <w:right w:val="single" w:color="000000" w:sz="2" w:space="0"/>
            </w:tcBorders>
            <w:vAlign w:val="top"/>
          </w:tcPr>
          <w:p w14:paraId="0847C6E6">
            <w:pPr>
              <w:rPr>
                <w:rFonts w:hint="eastAsia" w:ascii="宋体" w:hAnsi="宋体" w:eastAsia="宋体" w:cs="宋体"/>
                <w:color w:val="auto"/>
                <w:sz w:val="24"/>
                <w:szCs w:val="24"/>
              </w:rPr>
            </w:pPr>
          </w:p>
        </w:tc>
        <w:tc>
          <w:tcPr>
            <w:tcW w:w="1979" w:type="dxa"/>
            <w:vMerge w:val="continue"/>
            <w:tcBorders>
              <w:top w:val="nil"/>
              <w:left w:val="single" w:color="000000" w:sz="2" w:space="0"/>
              <w:bottom w:val="nil"/>
              <w:right w:val="single" w:color="000000" w:sz="2" w:space="0"/>
            </w:tcBorders>
            <w:vAlign w:val="top"/>
          </w:tcPr>
          <w:p w14:paraId="089B0E16">
            <w:pPr>
              <w:jc w:val="center"/>
              <w:rPr>
                <w:rFonts w:hint="eastAsia" w:ascii="宋体" w:hAnsi="宋体" w:eastAsia="宋体" w:cs="宋体"/>
                <w:color w:val="auto"/>
                <w:sz w:val="24"/>
                <w:szCs w:val="24"/>
              </w:rPr>
            </w:pPr>
          </w:p>
        </w:tc>
        <w:tc>
          <w:tcPr>
            <w:tcW w:w="5422" w:type="dxa"/>
            <w:tcBorders>
              <w:top w:val="single" w:color="000000" w:sz="2" w:space="0"/>
              <w:left w:val="single" w:color="000000" w:sz="2" w:space="0"/>
              <w:bottom w:val="single" w:color="000000" w:sz="2" w:space="0"/>
              <w:right w:val="single" w:color="000000" w:sz="2" w:space="0"/>
            </w:tcBorders>
            <w:vAlign w:val="top"/>
          </w:tcPr>
          <w:p w14:paraId="0C8D68A5">
            <w:pPr>
              <w:spacing w:before="99" w:line="360" w:lineRule="auto"/>
              <w:ind w:left="123" w:right="144" w:firstLine="7"/>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包装质量:有生产日期、保质期、生产厂家，产品封口平整,无破包,夹包,漏包,无污染。</w:t>
            </w:r>
          </w:p>
        </w:tc>
      </w:tr>
      <w:tr w14:paraId="609B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968" w:type="dxa"/>
            <w:vMerge w:val="continue"/>
            <w:tcBorders>
              <w:top w:val="nil"/>
              <w:left w:val="single" w:color="000000" w:sz="2" w:space="0"/>
              <w:bottom w:val="single" w:color="000000" w:sz="2" w:space="0"/>
              <w:right w:val="single" w:color="000000" w:sz="2" w:space="0"/>
            </w:tcBorders>
            <w:vAlign w:val="top"/>
          </w:tcPr>
          <w:p w14:paraId="720325EE">
            <w:pPr>
              <w:rPr>
                <w:rFonts w:hint="eastAsia" w:ascii="宋体" w:hAnsi="宋体" w:eastAsia="宋体" w:cs="宋体"/>
                <w:color w:val="auto"/>
                <w:sz w:val="24"/>
                <w:szCs w:val="24"/>
              </w:rPr>
            </w:pPr>
          </w:p>
        </w:tc>
        <w:tc>
          <w:tcPr>
            <w:tcW w:w="1979" w:type="dxa"/>
            <w:vMerge w:val="continue"/>
            <w:tcBorders>
              <w:top w:val="nil"/>
              <w:left w:val="single" w:color="000000" w:sz="2" w:space="0"/>
              <w:bottom w:val="single" w:color="000000" w:sz="2" w:space="0"/>
              <w:right w:val="single" w:color="000000" w:sz="2" w:space="0"/>
            </w:tcBorders>
            <w:vAlign w:val="top"/>
          </w:tcPr>
          <w:p w14:paraId="2498B255">
            <w:pPr>
              <w:jc w:val="center"/>
              <w:rPr>
                <w:rFonts w:hint="eastAsia" w:ascii="宋体" w:hAnsi="宋体" w:eastAsia="宋体" w:cs="宋体"/>
                <w:color w:val="auto"/>
                <w:sz w:val="24"/>
                <w:szCs w:val="24"/>
              </w:rPr>
            </w:pPr>
          </w:p>
        </w:tc>
        <w:tc>
          <w:tcPr>
            <w:tcW w:w="5422" w:type="dxa"/>
            <w:tcBorders>
              <w:top w:val="single" w:color="000000" w:sz="2" w:space="0"/>
              <w:left w:val="single" w:color="000000" w:sz="2" w:space="0"/>
              <w:bottom w:val="single" w:color="000000" w:sz="2" w:space="0"/>
              <w:right w:val="single" w:color="000000" w:sz="2" w:space="0"/>
            </w:tcBorders>
            <w:vAlign w:val="top"/>
          </w:tcPr>
          <w:p w14:paraId="38082967">
            <w:pPr>
              <w:spacing w:before="203" w:line="360" w:lineRule="auto"/>
              <w:ind w:left="126" w:right="79" w:hanging="6"/>
              <w:rPr>
                <w:rFonts w:hint="eastAsia" w:ascii="宋体" w:hAnsi="宋体" w:eastAsia="宋体" w:cs="宋体"/>
                <w:color w:val="auto"/>
                <w:sz w:val="24"/>
                <w:szCs w:val="24"/>
              </w:rPr>
            </w:pPr>
            <w:r>
              <w:rPr>
                <w:rFonts w:hint="eastAsia" w:ascii="宋体" w:hAnsi="宋体" w:eastAsia="宋体" w:cs="宋体"/>
                <w:color w:val="auto"/>
                <w:spacing w:val="-5"/>
                <w:sz w:val="24"/>
                <w:szCs w:val="24"/>
              </w:rPr>
              <w:t>水分含量保持干菜原料的正常水平，</w:t>
            </w:r>
            <w:r>
              <w:rPr>
                <w:rFonts w:hint="eastAsia" w:ascii="宋体" w:hAnsi="宋体" w:eastAsia="宋体" w:cs="宋体"/>
                <w:color w:val="auto"/>
                <w:spacing w:val="-6"/>
                <w:sz w:val="24"/>
                <w:szCs w:val="24"/>
              </w:rPr>
              <w:t>不潮湿。</w:t>
            </w:r>
          </w:p>
        </w:tc>
      </w:tr>
      <w:tr w14:paraId="4E03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8" w:type="dxa"/>
            <w:tcBorders>
              <w:top w:val="single" w:color="000000" w:sz="2" w:space="0"/>
            </w:tcBorders>
            <w:vAlign w:val="center"/>
          </w:tcPr>
          <w:p w14:paraId="4C7080B6">
            <w:pPr>
              <w:spacing w:before="78" w:line="315" w:lineRule="exact"/>
              <w:ind w:left="425"/>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2</w:t>
            </w:r>
          </w:p>
        </w:tc>
        <w:tc>
          <w:tcPr>
            <w:tcW w:w="1979" w:type="dxa"/>
            <w:tcBorders>
              <w:top w:val="single" w:color="000000" w:sz="2" w:space="0"/>
            </w:tcBorders>
            <w:vAlign w:val="center"/>
          </w:tcPr>
          <w:p w14:paraId="25C213CE">
            <w:pPr>
              <w:spacing w:before="78" w:line="223"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油酱</w:t>
            </w:r>
          </w:p>
        </w:tc>
        <w:tc>
          <w:tcPr>
            <w:tcW w:w="5422" w:type="dxa"/>
            <w:tcBorders>
              <w:top w:val="single" w:color="000000" w:sz="2" w:space="0"/>
            </w:tcBorders>
            <w:vAlign w:val="top"/>
          </w:tcPr>
          <w:p w14:paraId="4308FF63">
            <w:pPr>
              <w:spacing w:before="78" w:line="360" w:lineRule="auto"/>
              <w:ind w:left="117" w:right="139" w:firstLine="4"/>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油酱均匀的酱体或无结块的粉状固</w:t>
            </w:r>
            <w:r>
              <w:rPr>
                <w:rFonts w:hint="eastAsia" w:ascii="宋体" w:hAnsi="宋体" w:eastAsia="宋体" w:cs="宋体"/>
                <w:color w:val="auto"/>
                <w:spacing w:val="-1"/>
                <w:sz w:val="24"/>
                <w:szCs w:val="24"/>
              </w:rPr>
              <w:t>体，包装质量:封口平整,无破包,夹</w:t>
            </w:r>
            <w:r>
              <w:rPr>
                <w:rFonts w:hint="eastAsia" w:ascii="宋体" w:hAnsi="宋体" w:eastAsia="宋体" w:cs="宋体"/>
                <w:color w:val="auto"/>
                <w:spacing w:val="-2"/>
                <w:sz w:val="24"/>
                <w:szCs w:val="24"/>
              </w:rPr>
              <w:t>包,漏包,无污染</w:t>
            </w:r>
            <w:r>
              <w:rPr>
                <w:rFonts w:hint="eastAsia" w:ascii="宋体" w:hAnsi="宋体" w:cs="宋体"/>
                <w:color w:val="auto"/>
                <w:spacing w:val="-2"/>
                <w:sz w:val="24"/>
                <w:szCs w:val="24"/>
                <w:lang w:eastAsia="zh-CN"/>
              </w:rPr>
              <w:t>。</w:t>
            </w:r>
          </w:p>
        </w:tc>
      </w:tr>
    </w:tbl>
    <w:p w14:paraId="1A6B7BCA">
      <w:pPr>
        <w:pStyle w:val="40"/>
        <w:spacing w:line="360" w:lineRule="auto"/>
        <w:ind w:firstLine="482" w:firstLineChars="200"/>
        <w:jc w:val="left"/>
        <w:rPr>
          <w:rFonts w:hint="eastAsia" w:ascii="宋体" w:hAnsi="宋体" w:eastAsia="宋体" w:cs="宋体"/>
          <w:b/>
          <w:bCs w:val="0"/>
          <w:color w:val="auto"/>
          <w:sz w:val="24"/>
          <w:szCs w:val="24"/>
          <w:highlight w:val="none"/>
          <w:lang w:val="en-US" w:eastAsia="zh-CN"/>
        </w:rPr>
      </w:pPr>
    </w:p>
    <w:p w14:paraId="7AC45C2D">
      <w:pPr>
        <w:pStyle w:val="4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三、采购食材清单</w:t>
      </w:r>
    </w:p>
    <w:tbl>
      <w:tblPr>
        <w:tblStyle w:val="27"/>
        <w:tblW w:w="9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754"/>
        <w:gridCol w:w="1275"/>
        <w:gridCol w:w="1335"/>
        <w:gridCol w:w="1305"/>
        <w:gridCol w:w="1620"/>
      </w:tblGrid>
      <w:tr w14:paraId="1C0F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3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93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5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D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9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单价控制价（元）</w:t>
            </w:r>
          </w:p>
        </w:tc>
      </w:tr>
      <w:tr w14:paraId="5FFC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B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发酵粉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D1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B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2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33A4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C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3F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B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2E2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1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E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泡打粉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9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0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D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E53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A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麻辣鱼作料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A9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5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3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0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0817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蕨根粉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F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5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A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 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6D9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5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9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豆浆粉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6B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0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B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30AB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4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胡辣汤料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9B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D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5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B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3D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5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4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榨菜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44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B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8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F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917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9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4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火锅底料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0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822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2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47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8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8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4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68D4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C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纯牛奶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01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E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0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F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00B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3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老面包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0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0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4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9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639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3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3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D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2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3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5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3FC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老酸奶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2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8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0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67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6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0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E9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F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6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C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6FA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E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4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A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D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E66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E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2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C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1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8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7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88D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番茄鸡蛋牛肉面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B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D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F56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D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奶茶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4B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4D3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B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燕麦片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66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8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A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5BB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3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5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3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9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FDC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4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9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大黄油饼干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F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0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B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5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6B9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3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4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早餐饼干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6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B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947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D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7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7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3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8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1C84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1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C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速冻水饺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0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A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3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4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DE3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A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油条膨松剂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07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F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9FD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5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0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番茄沙司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8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0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A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4099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5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6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芝麻球(小)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6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D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5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013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芝麻球(大)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6A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9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9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0E09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A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5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香芋卷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B9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0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B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3B8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C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脆皮香蕉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84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F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4144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F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地瓜丸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B6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D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3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3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099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0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4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爆米花玉米粒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B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C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B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4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180D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7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鸡肉烤肠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6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3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7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7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16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6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2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年糕</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30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6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4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FEF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9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8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5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613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9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沙拉酱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C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B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5DF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A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麻辣鲜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D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0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A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94B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9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C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芽菜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8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5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0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E4E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D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奥尔良腌料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D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8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0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BE3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B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A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咸鸭蛋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95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4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31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4712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AC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59A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7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3CF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5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卤蛋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DD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2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9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6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437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9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0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粽子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23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0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8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D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4B0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2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7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鸡肉火腿肠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7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6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4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3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54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3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6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牛肉火腿肠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3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3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1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3E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8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6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7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C5D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7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036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A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7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D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A68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64A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5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6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0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3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BA6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4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2A5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D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4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红花椒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77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438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2EEB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1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5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青花椒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5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F91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B56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B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超级生粉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0C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029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2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7A5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F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玉米淀粉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40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C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A11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275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B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8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7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3E7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6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B92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7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1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黑木耳(干)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4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3F6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C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D5C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D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3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香菇(干)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F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6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E85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0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BF0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A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E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干海带丝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0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C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3B1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6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1F5E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8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B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干莴笋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0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5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03E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7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r>
      <w:tr w14:paraId="22F7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干豆角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38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2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3EC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F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5E7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A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干豇豆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BF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4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542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4CC4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1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干花菜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6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7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CC4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F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52B5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9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D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0C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6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8C7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B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378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0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腐竹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B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5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823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5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9F2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6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6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3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8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D13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B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77C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B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6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黄豆(豆芽黄豆)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4C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3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961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0BB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3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1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83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4C3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5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E47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A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9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花椒粉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8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863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0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0F0F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0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545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5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599A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8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桂皮粉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53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5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C27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5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017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C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C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线辣皮子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C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AD9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D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327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2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F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朝天椒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3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2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9C0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EEA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9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CF5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E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5D7D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B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9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5E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0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ED9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2F07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B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小茴香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8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1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2F9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3148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0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8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肉蔻</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E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C74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E83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A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B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0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4A8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F8E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3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A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孜然粒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D8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CCF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E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7AE1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2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F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黑芝麻</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4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06A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F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356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B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E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白蔻</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B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8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2A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3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4D56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2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A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白胡椒粉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6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1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2EA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0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7316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3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黑胡椒粉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CE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A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8D1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3FD8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8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3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白胡椒粒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F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F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E18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7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6087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A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黑胡椒粒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0B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C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0A8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66C3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A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E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4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66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992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E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A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25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1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56D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127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3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A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354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E44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5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7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白芝麻</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7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E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213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4B1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F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3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榨菜(雪菜、什锦、二荆条、海白菜等)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40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596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C2C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B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剁椒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97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7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A0E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C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10B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7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F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玉米榛子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2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0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5E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8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29D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F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7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八宝米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1E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D25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9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7AB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6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4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黄小米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F1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8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603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9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17A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F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红薯淀粉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2C2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9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138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9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D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0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0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BC4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B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DE4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9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F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7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A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523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F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5180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A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4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姜黄</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3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1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ACA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3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7F1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香豆粉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8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00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8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2E51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0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0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小苏打</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0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2F4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1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94B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D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E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6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D87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D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F98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FE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4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BCA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5828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5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2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孜然粉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E5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2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711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4A6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1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3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鹰嘴豆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83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C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396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04D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A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0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2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425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E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417C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F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1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2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E3B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1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5C9B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0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E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2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9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575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E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8B8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D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F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粗辣子面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0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FAD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0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6105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4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8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19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F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9CA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1AFE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9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9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细辣椒面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9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B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4004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9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E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6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B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6D4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0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A07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F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C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9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B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6EA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9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1BB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3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2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云丝豆腐丝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E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6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65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1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76D2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5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吉士粉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8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C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88D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6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E5B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8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A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干拉皮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45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2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08A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E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94B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4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8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鱼酸菜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FF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D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7F1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7E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5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海带头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15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8B2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AF2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D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6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809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3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D74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8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C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E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17E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4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29E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7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3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单晶冰糖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9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72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5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F10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7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枸杞</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5B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1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5A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7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r>
      <w:tr w14:paraId="24E9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B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0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黑米面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D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4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B79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1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3F0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C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7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火锅丸子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BE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8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98D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B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DBE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B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3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老母鸡粉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9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D69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1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90B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3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E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牛筋面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F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3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01F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4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FA6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1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3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酸豇豆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A7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9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5A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E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C3C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C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9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3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F43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5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59A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6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0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2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2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880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6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D89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A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黄金脆骨丸</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9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7AD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24A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2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鱼豆腐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F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0C7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F7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F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9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3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6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0BF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5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B79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8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0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5A8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6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0FE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B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杏干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8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256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7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747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5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5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红枣</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38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7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13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7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8B1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8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F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高筋粉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C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1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29D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8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B10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0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7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低筋粉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3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4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41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D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90E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8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5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6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F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C6A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F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F04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5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9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8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C787">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7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4BF6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8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3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A5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BB2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4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F8C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8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1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63B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5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B6B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4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0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菠萝酱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7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BCA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BED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E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蓝莓酱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2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0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8FE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3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A42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1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水蜜桃酱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B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3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61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7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8B5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9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饮料粉（草莓味）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7F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E7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5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743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5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4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饮料粉（菠萝味）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0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0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A7C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4BD0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A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饮料粉（蓝莓味）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93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F1D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8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509E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饮料粉（水蜜桃味）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0D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7D0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D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2880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E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2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酸梅汤粉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AF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3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588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50F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7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4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酸梅汤料包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9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D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06D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5DC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0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7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5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AA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A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446B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2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C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豌豆粉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5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D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ACA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8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70FA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A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B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2A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5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68C8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B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FF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A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1C9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C71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9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AD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B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79F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B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2AE6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E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1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36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1CE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C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909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5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C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3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5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EC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F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C49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4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2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千叶豆腐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EB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6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28A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B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F33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7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2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44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7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6AC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9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434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B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A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手擀粉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1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3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453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8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9EB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0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A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E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F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DF0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2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55C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7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鲜鸡蛋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0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A2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0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AC2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C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冰淇淋粉(原味)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A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B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B9D8">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E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00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冰淇淋粉(可可味)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9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5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B11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9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BB8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A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B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冰淇淋粉(草莓味)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1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F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163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0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03A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3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1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冰淇淋粉(芒果味)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3CF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394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3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冰淇淋粉(抹茶味)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BA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D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BBB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C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22C2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A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F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冰淇淋粉(香芋味)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4E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3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A75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23B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E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F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巴旦木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3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A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35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2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194A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核桃仁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C2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073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422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7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4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A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012D">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0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C3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0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开心果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F2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EAC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685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3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3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7186">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2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9A5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1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3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半梅干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15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4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779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4BC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1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薄皮核桃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1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CC3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3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AC1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F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7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饺子皮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7B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9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E15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1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1B8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B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包子皮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6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2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310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6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4E13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3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8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36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EC2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1901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AB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6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499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F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2C3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9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9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B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E73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C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r>
      <w:tr w14:paraId="5236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7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F8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1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9C0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D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7CC0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A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D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野蘑菇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3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6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409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1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5DC9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B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牛肉面料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3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26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3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5F6B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A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C6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4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343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9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A3A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8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DE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3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7F8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E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990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9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2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新鲜凉皮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86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8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6EF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A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001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D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1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新鲜黄面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A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F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3D5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3746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6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鸡边腿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7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B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199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E5F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9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D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牛仔骨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8F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1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029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58D8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D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1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A0C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8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4F1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9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D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7E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7A02">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F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CA7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A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0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鸡中翅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BB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D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5EC1">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30BB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D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F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鸭边腿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B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C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BCB">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C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A26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2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B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49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F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286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1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6DE1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D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6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13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D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9B3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4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5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55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15E0">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5811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4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B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BC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9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59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4cm-</w:t>
            </w:r>
            <w:r>
              <w:rPr>
                <w:rFonts w:hint="eastAsia" w:ascii="宋体" w:hAnsi="宋体" w:eastAsia="宋体" w:cs="宋体"/>
                <w:i w:val="0"/>
                <w:iCs w:val="0"/>
                <w:color w:val="000000"/>
                <w:kern w:val="0"/>
                <w:sz w:val="24"/>
                <w:szCs w:val="24"/>
                <w:u w:val="none"/>
                <w:lang w:val="en-US" w:eastAsia="zh-CN" w:bidi="ar"/>
              </w:rPr>
              <w:t>5cm</w:t>
            </w:r>
            <w:r>
              <w:rPr>
                <w:rFonts w:hint="eastAsia" w:ascii="宋体" w:hAnsi="宋体" w:cs="宋体"/>
                <w:i w:val="0"/>
                <w:iCs w:val="0"/>
                <w:color w:val="000000"/>
                <w:kern w:val="0"/>
                <w:sz w:val="24"/>
                <w:szCs w:val="24"/>
                <w:u w:val="none"/>
                <w:lang w:val="en-US" w:eastAsia="zh-CN" w:bidi="ar"/>
              </w:rPr>
              <w:t>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0D89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7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猪耳朵</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F8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7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5C33">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4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A67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3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6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熏马肉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15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F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18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C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343F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1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9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薰马肠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A8B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5D92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1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4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3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8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5409">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0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3E2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9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6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鸡脯肉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1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108C">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1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67A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D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小黄鱼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5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0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4F4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3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8B5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小河虾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0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53D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A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579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4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ED8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15C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猪扇子骨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6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52F4">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B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0287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乌鸡爪</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7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3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57F">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E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66B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9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C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冻猪蹄</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B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7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1E0A">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075D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C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鸭脖子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C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9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BFC5">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6B78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0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腊肉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A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5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3DBE">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D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31C9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C1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凉茶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7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4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7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F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6E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1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饼干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77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E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F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0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65F1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4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干拌方便面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1D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9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E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 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EB8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A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五香粉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5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F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7F3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F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醪糟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7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9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E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 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F51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7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自热火锅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75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A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8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7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7C59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4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冰淇淋威化杯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C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8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A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363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F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1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冰淇淋脆皮筒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34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A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A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D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036C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6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E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沙琪玛</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A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D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F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C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80A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2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方火腿</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E2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3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3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720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E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9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B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7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F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2D1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4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大砖茶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D6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4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1.1公斤/块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1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465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F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9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油辣椒（参考品牌：老干妈、陶华碧、乡下妹或同等档次品质产品）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5E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F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3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ABF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2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6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CA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7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D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847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5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2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辣鲜露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7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4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0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0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E81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0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C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F0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B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376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醪糟</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6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A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E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5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627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C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红油腐乳</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D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F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 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6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0E2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F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8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嫩肉粉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05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1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2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914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B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7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浓缩橙汁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C2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6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C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F77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0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F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排骨酱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1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6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5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2E26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A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10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ascii="宋体" w:hAnsi="宋体" w:eastAsia="宋体" w:cs="宋体"/>
                <w:sz w:val="24"/>
                <w:szCs w:val="24"/>
              </w:rPr>
              <w:t>碳酸饮料（柠檬味）</w:t>
            </w:r>
            <w:r>
              <w:rPr>
                <w:rFonts w:hint="eastAsia" w:ascii="宋体" w:hAnsi="宋体" w:eastAsia="宋体" w:cs="宋体"/>
                <w:sz w:val="24"/>
                <w:szCs w:val="24"/>
                <w:lang w:eastAsia="zh-CN"/>
              </w:rPr>
              <w:t>，</w:t>
            </w:r>
            <w:r>
              <w:rPr>
                <w:rFonts w:ascii="宋体" w:hAnsi="宋体" w:eastAsia="宋体" w:cs="宋体"/>
                <w:sz w:val="24"/>
                <w:szCs w:val="24"/>
              </w:rPr>
              <w:t>参考品牌：雪碧、芬达、美年达或同等品质档次产品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5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6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A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A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169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D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3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F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7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A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1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2F8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CF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233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4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E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1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2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B18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D8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0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冰红茶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1C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2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6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1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B66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7E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D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125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22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果粒橙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1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A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D1E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AD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3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果粒橙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29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F1C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0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BDE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无糖茶饮料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F3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C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B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09C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3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4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可乐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1B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1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9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E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10D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46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4B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D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8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DD7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9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3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2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F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6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49C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AE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2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3D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1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2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1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7023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C9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A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BB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B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5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A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00C3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1C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1F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A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2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D4B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6E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D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4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4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291A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02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0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豆瓣酱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E4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4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A11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60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5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花椒油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0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1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0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6514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2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6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红烧酱油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D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8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F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1B9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2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9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料酒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86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3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8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6ED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4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2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头抽</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A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0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67E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41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6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白醋</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8E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B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0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 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1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D6A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C0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E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泡子姜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BF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3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7F6A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AF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2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米粉酱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91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4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4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D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7ADD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57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1B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B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1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166D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0A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F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6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0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1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0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A37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B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0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蒸鱼豉油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BD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F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0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9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46B9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28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6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0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F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8F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9A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C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8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4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7E48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5B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F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31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B45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4D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C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C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E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6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0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FFE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9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3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8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5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D47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24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262</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4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番茄鸡蛋牛肉面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77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4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4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D3D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D1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263</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油辣椒（参考品牌：老干妈、陶华碧、乡下妹或同等档次品质产品）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93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1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4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616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CB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A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E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0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F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5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0EA5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0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265</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味极鲜</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5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4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3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318C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8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A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24L</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3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r>
      <w:tr w14:paraId="0428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32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267</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E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9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5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8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D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59B4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80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268</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甜面酱</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4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9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F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6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67D4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FE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269</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蛋挞皮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A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0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DC2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7D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270</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7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野山椒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C8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C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57F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57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271</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4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豆沙</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4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0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5公斤</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F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bl>
    <w:p w14:paraId="2A58C9F8">
      <w:pPr>
        <w:pStyle w:val="40"/>
        <w:spacing w:line="360" w:lineRule="auto"/>
        <w:ind w:firstLine="482" w:firstLineChars="200"/>
        <w:jc w:val="left"/>
        <w:rPr>
          <w:rFonts w:hint="default" w:ascii="宋体" w:hAnsi="宋体" w:eastAsia="宋体" w:cs="宋体"/>
          <w:b/>
          <w:bCs w:val="0"/>
          <w:color w:val="auto"/>
          <w:sz w:val="24"/>
          <w:szCs w:val="24"/>
          <w:highlight w:val="none"/>
          <w:lang w:val="en-US" w:eastAsia="zh-CN"/>
        </w:rPr>
      </w:pPr>
    </w:p>
    <w:p w14:paraId="4D588E48">
      <w:pPr>
        <w:pStyle w:val="48"/>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价格要求</w:t>
      </w:r>
    </w:p>
    <w:p w14:paraId="7547ECFA">
      <w:pPr>
        <w:pStyle w:val="4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1"/>
        <w:rPr>
          <w:sz w:val="24"/>
          <w:szCs w:val="24"/>
          <w:highlight w:val="none"/>
          <w:lang w:val="en-US"/>
        </w:rPr>
      </w:pPr>
      <w:r>
        <w:rPr>
          <w:rFonts w:hint="eastAsia"/>
          <w:sz w:val="24"/>
          <w:szCs w:val="24"/>
          <w:highlight w:val="none"/>
          <w:lang w:val="en-US" w:eastAsia="zh-CN"/>
        </w:rPr>
        <w:t>1、</w:t>
      </w:r>
      <w:r>
        <w:rPr>
          <w:rFonts w:hint="eastAsia"/>
          <w:sz w:val="24"/>
          <w:szCs w:val="24"/>
          <w:highlight w:val="none"/>
          <w:lang w:val="en-US"/>
        </w:rPr>
        <w:t>报价方式：本次报价为下浮率报价</w:t>
      </w:r>
      <w:r>
        <w:rPr>
          <w:rFonts w:hint="eastAsia"/>
          <w:sz w:val="24"/>
          <w:szCs w:val="24"/>
          <w:highlight w:val="none"/>
          <w:lang w:val="en-US" w:eastAsia="zh-CN"/>
        </w:rPr>
        <w:t>，投标人按照所有副食品单价最高限价报整体下浮率</w:t>
      </w:r>
      <w:r>
        <w:rPr>
          <w:rFonts w:hint="eastAsia"/>
          <w:sz w:val="24"/>
          <w:szCs w:val="24"/>
          <w:highlight w:val="none"/>
          <w:lang w:val="en-US"/>
        </w:rPr>
        <w:t xml:space="preserve">。 </w:t>
      </w:r>
    </w:p>
    <w:p w14:paraId="75EF3AE8">
      <w:pPr>
        <w:pStyle w:val="43"/>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1"/>
        <w:rPr>
          <w:sz w:val="24"/>
          <w:szCs w:val="24"/>
          <w:highlight w:val="none"/>
          <w:lang w:val="en-US"/>
        </w:rPr>
      </w:pPr>
      <w:r>
        <w:rPr>
          <w:rFonts w:hint="eastAsia"/>
          <w:sz w:val="24"/>
          <w:szCs w:val="24"/>
          <w:highlight w:val="none"/>
          <w:lang w:val="en-US"/>
        </w:rPr>
        <w:t>2、价格下浮比例是指供应商在</w:t>
      </w:r>
      <w:r>
        <w:rPr>
          <w:rFonts w:hint="eastAsia"/>
          <w:sz w:val="24"/>
          <w:szCs w:val="24"/>
          <w:highlight w:val="none"/>
          <w:lang w:val="en-US" w:eastAsia="zh-CN"/>
        </w:rPr>
        <w:t>单价最高限价</w:t>
      </w:r>
      <w:r>
        <w:rPr>
          <w:rFonts w:hint="eastAsia"/>
          <w:sz w:val="24"/>
          <w:szCs w:val="24"/>
          <w:highlight w:val="none"/>
          <w:lang w:val="en-US"/>
        </w:rPr>
        <w:t>的基础上让利的百分点，例如某货物</w:t>
      </w:r>
      <w:r>
        <w:rPr>
          <w:rFonts w:hint="eastAsia"/>
          <w:sz w:val="24"/>
          <w:szCs w:val="24"/>
          <w:highlight w:val="none"/>
          <w:lang w:val="en-US" w:eastAsia="zh-CN"/>
        </w:rPr>
        <w:t>单价最高限价</w:t>
      </w:r>
      <w:r>
        <w:rPr>
          <w:rFonts w:hint="eastAsia"/>
          <w:sz w:val="24"/>
          <w:szCs w:val="24"/>
          <w:highlight w:val="none"/>
          <w:lang w:val="en-US"/>
        </w:rPr>
        <w:t xml:space="preserve">是100元，让利10个百分点（打九折），即表述为供应商价格下浮比例为10%； </w:t>
      </w:r>
    </w:p>
    <w:p w14:paraId="452D95ED">
      <w:pPr>
        <w:pStyle w:val="43"/>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1"/>
        <w:rPr>
          <w:sz w:val="24"/>
          <w:szCs w:val="24"/>
          <w:highlight w:val="none"/>
        </w:rPr>
      </w:pPr>
      <w:r>
        <w:rPr>
          <w:rFonts w:hint="eastAsia"/>
          <w:sz w:val="24"/>
          <w:szCs w:val="24"/>
          <w:highlight w:val="none"/>
          <w:lang w:val="en-US"/>
        </w:rPr>
        <w:t>3、供应商一旦通过本次招标成为中标人，在今后合同期内提供货物价格须按照本次投标下浮比例执行，可以在本次成交下浮比例基础上再次下浮让利，但不能上浮</w:t>
      </w:r>
      <w:r>
        <w:rPr>
          <w:rFonts w:hint="eastAsia"/>
          <w:sz w:val="24"/>
          <w:szCs w:val="24"/>
          <w:highlight w:val="none"/>
          <w:lang w:val="en-US" w:eastAsia="zh-CN"/>
        </w:rPr>
        <w:t>；</w:t>
      </w:r>
      <w:r>
        <w:rPr>
          <w:rFonts w:hint="eastAsia"/>
          <w:sz w:val="24"/>
          <w:szCs w:val="24"/>
          <w:highlight w:val="none"/>
          <w:lang w:val="en-US"/>
        </w:rPr>
        <w:t xml:space="preserve"> </w:t>
      </w:r>
    </w:p>
    <w:p w14:paraId="0A2BD7CF">
      <w:pPr>
        <w:pStyle w:val="43"/>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1"/>
        <w:rPr>
          <w:rFonts w:hint="eastAsia"/>
          <w:sz w:val="24"/>
          <w:szCs w:val="24"/>
          <w:highlight w:val="none"/>
          <w:lang w:val="en-US"/>
        </w:rPr>
      </w:pPr>
      <w:r>
        <w:rPr>
          <w:rFonts w:hint="eastAsia"/>
          <w:sz w:val="24"/>
          <w:szCs w:val="24"/>
          <w:highlight w:val="none"/>
          <w:lang w:val="en-US"/>
        </w:rPr>
        <w:t>4、</w:t>
      </w:r>
      <w:r>
        <w:rPr>
          <w:rFonts w:hint="eastAsia"/>
          <w:sz w:val="24"/>
          <w:szCs w:val="24"/>
          <w:highlight w:val="none"/>
          <w:lang w:val="en-US" w:eastAsia="zh-CN"/>
        </w:rPr>
        <w:t>单项货物</w:t>
      </w:r>
      <w:r>
        <w:rPr>
          <w:rFonts w:hint="eastAsia"/>
          <w:sz w:val="24"/>
          <w:szCs w:val="24"/>
          <w:highlight w:val="none"/>
          <w:lang w:val="en-US"/>
        </w:rPr>
        <w:t>最终结算价=</w:t>
      </w:r>
      <w:r>
        <w:rPr>
          <w:rFonts w:hint="eastAsia"/>
          <w:sz w:val="24"/>
          <w:szCs w:val="24"/>
          <w:highlight w:val="none"/>
          <w:lang w:val="en-US" w:eastAsia="zh-CN"/>
        </w:rPr>
        <w:t>单价最高限价</w:t>
      </w:r>
      <w:r>
        <w:rPr>
          <w:rFonts w:hint="eastAsia"/>
          <w:sz w:val="24"/>
          <w:szCs w:val="24"/>
          <w:highlight w:val="none"/>
          <w:lang w:val="en-US"/>
        </w:rPr>
        <w:t>×（1-中标下浮率）。</w:t>
      </w:r>
    </w:p>
    <w:p w14:paraId="2789243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eastAsia" w:ascii="宋体" w:hAnsi="宋体" w:cs="宋体"/>
          <w:b/>
          <w:bCs w:val="0"/>
          <w:color w:val="auto"/>
          <w:kern w:val="2"/>
          <w:sz w:val="24"/>
          <w:highlight w:val="none"/>
          <w:lang w:val="en-US" w:eastAsia="zh-CN" w:bidi="ar-SA"/>
        </w:rPr>
      </w:pPr>
      <w:r>
        <w:rPr>
          <w:rFonts w:hint="eastAsia" w:ascii="宋体" w:hAnsi="宋体" w:cs="宋体"/>
          <w:b/>
          <w:bCs w:val="0"/>
          <w:color w:val="auto"/>
          <w:kern w:val="2"/>
          <w:sz w:val="24"/>
          <w:highlight w:val="none"/>
          <w:lang w:val="en-US" w:eastAsia="zh-CN" w:bidi="ar-SA"/>
        </w:rPr>
        <w:t>五</w:t>
      </w:r>
      <w:r>
        <w:rPr>
          <w:rFonts w:hint="eastAsia" w:ascii="宋体" w:hAnsi="宋体" w:eastAsia="宋体" w:cs="宋体"/>
          <w:b/>
          <w:bCs w:val="0"/>
          <w:color w:val="auto"/>
          <w:kern w:val="2"/>
          <w:sz w:val="24"/>
          <w:highlight w:val="none"/>
          <w:lang w:val="en-US" w:eastAsia="zh-CN" w:bidi="ar-SA"/>
        </w:rPr>
        <w:t>、</w:t>
      </w:r>
      <w:r>
        <w:rPr>
          <w:rFonts w:hint="eastAsia" w:ascii="宋体" w:hAnsi="宋体" w:cs="宋体"/>
          <w:b/>
          <w:bCs w:val="0"/>
          <w:color w:val="auto"/>
          <w:kern w:val="2"/>
          <w:sz w:val="24"/>
          <w:highlight w:val="none"/>
          <w:lang w:val="en-US" w:eastAsia="zh-CN" w:bidi="ar-SA"/>
        </w:rPr>
        <w:t>商务要求</w:t>
      </w:r>
    </w:p>
    <w:p w14:paraId="7DC82A5D">
      <w:pPr>
        <w:pStyle w:val="13"/>
        <w:spacing w:before="182" w:line="360" w:lineRule="auto"/>
        <w:ind w:left="60" w:right="238" w:firstLine="462"/>
        <w:rPr>
          <w:rFonts w:hint="eastAsia" w:ascii="宋体" w:hAnsi="宋体" w:eastAsia="宋体" w:cs="宋体"/>
          <w:b w:val="0"/>
          <w:bCs w:val="0"/>
          <w:color w:val="auto"/>
          <w:sz w:val="24"/>
          <w:szCs w:val="24"/>
        </w:rPr>
      </w:pPr>
      <w:r>
        <w:rPr>
          <w:rFonts w:hint="eastAsia" w:ascii="宋体" w:hAnsi="宋体" w:cs="宋体"/>
          <w:b w:val="0"/>
          <w:bCs w:val="0"/>
          <w:color w:val="auto"/>
          <w:spacing w:val="-4"/>
          <w:sz w:val="24"/>
          <w:szCs w:val="24"/>
          <w:lang w:eastAsia="zh-CN"/>
        </w:rPr>
        <w:t>（</w:t>
      </w:r>
      <w:r>
        <w:rPr>
          <w:rFonts w:hint="eastAsia" w:ascii="宋体" w:hAnsi="宋体" w:cs="宋体"/>
          <w:b w:val="0"/>
          <w:bCs w:val="0"/>
          <w:color w:val="auto"/>
          <w:spacing w:val="-4"/>
          <w:sz w:val="24"/>
          <w:szCs w:val="24"/>
          <w:lang w:val="en-US" w:eastAsia="zh-CN"/>
        </w:rPr>
        <w:t>一</w:t>
      </w:r>
      <w:r>
        <w:rPr>
          <w:rFonts w:hint="eastAsia" w:ascii="宋体" w:hAnsi="宋体" w:cs="宋体"/>
          <w:b w:val="0"/>
          <w:bCs w:val="0"/>
          <w:color w:val="auto"/>
          <w:spacing w:val="-4"/>
          <w:sz w:val="24"/>
          <w:szCs w:val="24"/>
          <w:lang w:eastAsia="zh-CN"/>
        </w:rPr>
        <w:t>）</w:t>
      </w:r>
      <w:r>
        <w:rPr>
          <w:rFonts w:hint="eastAsia" w:ascii="宋体" w:hAnsi="宋体" w:eastAsia="宋体" w:cs="宋体"/>
          <w:b w:val="0"/>
          <w:bCs w:val="0"/>
          <w:color w:val="auto"/>
          <w:spacing w:val="-4"/>
          <w:sz w:val="24"/>
          <w:szCs w:val="24"/>
        </w:rPr>
        <w:t>中标方负责合同项下货物的生产、分装、包装运输、售后服务等工作</w:t>
      </w:r>
      <w:r>
        <w:rPr>
          <w:rFonts w:hint="eastAsia" w:ascii="宋体" w:hAnsi="宋体" w:eastAsia="宋体" w:cs="宋体"/>
          <w:b w:val="0"/>
          <w:bCs w:val="0"/>
          <w:color w:val="auto"/>
          <w:spacing w:val="-3"/>
          <w:sz w:val="24"/>
          <w:szCs w:val="24"/>
        </w:rPr>
        <w:t>内容，一切费用由中标方负责。</w:t>
      </w:r>
    </w:p>
    <w:p w14:paraId="537FF16A">
      <w:pPr>
        <w:pStyle w:val="13"/>
        <w:spacing w:before="1" w:line="360" w:lineRule="auto"/>
        <w:ind w:left="52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1.配送程序和规定:</w:t>
      </w:r>
    </w:p>
    <w:p w14:paraId="3A5B23A9">
      <w:pPr>
        <w:pStyle w:val="13"/>
        <w:spacing w:before="181" w:line="360" w:lineRule="auto"/>
        <w:ind w:left="29" w:right="238" w:firstLine="499"/>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1.1 配送单位根据配送距离、配送的数量，批次运送（按采购人指定时间配送）物资到采购人指定地点。甲方单位提前</w:t>
      </w:r>
      <w:r>
        <w:rPr>
          <w:rFonts w:hint="eastAsia" w:ascii="宋体" w:hAnsi="宋体" w:eastAsia="宋体" w:cs="宋体"/>
          <w:b w:val="0"/>
          <w:bCs w:val="0"/>
          <w:color w:val="auto"/>
          <w:spacing w:val="-37"/>
          <w:sz w:val="24"/>
          <w:szCs w:val="24"/>
        </w:rPr>
        <w:t xml:space="preserve"> </w:t>
      </w:r>
      <w:r>
        <w:rPr>
          <w:rFonts w:hint="eastAsia" w:ascii="宋体" w:hAnsi="宋体" w:eastAsia="宋体" w:cs="宋体"/>
          <w:b w:val="0"/>
          <w:bCs w:val="0"/>
          <w:color w:val="auto"/>
          <w:spacing w:val="-4"/>
          <w:sz w:val="24"/>
          <w:szCs w:val="24"/>
        </w:rPr>
        <w:t>2</w:t>
      </w:r>
      <w:r>
        <w:rPr>
          <w:rFonts w:hint="eastAsia" w:ascii="宋体" w:hAnsi="宋体" w:eastAsia="宋体" w:cs="宋体"/>
          <w:b w:val="0"/>
          <w:bCs w:val="0"/>
          <w:color w:val="auto"/>
          <w:spacing w:val="-46"/>
          <w:sz w:val="24"/>
          <w:szCs w:val="24"/>
        </w:rPr>
        <w:t xml:space="preserve"> </w:t>
      </w:r>
      <w:r>
        <w:rPr>
          <w:rFonts w:hint="eastAsia" w:ascii="宋体" w:hAnsi="宋体" w:eastAsia="宋体" w:cs="宋体"/>
          <w:b w:val="0"/>
          <w:bCs w:val="0"/>
          <w:color w:val="auto"/>
          <w:spacing w:val="-4"/>
          <w:sz w:val="24"/>
          <w:szCs w:val="24"/>
        </w:rPr>
        <w:t>天将备货清单发中标供应商，送货</w:t>
      </w:r>
      <w:r>
        <w:rPr>
          <w:rFonts w:hint="eastAsia" w:ascii="宋体" w:hAnsi="宋体" w:eastAsia="宋体" w:cs="宋体"/>
          <w:b w:val="0"/>
          <w:bCs w:val="0"/>
          <w:color w:val="auto"/>
          <w:spacing w:val="-1"/>
          <w:sz w:val="24"/>
          <w:szCs w:val="24"/>
        </w:rPr>
        <w:t>时间按照</w:t>
      </w:r>
      <w:r>
        <w:rPr>
          <w:rFonts w:hint="eastAsia" w:ascii="宋体" w:hAnsi="宋体" w:cs="宋体"/>
          <w:b w:val="0"/>
          <w:bCs w:val="0"/>
          <w:color w:val="auto"/>
          <w:spacing w:val="-1"/>
          <w:sz w:val="24"/>
          <w:szCs w:val="24"/>
          <w:lang w:val="en-US" w:eastAsia="zh-CN"/>
        </w:rPr>
        <w:t>采购方</w:t>
      </w:r>
      <w:r>
        <w:rPr>
          <w:rFonts w:hint="eastAsia" w:ascii="宋体" w:hAnsi="宋体" w:eastAsia="宋体" w:cs="宋体"/>
          <w:b w:val="0"/>
          <w:bCs w:val="0"/>
          <w:color w:val="auto"/>
          <w:spacing w:val="-1"/>
          <w:sz w:val="24"/>
          <w:szCs w:val="24"/>
        </w:rPr>
        <w:t>规定时间于</w:t>
      </w:r>
      <w:r>
        <w:rPr>
          <w:rFonts w:hint="eastAsia" w:ascii="宋体" w:hAnsi="宋体" w:eastAsia="宋体" w:cs="宋体"/>
          <w:b w:val="0"/>
          <w:bCs w:val="0"/>
          <w:color w:val="auto"/>
          <w:spacing w:val="-48"/>
          <w:sz w:val="24"/>
          <w:szCs w:val="24"/>
        </w:rPr>
        <w:t xml:space="preserve"> </w:t>
      </w:r>
      <w:r>
        <w:rPr>
          <w:rFonts w:hint="eastAsia" w:ascii="宋体" w:hAnsi="宋体" w:eastAsia="宋体" w:cs="宋体"/>
          <w:b w:val="0"/>
          <w:bCs w:val="0"/>
          <w:color w:val="auto"/>
          <w:spacing w:val="-1"/>
          <w:sz w:val="24"/>
          <w:szCs w:val="24"/>
        </w:rPr>
        <w:t>24</w:t>
      </w:r>
      <w:r>
        <w:rPr>
          <w:rFonts w:hint="eastAsia" w:ascii="宋体" w:hAnsi="宋体" w:eastAsia="宋体" w:cs="宋体"/>
          <w:b w:val="0"/>
          <w:bCs w:val="0"/>
          <w:color w:val="auto"/>
          <w:spacing w:val="-44"/>
          <w:sz w:val="24"/>
          <w:szCs w:val="24"/>
        </w:rPr>
        <w:t xml:space="preserve"> </w:t>
      </w:r>
      <w:r>
        <w:rPr>
          <w:rFonts w:hint="eastAsia" w:ascii="宋体" w:hAnsi="宋体" w:eastAsia="宋体" w:cs="宋体"/>
          <w:b w:val="0"/>
          <w:bCs w:val="0"/>
          <w:color w:val="auto"/>
          <w:spacing w:val="-1"/>
          <w:sz w:val="24"/>
          <w:szCs w:val="24"/>
        </w:rPr>
        <w:t>小时内送货，送货时负</w:t>
      </w:r>
      <w:r>
        <w:rPr>
          <w:rFonts w:hint="eastAsia" w:ascii="宋体" w:hAnsi="宋体" w:eastAsia="宋体" w:cs="宋体"/>
          <w:b w:val="0"/>
          <w:bCs w:val="0"/>
          <w:color w:val="auto"/>
          <w:spacing w:val="-2"/>
          <w:sz w:val="24"/>
          <w:szCs w:val="24"/>
        </w:rPr>
        <w:t>责卸货至库房。</w:t>
      </w:r>
    </w:p>
    <w:p w14:paraId="6E535484">
      <w:pPr>
        <w:pStyle w:val="13"/>
        <w:bidi w:val="0"/>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b w:val="0"/>
          <w:bCs w:val="0"/>
          <w:color w:val="auto"/>
          <w:spacing w:val="-4"/>
          <w:sz w:val="24"/>
          <w:szCs w:val="24"/>
        </w:rPr>
        <w:t>保证货品均为正规生产、检验合格、无毒、无辐射、无侵权货品，符合国家有关食品安全标准，在使用有效期内的货品，</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保证所供货物质量新鲜，有保质期约定的货品，</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配送的货品剩余保质期应在80%以上（自交付之日的次日起计算），否则。若发现剩余保质期不足80%，</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有权按照不符合合同约定拒收并要求</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在24小时内更换符合要求退换的货物，且</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应承担因此产生的全部运输、双倍运输费用及质量复检验及仓储费用费用，并按不合格货物价值的</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lang w:val="en-US" w:eastAsia="zh-CN"/>
        </w:rPr>
        <w:t>支付违约金。（如质保期为10个月的，供货时剩余的质保期应当大于或等于8个月。）</w:t>
      </w:r>
    </w:p>
    <w:p w14:paraId="2023A509">
      <w:pPr>
        <w:pStyle w:val="13"/>
        <w:spacing w:before="181" w:line="360" w:lineRule="auto"/>
        <w:ind w:left="25" w:right="81" w:firstLine="495"/>
        <w:rPr>
          <w:rFonts w:hint="eastAsia" w:ascii="宋体" w:hAnsi="宋体" w:eastAsia="宋体" w:cs="宋体"/>
          <w:b w:val="0"/>
          <w:bCs w:val="0"/>
          <w:color w:val="auto"/>
          <w:sz w:val="24"/>
          <w:szCs w:val="24"/>
        </w:rPr>
      </w:pPr>
      <w:bookmarkStart w:id="1" w:name="bookmark108"/>
      <w:bookmarkEnd w:id="1"/>
      <w:r>
        <w:rPr>
          <w:rFonts w:hint="eastAsia" w:ascii="宋体" w:hAnsi="宋体" w:eastAsia="宋体" w:cs="宋体"/>
          <w:b w:val="0"/>
          <w:bCs w:val="0"/>
          <w:color w:val="auto"/>
          <w:spacing w:val="-4"/>
          <w:sz w:val="24"/>
          <w:szCs w:val="24"/>
        </w:rPr>
        <w:t xml:space="preserve">1.2 </w:t>
      </w:r>
      <w:r>
        <w:rPr>
          <w:rFonts w:hint="eastAsia" w:ascii="宋体" w:hAnsi="宋体" w:cs="宋体"/>
          <w:b w:val="0"/>
          <w:bCs w:val="0"/>
          <w:color w:val="auto"/>
          <w:spacing w:val="-4"/>
          <w:sz w:val="24"/>
          <w:szCs w:val="24"/>
          <w:lang w:val="en-US" w:eastAsia="zh-CN"/>
        </w:rPr>
        <w:t>中标方</w:t>
      </w:r>
      <w:r>
        <w:rPr>
          <w:rFonts w:hint="eastAsia" w:ascii="宋体" w:hAnsi="宋体" w:eastAsia="宋体" w:cs="宋体"/>
          <w:b w:val="0"/>
          <w:bCs w:val="0"/>
          <w:color w:val="auto"/>
          <w:spacing w:val="-4"/>
          <w:sz w:val="24"/>
          <w:szCs w:val="24"/>
        </w:rPr>
        <w:t>所供货物中肉禽类必须使用厢式食品专用冷藏</w:t>
      </w:r>
      <w:r>
        <w:rPr>
          <w:rFonts w:hint="eastAsia" w:ascii="宋体" w:hAnsi="宋体" w:eastAsia="宋体" w:cs="宋体"/>
          <w:b w:val="0"/>
          <w:bCs w:val="0"/>
          <w:color w:val="auto"/>
          <w:spacing w:val="-3"/>
          <w:sz w:val="24"/>
          <w:szCs w:val="24"/>
        </w:rPr>
        <w:t>车辆运输，不得敞露运输；</w:t>
      </w:r>
    </w:p>
    <w:p w14:paraId="430C1148">
      <w:pPr>
        <w:pStyle w:val="13"/>
        <w:spacing w:before="181" w:line="360" w:lineRule="auto"/>
        <w:ind w:left="43" w:firstLine="480"/>
        <w:rPr>
          <w:rFonts w:hint="eastAsia" w:ascii="宋体" w:hAnsi="宋体" w:eastAsia="宋体" w:cs="宋体"/>
          <w:b w:val="0"/>
          <w:bCs w:val="0"/>
          <w:color w:val="auto"/>
          <w:sz w:val="24"/>
          <w:szCs w:val="24"/>
        </w:rPr>
      </w:pPr>
      <w:r>
        <w:rPr>
          <w:rFonts w:hint="eastAsia" w:ascii="宋体" w:hAnsi="宋体" w:cs="宋体"/>
          <w:b w:val="0"/>
          <w:bCs w:val="0"/>
          <w:color w:val="auto"/>
          <w:spacing w:val="-4"/>
          <w:sz w:val="24"/>
          <w:szCs w:val="24"/>
          <w:lang w:val="en-US" w:eastAsia="zh-CN"/>
        </w:rPr>
        <w:t>中标方</w:t>
      </w:r>
      <w:r>
        <w:rPr>
          <w:rFonts w:hint="eastAsia" w:ascii="宋体" w:hAnsi="宋体" w:eastAsia="宋体" w:cs="宋体"/>
          <w:b w:val="0"/>
          <w:bCs w:val="0"/>
          <w:color w:val="auto"/>
          <w:spacing w:val="-1"/>
          <w:sz w:val="24"/>
          <w:szCs w:val="24"/>
        </w:rPr>
        <w:t>尽量避免将</w:t>
      </w:r>
      <w:r>
        <w:rPr>
          <w:rFonts w:hint="eastAsia" w:ascii="宋体" w:hAnsi="宋体" w:cs="宋体"/>
          <w:b w:val="0"/>
          <w:bCs w:val="0"/>
          <w:color w:val="auto"/>
          <w:spacing w:val="-1"/>
          <w:sz w:val="24"/>
          <w:szCs w:val="24"/>
          <w:lang w:val="en-US" w:eastAsia="zh-CN"/>
        </w:rPr>
        <w:t>不同类别食材</w:t>
      </w:r>
      <w:r>
        <w:rPr>
          <w:rFonts w:hint="eastAsia" w:ascii="宋体" w:hAnsi="宋体" w:eastAsia="宋体" w:cs="宋体"/>
          <w:b w:val="0"/>
          <w:bCs w:val="0"/>
          <w:color w:val="auto"/>
          <w:spacing w:val="-1"/>
          <w:sz w:val="24"/>
          <w:szCs w:val="24"/>
        </w:rPr>
        <w:t>拼箱混装；如果采</w:t>
      </w:r>
      <w:r>
        <w:rPr>
          <w:rFonts w:hint="eastAsia" w:ascii="宋体" w:hAnsi="宋体" w:eastAsia="宋体" w:cs="宋体"/>
          <w:b w:val="0"/>
          <w:bCs w:val="0"/>
          <w:color w:val="auto"/>
          <w:spacing w:val="-2"/>
          <w:sz w:val="24"/>
          <w:szCs w:val="24"/>
        </w:rPr>
        <w:t>取拼箱混装方式运输，</w:t>
      </w:r>
      <w:r>
        <w:rPr>
          <w:rFonts w:hint="eastAsia" w:ascii="宋体" w:hAnsi="宋体" w:cs="宋体"/>
          <w:b w:val="0"/>
          <w:bCs w:val="0"/>
          <w:color w:val="auto"/>
          <w:spacing w:val="-4"/>
          <w:sz w:val="24"/>
          <w:szCs w:val="24"/>
          <w:lang w:val="en-US" w:eastAsia="zh-CN"/>
        </w:rPr>
        <w:t>中标方</w:t>
      </w:r>
      <w:r>
        <w:rPr>
          <w:rFonts w:hint="eastAsia" w:ascii="宋体" w:hAnsi="宋体" w:eastAsia="宋体" w:cs="宋体"/>
          <w:b w:val="0"/>
          <w:bCs w:val="0"/>
          <w:color w:val="auto"/>
          <w:spacing w:val="-8"/>
          <w:sz w:val="24"/>
          <w:szCs w:val="24"/>
        </w:rPr>
        <w:t>必须采取措施保证不发生冻害、腐败、串味、脱水、变色、失去鲜度等问题。</w:t>
      </w:r>
    </w:p>
    <w:p w14:paraId="0F399D61">
      <w:pPr>
        <w:pStyle w:val="13"/>
        <w:spacing w:line="360" w:lineRule="auto"/>
        <w:ind w:left="22" w:right="81" w:firstLine="48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保证周转包装容器和运输车辆的清洁卫生和防</w:t>
      </w:r>
      <w:r>
        <w:rPr>
          <w:rFonts w:hint="eastAsia" w:ascii="宋体" w:hAnsi="宋体" w:eastAsia="宋体" w:cs="宋体"/>
          <w:b w:val="0"/>
          <w:bCs w:val="0"/>
          <w:color w:val="auto"/>
          <w:spacing w:val="-1"/>
          <w:sz w:val="24"/>
          <w:szCs w:val="24"/>
        </w:rPr>
        <w:t>止食品在运输过程中受到污</w:t>
      </w:r>
      <w:r>
        <w:rPr>
          <w:rFonts w:hint="eastAsia" w:ascii="宋体" w:hAnsi="宋体" w:eastAsia="宋体" w:cs="宋体"/>
          <w:b w:val="0"/>
          <w:bCs w:val="0"/>
          <w:color w:val="auto"/>
          <w:spacing w:val="-3"/>
          <w:sz w:val="24"/>
          <w:szCs w:val="24"/>
        </w:rPr>
        <w:t>染是</w:t>
      </w:r>
      <w:r>
        <w:rPr>
          <w:rFonts w:hint="eastAsia" w:ascii="宋体" w:hAnsi="宋体" w:cs="宋体"/>
          <w:b w:val="0"/>
          <w:bCs w:val="0"/>
          <w:color w:val="auto"/>
          <w:spacing w:val="-3"/>
          <w:sz w:val="24"/>
          <w:szCs w:val="24"/>
          <w:lang w:val="en-US" w:eastAsia="zh-CN"/>
        </w:rPr>
        <w:t>中标人</w:t>
      </w:r>
      <w:r>
        <w:rPr>
          <w:rFonts w:hint="eastAsia" w:ascii="宋体" w:hAnsi="宋体" w:eastAsia="宋体" w:cs="宋体"/>
          <w:b w:val="0"/>
          <w:bCs w:val="0"/>
          <w:color w:val="auto"/>
          <w:spacing w:val="-3"/>
          <w:sz w:val="24"/>
          <w:szCs w:val="24"/>
        </w:rPr>
        <w:t>的责任。运输车辆应当保持清洁，无霉斑、鼠迹、苍蝇、蟑螂，不得存放有毒、有害物品及个人生活用品。周转包装容器和车辆在每次配送前应进行清洗消毒。</w:t>
      </w:r>
    </w:p>
    <w:p w14:paraId="5B4EDF4A">
      <w:pPr>
        <w:pStyle w:val="13"/>
        <w:spacing w:before="3" w:line="360" w:lineRule="auto"/>
        <w:ind w:left="28" w:right="81"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货物装卸必须做到轻装轻卸。</w:t>
      </w:r>
      <w:r>
        <w:rPr>
          <w:rFonts w:hint="eastAsia" w:ascii="宋体" w:hAnsi="宋体" w:cs="宋体"/>
          <w:b w:val="0"/>
          <w:bCs w:val="0"/>
          <w:color w:val="auto"/>
          <w:spacing w:val="-3"/>
          <w:sz w:val="24"/>
          <w:szCs w:val="24"/>
          <w:lang w:val="en-US" w:eastAsia="zh-CN"/>
        </w:rPr>
        <w:t>中标人</w:t>
      </w:r>
      <w:r>
        <w:rPr>
          <w:rFonts w:hint="eastAsia" w:ascii="宋体" w:hAnsi="宋体" w:eastAsia="宋体" w:cs="宋体"/>
          <w:b w:val="0"/>
          <w:bCs w:val="0"/>
          <w:color w:val="auto"/>
          <w:spacing w:val="-3"/>
          <w:sz w:val="24"/>
          <w:szCs w:val="24"/>
        </w:rPr>
        <w:t>负责将所有货物</w:t>
      </w:r>
      <w:r>
        <w:rPr>
          <w:rFonts w:hint="eastAsia" w:ascii="宋体" w:hAnsi="宋体" w:eastAsia="宋体" w:cs="宋体"/>
          <w:b w:val="0"/>
          <w:bCs w:val="0"/>
          <w:color w:val="auto"/>
          <w:spacing w:val="-4"/>
          <w:sz w:val="24"/>
          <w:szCs w:val="24"/>
        </w:rPr>
        <w:t>运至甲方指定地点，负责</w:t>
      </w:r>
      <w:r>
        <w:rPr>
          <w:rFonts w:hint="eastAsia" w:ascii="宋体" w:hAnsi="宋体" w:eastAsia="宋体" w:cs="宋体"/>
          <w:b w:val="0"/>
          <w:bCs w:val="0"/>
          <w:color w:val="auto"/>
          <w:spacing w:val="-1"/>
          <w:sz w:val="24"/>
          <w:szCs w:val="24"/>
        </w:rPr>
        <w:t>卸货并搬运至甲方指定堆放场地。</w:t>
      </w:r>
    </w:p>
    <w:p w14:paraId="4330BF73">
      <w:pPr>
        <w:pStyle w:val="13"/>
        <w:spacing w:line="360" w:lineRule="auto"/>
        <w:ind w:left="28" w:right="17" w:firstLine="492"/>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1.3 配送单位具有专业的配送团队，具有沟通设施、</w:t>
      </w:r>
      <w:r>
        <w:rPr>
          <w:rFonts w:hint="eastAsia" w:ascii="宋体" w:hAnsi="宋体" w:eastAsia="宋体" w:cs="宋体"/>
          <w:b w:val="0"/>
          <w:bCs w:val="0"/>
          <w:color w:val="auto"/>
          <w:spacing w:val="-9"/>
          <w:sz w:val="24"/>
          <w:szCs w:val="24"/>
        </w:rPr>
        <w:t>人员和完善的管理制度，</w:t>
      </w:r>
      <w:r>
        <w:rPr>
          <w:rFonts w:hint="eastAsia" w:ascii="宋体" w:hAnsi="宋体" w:eastAsia="宋体" w:cs="宋体"/>
          <w:b w:val="0"/>
          <w:bCs w:val="0"/>
          <w:color w:val="auto"/>
          <w:spacing w:val="-2"/>
          <w:sz w:val="24"/>
          <w:szCs w:val="24"/>
        </w:rPr>
        <w:t>具有产品储存防护能力。</w:t>
      </w:r>
    </w:p>
    <w:p w14:paraId="117FCD79">
      <w:pPr>
        <w:pStyle w:val="13"/>
        <w:spacing w:before="182" w:line="360" w:lineRule="auto"/>
        <w:ind w:left="21" w:right="81" w:firstLine="49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1.4 配送单位每次出车保质保量装车，票据上具有名称、数量、开票人、配</w:t>
      </w:r>
      <w:r>
        <w:rPr>
          <w:rFonts w:hint="eastAsia" w:ascii="宋体" w:hAnsi="宋体" w:eastAsia="宋体" w:cs="宋体"/>
          <w:b w:val="0"/>
          <w:bCs w:val="0"/>
          <w:color w:val="auto"/>
          <w:spacing w:val="-1"/>
          <w:sz w:val="24"/>
          <w:szCs w:val="24"/>
        </w:rPr>
        <w:t>送人，填写真实、完整、清晰和及时。</w:t>
      </w:r>
    </w:p>
    <w:p w14:paraId="5C24DB2C">
      <w:pPr>
        <w:pStyle w:val="13"/>
        <w:spacing w:before="182" w:line="360" w:lineRule="auto"/>
        <w:ind w:left="26" w:right="81" w:firstLine="49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1.5 配送人员要及时召回过期的、剩余的不合格商品，当面清点数量、核对</w:t>
      </w:r>
      <w:r>
        <w:rPr>
          <w:rFonts w:hint="eastAsia" w:ascii="宋体" w:hAnsi="宋体" w:eastAsia="宋体" w:cs="宋体"/>
          <w:b w:val="0"/>
          <w:bCs w:val="0"/>
          <w:color w:val="auto"/>
          <w:spacing w:val="-2"/>
          <w:sz w:val="24"/>
          <w:szCs w:val="24"/>
        </w:rPr>
        <w:t>名称，并开具产品召回单。</w:t>
      </w:r>
    </w:p>
    <w:p w14:paraId="3F9DA490">
      <w:pPr>
        <w:pStyle w:val="13"/>
        <w:spacing w:before="182" w:line="360" w:lineRule="auto"/>
        <w:ind w:left="24" w:right="26" w:firstLine="49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1.6 配送人员及时与采购人沟通，处理数量、质量、卫生等问题，及时填写</w:t>
      </w:r>
      <w:r>
        <w:rPr>
          <w:rFonts w:hint="eastAsia" w:ascii="宋体" w:hAnsi="宋体" w:eastAsia="宋体" w:cs="宋体"/>
          <w:b w:val="0"/>
          <w:bCs w:val="0"/>
          <w:color w:val="auto"/>
          <w:spacing w:val="-1"/>
          <w:sz w:val="24"/>
          <w:szCs w:val="24"/>
        </w:rPr>
        <w:t>反馈表，将质量服务反馈表上报配送单位。</w:t>
      </w:r>
      <w:r>
        <w:rPr>
          <w:rFonts w:hint="eastAsia" w:ascii="宋体" w:hAnsi="宋体" w:eastAsia="宋体" w:cs="宋体"/>
          <w:b w:val="0"/>
          <w:bCs w:val="0"/>
          <w:color w:val="auto"/>
          <w:spacing w:val="-2"/>
          <w:sz w:val="24"/>
          <w:szCs w:val="24"/>
        </w:rPr>
        <w:t>双方人员相互检查对方区域的卫生。</w:t>
      </w:r>
    </w:p>
    <w:p w14:paraId="0CF7089C">
      <w:pPr>
        <w:pStyle w:val="13"/>
        <w:spacing w:before="182" w:line="360" w:lineRule="auto"/>
        <w:ind w:left="52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1.7 配送人员将配送完成、签好的票据及时上交票据管理员。</w:t>
      </w:r>
    </w:p>
    <w:p w14:paraId="5567D9DA">
      <w:pPr>
        <w:pStyle w:val="13"/>
        <w:spacing w:before="182"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w:t>
      </w:r>
      <w:r>
        <w:rPr>
          <w:rFonts w:hint="eastAsia" w:ascii="宋体" w:hAnsi="宋体" w:cs="宋体"/>
          <w:b w:val="0"/>
          <w:bCs w:val="0"/>
          <w:color w:val="auto"/>
          <w:spacing w:val="-3"/>
          <w:sz w:val="24"/>
          <w:szCs w:val="24"/>
          <w:lang w:val="en-US" w:eastAsia="zh-CN"/>
        </w:rPr>
        <w:t>二</w:t>
      </w:r>
      <w:r>
        <w:rPr>
          <w:rFonts w:hint="eastAsia" w:ascii="宋体" w:hAnsi="宋体" w:eastAsia="宋体" w:cs="宋体"/>
          <w:b w:val="0"/>
          <w:bCs w:val="0"/>
          <w:color w:val="auto"/>
          <w:spacing w:val="-3"/>
          <w:sz w:val="24"/>
          <w:szCs w:val="24"/>
        </w:rPr>
        <w:t>）验收要求：</w:t>
      </w:r>
    </w:p>
    <w:p w14:paraId="71F93F0F">
      <w:pPr>
        <w:pStyle w:val="13"/>
        <w:spacing w:before="182" w:line="360" w:lineRule="auto"/>
        <w:ind w:left="31" w:right="81" w:firstLine="48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1.做好卸货前的检查，采购人和中标人双方的验收人员卸货前应对场地和验</w:t>
      </w:r>
      <w:r>
        <w:rPr>
          <w:rFonts w:hint="eastAsia" w:ascii="宋体" w:hAnsi="宋体" w:eastAsia="宋体" w:cs="宋体"/>
          <w:b w:val="0"/>
          <w:bCs w:val="0"/>
          <w:color w:val="auto"/>
          <w:spacing w:val="-1"/>
          <w:sz w:val="24"/>
          <w:szCs w:val="24"/>
        </w:rPr>
        <w:t>收设备做好准备，并对商品的外观质量进行初步了解。</w:t>
      </w:r>
    </w:p>
    <w:p w14:paraId="476EBD5D">
      <w:pPr>
        <w:pStyle w:val="13"/>
        <w:spacing w:before="182" w:line="360" w:lineRule="auto"/>
        <w:ind w:left="22" w:right="81" w:firstLine="483"/>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2.采取现场验收的方式，验收人员应认真检查物资的质量，按索</w:t>
      </w:r>
      <w:r>
        <w:rPr>
          <w:rFonts w:hint="eastAsia" w:ascii="宋体" w:hAnsi="宋体" w:eastAsia="宋体" w:cs="宋体"/>
          <w:b w:val="0"/>
          <w:bCs w:val="0"/>
          <w:color w:val="auto"/>
          <w:spacing w:val="-4"/>
          <w:sz w:val="24"/>
          <w:szCs w:val="24"/>
        </w:rPr>
        <w:t>票、验证—</w:t>
      </w:r>
      <w:r>
        <w:rPr>
          <w:rFonts w:hint="eastAsia" w:ascii="宋体" w:hAnsi="宋体" w:cs="宋体"/>
          <w:b w:val="0"/>
          <w:bCs w:val="0"/>
          <w:color w:val="auto"/>
          <w:spacing w:val="-3"/>
          <w:sz w:val="24"/>
          <w:szCs w:val="24"/>
          <w:lang w:val="en-US" w:eastAsia="zh-CN"/>
        </w:rPr>
        <w:t>验收</w:t>
      </w:r>
      <w:r>
        <w:rPr>
          <w:rFonts w:hint="eastAsia" w:ascii="宋体" w:hAnsi="宋体" w:eastAsia="宋体" w:cs="宋体"/>
          <w:b w:val="0"/>
          <w:bCs w:val="0"/>
          <w:color w:val="auto"/>
          <w:spacing w:val="-3"/>
          <w:sz w:val="24"/>
          <w:szCs w:val="24"/>
        </w:rPr>
        <w:t>—清点—入库的程序完成验收，中标人可提供原件的留原件，原件只有一份</w:t>
      </w:r>
      <w:r>
        <w:rPr>
          <w:rFonts w:hint="eastAsia" w:ascii="宋体" w:hAnsi="宋体" w:eastAsia="宋体" w:cs="宋体"/>
          <w:b w:val="0"/>
          <w:bCs w:val="0"/>
          <w:color w:val="auto"/>
          <w:spacing w:val="-1"/>
          <w:sz w:val="24"/>
          <w:szCs w:val="24"/>
        </w:rPr>
        <w:t>而无法提供给采购人的查验原件后索取复印件留存。</w:t>
      </w:r>
    </w:p>
    <w:p w14:paraId="0252BE92">
      <w:pPr>
        <w:pStyle w:val="13"/>
        <w:spacing w:before="183" w:line="360" w:lineRule="auto"/>
        <w:ind w:left="50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3.</w:t>
      </w:r>
      <w:r>
        <w:rPr>
          <w:rFonts w:hint="eastAsia" w:ascii="宋体" w:hAnsi="宋体" w:cs="宋体"/>
          <w:b w:val="0"/>
          <w:bCs w:val="0"/>
          <w:color w:val="auto"/>
          <w:spacing w:val="-1"/>
          <w:sz w:val="24"/>
          <w:szCs w:val="24"/>
          <w:lang w:val="en-US" w:eastAsia="zh-CN"/>
        </w:rPr>
        <w:t>对中标人所供所有产品逐一验收</w:t>
      </w:r>
      <w:r>
        <w:rPr>
          <w:rFonts w:hint="eastAsia" w:ascii="宋体" w:hAnsi="宋体" w:eastAsia="宋体" w:cs="宋体"/>
          <w:b w:val="0"/>
          <w:bCs w:val="0"/>
          <w:color w:val="auto"/>
          <w:spacing w:val="-1"/>
          <w:sz w:val="24"/>
          <w:szCs w:val="24"/>
        </w:rPr>
        <w:t>。</w:t>
      </w:r>
    </w:p>
    <w:p w14:paraId="5669EC15">
      <w:pPr>
        <w:spacing w:line="360" w:lineRule="auto"/>
        <w:ind w:firstLine="476"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4.按前附产品质量描述对货物质量进行</w:t>
      </w:r>
      <w:r>
        <w:rPr>
          <w:rFonts w:hint="eastAsia" w:ascii="宋体" w:hAnsi="宋体" w:cs="宋体"/>
          <w:b w:val="0"/>
          <w:bCs w:val="0"/>
          <w:color w:val="auto"/>
          <w:spacing w:val="-1"/>
          <w:sz w:val="24"/>
          <w:szCs w:val="24"/>
          <w:lang w:val="en-US" w:eastAsia="zh-CN"/>
        </w:rPr>
        <w:t>逐一验收</w:t>
      </w:r>
      <w:r>
        <w:rPr>
          <w:rFonts w:hint="eastAsia" w:ascii="宋体" w:hAnsi="宋体" w:eastAsia="宋体" w:cs="宋体"/>
          <w:b w:val="0"/>
          <w:bCs w:val="0"/>
          <w:color w:val="auto"/>
          <w:spacing w:val="-1"/>
          <w:sz w:val="24"/>
          <w:szCs w:val="24"/>
        </w:rPr>
        <w:t>。</w:t>
      </w:r>
    </w:p>
    <w:p w14:paraId="08880BEA">
      <w:pPr>
        <w:pStyle w:val="13"/>
        <w:spacing w:before="78" w:line="360" w:lineRule="auto"/>
        <w:ind w:firstLine="480" w:firstLineChars="200"/>
        <w:rPr>
          <w:rFonts w:hint="eastAsia" w:ascii="宋体" w:hAnsi="宋体" w:eastAsia="宋体" w:cs="宋体"/>
          <w:b w:val="0"/>
          <w:bCs w:val="0"/>
          <w:color w:val="auto"/>
          <w:spacing w:val="-1"/>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货物配送期间，</w:t>
      </w:r>
      <w:r>
        <w:rPr>
          <w:rStyle w:val="30"/>
          <w:rFonts w:ascii="宋体" w:hAnsi="宋体" w:eastAsia="宋体" w:cs="宋体"/>
          <w:b w:val="0"/>
          <w:bCs w:val="0"/>
          <w:color w:val="000000"/>
          <w:sz w:val="24"/>
          <w:szCs w:val="24"/>
        </w:rPr>
        <w:t>每趟配送车辆除专职驾驶员外，中标方必须另行安排专人随车同行</w:t>
      </w:r>
      <w:r>
        <w:rPr>
          <w:rFonts w:ascii="宋体" w:hAnsi="宋体" w:eastAsia="宋体" w:cs="宋体"/>
          <w:b w:val="0"/>
          <w:bCs w:val="0"/>
          <w:sz w:val="24"/>
          <w:szCs w:val="24"/>
        </w:rPr>
        <w:t>，负责货品清点、交接、验收、现场核对及问题处置，严禁仅由驾驶员单独完成</w:t>
      </w:r>
      <w:r>
        <w:rPr>
          <w:rFonts w:ascii="宋体" w:hAnsi="宋体" w:eastAsia="宋体" w:cs="宋体"/>
          <w:sz w:val="24"/>
          <w:szCs w:val="24"/>
        </w:rPr>
        <w:t>配送及交接工作。随车人员须全程在岗，配合采购方完成收货查验、台账登记等工作。</w:t>
      </w:r>
    </w:p>
    <w:p w14:paraId="1E529D5E">
      <w:pPr>
        <w:pStyle w:val="13"/>
        <w:spacing w:before="78" w:line="360" w:lineRule="auto"/>
        <w:ind w:left="508"/>
        <w:rPr>
          <w:rFonts w:hint="eastAsia" w:ascii="宋体" w:hAnsi="宋体" w:eastAsia="宋体" w:cs="宋体"/>
          <w:b w:val="0"/>
          <w:bCs w:val="0"/>
          <w:color w:val="auto"/>
          <w:sz w:val="24"/>
          <w:szCs w:val="24"/>
        </w:rPr>
      </w:pPr>
      <w:r>
        <w:rPr>
          <w:rFonts w:hint="eastAsia" w:ascii="宋体" w:hAnsi="宋体" w:cs="宋体"/>
          <w:b w:val="0"/>
          <w:bCs w:val="0"/>
          <w:color w:val="auto"/>
          <w:spacing w:val="-1"/>
          <w:sz w:val="24"/>
          <w:szCs w:val="24"/>
          <w:lang w:val="en-US" w:eastAsia="zh-CN"/>
        </w:rPr>
        <w:t>6</w:t>
      </w:r>
      <w:r>
        <w:rPr>
          <w:rFonts w:hint="eastAsia" w:ascii="宋体" w:hAnsi="宋体" w:eastAsia="宋体" w:cs="宋体"/>
          <w:b w:val="0"/>
          <w:bCs w:val="0"/>
          <w:color w:val="auto"/>
          <w:spacing w:val="-1"/>
          <w:sz w:val="24"/>
          <w:szCs w:val="24"/>
        </w:rPr>
        <w:t>.发现食品安全质量问题的处理：</w:t>
      </w:r>
    </w:p>
    <w:p w14:paraId="0BD06BA3">
      <w:pPr>
        <w:pStyle w:val="13"/>
        <w:spacing w:before="180" w:line="360" w:lineRule="auto"/>
        <w:ind w:left="29" w:right="63" w:firstLine="485"/>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（1）对危及人身安全的食品质量问题采取零容忍措施，中标人提供假冒伪劣、过期、变质的、有毒食品的，一经发现，当日所送同批次产品全部退货。</w:t>
      </w:r>
    </w:p>
    <w:p w14:paraId="2CB9BDBD">
      <w:pPr>
        <w:pStyle w:val="13"/>
        <w:spacing w:before="181" w:line="360" w:lineRule="auto"/>
        <w:ind w:left="46" w:right="63" w:firstLine="46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（2）若</w:t>
      </w:r>
      <w:r>
        <w:rPr>
          <w:rFonts w:hint="eastAsia" w:ascii="宋体" w:hAnsi="宋体" w:cs="宋体"/>
          <w:b w:val="0"/>
          <w:bCs w:val="0"/>
          <w:color w:val="auto"/>
          <w:spacing w:val="-1"/>
          <w:sz w:val="24"/>
          <w:szCs w:val="24"/>
          <w:lang w:val="en-US" w:eastAsia="zh-CN"/>
        </w:rPr>
        <w:t>验收</w:t>
      </w:r>
      <w:r>
        <w:rPr>
          <w:rFonts w:hint="eastAsia" w:ascii="宋体" w:hAnsi="宋体" w:eastAsia="宋体" w:cs="宋体"/>
          <w:b w:val="0"/>
          <w:bCs w:val="0"/>
          <w:color w:val="auto"/>
          <w:spacing w:val="-1"/>
          <w:sz w:val="24"/>
          <w:szCs w:val="24"/>
        </w:rPr>
        <w:t>未发现问题，而在食用前发现部分产品质量问题，应立即通知</w:t>
      </w:r>
      <w:r>
        <w:rPr>
          <w:rFonts w:hint="eastAsia" w:ascii="宋体" w:hAnsi="宋体" w:eastAsia="宋体" w:cs="宋体"/>
          <w:b w:val="0"/>
          <w:bCs w:val="0"/>
          <w:color w:val="auto"/>
          <w:spacing w:val="-3"/>
          <w:sz w:val="24"/>
          <w:szCs w:val="24"/>
        </w:rPr>
        <w:t>中标人，将问题产品退货处理。</w:t>
      </w:r>
    </w:p>
    <w:p w14:paraId="75181B56">
      <w:pPr>
        <w:pStyle w:val="13"/>
        <w:spacing w:before="181" w:line="360" w:lineRule="auto"/>
        <w:ind w:left="25" w:right="63" w:firstLine="48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（3）采购人退货后将记录在案，并对该中标人予以处罚，除要承担因此产生的一切损失和费用外，同时采购人有权取消该中标人供货资格。</w:t>
      </w:r>
    </w:p>
    <w:p w14:paraId="06354C9C">
      <w:pPr>
        <w:pStyle w:val="13"/>
        <w:spacing w:before="182" w:line="360" w:lineRule="auto"/>
        <w:ind w:left="29" w:firstLine="476"/>
        <w:rPr>
          <w:rFonts w:hint="eastAsia" w:ascii="宋体" w:hAnsi="宋体" w:eastAsia="宋体" w:cs="宋体"/>
          <w:b w:val="0"/>
          <w:bCs w:val="0"/>
          <w:color w:val="auto"/>
          <w:sz w:val="24"/>
          <w:szCs w:val="24"/>
        </w:rPr>
      </w:pPr>
      <w:r>
        <w:rPr>
          <w:rFonts w:hint="eastAsia" w:ascii="宋体" w:hAnsi="宋体" w:cs="宋体"/>
          <w:b w:val="0"/>
          <w:bCs w:val="0"/>
          <w:color w:val="auto"/>
          <w:spacing w:val="-2"/>
          <w:sz w:val="24"/>
          <w:szCs w:val="24"/>
          <w:lang w:val="en-US" w:eastAsia="zh-CN"/>
        </w:rPr>
        <w:t>7</w:t>
      </w:r>
      <w:r>
        <w:rPr>
          <w:rFonts w:hint="eastAsia" w:ascii="宋体" w:hAnsi="宋体" w:eastAsia="宋体" w:cs="宋体"/>
          <w:b w:val="0"/>
          <w:bCs w:val="0"/>
          <w:color w:val="auto"/>
          <w:spacing w:val="-2"/>
          <w:sz w:val="24"/>
          <w:szCs w:val="24"/>
        </w:rPr>
        <w:t>.验收记录：对每次验收的物资均记录物资名称、数量、验收情况等事项，并由送货人签名确认。</w:t>
      </w:r>
    </w:p>
    <w:p w14:paraId="400CA4F7">
      <w:pPr>
        <w:pStyle w:val="13"/>
        <w:spacing w:before="184" w:line="360" w:lineRule="auto"/>
        <w:ind w:left="26" w:right="37" w:firstLine="482"/>
        <w:rPr>
          <w:rFonts w:hint="eastAsia" w:ascii="宋体" w:hAnsi="宋体" w:eastAsia="宋体" w:cs="宋体"/>
          <w:b w:val="0"/>
          <w:bCs w:val="0"/>
          <w:color w:val="auto"/>
          <w:sz w:val="24"/>
          <w:szCs w:val="24"/>
        </w:rPr>
      </w:pPr>
      <w:r>
        <w:rPr>
          <w:rFonts w:hint="eastAsia" w:ascii="宋体" w:hAnsi="宋体" w:cs="宋体"/>
          <w:b w:val="0"/>
          <w:bCs w:val="0"/>
          <w:color w:val="auto"/>
          <w:spacing w:val="-3"/>
          <w:sz w:val="24"/>
          <w:szCs w:val="24"/>
          <w:lang w:val="en-US" w:eastAsia="zh-CN"/>
        </w:rPr>
        <w:t>8</w:t>
      </w:r>
      <w:r>
        <w:rPr>
          <w:rFonts w:hint="eastAsia" w:ascii="宋体" w:hAnsi="宋体" w:eastAsia="宋体" w:cs="宋体"/>
          <w:b w:val="0"/>
          <w:bCs w:val="0"/>
          <w:color w:val="auto"/>
          <w:spacing w:val="-3"/>
          <w:sz w:val="24"/>
          <w:szCs w:val="24"/>
        </w:rPr>
        <w:t>.中标人不能按核定的供货价交付某些商品、不能提供与</w:t>
      </w:r>
      <w:r>
        <w:rPr>
          <w:rFonts w:hint="eastAsia" w:ascii="宋体" w:hAnsi="宋体" w:eastAsia="宋体" w:cs="宋体"/>
          <w:b w:val="0"/>
          <w:bCs w:val="0"/>
          <w:color w:val="auto"/>
          <w:spacing w:val="-4"/>
          <w:sz w:val="24"/>
          <w:szCs w:val="24"/>
        </w:rPr>
        <w:t>其承诺相符的服务</w:t>
      </w:r>
      <w:r>
        <w:rPr>
          <w:rFonts w:hint="eastAsia" w:ascii="宋体" w:hAnsi="宋体" w:eastAsia="宋体" w:cs="宋体"/>
          <w:b w:val="0"/>
          <w:bCs w:val="0"/>
          <w:color w:val="auto"/>
          <w:spacing w:val="-3"/>
          <w:sz w:val="24"/>
          <w:szCs w:val="24"/>
        </w:rPr>
        <w:t>或中标人存在违反招标文件和合同的行为，采购人将取消其中标资格</w:t>
      </w:r>
      <w:r>
        <w:rPr>
          <w:rFonts w:hint="eastAsia" w:eastAsia="宋体" w:cs="宋体"/>
          <w:b w:val="0"/>
          <w:bCs w:val="0"/>
          <w:color w:val="auto"/>
          <w:spacing w:val="-3"/>
          <w:sz w:val="24"/>
          <w:szCs w:val="24"/>
          <w:lang w:val="en-US" w:eastAsia="zh-CN"/>
        </w:rPr>
        <w:t>并按照合同追究其违约责任</w:t>
      </w:r>
      <w:r>
        <w:rPr>
          <w:rFonts w:hint="eastAsia" w:ascii="宋体" w:hAnsi="宋体" w:eastAsia="宋体" w:cs="宋体"/>
          <w:b w:val="0"/>
          <w:bCs w:val="0"/>
          <w:color w:val="auto"/>
          <w:spacing w:val="-3"/>
          <w:sz w:val="24"/>
          <w:szCs w:val="24"/>
        </w:rPr>
        <w:t>。此项</w:t>
      </w:r>
      <w:r>
        <w:rPr>
          <w:rFonts w:hint="eastAsia" w:ascii="宋体" w:hAnsi="宋体" w:eastAsia="宋体" w:cs="宋体"/>
          <w:b w:val="0"/>
          <w:bCs w:val="0"/>
          <w:color w:val="auto"/>
          <w:spacing w:val="-4"/>
          <w:sz w:val="24"/>
          <w:szCs w:val="24"/>
        </w:rPr>
        <w:t>下违</w:t>
      </w:r>
      <w:r>
        <w:rPr>
          <w:rFonts w:hint="eastAsia" w:ascii="宋体" w:hAnsi="宋体" w:eastAsia="宋体" w:cs="宋体"/>
          <w:b w:val="0"/>
          <w:bCs w:val="0"/>
          <w:color w:val="auto"/>
          <w:spacing w:val="-1"/>
          <w:sz w:val="24"/>
          <w:szCs w:val="24"/>
        </w:rPr>
        <w:t>约责任包括但不限于下列各项：</w:t>
      </w:r>
    </w:p>
    <w:p w14:paraId="4DCFD8D2">
      <w:pPr>
        <w:pStyle w:val="13"/>
        <w:spacing w:before="182"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（1）中标人将中标项目转让或分包给他人；</w:t>
      </w:r>
    </w:p>
    <w:p w14:paraId="19EC1D08">
      <w:pPr>
        <w:pStyle w:val="13"/>
        <w:spacing w:before="181" w:line="360" w:lineRule="auto"/>
        <w:ind w:left="32" w:right="63"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（2）中标人在收到采购人订货要求后，在承诺的供货时间内不能供货或不</w:t>
      </w:r>
      <w:r>
        <w:rPr>
          <w:rFonts w:hint="eastAsia" w:ascii="宋体" w:hAnsi="宋体" w:eastAsia="宋体" w:cs="宋体"/>
          <w:b w:val="0"/>
          <w:bCs w:val="0"/>
          <w:color w:val="auto"/>
          <w:spacing w:val="-3"/>
          <w:sz w:val="24"/>
          <w:szCs w:val="24"/>
        </w:rPr>
        <w:t>能如数供货的；</w:t>
      </w:r>
    </w:p>
    <w:p w14:paraId="10C09252">
      <w:pPr>
        <w:pStyle w:val="13"/>
        <w:spacing w:before="183"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（3）中标人未能提供承诺的服务的；</w:t>
      </w:r>
    </w:p>
    <w:p w14:paraId="25FCA1B3">
      <w:pPr>
        <w:pStyle w:val="13"/>
        <w:spacing w:before="184"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（4）中标商品在保质期出现损坏的，中标人未能提供免费替换服务的；</w:t>
      </w:r>
    </w:p>
    <w:p w14:paraId="57A2DD45">
      <w:pPr>
        <w:pStyle w:val="13"/>
        <w:spacing w:before="183" w:line="360" w:lineRule="auto"/>
        <w:ind w:left="25" w:right="63" w:firstLine="48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（5）中标人的送货单没有详细注明商品的品牌、品种、单价、数量，送货单出现涂改，标记不清的情况的；</w:t>
      </w:r>
    </w:p>
    <w:p w14:paraId="776124FC">
      <w:pPr>
        <w:pStyle w:val="13"/>
        <w:spacing w:before="182"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（6）中标人泄露采购人的秘密，泄密造成采购人损失的；</w:t>
      </w:r>
    </w:p>
    <w:p w14:paraId="7F8DF466">
      <w:pPr>
        <w:pStyle w:val="13"/>
        <w:spacing w:before="182"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（7）出现中标人联手哄抬物价现象的；</w:t>
      </w:r>
    </w:p>
    <w:p w14:paraId="240F156C">
      <w:pPr>
        <w:pStyle w:val="13"/>
        <w:spacing w:before="185" w:line="360" w:lineRule="auto"/>
        <w:ind w:left="51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（8）向采购单位人员或验收货人进行物质、金钱、服务等贿赂的；</w:t>
      </w:r>
    </w:p>
    <w:p w14:paraId="3F771260">
      <w:pPr>
        <w:pStyle w:val="13"/>
        <w:spacing w:before="184" w:line="360" w:lineRule="auto"/>
        <w:ind w:left="21" w:right="37" w:firstLine="493"/>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（9）中标人应严格遵守食品安全法等相关规定，一经发现供应以下食品，采</w:t>
      </w:r>
      <w:r>
        <w:rPr>
          <w:rFonts w:hint="eastAsia" w:ascii="宋体" w:hAnsi="宋体" w:eastAsia="宋体" w:cs="宋体"/>
          <w:b w:val="0"/>
          <w:bCs w:val="0"/>
          <w:color w:val="auto"/>
          <w:spacing w:val="-3"/>
          <w:sz w:val="24"/>
          <w:szCs w:val="24"/>
        </w:rPr>
        <w:t>购人将做退货处理，中标人要立即更换货物并做到保质保量，中标人承担由此造</w:t>
      </w:r>
      <w:r>
        <w:rPr>
          <w:rFonts w:hint="eastAsia" w:ascii="宋体" w:hAnsi="宋体" w:eastAsia="宋体" w:cs="宋体"/>
          <w:b w:val="0"/>
          <w:bCs w:val="0"/>
          <w:color w:val="auto"/>
          <w:spacing w:val="-1"/>
          <w:sz w:val="24"/>
          <w:szCs w:val="24"/>
        </w:rPr>
        <w:t>成的经济责任和法律责任。</w:t>
      </w:r>
    </w:p>
    <w:p w14:paraId="36EEEE35">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①用非食品原料生产的食品或添加食品添加剂以外</w:t>
      </w:r>
      <w:r>
        <w:rPr>
          <w:rFonts w:hint="eastAsia" w:ascii="宋体" w:hAnsi="宋体" w:eastAsia="宋体" w:cs="宋体"/>
          <w:b w:val="0"/>
          <w:bCs w:val="0"/>
          <w:color w:val="auto"/>
          <w:spacing w:val="-1"/>
          <w:sz w:val="24"/>
          <w:szCs w:val="24"/>
        </w:rPr>
        <w:t>的化学物质和其他可能危害人体健康物质的食品，或者用回收食品作为原料生产的食品。</w:t>
      </w:r>
    </w:p>
    <w:p w14:paraId="375F1E54">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②检测发现致病性微生物、农药残留、兽药残留、重金属、污染物质以及其他危害人体健康的物质含量超过食品安全标准限量的食品。</w:t>
      </w:r>
    </w:p>
    <w:p w14:paraId="2EFF44F7">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③营养成分不符合食品安全标准限量的乳制品。</w:t>
      </w:r>
    </w:p>
    <w:p w14:paraId="2FDA183F">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④腐败变质、油脂酸败、霉变生虫、污秽不洁、混有异物、参假掺杂或者感官性状异常的食品。</w:t>
      </w:r>
    </w:p>
    <w:p w14:paraId="62653654">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⑤被包装材料、容器、运输工具等污染的食品。</w:t>
      </w:r>
    </w:p>
    <w:p w14:paraId="22C6EE9A">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⑥超过保质期的食品。</w:t>
      </w:r>
    </w:p>
    <w:p w14:paraId="6F09EE07">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⑦无标签的预包装食品。</w:t>
      </w:r>
    </w:p>
    <w:p w14:paraId="18A583B4">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⑧供应商多次出现缺斤短两、以次充好等情况。</w:t>
      </w:r>
    </w:p>
    <w:p w14:paraId="4EF4D93A">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⑨其他不符合食品安全标准或者要求的食品。</w:t>
      </w:r>
    </w:p>
    <w:p w14:paraId="77DCCA6B">
      <w:pPr>
        <w:pStyle w:val="13"/>
        <w:spacing w:before="182" w:line="360" w:lineRule="auto"/>
        <w:ind w:left="26" w:right="183" w:firstLine="47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 中标人提供有毒、变质、过期等食品，造成食品安全事故的，经有关单位鉴定原因后，如确实为中标人提供之食品问题，中标人除需负担由此产生的全数医疗等费用外，同时承担相应的民事及刑事法律责任。采购人取消该中标人供货资格及终止供货合同。</w:t>
      </w:r>
    </w:p>
    <w:p w14:paraId="0E48D5FF">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特别提示 </w:t>
      </w:r>
    </w:p>
    <w:p w14:paraId="4720E6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①、确定供应商后，采购人会实地考察供应商公司人员及运营状况等是否真实符合其投标文件提供的内容，若存在弄虚作假的情形甲方有权取消其中标资格。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 xml:space="preserve">重新组织招标。  </w:t>
      </w:r>
    </w:p>
    <w:p w14:paraId="757A45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②、供应商存在违约行为、提供的货物存在质量问题、违反招标文件和合同的行为，并且不予纠正的，采购人有权</w:t>
      </w:r>
      <w:r>
        <w:rPr>
          <w:rFonts w:hint="eastAsia" w:ascii="宋体" w:hAnsi="宋体" w:cs="宋体"/>
          <w:b/>
          <w:bCs/>
          <w:color w:val="000000"/>
          <w:kern w:val="0"/>
          <w:sz w:val="24"/>
          <w:szCs w:val="24"/>
          <w:highlight w:val="none"/>
          <w:lang w:val="en-US" w:eastAsia="zh-CN" w:bidi="ar"/>
        </w:rPr>
        <w:t>按照合同中的违约条款执行。</w:t>
      </w:r>
      <w:r>
        <w:rPr>
          <w:rFonts w:hint="eastAsia" w:ascii="宋体" w:hAnsi="宋体" w:eastAsia="宋体" w:cs="宋体"/>
          <w:b/>
          <w:bCs/>
          <w:color w:val="000000"/>
          <w:kern w:val="0"/>
          <w:sz w:val="24"/>
          <w:szCs w:val="24"/>
          <w:highlight w:val="none"/>
          <w:lang w:val="en-US" w:eastAsia="zh-CN" w:bidi="ar"/>
        </w:rPr>
        <w:t xml:space="preserve"> </w:t>
      </w:r>
    </w:p>
    <w:p w14:paraId="36202DB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4"/>
          <w:szCs w:val="24"/>
          <w:highlight w:val="none"/>
          <w:lang w:val="en-US" w:eastAsia="zh-CN" w:bidi="ar"/>
        </w:rPr>
        <w:t>③、中标供应商与食堂经营者之间必须保持独立的经营与管理关系，严禁存在任何形式的控股、参股、母子公司关联或其他可能导致利益输送、经营决策受不当干预的资本纽带或控制关系。双方应各自独立承担相应的法律责任与经营风险，以确保食堂运营的公平性、公正性与透明度，切实维护相关各方的合法权益。若在合作过程中发现存在此类违规关系，将视作严重违约行为，有权依据相关法律法规及合同约定采取相应的惩处措施，包括但不限于解除合同、追讨损失等。若采购人终止合同，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采购人将重新组织招标。</w:t>
      </w:r>
      <w:r>
        <w:rPr>
          <w:rFonts w:hint="eastAsia" w:ascii="宋体" w:hAnsi="宋体" w:eastAsia="宋体" w:cs="宋体"/>
          <w:b/>
          <w:bCs/>
          <w:color w:val="000000"/>
          <w:kern w:val="0"/>
          <w:sz w:val="28"/>
          <w:szCs w:val="28"/>
          <w:highlight w:val="none"/>
          <w:lang w:val="en-US" w:eastAsia="zh-CN" w:bidi="ar"/>
        </w:rPr>
        <w:t xml:space="preserve"> </w:t>
      </w:r>
    </w:p>
    <w:p w14:paraId="24C60029">
      <w:pPr>
        <w:spacing w:line="360" w:lineRule="auto"/>
        <w:rPr>
          <w:rFonts w:hint="eastAsia" w:ascii="宋体" w:hAnsi="宋体" w:eastAsia="宋体" w:cs="宋体"/>
          <w:i w:val="0"/>
          <w:iCs w:val="0"/>
          <w:color w:val="000000"/>
          <w:kern w:val="0"/>
          <w:sz w:val="24"/>
          <w:szCs w:val="24"/>
          <w:highlight w:val="none"/>
          <w:u w:val="none"/>
          <w:lang w:val="en-US" w:eastAsia="zh-CN" w:bidi="ar"/>
        </w:rPr>
      </w:pPr>
    </w:p>
    <w:p w14:paraId="2B02BE91">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5D499E6F">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7EEB5A84">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02A4AE13">
      <w:pPr>
        <w:rPr>
          <w:rFonts w:hint="eastAsia" w:ascii="宋体" w:hAnsi="宋体" w:cs="宋体"/>
          <w:b/>
          <w:color w:val="auto"/>
          <w:kern w:val="2"/>
          <w:sz w:val="36"/>
          <w:szCs w:val="20"/>
          <w:highlight w:val="none"/>
        </w:rPr>
      </w:pPr>
      <w:r>
        <w:rPr>
          <w:rFonts w:hint="eastAsia" w:ascii="宋体" w:hAnsi="宋体" w:cs="宋体"/>
          <w:b/>
          <w:color w:val="auto"/>
          <w:kern w:val="2"/>
          <w:sz w:val="36"/>
          <w:szCs w:val="20"/>
          <w:highlight w:val="none"/>
        </w:rPr>
        <w:br w:type="page"/>
      </w:r>
    </w:p>
    <w:p w14:paraId="0049E966">
      <w:pPr>
        <w:pStyle w:val="40"/>
        <w:spacing w:line="360" w:lineRule="auto"/>
        <w:jc w:val="center"/>
        <w:rPr>
          <w:rFonts w:ascii="宋体" w:hAnsi="宋体" w:cs="宋体"/>
          <w:b/>
          <w:color w:val="auto"/>
          <w:kern w:val="2"/>
          <w:sz w:val="36"/>
          <w:szCs w:val="20"/>
          <w:highlight w:val="none"/>
        </w:rPr>
      </w:pPr>
      <w:r>
        <w:rPr>
          <w:rFonts w:hint="eastAsia" w:ascii="宋体" w:hAnsi="宋体" w:cs="宋体"/>
          <w:b/>
          <w:color w:val="auto"/>
          <w:kern w:val="2"/>
          <w:sz w:val="36"/>
          <w:szCs w:val="20"/>
          <w:highlight w:val="none"/>
        </w:rPr>
        <w:t>第四部分 招标说明</w:t>
      </w:r>
    </w:p>
    <w:p w14:paraId="48590557">
      <w:pPr>
        <w:spacing w:line="360" w:lineRule="auto"/>
        <w:rPr>
          <w:rFonts w:ascii="宋体" w:hAnsi="宋体" w:cs="宋体"/>
          <w:b/>
          <w:sz w:val="24"/>
          <w:highlight w:val="none"/>
        </w:rPr>
      </w:pPr>
      <w:r>
        <w:rPr>
          <w:rFonts w:hint="eastAsia" w:ascii="宋体" w:hAnsi="宋体" w:cs="宋体"/>
          <w:highlight w:val="none"/>
        </w:rPr>
        <w:t xml:space="preserve">    </w:t>
      </w:r>
      <w:r>
        <w:rPr>
          <w:rFonts w:hint="eastAsia" w:ascii="宋体" w:hAnsi="宋体" w:cs="宋体"/>
          <w:b/>
          <w:sz w:val="24"/>
          <w:highlight w:val="none"/>
        </w:rPr>
        <w:t>1. 适用范围</w:t>
      </w:r>
    </w:p>
    <w:p w14:paraId="78FBE097">
      <w:pPr>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1.1 本招标文件仅适用于在招标文件中所叙述的本采购项目的合格投标人（包括制造商和代理商）。</w:t>
      </w:r>
    </w:p>
    <w:p w14:paraId="1329F65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投标资格</w:t>
      </w:r>
    </w:p>
    <w:p w14:paraId="493B22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凡在中华人民共和国境内注册的合法的法人且有承担本项目的能力以及能够提供资格必备条件和审查项目条件且均应合格的投标人（制造商、代理商）。</w:t>
      </w:r>
    </w:p>
    <w:p w14:paraId="2D18EDB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投标人应遵守中华人民共和国法律、法规和行政规章。</w:t>
      </w:r>
    </w:p>
    <w:p w14:paraId="065FC35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本项目不接受联合体投标。</w:t>
      </w:r>
    </w:p>
    <w:p w14:paraId="3C32E16F">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3. 定义</w:t>
      </w:r>
    </w:p>
    <w:p w14:paraId="70DAEA9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下列术语和缩写的定义为：</w:t>
      </w:r>
    </w:p>
    <w:p w14:paraId="523719EA">
      <w:pPr>
        <w:spacing w:line="360" w:lineRule="auto"/>
        <w:ind w:firstLine="480" w:firstLineChars="200"/>
        <w:rPr>
          <w:rFonts w:ascii="宋体" w:hAnsi="宋体" w:cs="宋体"/>
          <w:bCs/>
          <w:sz w:val="24"/>
          <w:szCs w:val="22"/>
          <w:highlight w:val="none"/>
        </w:rPr>
      </w:pPr>
      <w:r>
        <w:rPr>
          <w:rFonts w:hint="eastAsia" w:ascii="宋体" w:hAnsi="宋体" w:cs="宋体"/>
          <w:bCs/>
          <w:sz w:val="24"/>
          <w:highlight w:val="none"/>
        </w:rPr>
        <w:t>3.1 “采购人”系指</w:t>
      </w:r>
      <w:r>
        <w:rPr>
          <w:rFonts w:hint="eastAsia" w:ascii="宋体" w:hAnsi="宋体" w:cs="宋体"/>
          <w:bCs/>
          <w:sz w:val="24"/>
          <w:szCs w:val="22"/>
          <w:highlight w:val="none"/>
          <w:lang w:eastAsia="zh-CN"/>
        </w:rPr>
        <w:t>新疆维吾尔自治区库尔勒开发区某单位</w:t>
      </w:r>
      <w:r>
        <w:rPr>
          <w:rFonts w:hint="eastAsia" w:ascii="宋体" w:hAnsi="宋体" w:cs="宋体"/>
          <w:bCs/>
          <w:sz w:val="24"/>
          <w:szCs w:val="22"/>
          <w:highlight w:val="none"/>
        </w:rPr>
        <w:t>。</w:t>
      </w:r>
    </w:p>
    <w:p w14:paraId="5DFD566C">
      <w:pPr>
        <w:spacing w:line="360" w:lineRule="auto"/>
        <w:ind w:firstLine="480" w:firstLineChars="200"/>
        <w:rPr>
          <w:rFonts w:ascii="宋体" w:hAnsi="宋体" w:cs="宋体"/>
          <w:bCs/>
          <w:sz w:val="24"/>
          <w:szCs w:val="22"/>
          <w:highlight w:val="none"/>
        </w:rPr>
      </w:pPr>
      <w:r>
        <w:rPr>
          <w:rFonts w:hint="eastAsia" w:ascii="宋体" w:hAnsi="宋体" w:cs="宋体"/>
          <w:bCs/>
          <w:sz w:val="24"/>
          <w:szCs w:val="22"/>
          <w:highlight w:val="none"/>
        </w:rPr>
        <w:t>3.2“采购代理机构”系</w:t>
      </w:r>
      <w:r>
        <w:rPr>
          <w:rFonts w:hint="eastAsia" w:ascii="宋体" w:hAnsi="宋体" w:cs="宋体"/>
          <w:bCs/>
          <w:sz w:val="24"/>
          <w:szCs w:val="22"/>
          <w:highlight w:val="none"/>
          <w:lang w:eastAsia="zh-CN"/>
        </w:rPr>
        <w:t>新疆锦瑞祥工程项目咨询管理有限公司</w:t>
      </w:r>
      <w:r>
        <w:rPr>
          <w:rFonts w:hint="eastAsia" w:ascii="宋体" w:hAnsi="宋体" w:cs="宋体"/>
          <w:bCs/>
          <w:sz w:val="24"/>
          <w:szCs w:val="22"/>
          <w:highlight w:val="none"/>
        </w:rPr>
        <w:t>。</w:t>
      </w:r>
    </w:p>
    <w:p w14:paraId="481C74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“投标方”、“投标人”系指有资格的投标人（制造商和代理商）及投标表现人。</w:t>
      </w:r>
    </w:p>
    <w:p w14:paraId="15C2AA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“货物”系指招标文件规定的，投标方须向采购人提供的一切设备、附件、备品备件、工具、手册及其它有关资料和材料。</w:t>
      </w:r>
    </w:p>
    <w:p w14:paraId="2191E2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3.5 “服务”系指招标文件规定投标方须承担的保修、技术协助、培训及其他类似的责任。</w:t>
      </w:r>
    </w:p>
    <w:p w14:paraId="1F2CF0AC">
      <w:pPr>
        <w:spacing w:line="360" w:lineRule="auto"/>
        <w:ind w:firstLine="482" w:firstLineChars="200"/>
        <w:rPr>
          <w:rFonts w:ascii="宋体" w:hAnsi="宋体" w:cs="宋体"/>
          <w:b/>
          <w:sz w:val="24"/>
          <w:highlight w:val="none"/>
        </w:rPr>
      </w:pPr>
      <w:r>
        <w:rPr>
          <w:rFonts w:hint="eastAsia" w:ascii="宋体" w:hAnsi="宋体" w:cs="宋体"/>
          <w:b/>
          <w:sz w:val="24"/>
          <w:highlight w:val="none"/>
        </w:rPr>
        <w:t>4. 投标费用</w:t>
      </w:r>
    </w:p>
    <w:p w14:paraId="7D5B1C2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4.1无论投标结果如何，凡参与招标、投标活动有关的所有费用将由投标方自行承担。</w:t>
      </w:r>
    </w:p>
    <w:p w14:paraId="58CFEED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投标人被视为熟悉本招标项目的各种情况以及与履行合同有关的一切情况。</w:t>
      </w:r>
    </w:p>
    <w:p w14:paraId="24B2F6BD">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5. 招标文件的构成</w:t>
      </w:r>
    </w:p>
    <w:p w14:paraId="4595989C">
      <w:pPr>
        <w:pStyle w:val="40"/>
        <w:spacing w:line="360" w:lineRule="auto"/>
        <w:ind w:firstLine="268" w:firstLineChars="112"/>
        <w:jc w:val="both"/>
        <w:outlineLvl w:val="0"/>
        <w:rPr>
          <w:rFonts w:ascii="宋体" w:hAnsi="宋体" w:cs="宋体"/>
          <w:bCs/>
          <w:color w:val="auto"/>
          <w:highlight w:val="none"/>
        </w:rPr>
      </w:pPr>
      <w:r>
        <w:rPr>
          <w:rFonts w:hint="eastAsia" w:ascii="宋体" w:hAnsi="宋体" w:cs="宋体"/>
          <w:bCs/>
          <w:color w:val="auto"/>
          <w:highlight w:val="none"/>
        </w:rPr>
        <w:t>5.1 招标文件由</w:t>
      </w:r>
      <w:r>
        <w:rPr>
          <w:rFonts w:hint="eastAsia" w:ascii="宋体" w:hAnsi="宋体"/>
          <w:color w:val="auto"/>
          <w:highlight w:val="none"/>
        </w:rPr>
        <w:t>招标公告、投标须知、货物需求、技术规格说明、招标说明 、投标说明、开标 评标 定标说明、商务部分、投标文件的编制装订</w:t>
      </w:r>
      <w:r>
        <w:rPr>
          <w:rFonts w:hint="eastAsia" w:ascii="宋体" w:hAnsi="宋体" w:cs="宋体"/>
          <w:bCs/>
          <w:color w:val="auto"/>
          <w:highlight w:val="none"/>
        </w:rPr>
        <w:t>。</w:t>
      </w:r>
    </w:p>
    <w:p w14:paraId="12AED677">
      <w:pPr>
        <w:spacing w:line="360" w:lineRule="auto"/>
        <w:ind w:firstLine="482" w:firstLineChars="200"/>
        <w:rPr>
          <w:rFonts w:ascii="宋体" w:hAnsi="宋体" w:cs="宋体"/>
          <w:b/>
          <w:sz w:val="24"/>
          <w:highlight w:val="none"/>
        </w:rPr>
      </w:pPr>
      <w:r>
        <w:rPr>
          <w:rFonts w:hint="eastAsia" w:ascii="宋体" w:hAnsi="宋体" w:cs="宋体"/>
          <w:b/>
          <w:sz w:val="24"/>
          <w:highlight w:val="none"/>
        </w:rPr>
        <w:t>6.招标文件的澄清</w:t>
      </w:r>
    </w:p>
    <w:p w14:paraId="134EBB6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6.1</w:t>
      </w:r>
      <w:r>
        <w:rPr>
          <w:rFonts w:hint="eastAsia" w:ascii="宋体" w:hAnsi="宋体" w:cs="宋体"/>
          <w:bCs/>
          <w:sz w:val="24"/>
          <w:szCs w:val="22"/>
          <w:highlight w:val="none"/>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2F774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6.2 为使投标人在准备投标时有适当的时间考虑投标文件的修改，采购代理机构有权决定推迟投标截止日期和开标日期，并将此变更以书面或公告等形式通知所有投标人。</w:t>
      </w:r>
    </w:p>
    <w:p w14:paraId="4C05FDFC">
      <w:pPr>
        <w:spacing w:line="360" w:lineRule="auto"/>
        <w:ind w:firstLine="480" w:firstLineChars="200"/>
        <w:rPr>
          <w:highlight w:val="none"/>
        </w:rPr>
      </w:pPr>
      <w:r>
        <w:rPr>
          <w:rFonts w:hint="eastAsia" w:ascii="宋体" w:hAnsi="宋体" w:cs="宋体"/>
          <w:bCs/>
          <w:sz w:val="24"/>
          <w:highlight w:val="none"/>
        </w:rPr>
        <w:t>6.3 招标文件的修改和补充文件将构成招标文件的一部分，并且对投标人具有优先约束力。</w:t>
      </w:r>
    </w:p>
    <w:p w14:paraId="63369DAE">
      <w:pPr>
        <w:spacing w:line="360" w:lineRule="auto"/>
        <w:ind w:firstLine="482" w:firstLineChars="200"/>
        <w:rPr>
          <w:rFonts w:ascii="宋体" w:hAnsi="宋体" w:cs="宋体"/>
          <w:b/>
          <w:sz w:val="24"/>
          <w:highlight w:val="none"/>
        </w:rPr>
      </w:pPr>
      <w:r>
        <w:rPr>
          <w:rFonts w:hint="eastAsia" w:ascii="宋体" w:hAnsi="宋体" w:cs="宋体"/>
          <w:b/>
          <w:sz w:val="24"/>
          <w:highlight w:val="none"/>
        </w:rPr>
        <w:t>7. 招标文件的质疑</w:t>
      </w:r>
    </w:p>
    <w:p w14:paraId="4795CB0E">
      <w:pPr>
        <w:pStyle w:val="2"/>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供应商认为采购文件、采购过程、中标或者成交结果使自己的权益受到损害的，可以在知道或者应知其权益受到损害之日起7个工作日内，以书面形式向采购人、采购代理机构提出质疑。</w:t>
      </w:r>
    </w:p>
    <w:p w14:paraId="19E2A786">
      <w:pPr>
        <w:pStyle w:val="2"/>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供应商在法定质疑期内一次性提出针对同一采购程序环节的质疑。</w:t>
      </w:r>
    </w:p>
    <w:p w14:paraId="26FF4F21">
      <w:pPr>
        <w:spacing w:line="360" w:lineRule="auto"/>
        <w:ind w:firstLine="482" w:firstLineChars="200"/>
        <w:rPr>
          <w:rFonts w:ascii="宋体" w:hAnsi="宋体" w:cs="宋体"/>
          <w:b/>
          <w:sz w:val="24"/>
          <w:highlight w:val="none"/>
        </w:rPr>
      </w:pPr>
      <w:r>
        <w:rPr>
          <w:rFonts w:hint="eastAsia" w:ascii="宋体" w:hAnsi="宋体" w:cs="宋体"/>
          <w:b/>
          <w:sz w:val="24"/>
          <w:highlight w:val="none"/>
        </w:rPr>
        <w:t>8.廉洁自律承诺要求</w:t>
      </w:r>
    </w:p>
    <w:p w14:paraId="0D2EF1CB">
      <w:pPr>
        <w:spacing w:line="360" w:lineRule="auto"/>
        <w:ind w:firstLine="480" w:firstLineChars="200"/>
        <w:rPr>
          <w:rFonts w:ascii="宋体" w:hAnsi="宋体" w:cs="宋体"/>
          <w:sz w:val="24"/>
          <w:highlight w:val="none"/>
        </w:rPr>
      </w:pPr>
      <w:r>
        <w:rPr>
          <w:rFonts w:hint="eastAsia" w:ascii="宋体" w:hAnsi="宋体" w:cs="宋体"/>
          <w:sz w:val="24"/>
          <w:highlight w:val="none"/>
        </w:rPr>
        <w:t>8.1 在本次招标活动中，</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636326">
      <w:pPr>
        <w:pStyle w:val="25"/>
        <w:spacing w:before="0" w:beforeAutospacing="0" w:after="0" w:afterAutospacing="0" w:line="360" w:lineRule="auto"/>
        <w:ind w:firstLine="482" w:firstLineChars="200"/>
        <w:jc w:val="both"/>
        <w:rPr>
          <w:kern w:val="2"/>
          <w:szCs w:val="20"/>
          <w:highlight w:val="none"/>
        </w:rPr>
      </w:pPr>
      <w:r>
        <w:rPr>
          <w:rFonts w:hint="eastAsia"/>
          <w:b/>
          <w:highlight w:val="none"/>
        </w:rPr>
        <w:t>9．招标会场纪律及要求</w:t>
      </w:r>
    </w:p>
    <w:p w14:paraId="4FD2218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9.1 会议按照“公开、公平、公正、诚信”的原则，招标采取全封闭方式主持进行。</w:t>
      </w:r>
    </w:p>
    <w:p w14:paraId="321374D4">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9.2与会人员要关闭手机等一切通讯工具，严禁在会场大声喧哗。否则，将请你离开会场。</w:t>
      </w:r>
    </w:p>
    <w:p w14:paraId="618A6400">
      <w:pPr>
        <w:widowControl/>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9.3 投标</w:t>
      </w:r>
      <w:r>
        <w:rPr>
          <w:rFonts w:hint="eastAsia" w:ascii="宋体" w:hAnsi="宋体" w:cs="宋体"/>
          <w:b/>
          <w:kern w:val="0"/>
          <w:sz w:val="24"/>
          <w:szCs w:val="24"/>
          <w:highlight w:val="none"/>
        </w:rPr>
        <w:t>截止时间到后</w:t>
      </w:r>
      <w:r>
        <w:rPr>
          <w:rFonts w:hint="eastAsia" w:ascii="宋体" w:hAnsi="宋体" w:cs="宋体"/>
          <w:b/>
          <w:bCs/>
          <w:sz w:val="24"/>
          <w:szCs w:val="24"/>
          <w:highlight w:val="none"/>
        </w:rPr>
        <w:t>，对投标方的所有投标资质及评标所需的资料证明等不允许二次提交。</w:t>
      </w:r>
    </w:p>
    <w:p w14:paraId="1836389B">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9.4 严禁投标方会议期间与评委单</w:t>
      </w:r>
      <w:r>
        <w:rPr>
          <w:rFonts w:hint="eastAsia" w:ascii="宋体" w:hAnsi="宋体" w:cs="宋体"/>
          <w:bCs/>
          <w:sz w:val="24"/>
          <w:szCs w:val="24"/>
          <w:highlight w:val="none"/>
        </w:rPr>
        <w:t>独接触和交往。</w:t>
      </w:r>
    </w:p>
    <w:p w14:paraId="0F5FB74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highlight w:val="none"/>
        </w:rPr>
        <w:t>采购代理机构</w:t>
      </w:r>
      <w:r>
        <w:rPr>
          <w:rFonts w:hint="eastAsia" w:ascii="宋体" w:hAnsi="宋体" w:cs="宋体"/>
          <w:bCs/>
          <w:sz w:val="24"/>
          <w:szCs w:val="24"/>
          <w:highlight w:val="none"/>
        </w:rPr>
        <w:t>后，方可外出，外出时须有监标人员陪同。</w:t>
      </w:r>
    </w:p>
    <w:p w14:paraId="5220F223">
      <w:pPr>
        <w:spacing w:line="360" w:lineRule="auto"/>
        <w:ind w:firstLine="470" w:firstLineChars="196"/>
        <w:rPr>
          <w:rFonts w:ascii="宋体" w:hAnsi="宋体" w:cs="宋体"/>
          <w:sz w:val="24"/>
          <w:szCs w:val="24"/>
          <w:highlight w:val="none"/>
          <w:u w:val="single"/>
        </w:rPr>
      </w:pPr>
      <w:r>
        <w:rPr>
          <w:rFonts w:hint="eastAsia" w:ascii="宋体" w:hAnsi="宋体" w:cs="宋体"/>
          <w:bCs/>
          <w:sz w:val="24"/>
          <w:szCs w:val="24"/>
          <w:highlight w:val="none"/>
        </w:rPr>
        <w:t>9.6</w:t>
      </w:r>
      <w:r>
        <w:rPr>
          <w:rFonts w:hint="eastAsia" w:ascii="宋体" w:hAnsi="宋体" w:cs="宋体"/>
          <w:sz w:val="24"/>
          <w:szCs w:val="24"/>
          <w:highlight w:val="none"/>
        </w:rPr>
        <w:t xml:space="preserve"> 对各投标人的资质审查、开标、报价、评标、询标（答疑）、澄清、定标等工作，采取逐一方式进行，评标此期间投标人务必保持通讯工具的畅通，以便及时联络和不延误工作。若发生通讯工具不通或备案通讯工具号码有误，无法实现联络的，或无理拒绝或不执行采购人工作安排的，将视同自愿放弃本次投标权利。</w:t>
      </w:r>
    </w:p>
    <w:p w14:paraId="2AC34A55">
      <w:pPr>
        <w:spacing w:line="360" w:lineRule="auto"/>
        <w:ind w:firstLine="472" w:firstLineChars="196"/>
        <w:rPr>
          <w:rFonts w:ascii="宋体" w:hAnsi="宋体" w:cs="宋体"/>
          <w:b/>
          <w:sz w:val="24"/>
          <w:szCs w:val="24"/>
          <w:highlight w:val="none"/>
          <w:u w:val="single"/>
        </w:rPr>
      </w:pPr>
      <w:r>
        <w:rPr>
          <w:rFonts w:hint="eastAsia" w:ascii="宋体" w:hAnsi="宋体" w:cs="宋体"/>
          <w:b/>
          <w:sz w:val="24"/>
          <w:szCs w:val="24"/>
          <w:highlight w:val="none"/>
        </w:rPr>
        <w:t>9.7 凡是须要经过会议通过的事宜事项，采购人对投标人在招标事后发生的已通过事宜事项的质疑或投诉，将不予采信。</w:t>
      </w:r>
    </w:p>
    <w:p w14:paraId="189EA49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10. 招标评标须在监标人的监督下由</w:t>
      </w:r>
      <w:r>
        <w:rPr>
          <w:rFonts w:hint="eastAsia" w:ascii="宋体" w:hAnsi="宋体" w:cs="宋体"/>
          <w:bCs/>
          <w:sz w:val="24"/>
          <w:highlight w:val="none"/>
        </w:rPr>
        <w:t>采购代理机构</w:t>
      </w:r>
      <w:r>
        <w:rPr>
          <w:rFonts w:hint="eastAsia" w:ascii="宋体" w:hAnsi="宋体" w:cs="宋体"/>
          <w:bCs/>
          <w:sz w:val="24"/>
          <w:szCs w:val="24"/>
          <w:highlight w:val="none"/>
        </w:rPr>
        <w:t>组织进行。评标委员会各成员、采购人代表、投标人、特邀代表、工作人员等与会人员如有违纪、违规行为，监标人有权予以纠正或制止。</w:t>
      </w:r>
    </w:p>
    <w:p w14:paraId="1DBB5042">
      <w:pPr>
        <w:spacing w:line="360" w:lineRule="auto"/>
        <w:ind w:firstLine="480" w:firstLineChars="200"/>
        <w:rPr>
          <w:rFonts w:ascii="宋体" w:hAnsi="宋体" w:cs="宋体"/>
          <w:b/>
          <w:sz w:val="36"/>
          <w:szCs w:val="36"/>
          <w:highlight w:val="none"/>
        </w:rPr>
      </w:pPr>
      <w:r>
        <w:rPr>
          <w:rFonts w:hint="eastAsia" w:ascii="宋体" w:hAnsi="宋体" w:cs="宋体"/>
          <w:bCs/>
          <w:sz w:val="24"/>
          <w:szCs w:val="24"/>
          <w:highlight w:val="none"/>
        </w:rPr>
        <w:t>11．与评标活动有关的工作人员。是指评标委员会成员以外的、因参与评标监督工作或者事务性工作而知悉有关评标情况的所有人员。</w:t>
      </w:r>
      <w:r>
        <w:rPr>
          <w:rFonts w:hint="eastAsia" w:ascii="宋体" w:hAnsi="宋体" w:cs="宋体"/>
          <w:b/>
          <w:sz w:val="36"/>
          <w:szCs w:val="36"/>
          <w:highlight w:val="none"/>
        </w:rPr>
        <w:br w:type="page"/>
      </w:r>
    </w:p>
    <w:p w14:paraId="6E37FD59">
      <w:pPr>
        <w:pStyle w:val="40"/>
        <w:spacing w:line="360" w:lineRule="auto"/>
        <w:jc w:val="center"/>
        <w:rPr>
          <w:rFonts w:ascii="宋体" w:hAnsi="宋体" w:cs="宋体"/>
          <w:b/>
          <w:color w:val="auto"/>
          <w:kern w:val="2"/>
          <w:sz w:val="36"/>
          <w:szCs w:val="36"/>
          <w:highlight w:val="none"/>
        </w:rPr>
      </w:pPr>
      <w:r>
        <w:rPr>
          <w:rFonts w:hint="eastAsia" w:ascii="宋体" w:hAnsi="宋体" w:cs="宋体"/>
          <w:b/>
          <w:color w:val="auto"/>
          <w:kern w:val="2"/>
          <w:sz w:val="36"/>
          <w:szCs w:val="36"/>
          <w:highlight w:val="none"/>
        </w:rPr>
        <w:t>第五部分 投标说明</w:t>
      </w:r>
    </w:p>
    <w:p w14:paraId="4428BF1C">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第一章 对投标方的资质要求</w:t>
      </w:r>
    </w:p>
    <w:p w14:paraId="617AE001">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1.1 投标人必须提交能够证明其具有履行本招标项目合同能力的资质证明文件，作为投标文件的一部分。</w:t>
      </w:r>
    </w:p>
    <w:p w14:paraId="7C6503A2">
      <w:pPr>
        <w:pStyle w:val="13"/>
        <w:spacing w:line="360" w:lineRule="auto"/>
        <w:rPr>
          <w:highlight w:val="none"/>
          <w:lang w:val="zh-CN"/>
        </w:rPr>
      </w:pPr>
      <w:r>
        <w:rPr>
          <w:rFonts w:hint="eastAsia" w:ascii="宋体" w:hAnsi="宋体" w:cs="宋体"/>
          <w:bCs/>
          <w:sz w:val="24"/>
          <w:highlight w:val="none"/>
          <w:lang w:val="en-US"/>
        </w:rPr>
        <w:t xml:space="preserve">   </w:t>
      </w:r>
      <w:r>
        <w:rPr>
          <w:rFonts w:hint="eastAsia" w:ascii="宋体" w:hAnsi="宋体" w:cs="宋体"/>
          <w:bCs/>
          <w:sz w:val="24"/>
          <w:highlight w:val="none"/>
        </w:rPr>
        <w:t xml:space="preserve">1.2 </w:t>
      </w:r>
      <w:r>
        <w:rPr>
          <w:rFonts w:hint="eastAsia" w:ascii="宋体" w:hAnsi="宋体" w:cs="宋体"/>
          <w:b/>
          <w:sz w:val="24"/>
          <w:highlight w:val="none"/>
        </w:rPr>
        <w:t>投标时资质审查的必要条件详见《</w:t>
      </w:r>
      <w:r>
        <w:rPr>
          <w:rFonts w:hint="eastAsia" w:ascii="宋体" w:hAnsi="宋体" w:cs="宋体"/>
          <w:b/>
          <w:sz w:val="24"/>
          <w:szCs w:val="22"/>
          <w:highlight w:val="none"/>
        </w:rPr>
        <w:t>资格审查一览表》</w:t>
      </w:r>
      <w:r>
        <w:rPr>
          <w:rFonts w:hint="eastAsia" w:ascii="宋体" w:hAnsi="宋体" w:cs="宋体"/>
          <w:b/>
          <w:sz w:val="24"/>
          <w:highlight w:val="none"/>
        </w:rPr>
        <w:t>如果不能提</w:t>
      </w:r>
      <w:r>
        <w:rPr>
          <w:rFonts w:hint="eastAsia"/>
          <w:b/>
          <w:bCs/>
          <w:sz w:val="24"/>
          <w:szCs w:val="24"/>
          <w:highlight w:val="none"/>
        </w:rPr>
        <w:t>供或有缺项则视为对招标文件资格审查内容的不响应，其投标将被拒绝。</w:t>
      </w:r>
    </w:p>
    <w:p w14:paraId="1316326F">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1.3</w:t>
      </w:r>
      <w:r>
        <w:rPr>
          <w:rFonts w:hint="eastAsia" w:ascii="宋体" w:hAnsi="宋体" w:cs="宋体"/>
          <w:bCs/>
          <w:sz w:val="24"/>
          <w:szCs w:val="24"/>
          <w:highlight w:val="none"/>
        </w:rPr>
        <w:t xml:space="preserve">投标方保证和承诺所投产品报价不存在恶意或有意压价、恶意或有意虚报报价，也不存在恶意或有意抬高报价等行为。 </w:t>
      </w:r>
    </w:p>
    <w:p w14:paraId="7C1D0015">
      <w:pPr>
        <w:spacing w:line="360" w:lineRule="auto"/>
        <w:ind w:firstLine="480" w:firstLineChars="200"/>
        <w:rPr>
          <w:rFonts w:ascii="宋体" w:hAnsi="宋体" w:cs="宋体"/>
          <w:bCs/>
          <w:sz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 xml:space="preserve">投标方保证和承诺不存在与其它投标人有串标、陪标等行为。 </w:t>
      </w:r>
    </w:p>
    <w:p w14:paraId="05F9398B">
      <w:pPr>
        <w:spacing w:line="360" w:lineRule="auto"/>
        <w:jc w:val="center"/>
        <w:rPr>
          <w:rFonts w:ascii="宋体" w:hAnsi="宋体" w:cs="宋体"/>
          <w:b/>
          <w:sz w:val="32"/>
          <w:szCs w:val="32"/>
          <w:highlight w:val="none"/>
        </w:rPr>
      </w:pPr>
    </w:p>
    <w:p w14:paraId="0409EF0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第二章 投标文件的编写</w:t>
      </w:r>
    </w:p>
    <w:p w14:paraId="1F149AE9">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．要求</w:t>
      </w:r>
    </w:p>
    <w:p w14:paraId="2770BED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投标人应详细阅读</w:t>
      </w:r>
      <w:r>
        <w:rPr>
          <w:rFonts w:hint="eastAsia" w:ascii="宋体" w:hAnsi="宋体" w:cs="宋体"/>
          <w:bCs/>
          <w:sz w:val="24"/>
          <w:highlight w:val="none"/>
        </w:rPr>
        <w:t>采购代理机构</w:t>
      </w:r>
      <w:r>
        <w:rPr>
          <w:rFonts w:hint="eastAsia" w:ascii="宋体" w:hAnsi="宋体" w:cs="宋体"/>
          <w:sz w:val="24"/>
          <w:highlight w:val="none"/>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14:paraId="138F2B7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3</w:t>
      </w:r>
      <w:r>
        <w:rPr>
          <w:rFonts w:hint="eastAsia" w:ascii="宋体" w:hAnsi="宋体" w:cs="宋体"/>
          <w:b/>
          <w:bCs/>
          <w:sz w:val="24"/>
          <w:highlight w:val="none"/>
          <w:lang w:val="zh-CN"/>
        </w:rPr>
        <w:t>．投标文件语言和度量单位</w:t>
      </w:r>
    </w:p>
    <w:p w14:paraId="44BB3C0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3.1 招标文件及投标人和</w:t>
      </w:r>
      <w:r>
        <w:rPr>
          <w:rFonts w:hint="eastAsia" w:ascii="宋体" w:hAnsi="宋体" w:cs="宋体"/>
          <w:bCs/>
          <w:sz w:val="24"/>
          <w:highlight w:val="none"/>
        </w:rPr>
        <w:t>采购代理机构</w:t>
      </w:r>
      <w:r>
        <w:rPr>
          <w:rFonts w:hint="eastAsia" w:ascii="宋体" w:hAnsi="宋体" w:cs="宋体"/>
          <w:sz w:val="24"/>
          <w:highlight w:val="none"/>
          <w:lang w:val="zh-CN"/>
        </w:rPr>
        <w:t>就招标、投标交换的文件和往来信件，须以中文书写。</w:t>
      </w:r>
    </w:p>
    <w:p w14:paraId="6905EC9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3.2 除在招标文件的技术规格中另有规定外，计量单位应使用中华人民共和国法定计量单位。</w:t>
      </w:r>
    </w:p>
    <w:p w14:paraId="5165CD77">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4</w:t>
      </w:r>
      <w:r>
        <w:rPr>
          <w:rFonts w:hint="eastAsia" w:ascii="宋体" w:hAnsi="宋体" w:cs="宋体"/>
          <w:b/>
          <w:bCs/>
          <w:sz w:val="24"/>
          <w:highlight w:val="none"/>
          <w:lang w:val="zh-CN"/>
        </w:rPr>
        <w:t>．投标文件的组成</w:t>
      </w:r>
    </w:p>
    <w:p w14:paraId="197C484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4.1 投标人编写的投标文件应包括下列内容：</w:t>
      </w:r>
    </w:p>
    <w:p w14:paraId="56E8AC3E">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542868F0">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16635E5D">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7189F19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C51129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0B03832B">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399E53D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6777E658">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D531195">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0D5436FE">
      <w:pPr>
        <w:spacing w:line="360" w:lineRule="auto"/>
        <w:ind w:firstLine="720" w:firstLineChars="300"/>
        <w:rPr>
          <w:highlight w:val="none"/>
        </w:rPr>
      </w:pPr>
      <w:r>
        <w:rPr>
          <w:rFonts w:hint="eastAsia" w:ascii="宋体" w:hAnsi="宋体" w:cs="宋体"/>
          <w:sz w:val="24"/>
          <w:highlight w:val="none"/>
        </w:rPr>
        <w:t xml:space="preserve">6、关于资格的声明函 </w:t>
      </w:r>
    </w:p>
    <w:p w14:paraId="3C2E80E6">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2B97DED9">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3A287E36">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3C4F75ED">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2623F8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63A3085B">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68964B3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5475C81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5CCBC6C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、投标承诺书</w:t>
      </w:r>
    </w:p>
    <w:p w14:paraId="2EB9F752">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6</w:t>
      </w:r>
      <w:r>
        <w:rPr>
          <w:rFonts w:hint="eastAsia" w:ascii="宋体" w:hAnsi="宋体" w:cs="宋体"/>
          <w:sz w:val="24"/>
          <w:szCs w:val="22"/>
          <w:highlight w:val="none"/>
        </w:rPr>
        <w:t>、投标单位（供应商）《遵守政府采购相关法律法规承诺书》</w:t>
      </w:r>
    </w:p>
    <w:p w14:paraId="414ED200">
      <w:pPr>
        <w:spacing w:line="360" w:lineRule="auto"/>
        <w:ind w:firstLine="720" w:firstLineChars="300"/>
        <w:rPr>
          <w:rFonts w:hint="eastAsia" w:ascii="宋体" w:hAnsi="宋体" w:eastAsia="宋体" w:cs="宋体"/>
          <w:sz w:val="24"/>
          <w:szCs w:val="22"/>
          <w:highlight w:val="none"/>
          <w:lang w:eastAsia="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、中小企业声明函</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如有</w:t>
      </w:r>
      <w:r>
        <w:rPr>
          <w:rFonts w:hint="eastAsia" w:ascii="宋体" w:hAnsi="宋体" w:cs="宋体"/>
          <w:sz w:val="24"/>
          <w:szCs w:val="22"/>
          <w:highlight w:val="none"/>
          <w:lang w:eastAsia="zh-CN"/>
        </w:rPr>
        <w:t>）</w:t>
      </w:r>
    </w:p>
    <w:p w14:paraId="72B657E5">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7DC39BA3">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19</w:t>
      </w:r>
      <w:r>
        <w:rPr>
          <w:rFonts w:hint="eastAsia" w:ascii="宋体" w:hAnsi="宋体" w:cs="宋体"/>
          <w:sz w:val="24"/>
          <w:szCs w:val="22"/>
          <w:highlight w:val="none"/>
        </w:rPr>
        <w:t>、提供其它有利于投标的资料</w:t>
      </w:r>
    </w:p>
    <w:p w14:paraId="64AA8B5B">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5</w:t>
      </w:r>
      <w:r>
        <w:rPr>
          <w:rFonts w:hint="eastAsia" w:ascii="宋体" w:hAnsi="宋体" w:cs="宋体"/>
          <w:b/>
          <w:bCs/>
          <w:sz w:val="24"/>
          <w:highlight w:val="none"/>
          <w:lang w:val="zh-CN"/>
        </w:rPr>
        <w:t>．投标文件格式</w:t>
      </w:r>
    </w:p>
    <w:p w14:paraId="37AF68E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sz w:val="24"/>
          <w:highlight w:val="none"/>
          <w:lang w:val="zh-CN"/>
        </w:rPr>
        <w:t>5.1 投标方应按招标文件范本格式中提供的投标文件格式认真填写投标书、开标一览表、投标表等，并注明投标货物的名称、货物简介、</w:t>
      </w:r>
      <w:r>
        <w:rPr>
          <w:rFonts w:hint="eastAsia" w:ascii="宋体" w:hAnsi="宋体" w:cs="宋体"/>
          <w:bCs/>
          <w:sz w:val="24"/>
          <w:highlight w:val="none"/>
        </w:rPr>
        <w:t>原产地、数量和价格等。</w:t>
      </w:r>
    </w:p>
    <w:p w14:paraId="6C654B51">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6．投标报价</w:t>
      </w:r>
    </w:p>
    <w:p w14:paraId="3FD065A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6.1 投标方须在投标文件中开标一览表中报下浮率，在产品规格报价明细表上标明单价</w:t>
      </w:r>
      <w:r>
        <w:rPr>
          <w:rFonts w:hint="eastAsia" w:ascii="宋体" w:hAnsi="宋体" w:cs="宋体"/>
          <w:b/>
          <w:sz w:val="24"/>
          <w:szCs w:val="24"/>
          <w:highlight w:val="none"/>
        </w:rPr>
        <w:t>（单价为综合单价，包括人工费、材料和设备费等，以及一定范围内的风险的费用）</w:t>
      </w:r>
      <w:r>
        <w:rPr>
          <w:rFonts w:hint="eastAsia" w:ascii="宋体" w:hAnsi="宋体" w:cs="宋体"/>
          <w:bCs/>
          <w:sz w:val="24"/>
          <w:highlight w:val="none"/>
        </w:rPr>
        <w:t>，采购人不接受有任何选择性的报价。</w:t>
      </w:r>
    </w:p>
    <w:p w14:paraId="3886B113">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 投标时应注意下列几点：</w:t>
      </w:r>
    </w:p>
    <w:p w14:paraId="7945E42A">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6.2.1 招标文件中特别要求的备品备件、易损件和专用工具的费用；</w:t>
      </w:r>
    </w:p>
    <w:p w14:paraId="7CC63A4B">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6.2.2 招标文件中特别要求的安装、调试、培训、运输、保险及其它附带服务的全部费用；</w:t>
      </w:r>
    </w:p>
    <w:p w14:paraId="002F6E7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094FE04">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7．投标报价的货币单位</w:t>
      </w:r>
    </w:p>
    <w:p w14:paraId="4403D25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7.1 投标报价单位为下浮率。</w:t>
      </w:r>
    </w:p>
    <w:p w14:paraId="50C9600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8．投标文件规定的技术投标文件</w:t>
      </w:r>
    </w:p>
    <w:p w14:paraId="5966A86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8.1 投标方须提交证明拟供货物和服务符合招标文件规定的技术投标文件，作为投标文件的一部分。</w:t>
      </w:r>
    </w:p>
    <w:p w14:paraId="7F6129E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9．投标有效期</w:t>
      </w:r>
    </w:p>
    <w:p w14:paraId="4E95434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9.1 投标文件从开标之日起，投标有效期为90日（如不满足将导致废标）。</w:t>
      </w:r>
    </w:p>
    <w:p w14:paraId="7A9BD261">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9.2 在特殊情况下，采购代理机构可与投标人协商延长投标文件的有效期。</w:t>
      </w:r>
    </w:p>
    <w:p w14:paraId="64FF0E3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10．投标保证金</w:t>
      </w:r>
    </w:p>
    <w:p w14:paraId="18DB30A9">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.1 投标保证金是为了弥补采购人因投标人的违规行为而蒙受的损失。采购人在因投标人的违规行为而受到损害时将没收其投标保证金，作为所受损害的补偿。</w:t>
      </w:r>
    </w:p>
    <w:p w14:paraId="0428B7B6">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.2 投标人在提交投标文件时应交纳投标保证金，其有效期应不低于投标有效期。</w:t>
      </w:r>
    </w:p>
    <w:p w14:paraId="5E60428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.3 </w:t>
      </w:r>
      <w:r>
        <w:rPr>
          <w:rFonts w:hint="eastAsia" w:ascii="宋体" w:hAnsi="宋体" w:cs="宋体"/>
          <w:b/>
          <w:bCs/>
          <w:sz w:val="24"/>
          <w:highlight w:val="none"/>
          <w:lang w:val="zh-CN"/>
        </w:rPr>
        <w:t>投标保证金不接受现金。按招标文件要求，在投标截止时间前将本项目投标保证金缴纳</w:t>
      </w:r>
      <w:r>
        <w:rPr>
          <w:rFonts w:hint="eastAsia" w:ascii="宋体" w:hAnsi="宋体" w:cs="宋体"/>
          <w:sz w:val="24"/>
          <w:highlight w:val="none"/>
          <w:lang w:val="zh-CN"/>
        </w:rPr>
        <w:t>。</w:t>
      </w:r>
    </w:p>
    <w:p w14:paraId="40CFA9A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 xml:space="preserve">4 </w:t>
      </w:r>
      <w:r>
        <w:rPr>
          <w:rFonts w:hint="eastAsia" w:ascii="宋体" w:hAnsi="宋体" w:cs="宋体"/>
          <w:bCs/>
          <w:sz w:val="24"/>
          <w:highlight w:val="none"/>
        </w:rPr>
        <w:t>政采云平台</w:t>
      </w:r>
      <w:r>
        <w:rPr>
          <w:rFonts w:hint="eastAsia" w:ascii="宋体" w:hAnsi="宋体" w:cs="宋体"/>
          <w:sz w:val="24"/>
          <w:highlight w:val="none"/>
          <w:lang w:val="zh-CN"/>
        </w:rPr>
        <w:t>在《中标通知书》发出后5个工作日内</w:t>
      </w:r>
      <w:r>
        <w:rPr>
          <w:rFonts w:hint="eastAsia" w:ascii="宋体" w:hAnsi="宋体" w:cs="宋体"/>
          <w:sz w:val="24"/>
          <w:highlight w:val="none"/>
        </w:rPr>
        <w:t>自动</w:t>
      </w:r>
      <w:r>
        <w:rPr>
          <w:rFonts w:hint="eastAsia" w:ascii="宋体" w:hAnsi="宋体" w:cs="宋体"/>
          <w:sz w:val="24"/>
          <w:highlight w:val="none"/>
          <w:lang w:val="zh-CN"/>
        </w:rPr>
        <w:t>无息退还未成交投标人的投标保证金，在采购合同签订5个工作日内</w:t>
      </w:r>
      <w:r>
        <w:rPr>
          <w:rFonts w:hint="eastAsia" w:ascii="宋体" w:hAnsi="宋体" w:cs="宋体"/>
          <w:sz w:val="24"/>
          <w:highlight w:val="none"/>
        </w:rPr>
        <w:t>自动</w:t>
      </w:r>
      <w:r>
        <w:rPr>
          <w:rFonts w:hint="eastAsia" w:ascii="宋体" w:hAnsi="宋体" w:cs="宋体"/>
          <w:sz w:val="24"/>
          <w:highlight w:val="none"/>
          <w:lang w:val="zh-CN"/>
        </w:rPr>
        <w:t>无息退还中标人的投标保证金。</w:t>
      </w:r>
    </w:p>
    <w:p w14:paraId="5152FF5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.5 未按招标文件规定提交投标保证金的，</w:t>
      </w:r>
      <w:r>
        <w:rPr>
          <w:rFonts w:hint="eastAsia" w:ascii="宋体" w:hAnsi="宋体" w:cs="宋体"/>
          <w:bCs/>
          <w:sz w:val="24"/>
          <w:highlight w:val="none"/>
        </w:rPr>
        <w:t>采购代理机构</w:t>
      </w:r>
      <w:r>
        <w:rPr>
          <w:rFonts w:hint="eastAsia" w:ascii="宋体" w:hAnsi="宋体" w:cs="宋体"/>
          <w:sz w:val="24"/>
          <w:highlight w:val="none"/>
          <w:lang w:val="zh-CN"/>
        </w:rPr>
        <w:t>应当拒绝接受投标方的投标文件，视为无效投标。</w:t>
      </w:r>
    </w:p>
    <w:p w14:paraId="5A428B32">
      <w:pPr>
        <w:autoSpaceDE w:val="0"/>
        <w:autoSpaceDN w:val="0"/>
        <w:adjustRightInd w:val="0"/>
        <w:spacing w:line="360" w:lineRule="auto"/>
        <w:ind w:firstLine="480"/>
        <w:rPr>
          <w:rFonts w:ascii="宋体" w:hAnsi="宋体" w:cs="宋体"/>
          <w:b/>
          <w:sz w:val="24"/>
          <w:szCs w:val="24"/>
          <w:highlight w:val="none"/>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.6 </w:t>
      </w:r>
      <w:r>
        <w:rPr>
          <w:rFonts w:hint="eastAsia" w:ascii="宋体" w:hAnsi="宋体" w:cs="宋体"/>
          <w:b/>
          <w:sz w:val="24"/>
          <w:szCs w:val="24"/>
          <w:highlight w:val="none"/>
        </w:rPr>
        <w:t>有下列情形之一的，投标保证金不予退还：</w:t>
      </w:r>
    </w:p>
    <w:p w14:paraId="2232AEBE">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10.6.1投标人在提交投标文件截止时间后撤回投标文件的；</w:t>
      </w:r>
    </w:p>
    <w:p w14:paraId="57920D51">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10.6.2投标人在投标文件中提供虚假材料的；</w:t>
      </w:r>
    </w:p>
    <w:p w14:paraId="62F17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10.6.3除因不可抗力或招标文件认可的情形以外，成交投标人不与采购人签订合同的；</w:t>
      </w:r>
    </w:p>
    <w:p w14:paraId="0D1A4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10.6.4投标人与采购人、其他投标人或者采购代理机构恶意串通的；</w:t>
      </w:r>
    </w:p>
    <w:p w14:paraId="4977136D">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10.6.5招标文件规定的其他情形。</w:t>
      </w:r>
    </w:p>
    <w:p w14:paraId="15ABB5BE">
      <w:pPr>
        <w:pStyle w:val="19"/>
        <w:ind w:left="0"/>
        <w:rPr>
          <w:highlight w:val="none"/>
        </w:rPr>
      </w:pPr>
    </w:p>
    <w:p w14:paraId="0E04ADDC">
      <w:pPr>
        <w:autoSpaceDE w:val="0"/>
        <w:autoSpaceDN w:val="0"/>
        <w:adjustRightIn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第三章 投标文件的递交</w:t>
      </w:r>
    </w:p>
    <w:p w14:paraId="641CEFDC">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w:t>
      </w:r>
      <w:r>
        <w:rPr>
          <w:rFonts w:hint="eastAsia" w:ascii="宋体" w:hAnsi="宋体" w:cs="宋体"/>
          <w:b/>
          <w:bCs/>
          <w:sz w:val="24"/>
          <w:highlight w:val="none"/>
          <w:lang w:val="zh-CN"/>
        </w:rPr>
        <w:t>、投标报价截止时间</w:t>
      </w:r>
    </w:p>
    <w:p w14:paraId="5F4786FE">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.1 投标文件的递交不得迟于规定时间。</w:t>
      </w:r>
    </w:p>
    <w:p w14:paraId="2BFD1E7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.2 参加招标的投标人的所有投标文件都必须在招标文件规定的地点投标截止时间之前，将投标文件纸质版送达规定的指定地点。</w:t>
      </w:r>
    </w:p>
    <w:p w14:paraId="298B7C1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.3  出现因招标文件的修改而推迟投标截止时间的情况时，投标方则须按采购代理机构的修改通知重新规定的投标时间递交。</w:t>
      </w:r>
    </w:p>
    <w:p w14:paraId="59CADC0A">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11.4投标文件的签署规定（开标前送达，比照前款“第二部分”中19条款）</w:t>
      </w:r>
    </w:p>
    <w:p w14:paraId="2A6F3161">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11.4.1投标文件的页面必须用印刷体打印。</w:t>
      </w:r>
    </w:p>
    <w:p w14:paraId="288084FD">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11.4.2投标文件应清楚工整，一般不准修改。个别非实质性修改之处应由供应商的被授权人或法人代表签章。</w:t>
      </w:r>
    </w:p>
    <w:p w14:paraId="54779E90">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11.4.3 所有投标文件必须提交正本一份和副本二份，并在封面上标记“正本”和“副本”。</w:t>
      </w:r>
    </w:p>
    <w:p w14:paraId="667993A9">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11.4.4 投标文件的正本与副本应当完全一致。当正本和副本之间出现差异时，以正本为准。</w:t>
      </w:r>
    </w:p>
    <w:p w14:paraId="35201366">
      <w:pPr>
        <w:autoSpaceDE w:val="0"/>
        <w:autoSpaceDN w:val="0"/>
        <w:adjustRightInd w:val="0"/>
        <w:spacing w:line="360" w:lineRule="auto"/>
        <w:ind w:firstLine="480"/>
        <w:rPr>
          <w:rFonts w:ascii="宋体" w:hAnsi="宋体" w:cs="宋体"/>
          <w:sz w:val="24"/>
          <w:szCs w:val="22"/>
          <w:highlight w:val="none"/>
          <w:lang w:val="zh-CN"/>
        </w:rPr>
      </w:pPr>
      <w:r>
        <w:rPr>
          <w:rFonts w:hint="eastAsia" w:ascii="宋体" w:hAnsi="宋体" w:cs="宋体"/>
          <w:sz w:val="24"/>
          <w:szCs w:val="22"/>
          <w:highlight w:val="none"/>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14:paraId="65A75860">
      <w:pPr>
        <w:spacing w:line="360" w:lineRule="auto"/>
        <w:ind w:left="480" w:hanging="480"/>
        <w:jc w:val="center"/>
        <w:rPr>
          <w:rFonts w:ascii="宋体" w:hAnsi="宋体" w:cs="宋体"/>
          <w:b/>
          <w:sz w:val="32"/>
          <w:szCs w:val="32"/>
          <w:highlight w:val="none"/>
        </w:rPr>
      </w:pPr>
    </w:p>
    <w:p w14:paraId="627DC4D6">
      <w:pPr>
        <w:spacing w:line="360" w:lineRule="auto"/>
        <w:ind w:left="480" w:hanging="480"/>
        <w:jc w:val="center"/>
        <w:rPr>
          <w:rFonts w:ascii="宋体" w:hAnsi="宋体" w:cs="宋体"/>
          <w:b/>
          <w:sz w:val="32"/>
          <w:szCs w:val="32"/>
          <w:highlight w:val="none"/>
        </w:rPr>
      </w:pPr>
      <w:r>
        <w:rPr>
          <w:rFonts w:hint="eastAsia" w:ascii="宋体" w:hAnsi="宋体" w:cs="宋体"/>
          <w:b/>
          <w:sz w:val="32"/>
          <w:szCs w:val="32"/>
          <w:highlight w:val="none"/>
        </w:rPr>
        <w:t>第四章 评标委员会</w:t>
      </w:r>
    </w:p>
    <w:p w14:paraId="367C29F9">
      <w:pPr>
        <w:tabs>
          <w:tab w:val="left" w:pos="1620"/>
        </w:tabs>
        <w:spacing w:line="360" w:lineRule="auto"/>
        <w:ind w:left="481" w:leftChars="229"/>
        <w:rPr>
          <w:rFonts w:ascii="宋体" w:hAnsi="宋体" w:cs="宋体"/>
          <w:b/>
          <w:sz w:val="24"/>
          <w:highlight w:val="none"/>
        </w:rPr>
      </w:pPr>
      <w:r>
        <w:rPr>
          <w:rFonts w:hint="eastAsia" w:ascii="宋体" w:hAnsi="宋体" w:cs="宋体"/>
          <w:b/>
          <w:sz w:val="24"/>
          <w:highlight w:val="none"/>
        </w:rPr>
        <w:t>12、评标委员会组成</w:t>
      </w:r>
    </w:p>
    <w:p w14:paraId="2E24243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14:paraId="7A8C5CA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37874B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12.2 评标委员会人选于开标前确定。评标委员会成员名单在中标结果确定前保密。</w:t>
      </w:r>
    </w:p>
    <w:p w14:paraId="0D73C0D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12.3评标委员会由有关技术、经济等方面的专家和采购人熟悉相关业务的代表人员组成，成员为五人及以上的单数，其中技术、经济等方面的成员人数不少于成员总数的三分之二。</w:t>
      </w:r>
    </w:p>
    <w:p w14:paraId="4A3AF6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6CEDFB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w:t>
      </w:r>
      <w:r>
        <w:rPr>
          <w:rFonts w:hint="eastAsia" w:ascii="宋体" w:hAnsi="宋体" w:cs="宋体"/>
          <w:bCs/>
          <w:sz w:val="24"/>
          <w:highlight w:val="none"/>
        </w:rPr>
        <w:t xml:space="preserve"> </w:t>
      </w:r>
      <w:r>
        <w:rPr>
          <w:rFonts w:hint="eastAsia" w:ascii="宋体" w:hAnsi="宋体" w:cs="宋体"/>
          <w:b/>
          <w:bCs/>
          <w:sz w:val="24"/>
          <w:highlight w:val="none"/>
        </w:rPr>
        <w:t>评标委员会专家的条件和回避规定</w:t>
      </w:r>
    </w:p>
    <w:p w14:paraId="7F2CF78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评标委员会专家应符合下列条件：</w:t>
      </w:r>
    </w:p>
    <w:p w14:paraId="7F916A0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13.1.1 熟悉有关和招标投标的法律法规；</w:t>
      </w:r>
    </w:p>
    <w:p w14:paraId="008A1F8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13.1.2 </w:t>
      </w:r>
      <w:r>
        <w:rPr>
          <w:rFonts w:hint="eastAsia" w:ascii="宋体" w:hAnsi="宋体" w:cs="宋体"/>
          <w:bCs/>
          <w:sz w:val="24"/>
          <w:szCs w:val="22"/>
          <w:highlight w:val="none"/>
        </w:rPr>
        <w:t>具有中级专业技术职称或同等专业水平且从事相关领域工作满8年,或者具有高级专业技术职称或同等专业水平；</w:t>
      </w:r>
    </w:p>
    <w:p w14:paraId="7B27CD9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13.1.3熟悉有关招标投标的法律法规，并具有与招标项目相关的实践经验；</w:t>
      </w:r>
    </w:p>
    <w:p w14:paraId="27546A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13.1.4 能够认真、公正、诚实、廉洁的履行职责。</w:t>
      </w:r>
    </w:p>
    <w:p w14:paraId="48E4839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有下列情形之一的，不得担任评标委员会成员：</w:t>
      </w:r>
    </w:p>
    <w:p w14:paraId="172FD3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13.2.1 与投标方或者投标方主要负责人有近亲关系的或有利害关系的；</w:t>
      </w:r>
    </w:p>
    <w:p w14:paraId="7B1DF91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13.2.2 与项目主管部门或者行政监督部门的人员有近亲关系的或有利害关系的；</w:t>
      </w:r>
    </w:p>
    <w:p w14:paraId="61FB1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13.2.3 与投标方有经济利益关系，可能影响对投标公正评标的；</w:t>
      </w:r>
    </w:p>
    <w:p w14:paraId="01D0684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13.2.4 曾因在招标、评标以及其他与招标、投标有关活动中从事违法行为而受过行政处罚或刑事处罚的。</w:t>
      </w:r>
    </w:p>
    <w:p w14:paraId="14FD9C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 评标委员会成员应当熟悉并认真研究招标文件，至少应了解和熟悉以下内容：</w:t>
      </w:r>
    </w:p>
    <w:p w14:paraId="6185EA6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招标目的。</w:t>
      </w:r>
    </w:p>
    <w:p w14:paraId="1431756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招标项目的范围、性质。</w:t>
      </w:r>
    </w:p>
    <w:p w14:paraId="526238C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招标文件中规定的主要技术要求、标准和商务条款。</w:t>
      </w:r>
    </w:p>
    <w:p w14:paraId="0F918B0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招标文件规定的评标原则、评标标准、评标方法和在评标过程中应考虑的相关因素。</w:t>
      </w:r>
    </w:p>
    <w:p w14:paraId="73CFA78A">
      <w:pPr>
        <w:spacing w:line="360" w:lineRule="auto"/>
        <w:ind w:firstLine="482" w:firstLineChars="200"/>
        <w:rPr>
          <w:rFonts w:ascii="宋体" w:hAnsi="宋体" w:cs="宋体"/>
          <w:bCs/>
          <w:sz w:val="24"/>
          <w:highlight w:val="none"/>
        </w:rPr>
      </w:pPr>
      <w:r>
        <w:rPr>
          <w:rFonts w:hint="eastAsia" w:ascii="宋体" w:hAnsi="宋体" w:cs="宋体"/>
          <w:b/>
          <w:bCs/>
          <w:sz w:val="24"/>
          <w:szCs w:val="22"/>
          <w:highlight w:val="none"/>
        </w:rPr>
        <w:t>15</w:t>
      </w:r>
      <w:r>
        <w:rPr>
          <w:rFonts w:hint="eastAsia" w:ascii="宋体" w:hAnsi="宋体" w:cs="宋体"/>
          <w:bCs/>
          <w:sz w:val="24"/>
          <w:highlight w:val="none"/>
        </w:rPr>
        <w:t>. 采购人应当向评标委员会提供评标所需的重要信息和数据。</w:t>
      </w:r>
    </w:p>
    <w:p w14:paraId="3ED9BA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 评标委员会成员有前款规定情形之一的，应当主动提出回避。</w:t>
      </w:r>
    </w:p>
    <w:p w14:paraId="156A504B">
      <w:pPr>
        <w:spacing w:line="360" w:lineRule="auto"/>
        <w:ind w:firstLine="472" w:firstLineChars="196"/>
        <w:rPr>
          <w:rFonts w:ascii="宋体" w:hAnsi="宋体" w:cs="宋体"/>
          <w:b/>
          <w:sz w:val="24"/>
          <w:szCs w:val="24"/>
          <w:highlight w:val="none"/>
        </w:rPr>
      </w:pPr>
      <w:r>
        <w:rPr>
          <w:rFonts w:hint="eastAsia" w:ascii="宋体" w:hAnsi="宋体" w:cs="宋体"/>
          <w:b/>
          <w:bCs/>
          <w:sz w:val="24"/>
          <w:szCs w:val="24"/>
          <w:highlight w:val="none"/>
        </w:rPr>
        <w:t xml:space="preserve">17. </w:t>
      </w:r>
      <w:r>
        <w:rPr>
          <w:rFonts w:hint="eastAsia" w:ascii="宋体" w:hAnsi="宋体" w:cs="宋体"/>
          <w:b/>
          <w:bCs/>
          <w:sz w:val="24"/>
          <w:highlight w:val="none"/>
        </w:rPr>
        <w:t>评标委员会</w:t>
      </w:r>
      <w:r>
        <w:rPr>
          <w:rFonts w:hint="eastAsia" w:ascii="宋体" w:hAnsi="宋体" w:cs="宋体"/>
          <w:b/>
          <w:sz w:val="24"/>
          <w:szCs w:val="24"/>
          <w:highlight w:val="none"/>
        </w:rPr>
        <w:t xml:space="preserve">及其成员应当履行的义务： </w:t>
      </w:r>
    </w:p>
    <w:p w14:paraId="57AFE19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17.1 遵纪守法，客观、公正、廉洁地履行职责；</w:t>
      </w:r>
    </w:p>
    <w:p w14:paraId="3F9C456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17.2 按照招标文件规定的评标方法和标准进行评标，严格履行签字确认手续，对评标意见承担个人责任；</w:t>
      </w:r>
    </w:p>
    <w:p w14:paraId="2BACF79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17.3 对评标过程和结果，以及投标人的商业秘密保密；</w:t>
      </w:r>
    </w:p>
    <w:p w14:paraId="1386FB97">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17.4 参与评标报告的起草；</w:t>
      </w:r>
    </w:p>
    <w:p w14:paraId="1995ABB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17.5 配合财政部门的投诉处理工作；</w:t>
      </w:r>
    </w:p>
    <w:p w14:paraId="565165EA">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17.6 配合采购人答复投标人提出的质疑。</w:t>
      </w:r>
    </w:p>
    <w:p w14:paraId="0B47F24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 评标委员会及其成员应注意事项：</w:t>
      </w:r>
    </w:p>
    <w:p w14:paraId="24CE95DF">
      <w:pPr>
        <w:spacing w:line="360" w:lineRule="auto"/>
        <w:ind w:firstLine="480" w:firstLineChars="200"/>
        <w:rPr>
          <w:rFonts w:ascii="宋体" w:hAnsi="宋体" w:cs="宋体"/>
          <w:sz w:val="24"/>
          <w:highlight w:val="none"/>
        </w:rPr>
      </w:pPr>
      <w:r>
        <w:rPr>
          <w:rFonts w:hint="eastAsia" w:ascii="宋体" w:hAnsi="宋体" w:cs="宋体"/>
          <w:bCs/>
          <w:sz w:val="24"/>
          <w:highlight w:val="none"/>
        </w:rPr>
        <w:t>18.1 评标委员会应当客观、公正地履行职责，遵守职业道德，不得与任何投标人或者与招标结果有利害关系的人员进行私下接触，须响应前款</w:t>
      </w:r>
      <w:r>
        <w:rPr>
          <w:rFonts w:hint="eastAsia" w:ascii="宋体" w:hAnsi="宋体" w:cs="宋体"/>
          <w:sz w:val="24"/>
          <w:highlight w:val="none"/>
        </w:rPr>
        <w:t>“第三部分”中8.1条款之规定要求。</w:t>
      </w:r>
    </w:p>
    <w:p w14:paraId="60C6C421">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bCs/>
          <w:sz w:val="24"/>
          <w:highlight w:val="none"/>
        </w:rPr>
        <w:t>18.2 评标委员会应当</w:t>
      </w:r>
      <w:r>
        <w:rPr>
          <w:rFonts w:hint="eastAsia" w:ascii="宋体" w:hAnsi="宋体" w:cs="宋体"/>
          <w:sz w:val="24"/>
          <w:highlight w:val="none"/>
        </w:rPr>
        <w:t>遵循独立评标的原则</w:t>
      </w:r>
      <w:r>
        <w:rPr>
          <w:rFonts w:hint="eastAsia" w:ascii="宋体" w:hAnsi="宋体" w:cs="宋体"/>
          <w:bCs/>
          <w:sz w:val="24"/>
          <w:highlight w:val="none"/>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highlight w:val="none"/>
          <w:lang w:val="zh-CN"/>
        </w:rPr>
        <w:t>做好相关书面原始署名记录。</w:t>
      </w:r>
    </w:p>
    <w:p w14:paraId="50294914">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bCs/>
          <w:sz w:val="24"/>
          <w:highlight w:val="none"/>
        </w:rPr>
        <w:t>18.3 评标委员会应当客观、公正地履行职责。评标时，严禁存在</w:t>
      </w:r>
      <w:r>
        <w:rPr>
          <w:rFonts w:hint="eastAsia" w:ascii="宋体" w:hAnsi="宋体" w:cs="宋体"/>
          <w:sz w:val="24"/>
          <w:highlight w:val="none"/>
          <w:lang w:val="zh-CN"/>
        </w:rPr>
        <w:t>个人印象、个人关系或带有明显倾向性的行为发生。</w:t>
      </w:r>
      <w:r>
        <w:rPr>
          <w:rFonts w:hint="eastAsia" w:ascii="宋体" w:hAnsi="宋体" w:cs="宋体"/>
          <w:bCs/>
          <w:sz w:val="24"/>
          <w:highlight w:val="none"/>
        </w:rPr>
        <w:t>否则，经核实后，采购人将有权予以制止此类行为的发生，</w:t>
      </w:r>
      <w:r>
        <w:rPr>
          <w:rFonts w:hint="eastAsia" w:ascii="宋体" w:hAnsi="宋体" w:cs="宋体"/>
          <w:sz w:val="24"/>
          <w:highlight w:val="none"/>
          <w:lang w:val="zh-CN"/>
        </w:rPr>
        <w:t>责成其修正不果的，将做为不良记录记录在案，并按相关政策法规的规定和程序，向财政监管部门提出处罚建议意见。</w:t>
      </w:r>
    </w:p>
    <w:p w14:paraId="4D1FD49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18.4评标委员会成员和与本次评标活动有关的工作人员，不得透露对投标文件的评标和比较、中标候选人的推荐情况以及与评标有关的其他情况。</w:t>
      </w:r>
    </w:p>
    <w:p w14:paraId="41FEAA1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0AF50637">
      <w:pPr>
        <w:spacing w:line="360" w:lineRule="auto"/>
        <w:ind w:firstLine="482" w:firstLineChars="200"/>
        <w:rPr>
          <w:rFonts w:ascii="宋体" w:hAnsi="宋体" w:cs="宋体"/>
          <w:bCs/>
          <w:sz w:val="24"/>
          <w:highlight w:val="none"/>
        </w:rPr>
      </w:pPr>
      <w:r>
        <w:rPr>
          <w:rFonts w:hint="eastAsia" w:ascii="宋体" w:hAnsi="宋体" w:cs="宋体"/>
          <w:b/>
          <w:sz w:val="24"/>
          <w:highlight w:val="none"/>
        </w:rPr>
        <w:t>19</w:t>
      </w:r>
      <w:r>
        <w:rPr>
          <w:rFonts w:hint="eastAsia" w:ascii="宋体" w:hAnsi="宋体" w:cs="宋体"/>
          <w:bCs/>
          <w:sz w:val="24"/>
          <w:highlight w:val="none"/>
        </w:rPr>
        <w:t>. 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highlight w:val="none"/>
        </w:rPr>
        <w:tab/>
      </w:r>
    </w:p>
    <w:p w14:paraId="6F406D9F">
      <w:pPr>
        <w:pStyle w:val="9"/>
        <w:numPr>
          <w:ilvl w:val="3"/>
          <w:numId w:val="0"/>
        </w:numPr>
        <w:rPr>
          <w:highlight w:val="none"/>
        </w:rPr>
      </w:pPr>
    </w:p>
    <w:p w14:paraId="21262575">
      <w:pPr>
        <w:rPr>
          <w:highlight w:val="none"/>
        </w:rPr>
      </w:pPr>
    </w:p>
    <w:p w14:paraId="2C311033">
      <w:pPr>
        <w:rPr>
          <w:rFonts w:ascii="宋体" w:hAnsi="宋体" w:cs="宋体"/>
          <w:b/>
          <w:bCs/>
          <w:sz w:val="36"/>
          <w:szCs w:val="36"/>
          <w:highlight w:val="none"/>
        </w:rPr>
      </w:pPr>
      <w:r>
        <w:rPr>
          <w:rFonts w:hint="eastAsia" w:ascii="宋体" w:hAnsi="宋体" w:cs="宋体"/>
          <w:b/>
          <w:bCs/>
          <w:sz w:val="36"/>
          <w:szCs w:val="36"/>
          <w:highlight w:val="none"/>
        </w:rPr>
        <w:br w:type="page"/>
      </w:r>
    </w:p>
    <w:p w14:paraId="3E2AE1C4">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第六部分 开标 评标 定标说明</w:t>
      </w:r>
    </w:p>
    <w:p w14:paraId="14C59E8D">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第一章 开　标</w:t>
      </w:r>
    </w:p>
    <w:p w14:paraId="1F67D3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20．开标</w:t>
      </w:r>
    </w:p>
    <w:p w14:paraId="004F77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本次招标按招标文件的规定的时间和地点进行公开开标，允许投标人的法定代表人或其授权人参加政采云在线开标会。</w:t>
      </w:r>
    </w:p>
    <w:p w14:paraId="649B6D3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.2 为了体现投标人的合法权益，和确保评标工作的公平、公正，投标人如果认为参加评标的评标委员会成员及其他与会人员与其他投标人有利害关系的，有权以电子形式在录音录像下向采购人申请其回避。如不提请采购人申请其回避的，则视同无利害关系。</w:t>
      </w:r>
    </w:p>
    <w:p w14:paraId="6271E50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.3 按照上述会议通过事项，所有参加投标的投标人如事后发生上述原因的质疑或投诉事项，新疆锦瑞祥工程项目咨询管理有限公司将不予采信。</w:t>
      </w:r>
    </w:p>
    <w:p w14:paraId="6EC5F6F8">
      <w:pPr>
        <w:spacing w:line="360" w:lineRule="auto"/>
        <w:ind w:firstLine="480" w:firstLineChars="200"/>
        <w:rPr>
          <w:rFonts w:ascii="宋体" w:hAnsi="宋体" w:cs="宋体"/>
          <w:b/>
          <w:bCs/>
          <w:sz w:val="24"/>
          <w:szCs w:val="24"/>
          <w:highlight w:val="none"/>
        </w:rPr>
      </w:pPr>
      <w:r>
        <w:rPr>
          <w:rFonts w:hint="eastAsia" w:ascii="宋体" w:hAnsi="宋体" w:cs="宋体"/>
          <w:bCs/>
          <w:sz w:val="24"/>
          <w:highlight w:val="none"/>
        </w:rPr>
        <w:t>2</w:t>
      </w:r>
      <w:r>
        <w:rPr>
          <w:rFonts w:hint="eastAsia" w:ascii="宋体" w:hAnsi="宋体" w:cs="宋体"/>
          <w:sz w:val="24"/>
          <w:szCs w:val="22"/>
          <w:highlight w:val="none"/>
        </w:rPr>
        <w:t>0</w:t>
      </w:r>
      <w:r>
        <w:rPr>
          <w:rFonts w:hint="eastAsia" w:ascii="宋体" w:hAnsi="宋体" w:cs="宋体"/>
          <w:sz w:val="24"/>
          <w:szCs w:val="22"/>
          <w:highlight w:val="none"/>
          <w:lang w:val="zh-CN"/>
        </w:rPr>
        <w:t>.4 投标文件响应性审查</w:t>
      </w:r>
    </w:p>
    <w:p w14:paraId="71B7E65E">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20</w:t>
      </w:r>
      <w:r>
        <w:rPr>
          <w:rFonts w:hint="eastAsia" w:ascii="宋体" w:hAnsi="宋体" w:cs="宋体"/>
          <w:sz w:val="24"/>
          <w:highlight w:val="none"/>
          <w:lang w:val="zh-CN"/>
        </w:rPr>
        <w:t>.4.1</w:t>
      </w:r>
      <w:r>
        <w:rPr>
          <w:rFonts w:hint="eastAsia" w:ascii="宋体" w:hAnsi="宋体" w:cs="宋体"/>
          <w:bCs/>
          <w:sz w:val="24"/>
          <w:szCs w:val="24"/>
          <w:highlight w:val="none"/>
        </w:rPr>
        <w:t>开标后，采购代理机构与监督人将组织在政采云在线平台上进行资格审查，应检查其是否满足招标文件的格式要求，是否提供投标保证金等。</w:t>
      </w:r>
    </w:p>
    <w:p w14:paraId="072C7078">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2</w:t>
      </w:r>
      <w:r>
        <w:rPr>
          <w:rFonts w:hint="eastAsia" w:ascii="宋体" w:hAnsi="宋体" w:cs="宋体"/>
          <w:bCs/>
          <w:sz w:val="24"/>
          <w:highlight w:val="none"/>
        </w:rPr>
        <w:t>评标委员会</w:t>
      </w:r>
      <w:r>
        <w:rPr>
          <w:rFonts w:hint="eastAsia" w:ascii="宋体" w:hAnsi="宋体" w:cs="宋体"/>
          <w:bCs/>
          <w:sz w:val="24"/>
          <w:szCs w:val="24"/>
          <w:highlight w:val="none"/>
        </w:rPr>
        <w:t>将确定每一投标人是否对投标文件的要求做出了实质性响应，而没有重大偏离。实质性响应的投标是指符合招标文件的所有条款、条件和规定且没有重大偏离和保留的投标。</w:t>
      </w:r>
    </w:p>
    <w:p w14:paraId="64793B15">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3</w:t>
      </w:r>
      <w:r>
        <w:rPr>
          <w:rFonts w:hint="eastAsia" w:ascii="宋体" w:hAnsi="宋体" w:cs="宋体"/>
          <w:bCs/>
          <w:sz w:val="24"/>
          <w:highlight w:val="none"/>
        </w:rPr>
        <w:t>评标委员会</w:t>
      </w:r>
      <w:r>
        <w:rPr>
          <w:rFonts w:hint="eastAsia" w:ascii="宋体" w:hAnsi="宋体" w:cs="宋体"/>
          <w:bCs/>
          <w:sz w:val="24"/>
          <w:szCs w:val="24"/>
          <w:highlight w:val="none"/>
        </w:rPr>
        <w:t>判断投标文件的响应性仅基于投标文件本身而不靠外部证据。</w:t>
      </w:r>
    </w:p>
    <w:p w14:paraId="1270F10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4</w:t>
      </w:r>
      <w:r>
        <w:rPr>
          <w:rFonts w:hint="eastAsia" w:ascii="宋体" w:hAnsi="宋体" w:cs="宋体"/>
          <w:bCs/>
          <w:sz w:val="24"/>
          <w:highlight w:val="none"/>
        </w:rPr>
        <w:t>评标委员会</w:t>
      </w:r>
      <w:r>
        <w:rPr>
          <w:rFonts w:hint="eastAsia" w:ascii="宋体" w:hAnsi="宋体" w:cs="宋体"/>
          <w:bCs/>
          <w:sz w:val="24"/>
          <w:szCs w:val="24"/>
          <w:highlight w:val="none"/>
        </w:rPr>
        <w:t>将拒绝被确定为非实质性响应的投标。投标方不能通过修正或撤回不符合之处而使其投标成为实质性响应的投标。</w:t>
      </w:r>
    </w:p>
    <w:p w14:paraId="563D776D">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20.5 投标登记确认的审查</w:t>
      </w:r>
    </w:p>
    <w:p w14:paraId="7CE37EF3">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 xml:space="preserve">20.5.1 </w:t>
      </w:r>
      <w:r>
        <w:rPr>
          <w:rFonts w:hint="eastAsia" w:ascii="宋体" w:hAnsi="宋体" w:cs="宋体"/>
          <w:sz w:val="24"/>
          <w:szCs w:val="24"/>
          <w:highlight w:val="none"/>
        </w:rPr>
        <w:t>投标人在规定时间内将投标文件上传至政采云平台。凡按规定时间前进行了投标登记确认的，其投标被接受。否则，其投标将直接被拒绝。</w:t>
      </w:r>
    </w:p>
    <w:p w14:paraId="0EC98ADD">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.5.2 在招标文件及程序符合法律规定的前提下，对招标文件做出实质性响应的投标人只有两家时，且是第一次开标，采购人应中止，重新组织采购；如果是第二次开标，按照公开、公平和竞争的原则，采购人可以书面提出转竞争性谈判方式进行且提交批准后，按批准后的采购方式继续开标。反之，则应直接作废标处理，并依法重新组织采购。</w:t>
      </w:r>
    </w:p>
    <w:p w14:paraId="2F48F86A">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.5.3 如果合格投标人只有一家时，且是第一次开标，采购人应中止，重新组织采购；如果是第二次开标，采购人和投标商既没有过不良行为记录，也不存在明显或恶意的投标倾向性行为，采购人可以书面申请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采购，经批准后，按批准后的采购方式依法按程序组织采购。反之，则应直接作废标处理，并依法重新组织采购。</w:t>
      </w:r>
    </w:p>
    <w:p w14:paraId="0B09A612">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20.6 评标前的意见征求</w:t>
      </w:r>
    </w:p>
    <w:p w14:paraId="349C541C">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20.6.1</w:t>
      </w:r>
      <w:r>
        <w:rPr>
          <w:rFonts w:hint="eastAsia" w:ascii="宋体" w:hAnsi="宋体" w:cs="宋体"/>
          <w:sz w:val="24"/>
          <w:szCs w:val="24"/>
          <w:highlight w:val="none"/>
        </w:rPr>
        <w:t>严格在招标文件的规定范围内，由采购代理机构现场以书面的方式，征求采购单位代表对本次评标委员会评标时应注意的事项及意见建议，并签字确认。</w:t>
      </w:r>
    </w:p>
    <w:p w14:paraId="547FFFB7">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20.6.2</w:t>
      </w:r>
      <w:r>
        <w:rPr>
          <w:rFonts w:hint="eastAsia" w:ascii="宋体" w:hAnsi="宋体" w:cs="宋体"/>
          <w:sz w:val="24"/>
          <w:szCs w:val="24"/>
          <w:highlight w:val="none"/>
        </w:rPr>
        <w:t xml:space="preserve"> 由采购人本次项目承办责任人严格按照招标文件的规定范围，核实并提出是否采信的意见并签字确认。</w:t>
      </w:r>
    </w:p>
    <w:p w14:paraId="0BC3D7E0">
      <w:pPr>
        <w:spacing w:line="360" w:lineRule="auto"/>
        <w:ind w:firstLine="470" w:firstLineChars="196"/>
        <w:rPr>
          <w:rFonts w:ascii="宋体" w:hAnsi="宋体" w:cs="宋体"/>
          <w:bCs/>
          <w:sz w:val="24"/>
          <w:highlight w:val="none"/>
        </w:rPr>
      </w:pPr>
      <w:r>
        <w:rPr>
          <w:rFonts w:hint="eastAsia" w:ascii="宋体" w:hAnsi="宋体" w:cs="宋体"/>
          <w:bCs/>
          <w:sz w:val="24"/>
          <w:szCs w:val="24"/>
          <w:highlight w:val="none"/>
        </w:rPr>
        <w:t>20.6.3</w:t>
      </w:r>
      <w:r>
        <w:rPr>
          <w:rFonts w:hint="eastAsia" w:ascii="宋体" w:hAnsi="宋体" w:cs="宋体"/>
          <w:sz w:val="24"/>
          <w:szCs w:val="24"/>
          <w:highlight w:val="none"/>
        </w:rPr>
        <w:t>由采购人将可采信的上述意见建议，现场向评标委员会及成员提出可以予以采纳的决定。反之，则不予采纳。</w:t>
      </w:r>
    </w:p>
    <w:p w14:paraId="175C95A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第二章 评  标</w:t>
      </w:r>
    </w:p>
    <w:p w14:paraId="40AA36C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21．开标报价</w:t>
      </w:r>
    </w:p>
    <w:p w14:paraId="0A8E176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 xml:space="preserve">.1 评标依据 </w:t>
      </w:r>
      <w:r>
        <w:rPr>
          <w:rFonts w:hint="eastAsia" w:ascii="宋体" w:hAnsi="宋体" w:cs="宋体"/>
          <w:sz w:val="24"/>
          <w:highlight w:val="none"/>
          <w:lang w:val="zh-CN"/>
        </w:rPr>
        <w:t xml:space="preserve"> </w:t>
      </w:r>
    </w:p>
    <w:p w14:paraId="1535EE0D">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.1.1 </w:t>
      </w:r>
      <w:r>
        <w:rPr>
          <w:rFonts w:hint="eastAsia" w:ascii="宋体" w:hAnsi="宋体" w:cs="宋体"/>
          <w:bCs/>
          <w:sz w:val="24"/>
          <w:szCs w:val="24"/>
          <w:highlight w:val="none"/>
        </w:rPr>
        <w:t>招标文件是评标的唯一依据。</w:t>
      </w:r>
      <w:r>
        <w:rPr>
          <w:rFonts w:hint="eastAsia" w:ascii="宋体" w:hAnsi="宋体" w:cs="宋体"/>
          <w:sz w:val="24"/>
          <w:szCs w:val="24"/>
          <w:highlight w:val="none"/>
        </w:rPr>
        <w:t>评标委员会</w:t>
      </w:r>
      <w:r>
        <w:rPr>
          <w:rFonts w:hint="eastAsia" w:ascii="宋体" w:hAnsi="宋体" w:cs="宋体"/>
          <w:sz w:val="24"/>
          <w:highlight w:val="none"/>
          <w:lang w:val="zh-CN"/>
        </w:rPr>
        <w:t>评标要依据采购代理机构的公开招标文件和投标方的投标文件进行比较与评标。</w:t>
      </w:r>
    </w:p>
    <w:p w14:paraId="56D1ABC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A1B65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highlight w:val="none"/>
        </w:rPr>
        <w:fldChar w:fldCharType="begin"/>
      </w:r>
      <w:r>
        <w:rPr>
          <w:highlight w:val="none"/>
        </w:rPr>
        <w:instrText xml:space="preserve"> HYPERLINK "http://www.shenmeshi.com/Education/Education_20070429223431.html" \t "_blank" </w:instrText>
      </w:r>
      <w:r>
        <w:rPr>
          <w:highlight w:val="none"/>
        </w:rPr>
        <w:fldChar w:fldCharType="separate"/>
      </w:r>
      <w:r>
        <w:rPr>
          <w:rFonts w:hint="eastAsia" w:ascii="宋体" w:hAnsi="宋体" w:cs="宋体"/>
          <w:sz w:val="24"/>
          <w:highlight w:val="none"/>
          <w:lang w:val="zh-CN"/>
        </w:rPr>
        <w:t>成本分析</w:t>
      </w:r>
      <w:r>
        <w:rPr>
          <w:rFonts w:hint="eastAsia" w:ascii="宋体" w:hAnsi="宋体" w:cs="宋体"/>
          <w:sz w:val="24"/>
          <w:highlight w:val="none"/>
          <w:lang w:val="zh-CN"/>
        </w:rPr>
        <w:fldChar w:fldCharType="end"/>
      </w:r>
      <w:r>
        <w:rPr>
          <w:rFonts w:hint="eastAsia" w:ascii="宋体" w:hAnsi="宋体" w:cs="宋体"/>
          <w:sz w:val="24"/>
          <w:highlight w:val="none"/>
          <w:lang w:val="zh-CN"/>
        </w:rPr>
        <w:t>，分项乱调的；几个投标人的</w:t>
      </w:r>
      <w:r>
        <w:rPr>
          <w:highlight w:val="none"/>
        </w:rPr>
        <w:fldChar w:fldCharType="begin"/>
      </w:r>
      <w:r>
        <w:rPr>
          <w:highlight w:val="none"/>
        </w:rPr>
        <w:instrText xml:space="preserve"> HYPERLINK "http://www.shenmeshi.com/Science/Index.html" \t "_blank" </w:instrText>
      </w:r>
      <w:r>
        <w:rPr>
          <w:highlight w:val="none"/>
        </w:rPr>
        <w:fldChar w:fldCharType="separate"/>
      </w:r>
      <w:r>
        <w:rPr>
          <w:rFonts w:hint="eastAsia" w:ascii="宋体" w:hAnsi="宋体" w:cs="宋体"/>
          <w:sz w:val="24"/>
          <w:highlight w:val="none"/>
          <w:lang w:val="zh-CN"/>
        </w:rPr>
        <w:t>技术</w:t>
      </w:r>
      <w:r>
        <w:rPr>
          <w:rFonts w:hint="eastAsia" w:ascii="宋体" w:hAnsi="宋体" w:cs="宋体"/>
          <w:sz w:val="24"/>
          <w:highlight w:val="none"/>
          <w:lang w:val="zh-CN"/>
        </w:rPr>
        <w:fldChar w:fldCharType="end"/>
      </w:r>
      <w:r>
        <w:rPr>
          <w:rFonts w:hint="eastAsia" w:ascii="宋体" w:hAnsi="宋体" w:cs="宋体"/>
          <w:sz w:val="24"/>
          <w:highlight w:val="none"/>
          <w:lang w:val="zh-CN"/>
        </w:rPr>
        <w:t>标都雷同的。</w:t>
      </w:r>
    </w:p>
    <w:p w14:paraId="43070D49">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.1.4 本次评标采取</w:t>
      </w:r>
      <w:r>
        <w:rPr>
          <w:rFonts w:hint="eastAsia" w:ascii="宋体" w:hAnsi="宋体" w:cs="宋体"/>
          <w:b/>
          <w:sz w:val="24"/>
          <w:highlight w:val="none"/>
          <w:u w:val="single"/>
          <w:lang w:val="zh-CN"/>
        </w:rPr>
        <w:t>综合评分法</w:t>
      </w:r>
      <w:r>
        <w:rPr>
          <w:rFonts w:hint="eastAsia" w:ascii="宋体" w:hAnsi="宋体" w:cs="宋体"/>
          <w:sz w:val="24"/>
          <w:highlight w:val="none"/>
          <w:lang w:val="zh-CN"/>
        </w:rPr>
        <w:t>。</w:t>
      </w:r>
    </w:p>
    <w:p w14:paraId="5C53A1DE">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.2 评标过程的保密性</w:t>
      </w:r>
    </w:p>
    <w:p w14:paraId="1B93ED9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.2.1 所有与本次招标及评标有关的人员，均不得向投标人及与招标项目无关的其他人员，透露与评标有关的资料以及授予合同的意见等。</w:t>
      </w:r>
    </w:p>
    <w:p w14:paraId="737E3CE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.2.2 在评标过程中，投标人试图在投标文件审查、报价、询标（答疑）、澄清、比较及授予合同方面向采购人员施加影响的任何行为，都可能导致其投标文件被拒绝。</w:t>
      </w:r>
    </w:p>
    <w:p w14:paraId="6F5F9B7C">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.2.3 </w:t>
      </w:r>
      <w:r>
        <w:rPr>
          <w:rFonts w:hint="eastAsia" w:ascii="宋体" w:hAnsi="宋体" w:cs="宋体"/>
          <w:bCs/>
          <w:sz w:val="24"/>
          <w:szCs w:val="24"/>
          <w:highlight w:val="none"/>
        </w:rPr>
        <w:t>开标后直到授予投标人合同为止，凡是属于审查、报价、</w:t>
      </w:r>
      <w:r>
        <w:rPr>
          <w:rFonts w:hint="eastAsia" w:ascii="宋体" w:hAnsi="宋体" w:cs="宋体"/>
          <w:sz w:val="24"/>
          <w:highlight w:val="none"/>
          <w:lang w:val="zh-CN"/>
        </w:rPr>
        <w:t>询标（答疑）、</w:t>
      </w:r>
      <w:r>
        <w:rPr>
          <w:rFonts w:hint="eastAsia" w:ascii="宋体" w:hAnsi="宋体" w:cs="宋体"/>
          <w:bCs/>
          <w:sz w:val="24"/>
          <w:szCs w:val="24"/>
          <w:highlight w:val="none"/>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F687C5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.2.4 </w:t>
      </w:r>
      <w:r>
        <w:rPr>
          <w:rFonts w:hint="eastAsia" w:ascii="宋体" w:hAnsi="宋体" w:cs="宋体"/>
          <w:bCs/>
          <w:sz w:val="24"/>
          <w:szCs w:val="24"/>
          <w:highlight w:val="none"/>
        </w:rPr>
        <w:t>投标人在评标过程中，所进行的力图影响评标结果的不符合《政府采购法》及本次招标有关规定的活动，将被取消中标资格。</w:t>
      </w:r>
    </w:p>
    <w:p w14:paraId="41E13B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.3 评标有关规定要求 </w:t>
      </w:r>
    </w:p>
    <w:p w14:paraId="482B792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.3.1 各投标人严格遵守前款</w:t>
      </w:r>
      <w:r>
        <w:rPr>
          <w:rFonts w:hint="eastAsia" w:ascii="宋体" w:hAnsi="宋体" w:cs="宋体"/>
          <w:bCs/>
          <w:sz w:val="24"/>
          <w:highlight w:val="none"/>
          <w:lang w:val="zh-CN"/>
        </w:rPr>
        <w:t>“第四部分”中10.7条款</w:t>
      </w:r>
      <w:r>
        <w:rPr>
          <w:rFonts w:hint="eastAsia" w:ascii="宋体" w:hAnsi="宋体" w:cs="宋体"/>
          <w:sz w:val="24"/>
          <w:highlight w:val="none"/>
          <w:lang w:val="zh-CN"/>
        </w:rPr>
        <w:t>之规定，在采购代理机构规定时间进行评标。</w:t>
      </w:r>
    </w:p>
    <w:p w14:paraId="08C4B70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.3.2 评标、报价、询标（答疑）、澄清应按照投标人解密投标文件的正顺序进行。</w:t>
      </w:r>
    </w:p>
    <w:p w14:paraId="50E32780">
      <w:pPr>
        <w:spacing w:line="360" w:lineRule="auto"/>
        <w:ind w:firstLine="480" w:firstLineChars="200"/>
        <w:rPr>
          <w:rFonts w:ascii="宋体" w:hAnsi="宋体" w:cs="宋体"/>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.3.3 评标委员会成员和与本次评标活动有关的工作人员，应遵循前款“第五部分”“第四章”中12.2 条款、12.3条款、12.4条款和13条款之规定。 </w:t>
      </w:r>
    </w:p>
    <w:p w14:paraId="7EEE7FAE">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.3.4 </w:t>
      </w:r>
      <w:r>
        <w:rPr>
          <w:rFonts w:hint="eastAsia" w:ascii="宋体" w:hAnsi="宋体" w:cs="宋体"/>
          <w:sz w:val="24"/>
          <w:szCs w:val="24"/>
          <w:highlight w:val="none"/>
        </w:rPr>
        <w:t>采购代理机构</w:t>
      </w:r>
      <w:r>
        <w:rPr>
          <w:rFonts w:hint="eastAsia" w:ascii="宋体" w:hAnsi="宋体" w:cs="宋体"/>
          <w:bCs/>
          <w:sz w:val="24"/>
          <w:highlight w:val="none"/>
        </w:rPr>
        <w:t>要对当事双方的评标、报价、询标（答疑）、澄清等，做好书面记录，经评标委员会、招标文件、投标文件具有同等法律地位；也是投标人一旦中标后，与采购人签订中标合同和发生质疑或投诉事项时的重要法律依据。</w:t>
      </w:r>
    </w:p>
    <w:p w14:paraId="7B199570">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5</w:t>
      </w:r>
      <w:r>
        <w:rPr>
          <w:rFonts w:hint="eastAsia" w:ascii="宋体" w:hAnsi="宋体" w:cs="宋体"/>
          <w:b/>
          <w:sz w:val="24"/>
          <w:highlight w:val="none"/>
          <w:lang w:val="zh-CN"/>
        </w:rPr>
        <w:t xml:space="preserve"> </w:t>
      </w:r>
      <w:r>
        <w:rPr>
          <w:rFonts w:hint="eastAsia" w:ascii="宋体" w:hAnsi="宋体" w:cs="宋体"/>
          <w:bCs/>
          <w:sz w:val="24"/>
          <w:highlight w:val="none"/>
        </w:rPr>
        <w:t>评标委员会各成员应在采购人规定时间内阅读和熟悉招标文件，当要提出招标文件疑问事项时，应由采购人、</w:t>
      </w:r>
      <w:r>
        <w:rPr>
          <w:rFonts w:hint="eastAsia" w:ascii="宋体" w:hAnsi="宋体" w:cs="宋体"/>
          <w:sz w:val="24"/>
          <w:szCs w:val="24"/>
          <w:highlight w:val="none"/>
        </w:rPr>
        <w:t>采购代理机构</w:t>
      </w:r>
      <w:r>
        <w:rPr>
          <w:rFonts w:hint="eastAsia" w:ascii="宋体" w:hAnsi="宋体" w:cs="宋体"/>
          <w:bCs/>
          <w:sz w:val="24"/>
          <w:highlight w:val="none"/>
        </w:rPr>
        <w:t>本次招标项目的责任人作为主体解答者，解答不清的，由会议主持进行补充解答。</w:t>
      </w:r>
    </w:p>
    <w:p w14:paraId="6E904CC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 报价</w:t>
      </w:r>
    </w:p>
    <w:p w14:paraId="142CF2C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.4.1 投标报价的审查和原则要求 </w:t>
      </w:r>
    </w:p>
    <w:p w14:paraId="63005F5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.4.1.1 评标委员应确认实质上响应招标文件要求的投标文件中的价格进行审核，检查看其是否有计算和累加上的错误。</w:t>
      </w:r>
    </w:p>
    <w:p w14:paraId="4515EDE1">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.4.1.2</w:t>
      </w:r>
      <w:r>
        <w:rPr>
          <w:rFonts w:hint="eastAsia" w:ascii="宋体" w:hAnsi="宋体" w:cs="宋体"/>
          <w:b/>
          <w:sz w:val="24"/>
          <w:highlight w:val="none"/>
          <w:lang w:val="zh-CN"/>
        </w:rPr>
        <w:t xml:space="preserve"> </w:t>
      </w:r>
      <w:r>
        <w:rPr>
          <w:rFonts w:hint="eastAsia" w:ascii="宋体" w:hAnsi="宋体" w:cs="宋体"/>
          <w:sz w:val="24"/>
          <w:highlight w:val="none"/>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3879D0F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.4.1.3 采购代理机构在解密完成后开启开标一览表，进行公开唱标并开启签字时段，采购人按照规定时间，应检查所有投标文件的资格审查，确认无误后，评标委员会进行符合性审查。</w:t>
      </w:r>
    </w:p>
    <w:p w14:paraId="76553618">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.4.1.4 </w:t>
      </w:r>
      <w:r>
        <w:rPr>
          <w:rFonts w:hint="eastAsia" w:ascii="宋体" w:hAnsi="宋体" w:cs="宋体"/>
          <w:bCs/>
          <w:sz w:val="24"/>
          <w:highlight w:val="none"/>
          <w:lang w:val="zh-CN"/>
        </w:rPr>
        <w:t>报价</w:t>
      </w:r>
      <w:r>
        <w:rPr>
          <w:rFonts w:hint="eastAsia" w:ascii="宋体" w:hAnsi="宋体" w:cs="宋体"/>
          <w:sz w:val="24"/>
          <w:highlight w:val="none"/>
          <w:lang w:val="zh-CN"/>
        </w:rPr>
        <w:t>采用一次性报价方式，且为最终报价。</w:t>
      </w:r>
    </w:p>
    <w:p w14:paraId="741FDCC7">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.4.1.5 投标人的报价均应报出拟提供货物的</w:t>
      </w:r>
      <w:r>
        <w:rPr>
          <w:rFonts w:hint="eastAsia" w:ascii="宋体" w:hAnsi="宋体" w:cs="宋体"/>
          <w:sz w:val="24"/>
          <w:highlight w:val="none"/>
        </w:rPr>
        <w:t>下浮率</w:t>
      </w:r>
      <w:r>
        <w:rPr>
          <w:rFonts w:hint="eastAsia" w:ascii="宋体" w:hAnsi="宋体" w:cs="宋体"/>
          <w:sz w:val="24"/>
          <w:highlight w:val="none"/>
          <w:lang w:val="zh-CN"/>
        </w:rPr>
        <w:t>。</w:t>
      </w:r>
    </w:p>
    <w:p w14:paraId="21CC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.4.1.6 投标人的报价采取现场公开的方式进行唱标，</w:t>
      </w:r>
      <w:r>
        <w:rPr>
          <w:rFonts w:hint="eastAsia" w:ascii="宋体" w:hAnsi="宋体" w:cs="宋体"/>
          <w:sz w:val="24"/>
          <w:highlight w:val="none"/>
        </w:rPr>
        <w:t>均不接受二次报价。否则，将直接取消其投标报价资格。</w:t>
      </w:r>
    </w:p>
    <w:p w14:paraId="0B376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宋体" w:hAnsi="宋体" w:cs="宋体"/>
          <w:sz w:val="24"/>
          <w:highlight w:val="none"/>
          <w:lang w:val="en-US" w:eastAsia="zh-CN"/>
        </w:rPr>
        <w:t xml:space="preserve">21.4.1.7 </w:t>
      </w: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4D4797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24C9DB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EFBBF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7D10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698EA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0A1C9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A68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7C5A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244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D4C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F1B19B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21.4.2 唱标、记标</w:t>
      </w:r>
    </w:p>
    <w:p w14:paraId="0B241EA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3DC0B7ED">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.4.3 最终报价是否均超过采购预算的审查确认</w:t>
      </w:r>
    </w:p>
    <w:p w14:paraId="027492F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07B3A97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.4.3.2 唱标结束后，如所有报价均超过采购预算，且采购人不能支付时，采购人现场应宣布本次招标废标。出现此种情况时，评标委员会有权决定拒绝所有的投标文件。</w:t>
      </w:r>
    </w:p>
    <w:p w14:paraId="195F27A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.4.3.3 唱标结束后，如果没有超过采购预算的投标人只有二家时，且是第一次开标，采购人应中止谈判，重新组织采购；如果是第二次开标，</w:t>
      </w:r>
      <w:r>
        <w:rPr>
          <w:rFonts w:hint="eastAsia" w:ascii="宋体" w:hAnsi="宋体" w:cs="宋体"/>
          <w:sz w:val="24"/>
          <w:szCs w:val="24"/>
          <w:highlight w:val="none"/>
        </w:rPr>
        <w:t>按照公开、公平和竞争的原则，采购人可以书面提出转竞争性谈判方式采购，经批准后，按批准后的采购方式继续开标。</w:t>
      </w:r>
    </w:p>
    <w:p w14:paraId="31B9413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.4.3.4</w:t>
      </w:r>
      <w:r>
        <w:rPr>
          <w:rFonts w:hint="eastAsia" w:ascii="宋体" w:hAnsi="宋体" w:cs="宋体"/>
          <w:sz w:val="24"/>
          <w:szCs w:val="24"/>
          <w:highlight w:val="none"/>
        </w:rPr>
        <w:t xml:space="preserve"> </w:t>
      </w:r>
      <w:r>
        <w:rPr>
          <w:rFonts w:hint="eastAsia" w:ascii="宋体" w:hAnsi="宋体" w:cs="宋体"/>
          <w:sz w:val="24"/>
          <w:highlight w:val="none"/>
          <w:lang w:val="zh-CN"/>
        </w:rPr>
        <w:t>唱标结束后，如果没有超过采购预算的投标人只有一家时，</w:t>
      </w:r>
      <w:r>
        <w:rPr>
          <w:rFonts w:hint="eastAsia" w:ascii="宋体" w:hAnsi="宋体" w:cs="宋体"/>
          <w:sz w:val="24"/>
          <w:szCs w:val="24"/>
          <w:highlight w:val="none"/>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采购，经批准同意后，按批准后的采购方式依法按程序组织采购。反之，则应直接作废标处理，并依法重新组织采购。</w:t>
      </w:r>
    </w:p>
    <w:p w14:paraId="397AF598">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b/>
          <w:bCs/>
          <w:sz w:val="24"/>
          <w:highlight w:val="none"/>
        </w:rPr>
        <w:t xml:space="preserve">21.5 </w:t>
      </w:r>
      <w:r>
        <w:rPr>
          <w:rFonts w:hint="eastAsia" w:ascii="宋体" w:hAnsi="宋体" w:cs="宋体"/>
          <w:b/>
          <w:bCs/>
          <w:sz w:val="24"/>
          <w:highlight w:val="none"/>
          <w:lang w:val="zh-CN"/>
        </w:rPr>
        <w:t>评标程序</w:t>
      </w:r>
    </w:p>
    <w:p w14:paraId="0D6DAFBF">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szCs w:val="24"/>
          <w:highlight w:val="none"/>
        </w:rPr>
        <w:t>.5.1 评标委员会及其成员应当遵循独立评标的原则，按照独立初审、单独（或集中）询标（答疑）、独立综合评审、独立推荐拟中标人、集体定标、出具评标报告的工作程序进行。</w:t>
      </w:r>
    </w:p>
    <w:p w14:paraId="531A7371">
      <w:pPr>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.5.2 评标委员会成员需要投标人答疑时，投标人按采购代理机构、采购人规定时间要求，向本次评标委员会进行澄清。</w:t>
      </w:r>
    </w:p>
    <w:p w14:paraId="51792F46">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.5.3 评标委员会应单独（或集中）与资格资质审查合格的投标人分别进行技术和商务评审与比较。</w:t>
      </w:r>
    </w:p>
    <w:p w14:paraId="249E14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.5.4 按照采购人规定程序，评标当事双方应本着“实事求是、公正诚信”的原则，要以</w:t>
      </w:r>
      <w:r>
        <w:rPr>
          <w:rFonts w:hint="eastAsia" w:ascii="宋体" w:hAnsi="宋体" w:cs="宋体"/>
          <w:sz w:val="24"/>
          <w:szCs w:val="24"/>
          <w:highlight w:val="none"/>
        </w:rPr>
        <w:t>采购代理机构</w:t>
      </w:r>
      <w:r>
        <w:rPr>
          <w:rFonts w:hint="eastAsia" w:ascii="宋体" w:hAnsi="宋体" w:cs="宋体"/>
          <w:bCs/>
          <w:sz w:val="24"/>
          <w:highlight w:val="none"/>
        </w:rPr>
        <w:t>的招标文件为评标的唯一依据，不允许做招标文件以外无关问题讨论；评标委员会成员可以采取单独（或集中）的方式与投标人分别逐一进行评标、询标（</w:t>
      </w:r>
      <w:r>
        <w:rPr>
          <w:rFonts w:hint="eastAsia" w:ascii="宋体" w:hAnsi="宋体" w:cs="宋体"/>
          <w:sz w:val="24"/>
          <w:highlight w:val="none"/>
          <w:lang w:val="zh-CN"/>
        </w:rPr>
        <w:t>答疑）、澄清。</w:t>
      </w:r>
    </w:p>
    <w:p w14:paraId="3AB58216">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bCs/>
          <w:sz w:val="24"/>
          <w:highlight w:val="none"/>
        </w:rPr>
        <w:t>21.5.5 询标（答疑）、</w:t>
      </w:r>
      <w:r>
        <w:rPr>
          <w:rFonts w:hint="eastAsia" w:ascii="宋体" w:hAnsi="宋体" w:cs="宋体"/>
          <w:b/>
          <w:bCs/>
          <w:sz w:val="24"/>
          <w:highlight w:val="none"/>
          <w:lang w:val="zh-CN"/>
        </w:rPr>
        <w:t>澄清</w:t>
      </w:r>
    </w:p>
    <w:p w14:paraId="4D2050AB">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.5.5.1在评标过程中，</w:t>
      </w:r>
      <w:r>
        <w:rPr>
          <w:rFonts w:hint="eastAsia" w:ascii="宋体" w:hAnsi="宋体" w:cs="宋体"/>
          <w:sz w:val="24"/>
          <w:highlight w:val="none"/>
          <w:lang w:val="zh-CN"/>
        </w:rPr>
        <w:t>评标委员会</w:t>
      </w:r>
      <w:r>
        <w:rPr>
          <w:rFonts w:hint="eastAsia" w:ascii="宋体" w:hAnsi="宋体" w:cs="宋体"/>
          <w:bCs/>
          <w:sz w:val="24"/>
          <w:highlight w:val="none"/>
        </w:rPr>
        <w:t>各成员如对投标文件中含义不明确、同类问题表述不一致或者有明显文字和计算错误的内容，需要投标人进行必要澄清、说明或者纠正，</w:t>
      </w:r>
      <w:r>
        <w:rPr>
          <w:rFonts w:hint="eastAsia" w:ascii="宋体" w:hAnsi="宋体" w:cs="宋体"/>
          <w:sz w:val="24"/>
          <w:highlight w:val="none"/>
          <w:lang w:val="zh-CN"/>
        </w:rPr>
        <w:t>应以书面形式要求投标人在</w:t>
      </w:r>
      <w:r>
        <w:rPr>
          <w:rFonts w:hint="eastAsia" w:ascii="宋体" w:hAnsi="宋体" w:cs="宋体"/>
          <w:sz w:val="24"/>
          <w:szCs w:val="24"/>
          <w:highlight w:val="none"/>
        </w:rPr>
        <w:t>采购代理机构</w:t>
      </w:r>
      <w:r>
        <w:rPr>
          <w:rFonts w:hint="eastAsia" w:ascii="宋体" w:hAnsi="宋体" w:cs="宋体"/>
          <w:sz w:val="24"/>
          <w:highlight w:val="none"/>
          <w:lang w:val="zh-CN"/>
        </w:rPr>
        <w:t>规定的时间内作出必要的澄清、说明或者补正，</w:t>
      </w:r>
      <w:r>
        <w:rPr>
          <w:rFonts w:hint="eastAsia" w:ascii="宋体" w:hAnsi="宋体" w:cs="宋体"/>
          <w:bCs/>
          <w:sz w:val="24"/>
          <w:highlight w:val="none"/>
        </w:rPr>
        <w:t>和分别单独</w:t>
      </w:r>
      <w:r>
        <w:rPr>
          <w:rFonts w:hint="eastAsia" w:ascii="宋体" w:hAnsi="宋体" w:cs="宋体"/>
          <w:sz w:val="24"/>
          <w:highlight w:val="none"/>
          <w:lang w:val="zh-CN"/>
        </w:rPr>
        <w:t>（或集中）</w:t>
      </w:r>
      <w:r>
        <w:rPr>
          <w:rFonts w:hint="eastAsia" w:ascii="宋体" w:hAnsi="宋体" w:cs="宋体"/>
          <w:bCs/>
          <w:sz w:val="24"/>
          <w:highlight w:val="none"/>
        </w:rPr>
        <w:t>进行询标（答疑）。</w:t>
      </w:r>
    </w:p>
    <w:p w14:paraId="051EDA1B">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.5.5.2 </w:t>
      </w:r>
      <w:r>
        <w:rPr>
          <w:rFonts w:hint="eastAsia" w:ascii="宋体" w:hAnsi="宋体" w:cs="宋体"/>
          <w:bCs/>
          <w:sz w:val="24"/>
          <w:szCs w:val="24"/>
          <w:highlight w:val="none"/>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5EE37DEB">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.5.5.3</w:t>
      </w:r>
      <w:r>
        <w:rPr>
          <w:rFonts w:hint="eastAsia" w:ascii="宋体" w:hAnsi="宋体" w:cs="宋体"/>
          <w:sz w:val="24"/>
          <w:highlight w:val="none"/>
          <w:lang w:val="zh-CN"/>
        </w:rPr>
        <w:t xml:space="preserve"> 评标委员会在初步评审的基础上，单独（或集体）讨论、分析、综合各种因素后，可决定是否与各投标人再次进行询标（答疑）。</w:t>
      </w:r>
    </w:p>
    <w:p w14:paraId="1CC99966">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.5.5.4 </w:t>
      </w:r>
      <w:r>
        <w:rPr>
          <w:rFonts w:hint="eastAsia" w:ascii="宋体" w:hAnsi="宋体" w:cs="宋体"/>
          <w:sz w:val="24"/>
          <w:szCs w:val="24"/>
          <w:highlight w:val="none"/>
        </w:rPr>
        <w:t>采购代理机构</w:t>
      </w:r>
      <w:r>
        <w:rPr>
          <w:rFonts w:hint="eastAsia" w:ascii="宋体" w:hAnsi="宋体" w:cs="宋体"/>
          <w:bCs/>
          <w:sz w:val="24"/>
          <w:highlight w:val="none"/>
        </w:rPr>
        <w:t>要对投标人的澄清、说明或者补正，</w:t>
      </w:r>
      <w:r>
        <w:rPr>
          <w:rFonts w:hint="eastAsia" w:ascii="宋体" w:hAnsi="宋体" w:cs="宋体"/>
          <w:sz w:val="24"/>
          <w:highlight w:val="none"/>
          <w:lang w:val="zh-CN"/>
        </w:rPr>
        <w:t>采用书面形式，</w:t>
      </w:r>
      <w:r>
        <w:rPr>
          <w:rFonts w:hint="eastAsia" w:ascii="宋体" w:hAnsi="宋体" w:cs="宋体"/>
          <w:bCs/>
          <w:sz w:val="24"/>
          <w:highlight w:val="none"/>
        </w:rPr>
        <w:t>由</w:t>
      </w:r>
      <w:r>
        <w:rPr>
          <w:rFonts w:hint="eastAsia" w:ascii="宋体" w:hAnsi="宋体" w:cs="宋体"/>
          <w:sz w:val="24"/>
          <w:szCs w:val="24"/>
          <w:highlight w:val="none"/>
        </w:rPr>
        <w:t>采购代理机构</w:t>
      </w:r>
      <w:r>
        <w:rPr>
          <w:rFonts w:hint="eastAsia" w:ascii="宋体" w:hAnsi="宋体" w:cs="宋体"/>
          <w:bCs/>
          <w:sz w:val="24"/>
          <w:highlight w:val="none"/>
        </w:rPr>
        <w:t>做好书面记录，并由其</w:t>
      </w:r>
      <w:r>
        <w:rPr>
          <w:rFonts w:hint="eastAsia" w:ascii="宋体" w:hAnsi="宋体" w:cs="宋体"/>
          <w:sz w:val="24"/>
          <w:highlight w:val="none"/>
          <w:lang w:val="zh-CN"/>
        </w:rPr>
        <w:t>法定代表人或</w:t>
      </w:r>
      <w:r>
        <w:rPr>
          <w:rFonts w:hint="eastAsia" w:ascii="宋体" w:hAnsi="宋体" w:cs="宋体"/>
          <w:bCs/>
          <w:sz w:val="24"/>
          <w:highlight w:val="none"/>
        </w:rPr>
        <w:t>授权的代表签字</w:t>
      </w:r>
      <w:r>
        <w:rPr>
          <w:rFonts w:hint="eastAsia" w:ascii="宋体" w:hAnsi="宋体" w:cs="宋体"/>
          <w:bCs/>
          <w:sz w:val="24"/>
          <w:szCs w:val="24"/>
          <w:highlight w:val="none"/>
        </w:rPr>
        <w:t>或加盖单位公章</w:t>
      </w:r>
      <w:r>
        <w:rPr>
          <w:rFonts w:hint="eastAsia" w:ascii="宋体" w:hAnsi="宋体" w:cs="宋体"/>
          <w:bCs/>
          <w:sz w:val="24"/>
          <w:highlight w:val="none"/>
        </w:rPr>
        <w:t>，其澄清、说明或者补正不得超出投标报价文件的范围或者改变其实质性内容，</w:t>
      </w:r>
      <w:r>
        <w:rPr>
          <w:rFonts w:hint="eastAsia" w:ascii="宋体" w:hAnsi="宋体" w:cs="宋体"/>
          <w:bCs/>
          <w:sz w:val="24"/>
          <w:szCs w:val="24"/>
          <w:highlight w:val="none"/>
        </w:rPr>
        <w:t>并作为投标文件的组成部分。</w:t>
      </w:r>
    </w:p>
    <w:p w14:paraId="2F6F2DA9">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.5.5.5</w:t>
      </w:r>
      <w:r>
        <w:rPr>
          <w:rFonts w:hint="eastAsia" w:ascii="宋体" w:hAnsi="宋体" w:cs="宋体"/>
          <w:sz w:val="24"/>
          <w:highlight w:val="none"/>
          <w:lang w:val="zh-CN"/>
        </w:rPr>
        <w:t xml:space="preserve"> 投标人拒不进行澄清、说明或者补正的，或者不能在</w:t>
      </w:r>
      <w:r>
        <w:rPr>
          <w:rFonts w:hint="eastAsia" w:ascii="宋体" w:hAnsi="宋体" w:cs="宋体"/>
          <w:sz w:val="24"/>
          <w:szCs w:val="24"/>
          <w:highlight w:val="none"/>
        </w:rPr>
        <w:t>采购代理机构</w:t>
      </w:r>
      <w:r>
        <w:rPr>
          <w:rFonts w:hint="eastAsia" w:ascii="宋体" w:hAnsi="宋体" w:cs="宋体"/>
          <w:sz w:val="24"/>
          <w:highlight w:val="none"/>
          <w:lang w:val="zh-CN"/>
        </w:rPr>
        <w:t>规定时间内做出书面澄清、说明或者补正的，评标委员会将取消其继续参加评标的资格。</w:t>
      </w:r>
    </w:p>
    <w:p w14:paraId="54FCC32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.5.5.6</w:t>
      </w:r>
      <w:r>
        <w:rPr>
          <w:rFonts w:hint="eastAsia" w:ascii="宋体" w:hAnsi="宋体" w:cs="宋体"/>
          <w:sz w:val="24"/>
          <w:highlight w:val="none"/>
          <w:lang w:val="zh-CN"/>
        </w:rPr>
        <w:t xml:space="preserve"> 参加投标的投标人应当对评标（审）的承诺和最终报价以书面形式确认，并由其法定代表人或其授权人签署或加盖公章。</w:t>
      </w:r>
    </w:p>
    <w:p w14:paraId="06819912">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.5.6 符合性审查</w:t>
      </w:r>
    </w:p>
    <w:p w14:paraId="282D30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.5.6.1 评标委员会</w:t>
      </w:r>
      <w:r>
        <w:rPr>
          <w:rFonts w:hint="eastAsia" w:ascii="宋体" w:hAnsi="宋体" w:cs="宋体"/>
          <w:sz w:val="24"/>
          <w:highlight w:val="none"/>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D7DCC57">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.5.6.2 评标委员会</w:t>
      </w:r>
      <w:r>
        <w:rPr>
          <w:rFonts w:hint="eastAsia" w:ascii="宋体" w:hAnsi="宋体" w:cs="宋体"/>
          <w:bCs/>
          <w:sz w:val="24"/>
          <w:szCs w:val="24"/>
          <w:highlight w:val="none"/>
        </w:rPr>
        <w:t>应当根据招标文件，审查并逐项列出每一个投标文件的全部投标偏差。投标偏差分为重大偏差和细微偏差。</w:t>
      </w:r>
    </w:p>
    <w:p w14:paraId="05F0AD5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1CF8628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2、应当要求存在细小偏差的投标人在评标结束前以书面形式予以补正。拒绝补正的，在综合评审时可以对细微偏差作不利于该投标人的量化。</w:t>
      </w:r>
    </w:p>
    <w:p w14:paraId="4D6BDD24">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3、</w:t>
      </w:r>
      <w:r>
        <w:rPr>
          <w:rFonts w:hint="eastAsia" w:ascii="宋体" w:hAnsi="宋体" w:cs="宋体"/>
          <w:bCs/>
          <w:sz w:val="24"/>
          <w:szCs w:val="24"/>
          <w:highlight w:val="none"/>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69B3C918">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4、发现有重大偏差时，评标委员会及其成员应按招标文件中的规定，可以取消其投标的权利。</w:t>
      </w:r>
    </w:p>
    <w:p w14:paraId="43DCB46F">
      <w:pPr>
        <w:spacing w:line="360" w:lineRule="auto"/>
        <w:ind w:firstLine="480" w:firstLineChars="20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.5.6.3 </w:t>
      </w:r>
      <w:r>
        <w:rPr>
          <w:rFonts w:hint="eastAsia" w:ascii="宋体" w:hAnsi="宋体" w:cs="宋体"/>
          <w:bCs/>
          <w:sz w:val="24"/>
          <w:highlight w:val="none"/>
          <w:lang w:val="zh-CN"/>
        </w:rPr>
        <w:t>进行符合性审查时，评标委员会</w:t>
      </w:r>
      <w:r>
        <w:rPr>
          <w:rFonts w:hint="eastAsia" w:ascii="宋体" w:hAnsi="宋体" w:cs="宋体"/>
          <w:bCs/>
          <w:sz w:val="24"/>
          <w:szCs w:val="24"/>
          <w:highlight w:val="none"/>
        </w:rPr>
        <w:t>应当审查每一个投标文件是否对招标文件提出的所有实质性要求和条件作出响应。未能实质上响应的，视情况按照招标文件的规定，应不得进入综合评审程序。</w:t>
      </w:r>
    </w:p>
    <w:p w14:paraId="772CC389">
      <w:pPr>
        <w:adjustRightInd w:val="0"/>
        <w:snapToGri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21.5.6.4有下列情形之一的，视为投标人串通投标，其投标无效</w:t>
      </w:r>
      <w:r>
        <w:rPr>
          <w:rFonts w:ascii="宋体" w:hAnsi="宋体"/>
          <w:b/>
          <w:kern w:val="0"/>
          <w:sz w:val="24"/>
          <w:highlight w:val="none"/>
        </w:rPr>
        <w:t>,并对投标人依照《政府采购法》第七十七条的规定追究法律责任：</w:t>
      </w:r>
    </w:p>
    <w:p w14:paraId="45FA7737">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1 </w:t>
      </w:r>
      <w:r>
        <w:rPr>
          <w:rFonts w:hint="eastAsia" w:ascii="宋体" w:hAnsi="宋体"/>
          <w:kern w:val="0"/>
          <w:sz w:val="24"/>
          <w:highlight w:val="none"/>
        </w:rPr>
        <w:t>不同投标人的投标文件由同一单位或者个人编制；</w:t>
      </w:r>
    </w:p>
    <w:p w14:paraId="2C0D35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2 </w:t>
      </w:r>
      <w:r>
        <w:rPr>
          <w:rFonts w:hint="eastAsia" w:ascii="宋体" w:hAnsi="宋体"/>
          <w:kern w:val="0"/>
          <w:sz w:val="24"/>
          <w:highlight w:val="none"/>
        </w:rPr>
        <w:t>不同投标人委托同一单位或者个人办理投标事宜；</w:t>
      </w:r>
    </w:p>
    <w:p w14:paraId="45C7963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3 </w:t>
      </w:r>
      <w:r>
        <w:rPr>
          <w:rFonts w:hint="eastAsia" w:ascii="宋体" w:hAnsi="宋体"/>
          <w:kern w:val="0"/>
          <w:sz w:val="24"/>
          <w:highlight w:val="none"/>
        </w:rPr>
        <w:t>不同投标人的投标文件载明的项目管理成员或者联系人员为同一人；</w:t>
      </w:r>
    </w:p>
    <w:p w14:paraId="5BB4FC5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4 </w:t>
      </w:r>
      <w:r>
        <w:rPr>
          <w:rFonts w:hint="eastAsia" w:ascii="宋体" w:hAnsi="宋体"/>
          <w:kern w:val="0"/>
          <w:sz w:val="24"/>
          <w:highlight w:val="none"/>
        </w:rPr>
        <w:t>不同投标人的投标文件异常一致或者投标报价呈规律性差异；</w:t>
      </w:r>
    </w:p>
    <w:p w14:paraId="59491E23">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5 </w:t>
      </w:r>
      <w:r>
        <w:rPr>
          <w:rFonts w:hint="eastAsia" w:ascii="宋体" w:hAnsi="宋体"/>
          <w:kern w:val="0"/>
          <w:sz w:val="24"/>
          <w:highlight w:val="none"/>
        </w:rPr>
        <w:t>不同投标人的投标文件相互混装；</w:t>
      </w:r>
    </w:p>
    <w:p w14:paraId="7D3864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6 </w:t>
      </w:r>
      <w:r>
        <w:rPr>
          <w:rFonts w:hint="eastAsia" w:ascii="宋体" w:hAnsi="宋体"/>
          <w:kern w:val="0"/>
          <w:sz w:val="24"/>
          <w:highlight w:val="none"/>
        </w:rPr>
        <w:t>不同投标人的投标保证金从同一单位或者个人的账户转出。</w:t>
      </w:r>
    </w:p>
    <w:p w14:paraId="6C157A7E">
      <w:pPr>
        <w:pStyle w:val="13"/>
        <w:jc w:val="center"/>
        <w:rPr>
          <w:rFonts w:ascii="宋体" w:hAnsi="宋体"/>
          <w:b/>
          <w:bCs/>
          <w:sz w:val="28"/>
          <w:szCs w:val="28"/>
          <w:highlight w:val="none"/>
        </w:rPr>
        <w:sectPr>
          <w:footerReference r:id="rId10" w:type="default"/>
          <w:pgSz w:w="11910" w:h="16840"/>
          <w:pgMar w:top="1440" w:right="1800" w:bottom="1043" w:left="1800" w:header="714" w:footer="587" w:gutter="0"/>
          <w:cols w:space="720" w:num="1"/>
        </w:sectPr>
      </w:pPr>
    </w:p>
    <w:p w14:paraId="21029AD1">
      <w:pPr>
        <w:pStyle w:val="13"/>
        <w:spacing w:line="360" w:lineRule="auto"/>
        <w:jc w:val="center"/>
        <w:rPr>
          <w:rFonts w:ascii="宋体" w:hAnsi="宋体"/>
          <w:b/>
          <w:bCs/>
          <w:sz w:val="28"/>
          <w:szCs w:val="28"/>
          <w:highlight w:val="none"/>
        </w:rPr>
      </w:pPr>
      <w:r>
        <w:rPr>
          <w:rFonts w:hint="eastAsia" w:ascii="宋体" w:hAnsi="宋体"/>
          <w:b/>
          <w:bCs/>
          <w:sz w:val="28"/>
          <w:szCs w:val="28"/>
          <w:highlight w:val="none"/>
        </w:rPr>
        <w:t>资格审查一览表</w:t>
      </w:r>
    </w:p>
    <w:tbl>
      <w:tblPr>
        <w:tblStyle w:val="27"/>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8801"/>
      </w:tblGrid>
      <w:tr w14:paraId="66B03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26" w:type="dxa"/>
            <w:tcBorders>
              <w:top w:val="single" w:color="000000" w:sz="6" w:space="0"/>
              <w:bottom w:val="single" w:color="000000" w:sz="6" w:space="0"/>
              <w:right w:val="single" w:color="000000" w:sz="6" w:space="0"/>
            </w:tcBorders>
            <w:shd w:val="clear" w:color="auto" w:fill="EDEBE0"/>
          </w:tcPr>
          <w:p w14:paraId="796DF73E">
            <w:pPr>
              <w:pStyle w:val="43"/>
              <w:spacing w:before="107"/>
              <w:ind w:left="82" w:right="68"/>
              <w:jc w:val="center"/>
              <w:rPr>
                <w:b/>
                <w:sz w:val="24"/>
                <w:szCs w:val="22"/>
                <w:highlight w:val="none"/>
              </w:rPr>
            </w:pPr>
            <w:r>
              <w:rPr>
                <w:b/>
                <w:sz w:val="24"/>
                <w:szCs w:val="22"/>
                <w:highlight w:val="none"/>
              </w:rPr>
              <w:t>序号</w:t>
            </w:r>
          </w:p>
        </w:tc>
        <w:tc>
          <w:tcPr>
            <w:tcW w:w="8801" w:type="dxa"/>
            <w:tcBorders>
              <w:top w:val="single" w:color="000000" w:sz="6" w:space="0"/>
              <w:left w:val="single" w:color="000000" w:sz="6" w:space="0"/>
              <w:bottom w:val="single" w:color="000000" w:sz="6" w:space="0"/>
              <w:right w:val="single" w:color="000000" w:sz="6" w:space="0"/>
            </w:tcBorders>
            <w:shd w:val="clear" w:color="auto" w:fill="EDEBE0"/>
          </w:tcPr>
          <w:p w14:paraId="163D9A59">
            <w:pPr>
              <w:pStyle w:val="43"/>
              <w:spacing w:before="107"/>
              <w:ind w:left="1957" w:right="1925"/>
              <w:jc w:val="center"/>
              <w:rPr>
                <w:b/>
                <w:sz w:val="24"/>
                <w:szCs w:val="22"/>
                <w:highlight w:val="none"/>
              </w:rPr>
            </w:pPr>
            <w:r>
              <w:rPr>
                <w:rFonts w:hint="eastAsia"/>
                <w:b/>
                <w:sz w:val="24"/>
                <w:szCs w:val="22"/>
                <w:highlight w:val="none"/>
              </w:rPr>
              <w:t>招标</w:t>
            </w:r>
            <w:r>
              <w:rPr>
                <w:b/>
                <w:sz w:val="24"/>
                <w:szCs w:val="22"/>
                <w:highlight w:val="none"/>
              </w:rPr>
              <w:t>文件要求</w:t>
            </w:r>
          </w:p>
        </w:tc>
      </w:tr>
      <w:tr w14:paraId="72A3AE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4BDCB8A1">
            <w:pPr>
              <w:pStyle w:val="43"/>
              <w:jc w:val="center"/>
              <w:rPr>
                <w:sz w:val="24"/>
                <w:szCs w:val="24"/>
                <w:highlight w:val="none"/>
              </w:rPr>
            </w:pPr>
            <w:r>
              <w:rPr>
                <w:sz w:val="24"/>
                <w:szCs w:val="24"/>
                <w:highlight w:val="none"/>
              </w:rPr>
              <w:t>1</w:t>
            </w:r>
          </w:p>
        </w:tc>
        <w:tc>
          <w:tcPr>
            <w:tcW w:w="8801" w:type="dxa"/>
            <w:tcBorders>
              <w:top w:val="single" w:color="000000" w:sz="6" w:space="0"/>
              <w:left w:val="single" w:color="000000" w:sz="6" w:space="0"/>
              <w:bottom w:val="single" w:color="000000" w:sz="6" w:space="0"/>
              <w:right w:val="single" w:color="000000" w:sz="6" w:space="0"/>
            </w:tcBorders>
            <w:vAlign w:val="center"/>
          </w:tcPr>
          <w:p w14:paraId="504037FF">
            <w:pPr>
              <w:autoSpaceDE w:val="0"/>
              <w:autoSpaceDN w:val="0"/>
              <w:spacing w:line="360" w:lineRule="auto"/>
              <w:ind w:left="210" w:leftChars="100"/>
              <w:rPr>
                <w:rFonts w:ascii="宋体" w:hAnsi="宋体" w:eastAsia="Calibri"/>
                <w:b/>
                <w:kern w:val="0"/>
                <w:sz w:val="24"/>
                <w:szCs w:val="24"/>
                <w:highlight w:val="none"/>
              </w:rPr>
            </w:pPr>
            <w:r>
              <w:rPr>
                <w:rFonts w:ascii="宋体" w:hAnsi="宋体" w:cs="宋体"/>
                <w:sz w:val="24"/>
                <w:szCs w:val="22"/>
                <w:highlight w:val="none"/>
              </w:rPr>
              <w:t>满足《中华人民共和国政府采购法》第二十</w:t>
            </w:r>
            <w:r>
              <w:rPr>
                <w:rFonts w:hint="eastAsia" w:ascii="宋体" w:hAnsi="宋体" w:cs="宋体"/>
                <w:sz w:val="24"/>
                <w:szCs w:val="22"/>
                <w:highlight w:val="none"/>
              </w:rPr>
              <w:t>二</w:t>
            </w:r>
            <w:r>
              <w:rPr>
                <w:rFonts w:ascii="宋体" w:hAnsi="宋体" w:cs="宋体"/>
                <w:sz w:val="24"/>
                <w:szCs w:val="22"/>
                <w:highlight w:val="none"/>
              </w:rPr>
              <w:t>条规定</w:t>
            </w:r>
            <w:r>
              <w:rPr>
                <w:rFonts w:hint="eastAsia"/>
                <w:sz w:val="24"/>
                <w:szCs w:val="24"/>
                <w:highlight w:val="none"/>
              </w:rPr>
              <w:t>（按招标文件格式附件4.1提供资料）</w:t>
            </w:r>
            <w:r>
              <w:rPr>
                <w:rFonts w:hint="eastAsia" w:ascii="宋体" w:hAnsi="宋体" w:cs="宋体"/>
                <w:sz w:val="24"/>
                <w:szCs w:val="22"/>
                <w:highlight w:val="none"/>
              </w:rPr>
              <w:t>；</w:t>
            </w:r>
          </w:p>
        </w:tc>
      </w:tr>
      <w:tr w14:paraId="736B8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2565E95F">
            <w:pPr>
              <w:pStyle w:val="43"/>
              <w:jc w:val="center"/>
              <w:rPr>
                <w:sz w:val="24"/>
                <w:szCs w:val="24"/>
                <w:highlight w:val="none"/>
                <w:lang w:val="en-US"/>
              </w:rPr>
            </w:pPr>
            <w:r>
              <w:rPr>
                <w:rFonts w:hint="eastAsia"/>
                <w:sz w:val="24"/>
                <w:szCs w:val="24"/>
                <w:highlight w:val="none"/>
                <w:lang w:val="en-US"/>
              </w:rPr>
              <w:t>2</w:t>
            </w:r>
          </w:p>
        </w:tc>
        <w:tc>
          <w:tcPr>
            <w:tcW w:w="8801" w:type="dxa"/>
            <w:tcBorders>
              <w:top w:val="single" w:color="000000" w:sz="6" w:space="0"/>
              <w:left w:val="single" w:color="000000" w:sz="6" w:space="0"/>
              <w:bottom w:val="single" w:color="000000" w:sz="6" w:space="0"/>
              <w:right w:val="single" w:color="000000" w:sz="6" w:space="0"/>
            </w:tcBorders>
            <w:vAlign w:val="center"/>
          </w:tcPr>
          <w:p w14:paraId="0208D892">
            <w:pPr>
              <w:autoSpaceDE w:val="0"/>
              <w:autoSpaceDN w:val="0"/>
              <w:spacing w:line="360" w:lineRule="auto"/>
              <w:ind w:left="210" w:leftChars="100"/>
              <w:rPr>
                <w:sz w:val="24"/>
                <w:szCs w:val="24"/>
                <w:highlight w:val="none"/>
              </w:rPr>
            </w:pPr>
            <w:r>
              <w:rPr>
                <w:rFonts w:hint="eastAsia"/>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tc>
      </w:tr>
      <w:tr w14:paraId="2F2F64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jc w:val="center"/>
        </w:trPr>
        <w:tc>
          <w:tcPr>
            <w:tcW w:w="726" w:type="dxa"/>
            <w:tcBorders>
              <w:top w:val="single" w:color="000000" w:sz="6" w:space="0"/>
              <w:bottom w:val="single" w:color="000000" w:sz="6" w:space="0"/>
              <w:right w:val="single" w:color="000000" w:sz="6" w:space="0"/>
            </w:tcBorders>
            <w:vAlign w:val="center"/>
          </w:tcPr>
          <w:p w14:paraId="3DB53D73">
            <w:pPr>
              <w:pStyle w:val="43"/>
              <w:spacing w:before="172"/>
              <w:jc w:val="center"/>
              <w:rPr>
                <w:sz w:val="24"/>
                <w:szCs w:val="24"/>
                <w:highlight w:val="none"/>
                <w:lang w:val="en-US"/>
              </w:rPr>
            </w:pPr>
            <w:r>
              <w:rPr>
                <w:rFonts w:hint="eastAsia"/>
                <w:sz w:val="24"/>
                <w:szCs w:val="24"/>
                <w:highlight w:val="none"/>
                <w:lang w:val="en-US"/>
              </w:rPr>
              <w:t>3</w:t>
            </w:r>
          </w:p>
        </w:tc>
        <w:tc>
          <w:tcPr>
            <w:tcW w:w="8801" w:type="dxa"/>
            <w:tcBorders>
              <w:top w:val="single" w:color="000000" w:sz="6" w:space="0"/>
              <w:left w:val="single" w:color="000000" w:sz="6" w:space="0"/>
              <w:bottom w:val="single" w:color="000000" w:sz="6" w:space="0"/>
              <w:right w:val="single" w:color="000000" w:sz="6" w:space="0"/>
            </w:tcBorders>
            <w:vAlign w:val="center"/>
          </w:tcPr>
          <w:p w14:paraId="32E331BF">
            <w:pPr>
              <w:spacing w:line="360" w:lineRule="auto"/>
              <w:ind w:left="210" w:leftChars="100"/>
              <w:rPr>
                <w:rFonts w:ascii="Calibri" w:hAnsi="Calibri" w:eastAsia="Calibri"/>
                <w:sz w:val="24"/>
                <w:szCs w:val="24"/>
                <w:highlight w:val="none"/>
              </w:rPr>
            </w:pPr>
            <w:r>
              <w:rPr>
                <w:rFonts w:hint="eastAsia"/>
                <w:sz w:val="24"/>
                <w:szCs w:val="24"/>
                <w:highlight w:val="none"/>
              </w:rPr>
              <w:t>法人须提供法定代表人资格证明书及身份证或法人授权委托书及被授权人身份证；</w:t>
            </w:r>
          </w:p>
        </w:tc>
      </w:tr>
      <w:tr w14:paraId="2BB2D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26" w:type="dxa"/>
            <w:tcBorders>
              <w:top w:val="single" w:color="000000" w:sz="6" w:space="0"/>
              <w:bottom w:val="single" w:color="000000" w:sz="6" w:space="0"/>
              <w:right w:val="single" w:color="000000" w:sz="6" w:space="0"/>
            </w:tcBorders>
            <w:vAlign w:val="center"/>
          </w:tcPr>
          <w:p w14:paraId="21DCDE8D">
            <w:pPr>
              <w:pStyle w:val="43"/>
              <w:jc w:val="center"/>
              <w:rPr>
                <w:sz w:val="24"/>
                <w:szCs w:val="24"/>
                <w:highlight w:val="none"/>
              </w:rPr>
            </w:pPr>
            <w:r>
              <w:rPr>
                <w:rFonts w:hint="eastAsia"/>
                <w:sz w:val="24"/>
                <w:szCs w:val="24"/>
                <w:highlight w:val="none"/>
                <w:lang w:val="en-US"/>
              </w:rPr>
              <w:t>4</w:t>
            </w:r>
          </w:p>
        </w:tc>
        <w:tc>
          <w:tcPr>
            <w:tcW w:w="8801" w:type="dxa"/>
            <w:tcBorders>
              <w:top w:val="single" w:color="000000" w:sz="6" w:space="0"/>
              <w:left w:val="single" w:color="000000" w:sz="6" w:space="0"/>
              <w:bottom w:val="single" w:color="000000" w:sz="6" w:space="0"/>
              <w:right w:val="single" w:color="000000" w:sz="6" w:space="0"/>
            </w:tcBorders>
            <w:vAlign w:val="center"/>
          </w:tcPr>
          <w:p w14:paraId="043A5E7B">
            <w:pPr>
              <w:spacing w:line="360" w:lineRule="auto"/>
              <w:ind w:left="210" w:leftChars="100"/>
              <w:rPr>
                <w:rFonts w:ascii="宋体" w:hAnsi="宋体" w:cs="宋体"/>
                <w:sz w:val="24"/>
                <w:szCs w:val="24"/>
                <w:highlight w:val="none"/>
                <w:lang w:bidi="zh-CN"/>
              </w:rPr>
            </w:pPr>
            <w:r>
              <w:rPr>
                <w:sz w:val="24"/>
                <w:szCs w:val="24"/>
                <w:highlight w:val="none"/>
              </w:rPr>
              <w:t>单位负责人为同一人或者存在直接控股、管理关系的不同</w:t>
            </w:r>
            <w:r>
              <w:rPr>
                <w:rFonts w:hint="eastAsia"/>
                <w:sz w:val="24"/>
                <w:szCs w:val="24"/>
                <w:highlight w:val="none"/>
              </w:rPr>
              <w:t>投标人</w:t>
            </w:r>
            <w:r>
              <w:rPr>
                <w:sz w:val="24"/>
                <w:szCs w:val="24"/>
                <w:highlight w:val="none"/>
              </w:rPr>
              <w:t>，不得参加同一合同项下的政府采购活动</w:t>
            </w:r>
            <w:r>
              <w:rPr>
                <w:rFonts w:hint="eastAsia"/>
                <w:sz w:val="24"/>
                <w:szCs w:val="24"/>
                <w:highlight w:val="none"/>
              </w:rPr>
              <w:t>（按招标文件格式附件1</w:t>
            </w:r>
            <w:r>
              <w:rPr>
                <w:rFonts w:hint="eastAsia"/>
                <w:sz w:val="24"/>
                <w:szCs w:val="24"/>
                <w:highlight w:val="none"/>
                <w:lang w:val="en-US" w:eastAsia="zh-CN"/>
              </w:rPr>
              <w:t>4</w:t>
            </w:r>
            <w:r>
              <w:rPr>
                <w:rFonts w:hint="eastAsia"/>
                <w:sz w:val="24"/>
                <w:szCs w:val="24"/>
                <w:highlight w:val="none"/>
              </w:rPr>
              <w:t>：主要股东或出资人信息填写）；</w:t>
            </w:r>
          </w:p>
        </w:tc>
      </w:tr>
      <w:tr w14:paraId="77DD5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5" w:hRule="atLeast"/>
          <w:jc w:val="center"/>
        </w:trPr>
        <w:tc>
          <w:tcPr>
            <w:tcW w:w="726" w:type="dxa"/>
            <w:tcBorders>
              <w:top w:val="single" w:color="000000" w:sz="6" w:space="0"/>
              <w:bottom w:val="single" w:color="000000" w:sz="6" w:space="0"/>
              <w:right w:val="single" w:color="000000" w:sz="6" w:space="0"/>
            </w:tcBorders>
            <w:vAlign w:val="center"/>
          </w:tcPr>
          <w:p w14:paraId="7C8C4B78">
            <w:pPr>
              <w:pStyle w:val="43"/>
              <w:jc w:val="center"/>
              <w:rPr>
                <w:rFonts w:ascii="Times New Roman" w:hAnsi="Times New Roman" w:cs="Times New Roman"/>
                <w:sz w:val="24"/>
                <w:szCs w:val="24"/>
                <w:highlight w:val="none"/>
                <w:lang w:val="en-US" w:bidi="ar-SA"/>
              </w:rPr>
            </w:pPr>
            <w:r>
              <w:rPr>
                <w:rFonts w:hint="eastAsia"/>
                <w:sz w:val="24"/>
                <w:szCs w:val="24"/>
                <w:highlight w:val="none"/>
                <w:lang w:val="en-US"/>
              </w:rPr>
              <w:t>5</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A5F8D">
            <w:pPr>
              <w:spacing w:line="360" w:lineRule="auto"/>
              <w:ind w:left="210" w:leftChars="100"/>
              <w:rPr>
                <w:rFonts w:ascii="Times New Roman" w:hAnsi="Times New Roman" w:eastAsia="宋体" w:cs="Times New Roman"/>
                <w:kern w:val="2"/>
                <w:sz w:val="24"/>
                <w:szCs w:val="24"/>
                <w:highlight w:val="none"/>
                <w:lang w:val="zh-CN" w:eastAsia="zh-CN" w:bidi="ar-SA"/>
              </w:rPr>
            </w:pPr>
            <w:r>
              <w:rPr>
                <w:rFonts w:hint="eastAsia" w:ascii="宋体" w:hAnsi="宋体" w:cs="宋体"/>
                <w:bCs/>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sz w:val="24"/>
                <w:szCs w:val="24"/>
                <w:highlight w:val="none"/>
              </w:rPr>
              <w:t>；</w:t>
            </w:r>
          </w:p>
        </w:tc>
      </w:tr>
      <w:tr w14:paraId="74CF57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4"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296D415">
            <w:pPr>
              <w:pStyle w:val="43"/>
              <w:jc w:val="center"/>
              <w:rPr>
                <w:sz w:val="24"/>
                <w:szCs w:val="24"/>
                <w:highlight w:val="none"/>
                <w:lang w:val="en-US"/>
              </w:rPr>
            </w:pPr>
            <w:r>
              <w:rPr>
                <w:rFonts w:hint="eastAsia"/>
                <w:sz w:val="24"/>
                <w:szCs w:val="24"/>
                <w:highlight w:val="none"/>
                <w:lang w:val="en-US"/>
              </w:rPr>
              <w:t>6</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7F896">
            <w:pPr>
              <w:ind w:left="210" w:leftChars="100"/>
              <w:rPr>
                <w:rFonts w:ascii="宋体" w:hAnsi="宋体" w:eastAsia="宋体" w:cs="宋体"/>
                <w:kern w:val="2"/>
                <w:sz w:val="24"/>
                <w:szCs w:val="24"/>
                <w:highlight w:val="none"/>
                <w:lang w:val="zh-CN" w:eastAsia="zh-CN" w:bidi="zh-CN"/>
              </w:rPr>
            </w:pPr>
            <w:r>
              <w:rPr>
                <w:rFonts w:hint="eastAsia"/>
                <w:sz w:val="24"/>
                <w:szCs w:val="24"/>
                <w:highlight w:val="none"/>
              </w:rPr>
              <w:t>本项目不接受联合体投标（按招标文件格式附件5：非联合体投标声明填写）；</w:t>
            </w:r>
          </w:p>
        </w:tc>
      </w:tr>
      <w:tr w14:paraId="5739D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DE55282">
            <w:pPr>
              <w:pStyle w:val="43"/>
              <w:jc w:val="center"/>
              <w:rPr>
                <w:sz w:val="24"/>
                <w:szCs w:val="24"/>
                <w:highlight w:val="none"/>
                <w:lang w:val="en-US"/>
              </w:rPr>
            </w:pPr>
            <w:r>
              <w:rPr>
                <w:rFonts w:hint="eastAsia"/>
                <w:sz w:val="24"/>
                <w:szCs w:val="24"/>
                <w:highlight w:val="none"/>
                <w:lang w:val="en-US"/>
              </w:rPr>
              <w:t>7</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AD5C7">
            <w:pPr>
              <w:spacing w:line="360" w:lineRule="auto"/>
              <w:ind w:left="210" w:leftChars="100"/>
              <w:rPr>
                <w:rFonts w:ascii="宋体" w:hAnsi="宋体" w:eastAsia="宋体" w:cs="宋体"/>
                <w:kern w:val="2"/>
                <w:sz w:val="24"/>
                <w:szCs w:val="24"/>
                <w:highlight w:val="none"/>
                <w:lang w:val="zh-CN" w:eastAsia="zh-CN" w:bidi="zh-CN"/>
              </w:rPr>
            </w:pPr>
            <w:r>
              <w:rPr>
                <w:rFonts w:hint="eastAsia" w:ascii="宋体" w:hAnsi="宋体" w:cs="宋体"/>
                <w:bCs/>
                <w:sz w:val="24"/>
                <w:szCs w:val="24"/>
                <w:highlight w:val="none"/>
              </w:rPr>
              <w:t>投标保证金缴纳凭证或保函</w:t>
            </w:r>
            <w:r>
              <w:rPr>
                <w:rFonts w:hint="eastAsia"/>
                <w:sz w:val="24"/>
                <w:szCs w:val="24"/>
                <w:highlight w:val="none"/>
              </w:rPr>
              <w:t>（按招标文件要求提供）</w:t>
            </w:r>
            <w:r>
              <w:rPr>
                <w:rFonts w:hint="eastAsia" w:ascii="宋体" w:hAnsi="宋体" w:cs="宋体"/>
                <w:sz w:val="24"/>
                <w:szCs w:val="24"/>
                <w:highlight w:val="none"/>
                <w:lang w:val="zh-CN" w:bidi="zh-CN"/>
              </w:rPr>
              <w:t>；</w:t>
            </w:r>
          </w:p>
        </w:tc>
      </w:tr>
    </w:tbl>
    <w:p w14:paraId="793674AF">
      <w:pPr>
        <w:pStyle w:val="13"/>
        <w:jc w:val="both"/>
        <w:rPr>
          <w:rFonts w:ascii="宋体" w:hAnsi="宋体"/>
          <w:b/>
          <w:bCs/>
          <w:sz w:val="28"/>
          <w:szCs w:val="28"/>
          <w:highlight w:val="none"/>
        </w:rPr>
      </w:pPr>
    </w:p>
    <w:p w14:paraId="0AD4386F">
      <w:pPr>
        <w:rPr>
          <w:rFonts w:ascii="宋体" w:hAnsi="宋体"/>
          <w:b/>
          <w:bCs/>
          <w:sz w:val="28"/>
          <w:szCs w:val="28"/>
          <w:highlight w:val="none"/>
        </w:rPr>
      </w:pPr>
      <w:r>
        <w:rPr>
          <w:rFonts w:hint="eastAsia" w:ascii="宋体" w:hAnsi="宋体"/>
          <w:b/>
          <w:bCs/>
          <w:sz w:val="28"/>
          <w:szCs w:val="28"/>
          <w:highlight w:val="none"/>
        </w:rPr>
        <w:br w:type="page"/>
      </w:r>
    </w:p>
    <w:p w14:paraId="66456731">
      <w:pPr>
        <w:pStyle w:val="13"/>
        <w:jc w:val="center"/>
        <w:rPr>
          <w:highlight w:val="none"/>
        </w:rPr>
      </w:pPr>
      <w:r>
        <w:rPr>
          <w:rFonts w:hint="eastAsia" w:ascii="宋体" w:hAnsi="宋体"/>
          <w:b/>
          <w:bCs/>
          <w:sz w:val="28"/>
          <w:szCs w:val="28"/>
          <w:highlight w:val="none"/>
        </w:rPr>
        <w:t>符合性审查一览表</w:t>
      </w:r>
    </w:p>
    <w:tbl>
      <w:tblPr>
        <w:tblStyle w:val="27"/>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14:paraId="4E6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vAlign w:val="center"/>
          </w:tcPr>
          <w:p w14:paraId="1E83F32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6878" w:type="dxa"/>
            <w:vAlign w:val="center"/>
          </w:tcPr>
          <w:p w14:paraId="485CE00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审查项目</w:t>
            </w:r>
          </w:p>
        </w:tc>
        <w:tc>
          <w:tcPr>
            <w:tcW w:w="1551" w:type="dxa"/>
            <w:vAlign w:val="center"/>
          </w:tcPr>
          <w:p w14:paraId="7713E266">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审查情况</w:t>
            </w:r>
          </w:p>
          <w:p w14:paraId="7B294468">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（是否响应）</w:t>
            </w:r>
          </w:p>
        </w:tc>
      </w:tr>
      <w:tr w14:paraId="193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5" w:type="dxa"/>
            <w:vMerge w:val="restart"/>
            <w:vAlign w:val="center"/>
          </w:tcPr>
          <w:p w14:paraId="2120E26E">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报价</w:t>
            </w:r>
          </w:p>
        </w:tc>
        <w:tc>
          <w:tcPr>
            <w:tcW w:w="6878" w:type="dxa"/>
            <w:vAlign w:val="center"/>
          </w:tcPr>
          <w:p w14:paraId="09DCB333">
            <w:pPr>
              <w:widowControl/>
              <w:jc w:val="left"/>
              <w:rPr>
                <w:rFonts w:ascii="宋体" w:hAnsi="宋体" w:cs="宋体"/>
                <w:sz w:val="24"/>
                <w:szCs w:val="24"/>
                <w:highlight w:val="none"/>
                <w:lang w:val="zh-CN"/>
              </w:rPr>
            </w:pPr>
            <w:r>
              <w:rPr>
                <w:rFonts w:hint="eastAsia" w:ascii="宋体" w:hAnsi="宋体" w:cs="宋体"/>
                <w:color w:val="000000"/>
                <w:kern w:val="0"/>
                <w:sz w:val="24"/>
                <w:szCs w:val="24"/>
                <w:highlight w:val="none"/>
                <w:lang w:bidi="ar"/>
              </w:rPr>
              <w:t>投标报价是否符合招标文件要求</w:t>
            </w:r>
            <w:r>
              <w:rPr>
                <w:rFonts w:hint="eastAsia" w:ascii="宋体" w:hAnsi="宋体" w:cs="宋体"/>
                <w:bCs/>
                <w:sz w:val="24"/>
                <w:szCs w:val="24"/>
                <w:highlight w:val="none"/>
              </w:rPr>
              <w:t>；</w:t>
            </w:r>
          </w:p>
        </w:tc>
        <w:tc>
          <w:tcPr>
            <w:tcW w:w="1551" w:type="dxa"/>
            <w:vAlign w:val="center"/>
          </w:tcPr>
          <w:p w14:paraId="6C859171">
            <w:pPr>
              <w:autoSpaceDE w:val="0"/>
              <w:autoSpaceDN w:val="0"/>
              <w:adjustRightInd w:val="0"/>
              <w:spacing w:line="360" w:lineRule="auto"/>
              <w:rPr>
                <w:rFonts w:ascii="宋体" w:hAnsi="宋体" w:cs="宋体"/>
                <w:sz w:val="24"/>
                <w:szCs w:val="24"/>
                <w:highlight w:val="none"/>
                <w:lang w:val="zh-CN"/>
              </w:rPr>
            </w:pPr>
          </w:p>
        </w:tc>
      </w:tr>
      <w:tr w14:paraId="5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5" w:type="dxa"/>
            <w:vMerge w:val="restart"/>
            <w:vAlign w:val="center"/>
          </w:tcPr>
          <w:p w14:paraId="4DEFA499">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商务资信</w:t>
            </w:r>
          </w:p>
        </w:tc>
        <w:tc>
          <w:tcPr>
            <w:tcW w:w="6878" w:type="dxa"/>
            <w:vAlign w:val="center"/>
          </w:tcPr>
          <w:p w14:paraId="2B42AC83">
            <w:pPr>
              <w:autoSpaceDE w:val="0"/>
              <w:autoSpaceDN w:val="0"/>
              <w:adjustRightInd w:val="0"/>
              <w:spacing w:line="360" w:lineRule="auto"/>
              <w:rPr>
                <w:rFonts w:ascii="宋体" w:hAnsi="宋体" w:cs="宋体"/>
                <w:sz w:val="24"/>
                <w:szCs w:val="24"/>
                <w:highlight w:val="none"/>
                <w:lang w:val="zh-CN"/>
              </w:rPr>
            </w:pPr>
            <w:r>
              <w:rPr>
                <w:rFonts w:hint="eastAsia"/>
                <w:sz w:val="24"/>
                <w:szCs w:val="24"/>
                <w:highlight w:val="none"/>
              </w:rPr>
              <w:t>投标有效期是否满足招标文件要求</w:t>
            </w:r>
            <w:r>
              <w:rPr>
                <w:rFonts w:hint="eastAsia" w:ascii="宋体" w:hAnsi="宋体" w:cs="宋体"/>
                <w:bCs/>
                <w:sz w:val="24"/>
                <w:szCs w:val="24"/>
                <w:highlight w:val="none"/>
              </w:rPr>
              <w:t>；</w:t>
            </w:r>
          </w:p>
        </w:tc>
        <w:tc>
          <w:tcPr>
            <w:tcW w:w="1551" w:type="dxa"/>
            <w:vAlign w:val="center"/>
          </w:tcPr>
          <w:p w14:paraId="49CAD0A3">
            <w:pPr>
              <w:autoSpaceDE w:val="0"/>
              <w:autoSpaceDN w:val="0"/>
              <w:adjustRightInd w:val="0"/>
              <w:spacing w:line="360" w:lineRule="auto"/>
              <w:rPr>
                <w:rFonts w:ascii="宋体" w:hAnsi="宋体" w:cs="宋体"/>
                <w:sz w:val="24"/>
                <w:szCs w:val="24"/>
                <w:highlight w:val="none"/>
                <w:lang w:val="zh-CN"/>
              </w:rPr>
            </w:pPr>
          </w:p>
        </w:tc>
      </w:tr>
      <w:tr w14:paraId="4A3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40124D0C">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420CCC58">
            <w:pPr>
              <w:autoSpaceDE w:val="0"/>
              <w:autoSpaceDN w:val="0"/>
              <w:adjustRightInd w:val="0"/>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合同完成期限是否未超过招标文件规定期限、是否未以他人名义投标、串通投标、以行贿手段谋取成交或者以其他弄虚作假方式投标的；</w:t>
            </w:r>
          </w:p>
        </w:tc>
        <w:tc>
          <w:tcPr>
            <w:tcW w:w="1551" w:type="dxa"/>
            <w:vAlign w:val="center"/>
          </w:tcPr>
          <w:p w14:paraId="59F566A0">
            <w:pPr>
              <w:autoSpaceDE w:val="0"/>
              <w:autoSpaceDN w:val="0"/>
              <w:adjustRightInd w:val="0"/>
              <w:spacing w:line="360" w:lineRule="auto"/>
              <w:rPr>
                <w:rFonts w:ascii="宋体" w:hAnsi="宋体" w:cs="宋体"/>
                <w:sz w:val="24"/>
                <w:szCs w:val="24"/>
                <w:highlight w:val="none"/>
                <w:lang w:val="zh-CN"/>
              </w:rPr>
            </w:pPr>
          </w:p>
        </w:tc>
      </w:tr>
      <w:tr w14:paraId="0C9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Merge w:val="continue"/>
            <w:vAlign w:val="center"/>
          </w:tcPr>
          <w:p w14:paraId="5118B334">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27E69052">
            <w:pPr>
              <w:autoSpaceDE w:val="0"/>
              <w:autoSpaceDN w:val="0"/>
              <w:adjustRightInd w:val="0"/>
              <w:spacing w:line="360" w:lineRule="auto"/>
              <w:rPr>
                <w:rFonts w:ascii="宋体" w:hAnsi="宋体" w:cs="宋体"/>
                <w:bCs/>
                <w:sz w:val="24"/>
                <w:szCs w:val="24"/>
                <w:highlight w:val="none"/>
                <w:lang w:val="zh-CN"/>
              </w:rPr>
            </w:pPr>
            <w:r>
              <w:rPr>
                <w:rFonts w:hint="eastAsia" w:ascii="宋体" w:hAnsi="宋体" w:cs="仿宋_GB2312"/>
                <w:bCs/>
                <w:sz w:val="24"/>
                <w:szCs w:val="24"/>
                <w:highlight w:val="none"/>
                <w:lang w:val="en-US" w:eastAsia="zh-CN"/>
              </w:rPr>
              <w:t>投标</w:t>
            </w:r>
            <w:r>
              <w:rPr>
                <w:rFonts w:hint="eastAsia" w:ascii="宋体" w:hAnsi="宋体" w:cs="仿宋_GB2312"/>
                <w:bCs/>
                <w:sz w:val="24"/>
                <w:szCs w:val="24"/>
                <w:highlight w:val="none"/>
                <w:lang w:val="zh-CN"/>
              </w:rPr>
              <w:t>文件是否未附有采购人不能接受的条件的</w:t>
            </w:r>
            <w:r>
              <w:rPr>
                <w:rFonts w:hint="eastAsia" w:ascii="宋体" w:hAnsi="宋体" w:cs="宋体"/>
                <w:bCs/>
                <w:sz w:val="24"/>
                <w:szCs w:val="24"/>
                <w:highlight w:val="none"/>
                <w:lang w:val="zh-CN"/>
              </w:rPr>
              <w:t>；</w:t>
            </w:r>
          </w:p>
        </w:tc>
        <w:tc>
          <w:tcPr>
            <w:tcW w:w="1551" w:type="dxa"/>
            <w:vAlign w:val="center"/>
          </w:tcPr>
          <w:p w14:paraId="2111D59E">
            <w:pPr>
              <w:autoSpaceDE w:val="0"/>
              <w:autoSpaceDN w:val="0"/>
              <w:adjustRightInd w:val="0"/>
              <w:spacing w:line="360" w:lineRule="auto"/>
              <w:rPr>
                <w:rFonts w:ascii="宋体" w:hAnsi="宋体" w:cs="宋体"/>
                <w:sz w:val="24"/>
                <w:szCs w:val="24"/>
                <w:highlight w:val="none"/>
                <w:lang w:val="zh-CN"/>
              </w:rPr>
            </w:pPr>
          </w:p>
        </w:tc>
      </w:tr>
      <w:tr w14:paraId="563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restart"/>
            <w:vAlign w:val="center"/>
          </w:tcPr>
          <w:p w14:paraId="11ADBFF4">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技术</w:t>
            </w:r>
          </w:p>
        </w:tc>
        <w:tc>
          <w:tcPr>
            <w:tcW w:w="6878" w:type="dxa"/>
            <w:vAlign w:val="center"/>
          </w:tcPr>
          <w:p w14:paraId="3C854711">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w:t>
            </w:r>
            <w:r>
              <w:rPr>
                <w:rFonts w:hint="eastAsia" w:ascii="宋体" w:hAnsi="宋体" w:cs="仿宋_GB2312"/>
                <w:bCs/>
                <w:sz w:val="24"/>
                <w:szCs w:val="24"/>
                <w:highlight w:val="none"/>
                <w:lang w:val="zh-CN"/>
              </w:rPr>
              <w:t>文件是否未附有</w:t>
            </w:r>
            <w:r>
              <w:rPr>
                <w:rFonts w:hint="eastAsia" w:ascii="宋体" w:hAnsi="宋体" w:cs="宋体"/>
                <w:bCs/>
                <w:sz w:val="24"/>
                <w:szCs w:val="24"/>
                <w:highlight w:val="none"/>
              </w:rPr>
              <w:t>不符合招标文件规定的其他实质性要求的；</w:t>
            </w:r>
          </w:p>
        </w:tc>
        <w:tc>
          <w:tcPr>
            <w:tcW w:w="1551" w:type="dxa"/>
            <w:vAlign w:val="center"/>
          </w:tcPr>
          <w:p w14:paraId="12343480">
            <w:pPr>
              <w:autoSpaceDE w:val="0"/>
              <w:autoSpaceDN w:val="0"/>
              <w:adjustRightInd w:val="0"/>
              <w:spacing w:line="360" w:lineRule="auto"/>
              <w:rPr>
                <w:rFonts w:ascii="宋体" w:hAnsi="宋体" w:cs="宋体"/>
                <w:sz w:val="24"/>
                <w:szCs w:val="24"/>
                <w:highlight w:val="none"/>
                <w:lang w:val="zh-CN"/>
              </w:rPr>
            </w:pPr>
          </w:p>
        </w:tc>
      </w:tr>
      <w:tr w14:paraId="2CC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continue"/>
            <w:vAlign w:val="center"/>
          </w:tcPr>
          <w:p w14:paraId="5E752855">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73E19D9D">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投标人提供的投标文件参数须满足招标文件第三章货物需求、技术规格说明的要求，若有负偏离视为无效投标。</w:t>
            </w:r>
          </w:p>
        </w:tc>
        <w:tc>
          <w:tcPr>
            <w:tcW w:w="1551" w:type="dxa"/>
            <w:vAlign w:val="center"/>
          </w:tcPr>
          <w:p w14:paraId="46BE7CCE">
            <w:pPr>
              <w:autoSpaceDE w:val="0"/>
              <w:autoSpaceDN w:val="0"/>
              <w:adjustRightInd w:val="0"/>
              <w:spacing w:line="360" w:lineRule="auto"/>
              <w:rPr>
                <w:rFonts w:ascii="宋体" w:hAnsi="宋体" w:cs="宋体"/>
                <w:sz w:val="24"/>
                <w:szCs w:val="24"/>
                <w:highlight w:val="none"/>
                <w:lang w:val="zh-CN"/>
              </w:rPr>
            </w:pPr>
          </w:p>
        </w:tc>
      </w:tr>
    </w:tbl>
    <w:p w14:paraId="4640F06D">
      <w:pPr>
        <w:pStyle w:val="34"/>
        <w:rPr>
          <w:color w:val="auto"/>
          <w:highlight w:val="none"/>
          <w:lang w:val="zh-CN"/>
        </w:rPr>
      </w:pPr>
    </w:p>
    <w:p w14:paraId="378DBA70">
      <w:pPr>
        <w:autoSpaceDE w:val="0"/>
        <w:autoSpaceDN w:val="0"/>
        <w:adjustRightInd w:val="0"/>
        <w:spacing w:line="360" w:lineRule="auto"/>
        <w:rPr>
          <w:rFonts w:ascii="宋体" w:hAnsi="宋体" w:cs="宋体"/>
          <w:b/>
          <w:sz w:val="24"/>
          <w:highlight w:val="none"/>
          <w:lang w:val="zh-CN"/>
        </w:rPr>
      </w:pPr>
    </w:p>
    <w:p w14:paraId="7188A4B5">
      <w:pPr>
        <w:autoSpaceDE w:val="0"/>
        <w:autoSpaceDN w:val="0"/>
        <w:adjustRightInd w:val="0"/>
        <w:spacing w:line="360" w:lineRule="auto"/>
        <w:ind w:firstLine="480"/>
        <w:rPr>
          <w:rFonts w:ascii="宋体" w:hAnsi="宋体" w:cs="宋体"/>
          <w:b/>
          <w:sz w:val="24"/>
          <w:highlight w:val="none"/>
          <w:lang w:val="zh-CN"/>
        </w:rPr>
      </w:pPr>
    </w:p>
    <w:p w14:paraId="4FDBD8D1">
      <w:pPr>
        <w:autoSpaceDE w:val="0"/>
        <w:autoSpaceDN w:val="0"/>
        <w:adjustRightInd w:val="0"/>
        <w:spacing w:line="360" w:lineRule="auto"/>
        <w:ind w:firstLine="480"/>
        <w:rPr>
          <w:rFonts w:ascii="宋体" w:hAnsi="宋体" w:cs="宋体"/>
          <w:b/>
          <w:sz w:val="24"/>
          <w:highlight w:val="none"/>
          <w:lang w:val="zh-CN"/>
        </w:rPr>
      </w:pPr>
    </w:p>
    <w:p w14:paraId="4E3590F8">
      <w:pPr>
        <w:autoSpaceDE w:val="0"/>
        <w:autoSpaceDN w:val="0"/>
        <w:adjustRightInd w:val="0"/>
        <w:spacing w:line="360" w:lineRule="auto"/>
        <w:ind w:firstLine="480"/>
        <w:rPr>
          <w:rFonts w:ascii="宋体" w:hAnsi="宋体" w:cs="宋体"/>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 xml:space="preserve">7 综合评审 </w:t>
      </w:r>
    </w:p>
    <w:p w14:paraId="72D00B1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.1</w:t>
      </w:r>
      <w:r>
        <w:rPr>
          <w:rFonts w:hint="eastAsia" w:ascii="宋体" w:hAnsi="宋体" w:cs="宋体"/>
          <w:sz w:val="24"/>
          <w:highlight w:val="none"/>
        </w:rPr>
        <w:t xml:space="preserve"> </w:t>
      </w:r>
      <w:r>
        <w:rPr>
          <w:rFonts w:hint="eastAsia" w:ascii="宋体" w:hAnsi="宋体" w:cs="宋体"/>
          <w:bCs/>
          <w:sz w:val="24"/>
          <w:highlight w:val="none"/>
        </w:rPr>
        <w:t>评标委员会各成员</w:t>
      </w:r>
      <w:r>
        <w:rPr>
          <w:rFonts w:hint="eastAsia" w:ascii="宋体" w:hAnsi="宋体" w:cs="宋体"/>
          <w:sz w:val="24"/>
          <w:highlight w:val="none"/>
        </w:rPr>
        <w:t>应当</w:t>
      </w:r>
      <w:r>
        <w:rPr>
          <w:rFonts w:hint="eastAsia" w:ascii="宋体" w:hAnsi="宋体" w:cs="宋体"/>
          <w:bCs/>
          <w:sz w:val="24"/>
          <w:highlight w:val="none"/>
        </w:rPr>
        <w:t>遵循独立评审原则，</w:t>
      </w:r>
      <w:r>
        <w:rPr>
          <w:rFonts w:hint="eastAsia" w:ascii="宋体" w:hAnsi="宋体" w:cs="宋体"/>
          <w:sz w:val="24"/>
          <w:highlight w:val="none"/>
          <w:lang w:val="zh-CN"/>
        </w:rPr>
        <w:t>按照招标文件的评标方法和标准，对资格资质检查和符合性检查合格的投标文件的商务和技术进行评估，综合比较与评价。并应当以书面方式发表各自（或集体）的具体综合评审意见。</w:t>
      </w:r>
    </w:p>
    <w:p w14:paraId="42F3EA4F">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.2 评估和综合比较与评价，应当</w:t>
      </w:r>
      <w:r>
        <w:rPr>
          <w:rFonts w:hint="eastAsia" w:ascii="宋体" w:hAnsi="宋体" w:cs="宋体"/>
          <w:bCs/>
          <w:sz w:val="24"/>
          <w:highlight w:val="none"/>
        </w:rPr>
        <w:t>严格</w:t>
      </w:r>
      <w:r>
        <w:rPr>
          <w:rFonts w:hint="eastAsia" w:ascii="宋体" w:hAnsi="宋体" w:cs="宋体"/>
          <w:sz w:val="24"/>
          <w:highlight w:val="none"/>
          <w:lang w:val="zh-CN"/>
        </w:rPr>
        <w:t>按照采购人设计格式要求，做好书面原始署名记录，</w:t>
      </w:r>
      <w:r>
        <w:rPr>
          <w:rFonts w:hint="eastAsia" w:ascii="宋体" w:hAnsi="宋体" w:cs="宋体"/>
          <w:bCs/>
          <w:sz w:val="24"/>
          <w:szCs w:val="24"/>
          <w:highlight w:val="none"/>
        </w:rPr>
        <w:t>连同书面评标报告提交采购人。</w:t>
      </w:r>
    </w:p>
    <w:p w14:paraId="223B15DE">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.3</w:t>
      </w:r>
      <w:r>
        <w:rPr>
          <w:rFonts w:hint="eastAsia" w:ascii="宋体" w:hAnsi="宋体" w:cs="宋体"/>
          <w:bCs/>
          <w:sz w:val="24"/>
          <w:szCs w:val="24"/>
          <w:highlight w:val="none"/>
        </w:rPr>
        <w:t xml:space="preserve"> “综合评分法”应当载明投标人的投标项目、所作的任何修正、对商业偏差的调整、对技术偏差的调整、对各评审因素的评估，以及对每一投标的最终评标结果。</w:t>
      </w:r>
    </w:p>
    <w:p w14:paraId="6F21FE31">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.4</w:t>
      </w:r>
      <w:r>
        <w:rPr>
          <w:rFonts w:hint="eastAsia" w:ascii="宋体" w:hAnsi="宋体" w:cs="宋体"/>
          <w:bCs/>
          <w:sz w:val="24"/>
          <w:szCs w:val="24"/>
          <w:highlight w:val="none"/>
        </w:rPr>
        <w:t xml:space="preserve"> </w:t>
      </w:r>
      <w:r>
        <w:rPr>
          <w:rFonts w:hint="eastAsia" w:ascii="宋体" w:hAnsi="宋体" w:cs="宋体"/>
          <w:sz w:val="24"/>
          <w:highlight w:val="none"/>
          <w:lang w:val="zh-CN"/>
        </w:rPr>
        <w:t>综合评审记录要突出重点、抓住关键（核</w:t>
      </w:r>
      <w:r>
        <w:rPr>
          <w:rFonts w:hint="eastAsia" w:ascii="宋体" w:hAnsi="宋体" w:cs="宋体"/>
          <w:bCs/>
          <w:sz w:val="24"/>
          <w:szCs w:val="24"/>
          <w:highlight w:val="none"/>
        </w:rPr>
        <w:t>心）、真实准确、简明扼要，体现公平、公正、合理。否则，经核实后，将按前款</w:t>
      </w:r>
      <w:r>
        <w:rPr>
          <w:rFonts w:hint="eastAsia" w:ascii="宋体" w:hAnsi="宋体" w:cs="宋体"/>
          <w:sz w:val="24"/>
          <w:szCs w:val="24"/>
          <w:highlight w:val="none"/>
        </w:rPr>
        <w:t>“第五部分”中“第四章”的21.3条款之规定执行。</w:t>
      </w:r>
    </w:p>
    <w:p w14:paraId="7C95FF04">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7</w:t>
      </w:r>
      <w:r>
        <w:rPr>
          <w:rFonts w:hint="eastAsia" w:ascii="宋体" w:hAnsi="宋体" w:cs="宋体"/>
          <w:b/>
          <w:sz w:val="24"/>
          <w:highlight w:val="none"/>
          <w:lang w:val="zh-CN"/>
        </w:rPr>
        <w:t>.</w:t>
      </w:r>
      <w:r>
        <w:rPr>
          <w:rFonts w:hint="eastAsia" w:ascii="宋体" w:hAnsi="宋体" w:cs="宋体"/>
          <w:b/>
          <w:sz w:val="24"/>
          <w:highlight w:val="none"/>
        </w:rPr>
        <w:t>5</w:t>
      </w:r>
      <w:r>
        <w:rPr>
          <w:rFonts w:hint="eastAsia" w:ascii="宋体" w:hAnsi="宋体" w:cs="宋体"/>
          <w:b/>
          <w:sz w:val="24"/>
          <w:highlight w:val="none"/>
          <w:lang w:val="zh-CN"/>
        </w:rPr>
        <w:t xml:space="preserve"> 比较与评价</w:t>
      </w:r>
    </w:p>
    <w:p w14:paraId="221A843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bCs/>
          <w:sz w:val="24"/>
          <w:highlight w:val="none"/>
        </w:rPr>
        <w:t>综合评标时，评标委员会各成员应当对每一个有效投标人的投标文件，</w:t>
      </w:r>
      <w:r>
        <w:rPr>
          <w:rFonts w:hint="eastAsia" w:ascii="宋体" w:hAnsi="宋体" w:cs="宋体"/>
          <w:sz w:val="24"/>
          <w:highlight w:val="none"/>
          <w:lang w:val="zh-CN"/>
        </w:rPr>
        <w:t>根据招标文件中要求的产品价格、技术、性能、质量及质检认证、环保节能、财务状况、信誉、业绩、服务、培训、货物供应及对招标文件的响应程度等指标，进行具体评估。</w:t>
      </w:r>
    </w:p>
    <w:p w14:paraId="5D0DA405">
      <w:pPr>
        <w:autoSpaceDE w:val="0"/>
        <w:autoSpaceDN w:val="0"/>
        <w:adjustRightInd w:val="0"/>
        <w:spacing w:line="360" w:lineRule="auto"/>
        <w:ind w:firstLine="480"/>
        <w:rPr>
          <w:rFonts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591A01C9">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8</w:t>
      </w:r>
      <w:r>
        <w:rPr>
          <w:rFonts w:hint="eastAsia" w:ascii="宋体" w:hAnsi="宋体" w:cs="宋体"/>
          <w:b/>
          <w:sz w:val="24"/>
          <w:highlight w:val="none"/>
          <w:lang w:val="zh-CN"/>
        </w:rPr>
        <w:t xml:space="preserve"> 综合评分法的原则、方法和标准</w:t>
      </w:r>
    </w:p>
    <w:p w14:paraId="26B60B2E">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bCs/>
          <w:sz w:val="24"/>
          <w:szCs w:val="24"/>
          <w:highlight w:val="none"/>
        </w:rPr>
        <w:t>采用综合评分法，是指在最大限度地满足招标文件实质性要求前提下，按照招标文件中规定的各项因素进行综合评审后，以评分得分最高的投标人作为中标候选人或者中标人的评标方法。</w:t>
      </w:r>
    </w:p>
    <w:p w14:paraId="7BC9AA1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.2</w:t>
      </w:r>
      <w:r>
        <w:rPr>
          <w:rFonts w:hint="eastAsia" w:ascii="宋体" w:hAnsi="宋体" w:cs="宋体"/>
          <w:sz w:val="24"/>
          <w:szCs w:val="24"/>
          <w:highlight w:val="none"/>
        </w:rPr>
        <w:t xml:space="preserve"> </w:t>
      </w:r>
      <w:r>
        <w:rPr>
          <w:rFonts w:hint="eastAsia" w:ascii="宋体" w:hAnsi="宋体" w:cs="宋体"/>
          <w:sz w:val="24"/>
          <w:highlight w:val="none"/>
          <w:lang w:val="zh-CN"/>
        </w:rPr>
        <w:t>综合评分方法：评标委员会成员</w:t>
      </w:r>
      <w:r>
        <w:rPr>
          <w:rFonts w:hint="eastAsia" w:ascii="宋体" w:hAnsi="宋体" w:cs="宋体"/>
          <w:sz w:val="24"/>
          <w:szCs w:val="24"/>
          <w:highlight w:val="none"/>
        </w:rPr>
        <w:t>应按照独立综合评审原则，根据对招标</w:t>
      </w:r>
      <w:r>
        <w:rPr>
          <w:rFonts w:hint="eastAsia" w:ascii="宋体" w:hAnsi="宋体" w:cs="宋体"/>
          <w:sz w:val="24"/>
          <w:highlight w:val="none"/>
          <w:lang w:val="zh-CN"/>
        </w:rPr>
        <w:t>文件的响应程度和具体评标</w:t>
      </w:r>
      <w:r>
        <w:rPr>
          <w:rFonts w:hint="eastAsia" w:ascii="宋体" w:hAnsi="宋体" w:cs="宋体"/>
          <w:sz w:val="24"/>
          <w:szCs w:val="24"/>
          <w:highlight w:val="none"/>
        </w:rPr>
        <w:t>情况，</w:t>
      </w:r>
      <w:r>
        <w:rPr>
          <w:rFonts w:hint="eastAsia" w:ascii="宋体" w:hAnsi="宋体" w:cs="宋体"/>
          <w:sz w:val="24"/>
          <w:highlight w:val="none"/>
          <w:lang w:val="zh-CN"/>
        </w:rPr>
        <w:t>独立对具体投标文件的商务和技术指标进行评估和综合比较与评价后，独立（或集体）发表综合评审（议）意见，对每一个投标人做出打分决定；经政采云系统自动核对汇总核对和汇总后，按得高分原则，由高到低进行排序后，</w:t>
      </w:r>
      <w:r>
        <w:rPr>
          <w:rFonts w:hint="eastAsia" w:ascii="宋体" w:hAnsi="宋体" w:cs="宋体"/>
          <w:sz w:val="24"/>
          <w:highlight w:val="none"/>
        </w:rPr>
        <w:t>最后根据评标委员会各成员签署的打分结果，得出评标结论。</w:t>
      </w:r>
    </w:p>
    <w:p w14:paraId="112C158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.3 评标时，评标委员会各成员应当独立对每个有效投标人的投标文件进行评价、打分，然后由政采云系统自动核对汇总</w:t>
      </w:r>
      <w:r>
        <w:rPr>
          <w:rFonts w:hint="eastAsia" w:ascii="宋体" w:hAnsi="宋体" w:cs="宋体"/>
          <w:sz w:val="24"/>
          <w:szCs w:val="22"/>
          <w:highlight w:val="none"/>
          <w:lang w:val="zh-CN"/>
        </w:rPr>
        <w:t>核对汇总出每</w:t>
      </w:r>
      <w:r>
        <w:rPr>
          <w:rFonts w:hint="eastAsia" w:ascii="宋体" w:hAnsi="宋体" w:cs="宋体"/>
          <w:sz w:val="24"/>
          <w:highlight w:val="none"/>
          <w:lang w:val="zh-CN"/>
        </w:rPr>
        <w:t>个投标人每项评分因素的得分。</w:t>
      </w:r>
    </w:p>
    <w:p w14:paraId="6A0EB48C">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.4 综合评分，应严格遵守前款“</w:t>
      </w:r>
      <w:r>
        <w:rPr>
          <w:rFonts w:hint="eastAsia" w:ascii="宋体" w:hAnsi="宋体" w:cs="宋体"/>
          <w:bCs/>
          <w:sz w:val="24"/>
          <w:highlight w:val="none"/>
          <w:lang w:val="zh-CN"/>
        </w:rPr>
        <w:t>24.5.8</w:t>
      </w:r>
      <w:r>
        <w:rPr>
          <w:rFonts w:hint="eastAsia" w:ascii="宋体" w:hAnsi="宋体" w:cs="宋体"/>
          <w:bCs/>
          <w:sz w:val="24"/>
          <w:highlight w:val="none"/>
        </w:rPr>
        <w:t xml:space="preserve"> 综合评审”条款之规定。</w:t>
      </w:r>
      <w:r>
        <w:rPr>
          <w:rFonts w:hint="eastAsia" w:ascii="宋体" w:hAnsi="宋体" w:cs="宋体"/>
          <w:bCs/>
          <w:sz w:val="24"/>
          <w:highlight w:val="none"/>
          <w:lang w:val="zh-CN"/>
        </w:rPr>
        <w:t>否则，经核实后，</w:t>
      </w:r>
      <w:r>
        <w:rPr>
          <w:rFonts w:hint="eastAsia" w:ascii="宋体" w:hAnsi="宋体" w:cs="宋体"/>
          <w:bCs/>
          <w:sz w:val="24"/>
          <w:szCs w:val="24"/>
          <w:highlight w:val="none"/>
        </w:rPr>
        <w:t>将按前款“第五部分”中“第四章”的21.3条款之规定执行。</w:t>
      </w:r>
    </w:p>
    <w:p w14:paraId="67757016">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lang w:val="zh-CN"/>
        </w:rPr>
        <w:t>.5.</w:t>
      </w:r>
      <w:r>
        <w:rPr>
          <w:rFonts w:hint="eastAsia" w:ascii="宋体" w:hAnsi="宋体" w:cs="宋体"/>
          <w:bCs/>
          <w:sz w:val="24"/>
          <w:highlight w:val="none"/>
        </w:rPr>
        <w:t>8</w:t>
      </w:r>
      <w:r>
        <w:rPr>
          <w:rFonts w:hint="eastAsia" w:ascii="宋体" w:hAnsi="宋体" w:cs="宋体"/>
          <w:bCs/>
          <w:sz w:val="24"/>
          <w:highlight w:val="none"/>
          <w:lang w:val="zh-CN"/>
        </w:rPr>
        <w:t>.5 评标委员会</w:t>
      </w:r>
      <w:r>
        <w:rPr>
          <w:rFonts w:hint="eastAsia" w:ascii="宋体" w:hAnsi="宋体" w:cs="宋体"/>
          <w:bCs/>
          <w:sz w:val="24"/>
          <w:szCs w:val="24"/>
          <w:highlight w:val="none"/>
        </w:rPr>
        <w:t>各成员</w:t>
      </w:r>
      <w:r>
        <w:rPr>
          <w:rFonts w:hint="eastAsia" w:ascii="宋体" w:hAnsi="宋体" w:cs="宋体"/>
          <w:bCs/>
          <w:sz w:val="24"/>
          <w:highlight w:val="none"/>
          <w:lang w:val="zh-CN"/>
        </w:rPr>
        <w:t>要按照采购人规定格式，将每一个投标</w:t>
      </w:r>
      <w:r>
        <w:rPr>
          <w:rFonts w:hint="eastAsia" w:ascii="宋体" w:hAnsi="宋体" w:cs="宋体"/>
          <w:sz w:val="24"/>
          <w:highlight w:val="none"/>
          <w:lang w:val="zh-CN"/>
        </w:rPr>
        <w:t>人的综合评审意见、打分结果、推荐理由等进行署名原始记录。</w:t>
      </w:r>
    </w:p>
    <w:p w14:paraId="70160EF4">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6</w:t>
      </w:r>
      <w:r>
        <w:rPr>
          <w:rFonts w:hint="eastAsia" w:ascii="宋体" w:hAnsi="宋体" w:cs="宋体"/>
          <w:b/>
          <w:sz w:val="24"/>
          <w:highlight w:val="none"/>
        </w:rPr>
        <w:t xml:space="preserve"> 综合评分原则</w:t>
      </w:r>
    </w:p>
    <w:p w14:paraId="34BFF919">
      <w:pPr>
        <w:spacing w:line="360" w:lineRule="auto"/>
        <w:ind w:firstLine="480" w:firstLineChars="200"/>
        <w:rPr>
          <w:rFonts w:ascii="宋体" w:hAnsi="宋体" w:cs="宋体"/>
          <w:bCs/>
          <w:sz w:val="32"/>
          <w:szCs w:val="32"/>
          <w:highlight w:val="none"/>
        </w:rPr>
      </w:pPr>
      <w:r>
        <w:rPr>
          <w:rFonts w:hint="eastAsia" w:ascii="宋体" w:hAnsi="宋体" w:cs="宋体"/>
          <w:sz w:val="24"/>
          <w:highlight w:val="none"/>
        </w:rPr>
        <w:t>1、评标委员会依据《评标（分）记录明细表》对投标文件进行比较与评价，并进行打分和汇总。</w:t>
      </w:r>
    </w:p>
    <w:p w14:paraId="2F8FFF00">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2、评标委员会小组成员评标、打分时不得协商，应独立完成。</w:t>
      </w:r>
    </w:p>
    <w:p w14:paraId="2A0DCD0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3、未满足招标文件要求的投标方，不予评分。</w:t>
      </w:r>
    </w:p>
    <w:p w14:paraId="5E388A6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4、评标打分应当按照技术部分、商务部分、报价部分的顺序进行，打分可保留两位小数。</w:t>
      </w:r>
    </w:p>
    <w:p w14:paraId="138891F2">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highlight w:val="none"/>
          <w:lang w:val="zh-CN"/>
        </w:rPr>
        <w:t>《</w:t>
      </w:r>
      <w:r>
        <w:rPr>
          <w:rFonts w:hint="eastAsia" w:ascii="宋体" w:hAnsi="宋体" w:cs="宋体"/>
          <w:bCs/>
          <w:sz w:val="24"/>
          <w:szCs w:val="24"/>
          <w:highlight w:val="none"/>
        </w:rPr>
        <w:t>评标（分）记录明细表》</w:t>
      </w:r>
      <w:r>
        <w:rPr>
          <w:rFonts w:hint="eastAsia" w:ascii="宋体" w:hAnsi="宋体" w:cs="宋体"/>
          <w:sz w:val="24"/>
          <w:szCs w:val="24"/>
          <w:highlight w:val="none"/>
        </w:rPr>
        <w:t>表格部分的性能指标要求，可以按各投标文件（投标书和产品技术说明书）实际情况在档次打分范围内调整分值。</w:t>
      </w:r>
    </w:p>
    <w:p w14:paraId="03E5E1F6">
      <w:pPr>
        <w:spacing w:line="360" w:lineRule="auto"/>
        <w:ind w:firstLine="573"/>
        <w:rPr>
          <w:rFonts w:ascii="宋体" w:hAnsi="宋体" w:cs="宋体"/>
          <w:sz w:val="24"/>
          <w:szCs w:val="24"/>
          <w:highlight w:val="none"/>
        </w:rPr>
      </w:pPr>
      <w:r>
        <w:rPr>
          <w:rFonts w:hint="eastAsia" w:ascii="宋体" w:hAnsi="宋体" w:cs="宋体"/>
          <w:sz w:val="24"/>
          <w:szCs w:val="24"/>
          <w:highlight w:val="none"/>
        </w:rPr>
        <w:t>6、打分采取百分制。</w:t>
      </w:r>
    </w:p>
    <w:p w14:paraId="00A77AB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highlight w:val="none"/>
          <w:lang w:val="zh-CN"/>
        </w:rPr>
        <w:t>由采购代理机构核对录入和汇总计算出每一个投标人的所得分数值，</w:t>
      </w:r>
      <w:r>
        <w:rPr>
          <w:rFonts w:hint="eastAsia" w:ascii="宋体" w:hAnsi="宋体" w:cs="宋体"/>
          <w:sz w:val="24"/>
          <w:szCs w:val="24"/>
          <w:highlight w:val="none"/>
        </w:rPr>
        <w:t>并由高到底排序后，须有评标委员会小组各成员署名确认。如出现得分相同的，</w:t>
      </w:r>
      <w:r>
        <w:rPr>
          <w:rFonts w:hint="eastAsia" w:ascii="宋体" w:hAnsi="宋体" w:cs="宋体"/>
          <w:sz w:val="24"/>
          <w:highlight w:val="none"/>
          <w:lang w:val="zh-CN"/>
        </w:rPr>
        <w:t>应按投标人的报价由低到高顺序排列；得分且其报价相等的，则按核心技术指标优劣顺序排列。价格、技术指标的高</w:t>
      </w:r>
      <w:r>
        <w:rPr>
          <w:rFonts w:hint="eastAsia" w:ascii="宋体" w:hAnsi="宋体" w:cs="宋体"/>
          <w:sz w:val="24"/>
          <w:szCs w:val="24"/>
          <w:highlight w:val="none"/>
        </w:rPr>
        <w:t>低或优劣由评标委员各成员确认评定。</w:t>
      </w:r>
    </w:p>
    <w:p w14:paraId="4B4A82EA">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szCs w:val="24"/>
          <w:highlight w:val="none"/>
        </w:rPr>
        <w:t>8、若发现打分有误或者有差错的，或发现存在个人印象或带有明显倾向性时，将按前款</w:t>
      </w:r>
      <w:r>
        <w:rPr>
          <w:rFonts w:hint="eastAsia" w:ascii="宋体" w:hAnsi="宋体" w:cs="宋体"/>
          <w:bCs/>
          <w:sz w:val="24"/>
          <w:szCs w:val="24"/>
          <w:highlight w:val="none"/>
        </w:rPr>
        <w:t>“第五部分”中“第四章”的21.3条款之规定</w:t>
      </w:r>
      <w:r>
        <w:rPr>
          <w:rFonts w:hint="eastAsia" w:ascii="宋体" w:hAnsi="宋体" w:cs="宋体"/>
          <w:sz w:val="24"/>
          <w:szCs w:val="24"/>
          <w:highlight w:val="none"/>
        </w:rPr>
        <w:t>执行。</w:t>
      </w:r>
    </w:p>
    <w:p w14:paraId="3E6B55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7 《评标（分）记录明细表》</w:t>
      </w:r>
    </w:p>
    <w:p w14:paraId="2D6B6B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评标委员会各成员记录原则上不允许有涂改、划擦等，如有应按合规方式修正。不允许在采购代理机构核对汇总且确认之后，在未经许可时，不能再要回重新记录。</w:t>
      </w:r>
    </w:p>
    <w:p w14:paraId="6F391A40">
      <w:pPr>
        <w:rPr>
          <w:rFonts w:ascii="宋体" w:hAnsi="宋体" w:cs="宋体"/>
          <w:sz w:val="24"/>
          <w:szCs w:val="24"/>
          <w:highlight w:val="none"/>
        </w:rPr>
      </w:pPr>
      <w:r>
        <w:rPr>
          <w:rFonts w:hint="eastAsia" w:ascii="宋体" w:hAnsi="宋体" w:cs="宋体"/>
          <w:sz w:val="24"/>
          <w:szCs w:val="24"/>
          <w:highlight w:val="none"/>
        </w:rPr>
        <w:br w:type="page"/>
      </w:r>
    </w:p>
    <w:tbl>
      <w:tblPr>
        <w:tblStyle w:val="27"/>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781"/>
        <w:gridCol w:w="6350"/>
      </w:tblGrid>
      <w:tr w14:paraId="2AE4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3" w:type="dxa"/>
            <w:gridSpan w:val="3"/>
            <w:tcBorders>
              <w:top w:val="nil"/>
              <w:left w:val="nil"/>
              <w:bottom w:val="single" w:color="auto" w:sz="4" w:space="0"/>
              <w:right w:val="nil"/>
            </w:tcBorders>
            <w:vAlign w:val="center"/>
          </w:tcPr>
          <w:p w14:paraId="7CBDE265">
            <w:pPr>
              <w:pStyle w:val="62"/>
              <w:spacing w:line="360" w:lineRule="auto"/>
              <w:jc w:val="center"/>
              <w:rPr>
                <w:rFonts w:ascii="宋体" w:hAnsi="宋体" w:eastAsia="宋体" w:cs="宋体"/>
                <w:b/>
                <w:kern w:val="2"/>
                <w:highlight w:val="none"/>
              </w:rPr>
            </w:pPr>
            <w:r>
              <w:rPr>
                <w:rFonts w:hint="eastAsia" w:ascii="宋体" w:hAnsi="宋体" w:eastAsia="宋体" w:cs="宋体"/>
                <w:b/>
                <w:kern w:val="2"/>
                <w:sz w:val="32"/>
                <w:szCs w:val="32"/>
                <w:highlight w:val="none"/>
              </w:rPr>
              <w:t>商务技术部分评审</w:t>
            </w:r>
          </w:p>
        </w:tc>
      </w:tr>
      <w:tr w14:paraId="4092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tcBorders>
              <w:top w:val="single" w:color="auto" w:sz="4" w:space="0"/>
            </w:tcBorders>
            <w:vAlign w:val="center"/>
          </w:tcPr>
          <w:p w14:paraId="1A9E3B41">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评分因素</w:t>
            </w:r>
          </w:p>
        </w:tc>
        <w:tc>
          <w:tcPr>
            <w:tcW w:w="1780" w:type="dxa"/>
            <w:tcBorders>
              <w:top w:val="single" w:color="auto" w:sz="4" w:space="0"/>
            </w:tcBorders>
            <w:vAlign w:val="center"/>
          </w:tcPr>
          <w:p w14:paraId="56967CC8">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评分点</w:t>
            </w:r>
          </w:p>
        </w:tc>
        <w:tc>
          <w:tcPr>
            <w:tcW w:w="6348" w:type="dxa"/>
            <w:tcBorders>
              <w:top w:val="single" w:color="auto" w:sz="4" w:space="0"/>
            </w:tcBorders>
            <w:vAlign w:val="center"/>
          </w:tcPr>
          <w:p w14:paraId="4FBDD386">
            <w:pPr>
              <w:pStyle w:val="62"/>
              <w:spacing w:line="360" w:lineRule="auto"/>
              <w:jc w:val="center"/>
              <w:rPr>
                <w:rFonts w:ascii="宋体" w:hAnsi="宋体" w:eastAsia="宋体" w:cs="宋体"/>
                <w:b/>
                <w:kern w:val="2"/>
                <w:highlight w:val="none"/>
                <w:u w:val="single"/>
              </w:rPr>
            </w:pPr>
            <w:r>
              <w:rPr>
                <w:rFonts w:hint="eastAsia" w:ascii="宋体" w:hAnsi="宋体" w:eastAsia="宋体" w:cs="宋体"/>
                <w:b/>
                <w:kern w:val="2"/>
                <w:highlight w:val="none"/>
              </w:rPr>
              <w:t>评分标准</w:t>
            </w:r>
          </w:p>
        </w:tc>
      </w:tr>
      <w:tr w14:paraId="7EFB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205" w:type="dxa"/>
            <w:vMerge w:val="restart"/>
            <w:vAlign w:val="center"/>
          </w:tcPr>
          <w:p w14:paraId="02C015FB">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商务标</w:t>
            </w:r>
          </w:p>
          <w:p w14:paraId="6692EBE8">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51D08CF1">
            <w:pPr>
              <w:pStyle w:val="62"/>
              <w:spacing w:line="360" w:lineRule="auto"/>
              <w:jc w:val="center"/>
              <w:rPr>
                <w:rFonts w:ascii="宋体" w:hAnsi="宋体" w:eastAsia="宋体" w:cs="宋体"/>
                <w:b/>
                <w:kern w:val="2"/>
                <w:highlight w:val="none"/>
              </w:rPr>
            </w:pPr>
            <w:r>
              <w:rPr>
                <w:rFonts w:hint="eastAsia" w:ascii="宋体" w:hAnsi="宋体" w:eastAsia="宋体" w:cs="宋体"/>
                <w:kern w:val="2"/>
                <w:highlight w:val="none"/>
                <w:lang w:val="zh-CN"/>
              </w:rPr>
              <w:t>（</w:t>
            </w:r>
            <w:r>
              <w:rPr>
                <w:rFonts w:hint="eastAsia" w:ascii="宋体" w:hAnsi="宋体" w:eastAsia="宋体" w:cs="宋体"/>
                <w:kern w:val="2"/>
                <w:highlight w:val="none"/>
                <w:lang w:val="en-US" w:eastAsia="zh-CN"/>
              </w:rPr>
              <w:t>30</w:t>
            </w:r>
            <w:r>
              <w:rPr>
                <w:rFonts w:hint="eastAsia" w:ascii="宋体" w:hAnsi="宋体" w:eastAsia="宋体" w:cs="宋体"/>
                <w:kern w:val="2"/>
                <w:highlight w:val="none"/>
                <w:lang w:val="zh-CN"/>
              </w:rPr>
              <w:t>分）</w:t>
            </w:r>
          </w:p>
        </w:tc>
        <w:tc>
          <w:tcPr>
            <w:tcW w:w="1780" w:type="dxa"/>
            <w:vAlign w:val="center"/>
          </w:tcPr>
          <w:p w14:paraId="2F6F4FAE">
            <w:pPr>
              <w:pStyle w:val="62"/>
              <w:jc w:val="center"/>
              <w:rPr>
                <w:rFonts w:ascii="宋体" w:hAnsi="宋体" w:eastAsia="宋体" w:cs="宋体"/>
                <w:kern w:val="2"/>
                <w:highlight w:val="none"/>
              </w:rPr>
            </w:pPr>
            <w:r>
              <w:rPr>
                <w:rFonts w:hint="eastAsia" w:ascii="宋体" w:hAnsi="宋体" w:eastAsia="宋体" w:cs="宋体"/>
                <w:kern w:val="2"/>
                <w:highlight w:val="none"/>
              </w:rPr>
              <w:t>投标人业绩</w:t>
            </w:r>
          </w:p>
          <w:p w14:paraId="77DA4503">
            <w:pPr>
              <w:pStyle w:val="62"/>
              <w:jc w:val="center"/>
              <w:rPr>
                <w:rFonts w:ascii="宋体" w:hAnsi="宋体" w:eastAsia="宋体" w:cs="宋体"/>
                <w:b/>
                <w:kern w:val="2"/>
                <w:highlight w:val="none"/>
              </w:rPr>
            </w:pPr>
            <w:r>
              <w:rPr>
                <w:rFonts w:hint="eastAsia" w:ascii="宋体" w:hAnsi="宋体" w:eastAsia="宋体" w:cs="宋体"/>
                <w:kern w:val="2"/>
                <w:highlight w:val="none"/>
              </w:rPr>
              <w:t>（</w:t>
            </w:r>
            <w:r>
              <w:rPr>
                <w:rFonts w:hint="eastAsia" w:ascii="宋体" w:hAnsi="宋体" w:eastAsia="宋体" w:cs="宋体"/>
                <w:kern w:val="2"/>
                <w:highlight w:val="none"/>
                <w:lang w:val="en-US" w:eastAsia="zh-CN"/>
              </w:rPr>
              <w:t>10</w:t>
            </w:r>
            <w:r>
              <w:rPr>
                <w:rFonts w:hint="eastAsia" w:ascii="宋体" w:hAnsi="宋体" w:eastAsia="宋体" w:cs="宋体"/>
                <w:kern w:val="2"/>
                <w:highlight w:val="none"/>
              </w:rPr>
              <w:t>分）</w:t>
            </w:r>
          </w:p>
        </w:tc>
        <w:tc>
          <w:tcPr>
            <w:tcW w:w="6348" w:type="dxa"/>
            <w:vAlign w:val="center"/>
          </w:tcPr>
          <w:p w14:paraId="2FA2A2D6">
            <w:pPr>
              <w:topLinePunct/>
              <w:spacing w:line="360" w:lineRule="auto"/>
              <w:jc w:val="left"/>
              <w:rPr>
                <w:rFonts w:ascii="宋体" w:hAnsi="宋体" w:cs="宋体"/>
                <w:b/>
                <w:sz w:val="24"/>
                <w:szCs w:val="24"/>
                <w:highlight w:val="none"/>
              </w:rPr>
            </w:pPr>
            <w:r>
              <w:rPr>
                <w:rFonts w:hint="eastAsia" w:ascii="宋体" w:hAnsi="宋体" w:cs="宋体"/>
                <w:sz w:val="24"/>
                <w:szCs w:val="24"/>
                <w:highlight w:val="none"/>
              </w:rPr>
              <w:t>根据供应商近三年(2023年6月1日至今)业绩情况进行评定:每提供一个有效业绩加2分，满分10分，同一项目续签合同的不可重复得分。(业绩证明资料须同时提供合同和中标通知书及发票扫描件</w:t>
            </w:r>
            <w:r>
              <w:rPr>
                <w:rFonts w:hint="eastAsia" w:ascii="宋体" w:hAnsi="宋体" w:cs="宋体"/>
                <w:sz w:val="24"/>
                <w:szCs w:val="24"/>
                <w:highlight w:val="none"/>
                <w:lang w:val="en-US" w:eastAsia="zh-CN"/>
              </w:rPr>
              <w:t>&lt;</w:t>
            </w:r>
            <w:r>
              <w:rPr>
                <w:rFonts w:hint="eastAsia" w:ascii="宋体" w:hAnsi="宋体" w:cs="宋体"/>
                <w:sz w:val="24"/>
                <w:szCs w:val="24"/>
                <w:highlight w:val="none"/>
              </w:rPr>
              <w:t>发票应体现具体内容，如发票未体现具体内容，应附清单&gt;，上述材料缺一不可，提供不全或上述材料不清晰不完整无法辨识的本项不得分。)</w:t>
            </w:r>
          </w:p>
        </w:tc>
      </w:tr>
      <w:tr w14:paraId="4F59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vMerge w:val="continue"/>
            <w:vAlign w:val="center"/>
          </w:tcPr>
          <w:p w14:paraId="0F64798C">
            <w:pPr>
              <w:pStyle w:val="62"/>
              <w:spacing w:line="360" w:lineRule="auto"/>
              <w:jc w:val="center"/>
              <w:rPr>
                <w:rFonts w:ascii="宋体" w:hAnsi="宋体" w:eastAsia="宋体" w:cs="宋体"/>
                <w:kern w:val="2"/>
                <w:highlight w:val="none"/>
                <w:lang w:val="zh-CN"/>
              </w:rPr>
            </w:pPr>
          </w:p>
        </w:tc>
        <w:tc>
          <w:tcPr>
            <w:tcW w:w="1780" w:type="dxa"/>
            <w:vAlign w:val="center"/>
          </w:tcPr>
          <w:p w14:paraId="329ECDAB">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项目人员</w:t>
            </w:r>
          </w:p>
          <w:p w14:paraId="0CFF6D1C">
            <w:pPr>
              <w:widowControl/>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配</w:t>
            </w:r>
            <w:r>
              <w:rPr>
                <w:rFonts w:hint="eastAsia" w:ascii="宋体" w:hAnsi="宋体" w:cs="宋体"/>
                <w:sz w:val="24"/>
                <w:szCs w:val="24"/>
                <w:highlight w:val="none"/>
                <w:lang w:val="en-US" w:eastAsia="zh-CN"/>
              </w:rPr>
              <w:t>备</w:t>
            </w:r>
          </w:p>
          <w:p w14:paraId="27220F39">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tc>
        <w:tc>
          <w:tcPr>
            <w:tcW w:w="6348" w:type="dxa"/>
            <w:vAlign w:val="center"/>
          </w:tcPr>
          <w:p w14:paraId="1F5D6096">
            <w:pPr>
              <w:widowControl/>
              <w:spacing w:line="360" w:lineRule="auto"/>
              <w:jc w:val="left"/>
              <w:textAlignment w:val="center"/>
              <w:rPr>
                <w:rFonts w:ascii="宋体" w:hAnsi="宋体" w:cs="宋体"/>
                <w:sz w:val="24"/>
                <w:szCs w:val="24"/>
                <w:highlight w:val="none"/>
              </w:rPr>
            </w:pPr>
            <w:r>
              <w:rPr>
                <w:rFonts w:hint="eastAsia" w:ascii="宋体" w:hAnsi="宋体" w:cs="宋体"/>
                <w:sz w:val="24"/>
                <w:szCs w:val="24"/>
                <w:highlight w:val="none"/>
              </w:rPr>
              <w:t>供应商拟为本项目提供服务团队配置健全(包括项目负责人</w:t>
            </w:r>
            <w:r>
              <w:rPr>
                <w:rFonts w:hint="eastAsia" w:ascii="宋体" w:hAnsi="宋体" w:cs="宋体"/>
                <w:sz w:val="24"/>
                <w:szCs w:val="24"/>
                <w:highlight w:val="none"/>
                <w:lang w:eastAsia="zh-CN"/>
              </w:rPr>
              <w:t>、</w:t>
            </w:r>
            <w:r>
              <w:rPr>
                <w:rFonts w:hint="eastAsia" w:ascii="宋体" w:hAnsi="宋体" w:cs="宋体"/>
                <w:sz w:val="24"/>
                <w:szCs w:val="24"/>
                <w:highlight w:val="none"/>
              </w:rPr>
              <w:t>财务人员、采购人员、配送人员及其职责分工等)，可服务本项目人员不少于6人，每增加1人加0.5分，满分2分。6人以下不得分。(须提供拟派人员身份证、在本单位签订的劳动合同:未提供证明材料或者提供的证明材料不符合要求或者提供的证明材料不清晰导致评审专家无法辨认的，不得分</w:t>
            </w:r>
            <w:r>
              <w:rPr>
                <w:rFonts w:hint="eastAsia" w:ascii="宋体" w:hAnsi="宋体" w:cs="宋体"/>
                <w:sz w:val="24"/>
                <w:szCs w:val="24"/>
                <w:highlight w:val="none"/>
                <w:lang w:eastAsia="zh-CN"/>
              </w:rPr>
              <w:t>。</w:t>
            </w:r>
            <w:r>
              <w:rPr>
                <w:rFonts w:hint="eastAsia" w:ascii="宋体" w:hAnsi="宋体" w:cs="宋体"/>
                <w:sz w:val="24"/>
                <w:szCs w:val="24"/>
                <w:highlight w:val="none"/>
              </w:rPr>
              <w:t>)</w:t>
            </w:r>
          </w:p>
        </w:tc>
      </w:tr>
      <w:tr w14:paraId="1692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1205" w:type="dxa"/>
            <w:vMerge w:val="continue"/>
            <w:vAlign w:val="center"/>
          </w:tcPr>
          <w:p w14:paraId="0F2261BD">
            <w:pPr>
              <w:pStyle w:val="62"/>
              <w:spacing w:line="360" w:lineRule="auto"/>
              <w:jc w:val="center"/>
              <w:rPr>
                <w:rFonts w:ascii="宋体" w:hAnsi="宋体" w:eastAsia="宋体" w:cs="宋体"/>
                <w:kern w:val="2"/>
                <w:highlight w:val="none"/>
                <w:lang w:val="zh-CN"/>
              </w:rPr>
            </w:pPr>
          </w:p>
        </w:tc>
        <w:tc>
          <w:tcPr>
            <w:tcW w:w="1780" w:type="dxa"/>
            <w:vAlign w:val="center"/>
          </w:tcPr>
          <w:p w14:paraId="77B4F695">
            <w:pPr>
              <w:pStyle w:val="65"/>
              <w:spacing w:line="240" w:lineRule="auto"/>
              <w:ind w:firstLine="0" w:firstLineChars="0"/>
              <w:jc w:val="center"/>
              <w:rPr>
                <w:rFonts w:hint="eastAsia" w:ascii="宋体" w:eastAsia="宋体" w:cs="宋体"/>
                <w:sz w:val="24"/>
                <w:szCs w:val="24"/>
                <w:highlight w:val="none"/>
                <w:lang w:val="en-US" w:eastAsia="zh-CN"/>
              </w:rPr>
            </w:pPr>
            <w:r>
              <w:rPr>
                <w:rFonts w:hint="eastAsia" w:ascii="宋体" w:eastAsia="宋体" w:cs="宋体"/>
                <w:sz w:val="24"/>
                <w:szCs w:val="24"/>
                <w:highlight w:val="none"/>
              </w:rPr>
              <w:t>车辆配</w:t>
            </w:r>
            <w:r>
              <w:rPr>
                <w:rFonts w:hint="eastAsia" w:ascii="宋体" w:eastAsia="宋体" w:cs="宋体"/>
                <w:sz w:val="24"/>
                <w:szCs w:val="24"/>
                <w:highlight w:val="none"/>
                <w:lang w:val="en-US" w:eastAsia="zh-CN"/>
              </w:rPr>
              <w:t>备</w:t>
            </w:r>
          </w:p>
          <w:p w14:paraId="33D4F791">
            <w:pPr>
              <w:pStyle w:val="65"/>
              <w:spacing w:line="240" w:lineRule="auto"/>
              <w:ind w:firstLine="0" w:firstLineChars="0"/>
              <w:jc w:val="center"/>
              <w:rPr>
                <w:rFonts w:ascii="宋体" w:eastAsia="宋体" w:cs="宋体"/>
                <w:kern w:val="2"/>
                <w:sz w:val="24"/>
                <w:szCs w:val="24"/>
                <w:highlight w:val="none"/>
              </w:rPr>
            </w:pPr>
            <w:r>
              <w:rPr>
                <w:rFonts w:hint="eastAsia" w:ascii="宋体" w:eastAsia="宋体" w:cs="宋体"/>
                <w:kern w:val="2"/>
                <w:sz w:val="24"/>
                <w:szCs w:val="24"/>
                <w:highlight w:val="none"/>
              </w:rPr>
              <w:t>（</w:t>
            </w:r>
            <w:r>
              <w:rPr>
                <w:rFonts w:hint="eastAsia" w:ascii="宋体" w:eastAsia="宋体" w:cs="宋体"/>
                <w:kern w:val="2"/>
                <w:sz w:val="24"/>
                <w:szCs w:val="24"/>
                <w:highlight w:val="none"/>
                <w:lang w:val="en-US" w:eastAsia="zh-CN"/>
              </w:rPr>
              <w:t>8</w:t>
            </w:r>
            <w:r>
              <w:rPr>
                <w:rFonts w:hint="eastAsia" w:ascii="宋体" w:eastAsia="宋体" w:cs="宋体"/>
                <w:kern w:val="2"/>
                <w:sz w:val="24"/>
                <w:szCs w:val="24"/>
                <w:highlight w:val="none"/>
              </w:rPr>
              <w:t>分）</w:t>
            </w:r>
          </w:p>
        </w:tc>
        <w:tc>
          <w:tcPr>
            <w:tcW w:w="6348" w:type="dxa"/>
            <w:vAlign w:val="center"/>
          </w:tcPr>
          <w:p w14:paraId="3ADD068C">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和与租赁合同双方信息一致的付款凭证及发票。</w:t>
            </w:r>
          </w:p>
          <w:p w14:paraId="0D866A20">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未提供证明材料或者提供的证明材料不符合要求或者提供的证明材料不清晰导致评审专家无法辨认的，不得分。</w:t>
            </w:r>
          </w:p>
        </w:tc>
      </w:tr>
      <w:tr w14:paraId="0C34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05" w:type="dxa"/>
            <w:vMerge w:val="continue"/>
            <w:vAlign w:val="center"/>
          </w:tcPr>
          <w:p w14:paraId="53422F90">
            <w:pPr>
              <w:pStyle w:val="62"/>
              <w:spacing w:line="360" w:lineRule="auto"/>
              <w:jc w:val="center"/>
              <w:rPr>
                <w:rFonts w:ascii="宋体" w:hAnsi="宋体" w:eastAsia="宋体" w:cs="宋体"/>
                <w:kern w:val="2"/>
                <w:highlight w:val="none"/>
                <w:lang w:val="zh-CN"/>
              </w:rPr>
            </w:pPr>
          </w:p>
        </w:tc>
        <w:tc>
          <w:tcPr>
            <w:tcW w:w="1780" w:type="dxa"/>
            <w:vAlign w:val="center"/>
          </w:tcPr>
          <w:p w14:paraId="11F08130">
            <w:pPr>
              <w:pStyle w:val="65"/>
              <w:spacing w:line="240" w:lineRule="auto"/>
              <w:ind w:firstLine="0" w:firstLineChars="0"/>
              <w:jc w:val="center"/>
              <w:rPr>
                <w:rFonts w:hint="eastAsia" w:ascii="宋体" w:eastAsia="宋体" w:cs="宋体"/>
                <w:kern w:val="2"/>
                <w:sz w:val="24"/>
                <w:szCs w:val="24"/>
                <w:highlight w:val="none"/>
                <w:lang w:eastAsia="zh-CN"/>
              </w:rPr>
            </w:pPr>
            <w:r>
              <w:rPr>
                <w:rFonts w:hint="eastAsia" w:ascii="宋体" w:eastAsia="宋体" w:cs="宋体"/>
                <w:kern w:val="2"/>
                <w:sz w:val="24"/>
                <w:szCs w:val="24"/>
                <w:highlight w:val="none"/>
              </w:rPr>
              <w:t>供应产品的来源</w:t>
            </w:r>
            <w:r>
              <w:rPr>
                <w:rFonts w:hint="eastAsia" w:asci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6分</w:t>
            </w:r>
            <w:r>
              <w:rPr>
                <w:rFonts w:hint="eastAsia" w:ascii="宋体" w:eastAsia="宋体" w:cs="宋体"/>
                <w:kern w:val="2"/>
                <w:sz w:val="24"/>
                <w:szCs w:val="24"/>
                <w:highlight w:val="none"/>
                <w:lang w:eastAsia="zh-CN"/>
              </w:rPr>
              <w:t>）</w:t>
            </w:r>
          </w:p>
        </w:tc>
        <w:tc>
          <w:tcPr>
            <w:tcW w:w="6348" w:type="dxa"/>
            <w:vAlign w:val="center"/>
          </w:tcPr>
          <w:p w14:paraId="1CFE0043">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投标人</w:t>
            </w:r>
            <w:r>
              <w:rPr>
                <w:rFonts w:hint="eastAsia" w:ascii="宋体" w:eastAsia="宋体" w:cs="宋体"/>
                <w:kern w:val="2"/>
                <w:sz w:val="24"/>
                <w:szCs w:val="24"/>
                <w:highlight w:val="none"/>
                <w:lang w:val="en-US" w:eastAsia="zh-CN"/>
              </w:rPr>
              <w:t>提供</w:t>
            </w:r>
            <w:r>
              <w:rPr>
                <w:rFonts w:hint="default" w:ascii="宋体" w:eastAsia="宋体" w:cs="宋体"/>
                <w:kern w:val="2"/>
                <w:sz w:val="24"/>
                <w:szCs w:val="24"/>
                <w:highlight w:val="none"/>
                <w:lang w:val="en-US" w:eastAsia="zh-CN"/>
              </w:rPr>
              <w:t>与货源供应商签订有效的合同，且货源可追溯，且包含所投标项的所有货物品类的得6分，提供的供应产品一半及以上能够清晰的追溯来源得3分，未提供不得分</w:t>
            </w:r>
            <w:r>
              <w:rPr>
                <w:rFonts w:hint="eastAsia" w:ascii="宋体" w:eastAsia="宋体" w:cs="宋体"/>
                <w:kern w:val="2"/>
                <w:sz w:val="24"/>
                <w:szCs w:val="24"/>
                <w:highlight w:val="none"/>
                <w:lang w:val="en-US" w:eastAsia="zh-CN"/>
              </w:rPr>
              <w:t>。</w:t>
            </w:r>
          </w:p>
        </w:tc>
      </w:tr>
      <w:tr w14:paraId="334F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5" w:type="dxa"/>
            <w:vMerge w:val="continue"/>
            <w:vAlign w:val="center"/>
          </w:tcPr>
          <w:p w14:paraId="30C28721">
            <w:pPr>
              <w:pStyle w:val="62"/>
              <w:spacing w:line="360" w:lineRule="auto"/>
              <w:jc w:val="center"/>
              <w:rPr>
                <w:rFonts w:ascii="宋体" w:hAnsi="宋体" w:eastAsia="宋体" w:cs="宋体"/>
                <w:kern w:val="2"/>
                <w:highlight w:val="none"/>
                <w:lang w:val="zh-CN"/>
              </w:rPr>
            </w:pPr>
          </w:p>
        </w:tc>
        <w:tc>
          <w:tcPr>
            <w:tcW w:w="1780" w:type="dxa"/>
            <w:vAlign w:val="center"/>
          </w:tcPr>
          <w:p w14:paraId="0DC91114">
            <w:pPr>
              <w:pStyle w:val="65"/>
              <w:spacing w:line="240" w:lineRule="auto"/>
              <w:ind w:firstLine="0" w:firstLineChars="0"/>
              <w:jc w:val="center"/>
              <w:rPr>
                <w:rFonts w:hint="eastAsia" w:ascii="宋体" w:eastAsia="宋体" w:cs="宋体"/>
                <w:kern w:val="2"/>
                <w:sz w:val="24"/>
                <w:szCs w:val="24"/>
                <w:highlight w:val="none"/>
                <w:lang w:eastAsia="zh-CN"/>
              </w:rPr>
            </w:pPr>
            <w:r>
              <w:rPr>
                <w:rFonts w:hint="eastAsia" w:ascii="宋体" w:eastAsia="宋体" w:cs="宋体"/>
                <w:kern w:val="2"/>
                <w:sz w:val="24"/>
                <w:szCs w:val="24"/>
                <w:highlight w:val="none"/>
              </w:rPr>
              <w:t>食品安全检测能力</w:t>
            </w:r>
            <w:r>
              <w:rPr>
                <w:rFonts w:hint="eastAsia" w:ascii="宋体" w:eastAsia="宋体" w:cs="宋体"/>
                <w:kern w:val="2"/>
                <w:sz w:val="24"/>
                <w:szCs w:val="24"/>
                <w:highlight w:val="none"/>
                <w:lang w:eastAsia="zh-CN"/>
              </w:rPr>
              <w:t>（</w:t>
            </w:r>
            <w:r>
              <w:rPr>
                <w:rFonts w:hint="eastAsia" w:ascii="宋体" w:eastAsia="宋体" w:cs="宋体"/>
                <w:kern w:val="2"/>
                <w:sz w:val="24"/>
                <w:szCs w:val="24"/>
                <w:highlight w:val="none"/>
                <w:lang w:val="en-US" w:eastAsia="zh-CN"/>
              </w:rPr>
              <w:t>4分</w:t>
            </w:r>
            <w:r>
              <w:rPr>
                <w:rFonts w:hint="eastAsia" w:ascii="宋体" w:eastAsia="宋体" w:cs="宋体"/>
                <w:kern w:val="2"/>
                <w:sz w:val="24"/>
                <w:szCs w:val="24"/>
                <w:highlight w:val="none"/>
                <w:lang w:eastAsia="zh-CN"/>
              </w:rPr>
              <w:t>）</w:t>
            </w:r>
          </w:p>
        </w:tc>
        <w:tc>
          <w:tcPr>
            <w:tcW w:w="6348" w:type="dxa"/>
            <w:vAlign w:val="center"/>
          </w:tcPr>
          <w:p w14:paraId="0D9E11BB">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供应商须承诺，中标后按采购人要求提供:第三方食品检测机构出具的由供应商送检的实际供货货物的食品检测报告的得4分，未提供的不得分。</w:t>
            </w:r>
          </w:p>
        </w:tc>
      </w:tr>
      <w:tr w14:paraId="7D87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vMerge w:val="restart"/>
            <w:vAlign w:val="center"/>
          </w:tcPr>
          <w:p w14:paraId="73D0A1EA">
            <w:pPr>
              <w:pStyle w:val="62"/>
              <w:spacing w:line="360" w:lineRule="auto"/>
              <w:jc w:val="center"/>
              <w:rPr>
                <w:rFonts w:ascii="宋体" w:hAnsi="宋体" w:eastAsia="宋体" w:cs="宋体"/>
                <w:kern w:val="2"/>
                <w:highlight w:val="none"/>
              </w:rPr>
            </w:pPr>
          </w:p>
          <w:p w14:paraId="10E214D8">
            <w:pPr>
              <w:pStyle w:val="62"/>
              <w:spacing w:line="360" w:lineRule="auto"/>
              <w:jc w:val="center"/>
              <w:rPr>
                <w:rFonts w:ascii="宋体" w:hAnsi="宋体" w:eastAsia="宋体" w:cs="宋体"/>
                <w:kern w:val="2"/>
                <w:highlight w:val="none"/>
              </w:rPr>
            </w:pPr>
          </w:p>
          <w:p w14:paraId="210A234D">
            <w:pPr>
              <w:pStyle w:val="62"/>
              <w:spacing w:line="360" w:lineRule="auto"/>
              <w:jc w:val="center"/>
              <w:rPr>
                <w:rFonts w:ascii="宋体" w:hAnsi="宋体" w:eastAsia="宋体" w:cs="宋体"/>
                <w:kern w:val="2"/>
                <w:highlight w:val="none"/>
              </w:rPr>
            </w:pPr>
          </w:p>
          <w:p w14:paraId="2833F89C">
            <w:pPr>
              <w:pStyle w:val="62"/>
              <w:spacing w:line="360" w:lineRule="auto"/>
              <w:jc w:val="center"/>
              <w:rPr>
                <w:rFonts w:ascii="宋体" w:hAnsi="宋体" w:eastAsia="宋体" w:cs="宋体"/>
                <w:kern w:val="2"/>
                <w:highlight w:val="none"/>
              </w:rPr>
            </w:pPr>
          </w:p>
          <w:p w14:paraId="719F4C9F">
            <w:pPr>
              <w:pStyle w:val="62"/>
              <w:spacing w:line="360" w:lineRule="auto"/>
              <w:jc w:val="center"/>
              <w:rPr>
                <w:rFonts w:ascii="宋体" w:hAnsi="宋体" w:eastAsia="宋体" w:cs="宋体"/>
                <w:kern w:val="2"/>
                <w:highlight w:val="none"/>
              </w:rPr>
            </w:pPr>
          </w:p>
          <w:p w14:paraId="74545DFB">
            <w:pPr>
              <w:pStyle w:val="62"/>
              <w:spacing w:line="360" w:lineRule="auto"/>
              <w:jc w:val="center"/>
              <w:rPr>
                <w:rFonts w:ascii="宋体" w:hAnsi="宋体" w:eastAsia="宋体" w:cs="宋体"/>
                <w:kern w:val="2"/>
                <w:highlight w:val="none"/>
              </w:rPr>
            </w:pPr>
          </w:p>
          <w:p w14:paraId="287464D2">
            <w:pPr>
              <w:pStyle w:val="62"/>
              <w:spacing w:line="360" w:lineRule="auto"/>
              <w:jc w:val="center"/>
              <w:rPr>
                <w:rFonts w:ascii="宋体" w:hAnsi="宋体" w:eastAsia="宋体" w:cs="宋体"/>
                <w:kern w:val="2"/>
                <w:highlight w:val="none"/>
              </w:rPr>
            </w:pPr>
          </w:p>
          <w:p w14:paraId="185AE88D">
            <w:pPr>
              <w:pStyle w:val="62"/>
              <w:spacing w:line="360" w:lineRule="auto"/>
              <w:jc w:val="center"/>
              <w:rPr>
                <w:rFonts w:ascii="宋体" w:hAnsi="宋体" w:eastAsia="宋体" w:cs="宋体"/>
                <w:kern w:val="2"/>
                <w:highlight w:val="none"/>
              </w:rPr>
            </w:pPr>
          </w:p>
          <w:p w14:paraId="672EF5B4">
            <w:pPr>
              <w:pStyle w:val="62"/>
              <w:spacing w:line="360" w:lineRule="auto"/>
              <w:jc w:val="center"/>
              <w:rPr>
                <w:rFonts w:ascii="宋体" w:hAnsi="宋体" w:eastAsia="宋体" w:cs="宋体"/>
                <w:kern w:val="2"/>
                <w:highlight w:val="none"/>
              </w:rPr>
            </w:pPr>
          </w:p>
          <w:p w14:paraId="2BB8938D">
            <w:pPr>
              <w:pStyle w:val="62"/>
              <w:spacing w:line="360" w:lineRule="auto"/>
              <w:jc w:val="center"/>
              <w:rPr>
                <w:rFonts w:ascii="宋体" w:hAnsi="宋体" w:eastAsia="宋体" w:cs="宋体"/>
                <w:kern w:val="2"/>
                <w:highlight w:val="none"/>
              </w:rPr>
            </w:pPr>
          </w:p>
          <w:p w14:paraId="704AC4C0">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rPr>
              <w:t>技术</w:t>
            </w:r>
            <w:r>
              <w:rPr>
                <w:rFonts w:hint="eastAsia" w:ascii="宋体" w:hAnsi="宋体" w:eastAsia="宋体" w:cs="宋体"/>
                <w:kern w:val="2"/>
                <w:highlight w:val="none"/>
                <w:lang w:val="zh-CN"/>
              </w:rPr>
              <w:t>标</w:t>
            </w:r>
          </w:p>
          <w:p w14:paraId="4DB148EE">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00C3680E">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30</w:t>
            </w:r>
            <w:r>
              <w:rPr>
                <w:rFonts w:hint="eastAsia" w:ascii="宋体" w:hAnsi="宋体" w:cs="宋体"/>
                <w:sz w:val="24"/>
                <w:szCs w:val="24"/>
                <w:highlight w:val="none"/>
                <w:lang w:val="zh-CN"/>
              </w:rPr>
              <w:t>分）</w:t>
            </w:r>
          </w:p>
        </w:tc>
        <w:tc>
          <w:tcPr>
            <w:tcW w:w="1780" w:type="dxa"/>
            <w:vAlign w:val="center"/>
          </w:tcPr>
          <w:p w14:paraId="08EA1761">
            <w:pPr>
              <w:topLinePunct/>
              <w:jc w:val="center"/>
              <w:rPr>
                <w:rFonts w:hint="eastAsia" w:ascii="宋体" w:hAnsi="宋体" w:cs="宋体"/>
                <w:sz w:val="24"/>
                <w:szCs w:val="24"/>
                <w:highlight w:val="none"/>
                <w:lang w:val="en-US" w:eastAsia="zh-CN"/>
              </w:rPr>
            </w:pPr>
          </w:p>
          <w:p w14:paraId="786BF0EC">
            <w:pPr>
              <w:topLinePunct/>
              <w:jc w:val="center"/>
              <w:rPr>
                <w:rFonts w:hint="eastAsia" w:ascii="宋体" w:hAnsi="宋体" w:cs="宋体"/>
                <w:sz w:val="24"/>
                <w:szCs w:val="24"/>
                <w:highlight w:val="none"/>
                <w:lang w:val="en-US" w:eastAsia="zh-CN"/>
              </w:rPr>
            </w:pPr>
          </w:p>
          <w:p w14:paraId="5BBDB0B7">
            <w:pPr>
              <w:topLinePunct/>
              <w:jc w:val="center"/>
              <w:rPr>
                <w:rFonts w:hint="eastAsia" w:ascii="宋体" w:hAnsi="宋体" w:cs="宋体"/>
                <w:sz w:val="24"/>
                <w:szCs w:val="24"/>
                <w:highlight w:val="none"/>
                <w:lang w:val="en-US" w:eastAsia="zh-CN"/>
              </w:rPr>
            </w:pPr>
          </w:p>
          <w:p w14:paraId="57C649F4">
            <w:pPr>
              <w:topLinePunct/>
              <w:jc w:val="center"/>
              <w:rPr>
                <w:rFonts w:ascii="宋体" w:hAnsi="宋体" w:cs="宋体"/>
                <w:sz w:val="24"/>
                <w:szCs w:val="24"/>
                <w:highlight w:val="none"/>
              </w:rPr>
            </w:pPr>
            <w:r>
              <w:rPr>
                <w:rFonts w:hint="eastAsia" w:ascii="宋体" w:hAnsi="宋体" w:cs="宋体"/>
                <w:sz w:val="24"/>
                <w:szCs w:val="24"/>
                <w:highlight w:val="none"/>
                <w:lang w:val="en-US" w:eastAsia="zh-CN"/>
              </w:rPr>
              <w:t>实施</w:t>
            </w:r>
            <w:r>
              <w:rPr>
                <w:rFonts w:hint="eastAsia" w:ascii="宋体" w:hAnsi="宋体" w:cs="宋体"/>
                <w:sz w:val="24"/>
                <w:szCs w:val="24"/>
                <w:highlight w:val="none"/>
                <w:lang w:eastAsia="zh-CN"/>
              </w:rPr>
              <w:t>方案（</w:t>
            </w:r>
            <w:r>
              <w:rPr>
                <w:rFonts w:hint="eastAsia" w:ascii="宋体" w:hAnsi="宋体" w:cs="宋体"/>
                <w:sz w:val="24"/>
                <w:szCs w:val="24"/>
                <w:highlight w:val="none"/>
                <w:lang w:val="en-US" w:eastAsia="zh-CN"/>
              </w:rPr>
              <w:t>7.5分</w:t>
            </w:r>
            <w:r>
              <w:rPr>
                <w:rFonts w:hint="eastAsia" w:ascii="宋体" w:hAnsi="宋体" w:cs="宋体"/>
                <w:sz w:val="24"/>
                <w:szCs w:val="24"/>
                <w:highlight w:val="none"/>
                <w:lang w:eastAsia="zh-CN"/>
              </w:rPr>
              <w:t>）</w:t>
            </w:r>
          </w:p>
        </w:tc>
        <w:tc>
          <w:tcPr>
            <w:tcW w:w="6348" w:type="dxa"/>
            <w:vAlign w:val="center"/>
          </w:tcPr>
          <w:p w14:paraId="650B9217">
            <w:pPr>
              <w:topLinePunct/>
              <w:spacing w:line="360" w:lineRule="auto"/>
              <w:rPr>
                <w:rFonts w:ascii="宋体" w:hAnsi="宋体" w:cs="宋体"/>
                <w:sz w:val="24"/>
                <w:szCs w:val="24"/>
                <w:highlight w:val="none"/>
              </w:rPr>
            </w:pPr>
            <w:r>
              <w:rPr>
                <w:rFonts w:hint="eastAsia" w:ascii="宋体" w:hAnsi="宋体" w:cs="宋体"/>
                <w:sz w:val="24"/>
                <w:szCs w:val="24"/>
                <w:highlight w:val="none"/>
              </w:rPr>
              <w:t>根据投标人提供的实施方案进行综合评审，投标人能够详细列出实施方案，包括但不限于</w:t>
            </w:r>
            <w:r>
              <w:rPr>
                <w:rFonts w:hint="eastAsia" w:ascii="宋体" w:hAnsi="宋体" w:cs="宋体"/>
                <w:sz w:val="24"/>
                <w:szCs w:val="24"/>
                <w:highlight w:val="none"/>
                <w:lang w:val="en-US" w:eastAsia="zh-CN"/>
              </w:rPr>
              <w:t>①</w:t>
            </w:r>
            <w:r>
              <w:rPr>
                <w:rFonts w:hint="eastAsia" w:ascii="宋体" w:hAnsi="宋体" w:cs="宋体"/>
                <w:sz w:val="24"/>
                <w:szCs w:val="24"/>
                <w:highlight w:val="none"/>
              </w:rPr>
              <w:t>采购及配送方案、</w:t>
            </w:r>
            <w:r>
              <w:rPr>
                <w:rFonts w:hint="eastAsia" w:ascii="宋体" w:hAnsi="宋体" w:cs="宋体"/>
                <w:sz w:val="24"/>
                <w:szCs w:val="24"/>
                <w:highlight w:val="none"/>
                <w:lang w:val="en-US" w:eastAsia="zh-CN"/>
              </w:rPr>
              <w:t>②</w:t>
            </w:r>
            <w:r>
              <w:rPr>
                <w:rFonts w:hint="eastAsia" w:ascii="宋体" w:hAnsi="宋体" w:cs="宋体"/>
                <w:sz w:val="24"/>
                <w:szCs w:val="24"/>
                <w:highlight w:val="none"/>
              </w:rPr>
              <w:t>运输周转方案、</w:t>
            </w:r>
            <w:r>
              <w:rPr>
                <w:rFonts w:hint="eastAsia" w:ascii="宋体" w:hAnsi="宋体" w:cs="宋体"/>
                <w:sz w:val="24"/>
                <w:szCs w:val="24"/>
                <w:highlight w:val="none"/>
                <w:lang w:val="en-US" w:eastAsia="zh-CN"/>
              </w:rPr>
              <w:t>③</w:t>
            </w:r>
            <w:r>
              <w:rPr>
                <w:rFonts w:hint="eastAsia" w:ascii="宋体" w:hAnsi="宋体" w:cs="宋体"/>
                <w:sz w:val="24"/>
                <w:szCs w:val="24"/>
                <w:highlight w:val="none"/>
              </w:rPr>
              <w:t>交货验收方案、</w:t>
            </w:r>
            <w:r>
              <w:rPr>
                <w:rFonts w:hint="eastAsia" w:ascii="宋体" w:hAnsi="宋体" w:cs="宋体"/>
                <w:sz w:val="24"/>
                <w:szCs w:val="24"/>
                <w:highlight w:val="none"/>
                <w:lang w:val="en-US" w:eastAsia="zh-CN"/>
              </w:rPr>
              <w:t>④</w:t>
            </w:r>
            <w:r>
              <w:rPr>
                <w:rFonts w:hint="eastAsia" w:ascii="宋体" w:hAnsi="宋体" w:cs="宋体"/>
                <w:sz w:val="24"/>
                <w:szCs w:val="24"/>
                <w:highlight w:val="none"/>
              </w:rPr>
              <w:t>缺陷货物退还方案、</w:t>
            </w:r>
            <w:r>
              <w:rPr>
                <w:rFonts w:hint="eastAsia" w:ascii="宋体" w:hAnsi="宋体" w:cs="宋体"/>
                <w:sz w:val="24"/>
                <w:szCs w:val="24"/>
                <w:highlight w:val="none"/>
                <w:lang w:val="en-US" w:eastAsia="zh-CN"/>
              </w:rPr>
              <w:t>⑤</w:t>
            </w:r>
            <w:r>
              <w:rPr>
                <w:rFonts w:hint="eastAsia" w:ascii="宋体" w:hAnsi="宋体" w:cs="宋体"/>
                <w:sz w:val="24"/>
                <w:szCs w:val="24"/>
                <w:highlight w:val="none"/>
              </w:rPr>
              <w:t>配送人员管理方案，符合项目情况并能够保证按时足量保质供应的得满分7.5分，上述每项方案内容1.5分，未提供或缺失对应内容不得分;每项内容出现不符合项目情况或不利于项目实施或内容表述错误或内容前后矛盾等情形，每处扣0.5分扣完为止。</w:t>
            </w:r>
          </w:p>
        </w:tc>
      </w:tr>
      <w:tr w14:paraId="53C3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vMerge w:val="continue"/>
            <w:vAlign w:val="center"/>
          </w:tcPr>
          <w:p w14:paraId="0387DBC1">
            <w:pPr>
              <w:widowControl/>
              <w:topLinePunct/>
              <w:spacing w:line="360" w:lineRule="auto"/>
              <w:jc w:val="center"/>
              <w:rPr>
                <w:rFonts w:ascii="宋体" w:hAnsi="宋体" w:cs="宋体"/>
                <w:sz w:val="24"/>
                <w:szCs w:val="24"/>
                <w:highlight w:val="none"/>
                <w:lang w:val="zh-CN"/>
              </w:rPr>
            </w:pPr>
          </w:p>
        </w:tc>
        <w:tc>
          <w:tcPr>
            <w:tcW w:w="1780" w:type="dxa"/>
            <w:vAlign w:val="center"/>
          </w:tcPr>
          <w:p w14:paraId="2AA1E021">
            <w:pPr>
              <w:pStyle w:val="62"/>
              <w:jc w:val="center"/>
              <w:rPr>
                <w:rFonts w:ascii="宋体" w:hAnsi="宋体" w:eastAsia="宋体" w:cs="宋体"/>
                <w:spacing w:val="-3"/>
                <w:kern w:val="2"/>
                <w:highlight w:val="none"/>
              </w:rPr>
            </w:pPr>
          </w:p>
          <w:p w14:paraId="0F100484">
            <w:pPr>
              <w:pStyle w:val="62"/>
              <w:jc w:val="center"/>
              <w:rPr>
                <w:rFonts w:ascii="仿宋_GB2312" w:hAnsi="仿宋_GB2312" w:eastAsia="仿宋_GB2312" w:cs="仿宋_GB2312"/>
                <w:kern w:val="2"/>
                <w:highlight w:val="none"/>
              </w:rPr>
            </w:pPr>
            <w:r>
              <w:rPr>
                <w:rFonts w:hint="eastAsia" w:ascii="宋体" w:hAnsi="宋体" w:eastAsia="宋体" w:cs="宋体"/>
                <w:kern w:val="2"/>
                <w:highlight w:val="none"/>
                <w:lang w:eastAsia="zh-CN"/>
              </w:rPr>
              <w:t>特殊情况应急保障方案（</w:t>
            </w:r>
            <w:r>
              <w:rPr>
                <w:rFonts w:hint="eastAsia" w:ascii="宋体" w:hAnsi="宋体" w:eastAsia="宋体" w:cs="宋体"/>
                <w:kern w:val="2"/>
                <w:highlight w:val="none"/>
                <w:lang w:val="en-US" w:eastAsia="zh-CN"/>
              </w:rPr>
              <w:t>5分</w:t>
            </w:r>
            <w:r>
              <w:rPr>
                <w:rFonts w:hint="eastAsia" w:ascii="宋体" w:hAnsi="宋体" w:eastAsia="宋体" w:cs="宋体"/>
                <w:kern w:val="2"/>
                <w:highlight w:val="none"/>
                <w:lang w:eastAsia="zh-CN"/>
              </w:rPr>
              <w:t>）</w:t>
            </w:r>
          </w:p>
        </w:tc>
        <w:tc>
          <w:tcPr>
            <w:tcW w:w="6348" w:type="dxa"/>
            <w:vAlign w:val="center"/>
          </w:tcPr>
          <w:p w14:paraId="6C600B9E">
            <w:pPr>
              <w:topLinePunct/>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根据投标人提供的应急保障方案进行综合评审，包括但不限于</w:t>
            </w:r>
            <w:r>
              <w:rPr>
                <w:rFonts w:hint="eastAsia" w:ascii="宋体" w:hAnsi="宋体" w:cs="宋体"/>
                <w:sz w:val="24"/>
                <w:szCs w:val="24"/>
                <w:highlight w:val="none"/>
                <w:lang w:val="en-US" w:eastAsia="zh-CN"/>
              </w:rPr>
              <w:t>①</w:t>
            </w:r>
            <w:r>
              <w:rPr>
                <w:rFonts w:hint="eastAsia" w:ascii="宋体" w:hAnsi="宋体" w:cs="宋体"/>
                <w:sz w:val="24"/>
                <w:szCs w:val="24"/>
                <w:highlight w:val="none"/>
              </w:rPr>
              <w:t>恶劣天气、</w:t>
            </w:r>
            <w:r>
              <w:rPr>
                <w:rFonts w:hint="eastAsia" w:ascii="宋体" w:hAnsi="宋体" w:cs="宋体"/>
                <w:sz w:val="24"/>
                <w:szCs w:val="24"/>
                <w:highlight w:val="none"/>
                <w:lang w:val="en-US" w:eastAsia="zh-CN"/>
              </w:rPr>
              <w:t>②</w:t>
            </w:r>
            <w:r>
              <w:rPr>
                <w:rFonts w:hint="eastAsia" w:ascii="宋体" w:hAnsi="宋体" w:cs="宋体"/>
                <w:sz w:val="24"/>
                <w:szCs w:val="24"/>
                <w:highlight w:val="none"/>
              </w:rPr>
              <w:t>车辆抛锚、</w:t>
            </w:r>
            <w:r>
              <w:rPr>
                <w:rFonts w:hint="eastAsia" w:ascii="宋体" w:hAnsi="宋体" w:cs="宋体"/>
                <w:sz w:val="24"/>
                <w:szCs w:val="24"/>
                <w:highlight w:val="none"/>
                <w:lang w:val="en-US" w:eastAsia="zh-CN"/>
              </w:rPr>
              <w:t>③</w:t>
            </w:r>
            <w:r>
              <w:rPr>
                <w:rFonts w:hint="eastAsia" w:ascii="宋体" w:hAnsi="宋体" w:cs="宋体"/>
                <w:sz w:val="24"/>
                <w:szCs w:val="24"/>
                <w:highlight w:val="none"/>
              </w:rPr>
              <w:t>突发安全卫生事件、</w:t>
            </w:r>
            <w:r>
              <w:rPr>
                <w:rFonts w:hint="eastAsia" w:ascii="宋体" w:hAnsi="宋体" w:cs="宋体"/>
                <w:sz w:val="24"/>
                <w:szCs w:val="24"/>
                <w:highlight w:val="none"/>
                <w:lang w:val="en-US" w:eastAsia="zh-CN"/>
              </w:rPr>
              <w:t>④</w:t>
            </w:r>
            <w:r>
              <w:rPr>
                <w:rFonts w:hint="eastAsia" w:ascii="宋体" w:hAnsi="宋体" w:cs="宋体"/>
                <w:sz w:val="24"/>
                <w:szCs w:val="24"/>
                <w:highlight w:val="none"/>
              </w:rPr>
              <w:t>货源短缺、</w:t>
            </w:r>
            <w:r>
              <w:rPr>
                <w:rFonts w:hint="eastAsia" w:ascii="宋体" w:hAnsi="宋体" w:cs="宋体"/>
                <w:sz w:val="24"/>
                <w:szCs w:val="24"/>
                <w:highlight w:val="none"/>
                <w:lang w:val="en-US" w:eastAsia="zh-CN"/>
              </w:rPr>
              <w:t>⑤</w:t>
            </w:r>
            <w:r>
              <w:rPr>
                <w:rFonts w:hint="eastAsia" w:ascii="宋体" w:hAnsi="宋体" w:cs="宋体"/>
                <w:sz w:val="24"/>
                <w:szCs w:val="24"/>
                <w:highlight w:val="none"/>
              </w:rPr>
              <w:t>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0D0F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vMerge w:val="continue"/>
            <w:vAlign w:val="center"/>
          </w:tcPr>
          <w:p w14:paraId="2827C0D7">
            <w:pPr>
              <w:widowControl/>
              <w:topLinePunct/>
              <w:spacing w:line="360" w:lineRule="auto"/>
              <w:jc w:val="center"/>
              <w:rPr>
                <w:rFonts w:ascii="宋体" w:hAnsi="宋体" w:cs="宋体"/>
                <w:b/>
                <w:sz w:val="24"/>
                <w:szCs w:val="24"/>
                <w:highlight w:val="none"/>
              </w:rPr>
            </w:pPr>
          </w:p>
        </w:tc>
        <w:tc>
          <w:tcPr>
            <w:tcW w:w="1780" w:type="dxa"/>
          </w:tcPr>
          <w:p w14:paraId="11F713BF">
            <w:pPr>
              <w:pStyle w:val="68"/>
              <w:spacing w:before="78"/>
              <w:ind w:left="468" w:hanging="468" w:hangingChars="200"/>
              <w:jc w:val="center"/>
              <w:rPr>
                <w:spacing w:val="-3"/>
                <w:sz w:val="24"/>
                <w:szCs w:val="24"/>
                <w:highlight w:val="none"/>
                <w:lang w:eastAsia="zh-CN"/>
              </w:rPr>
            </w:pPr>
          </w:p>
          <w:p w14:paraId="08C8AA0E">
            <w:pPr>
              <w:pStyle w:val="68"/>
              <w:spacing w:before="78"/>
              <w:ind w:left="468" w:hanging="468" w:hangingChars="200"/>
              <w:jc w:val="center"/>
              <w:rPr>
                <w:spacing w:val="-3"/>
                <w:sz w:val="24"/>
                <w:szCs w:val="24"/>
                <w:highlight w:val="none"/>
                <w:lang w:eastAsia="zh-CN"/>
              </w:rPr>
            </w:pPr>
          </w:p>
          <w:p w14:paraId="0AAC42AD">
            <w:pPr>
              <w:pStyle w:val="68"/>
              <w:spacing w:before="78"/>
              <w:ind w:left="468" w:hanging="468" w:hangingChars="200"/>
              <w:jc w:val="center"/>
              <w:rPr>
                <w:spacing w:val="-3"/>
                <w:sz w:val="24"/>
                <w:szCs w:val="24"/>
                <w:highlight w:val="none"/>
                <w:lang w:eastAsia="zh-CN"/>
              </w:rPr>
            </w:pPr>
          </w:p>
          <w:p w14:paraId="03DD3B9A">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产品质量保障（</w:t>
            </w:r>
            <w:r>
              <w:rPr>
                <w:rFonts w:hint="eastAsia"/>
                <w:spacing w:val="-3"/>
                <w:sz w:val="24"/>
                <w:szCs w:val="24"/>
                <w:highlight w:val="none"/>
                <w:lang w:val="en-US" w:eastAsia="zh-CN"/>
              </w:rPr>
              <w:t>5</w:t>
            </w:r>
            <w:r>
              <w:rPr>
                <w:rFonts w:hint="eastAsia"/>
                <w:spacing w:val="-3"/>
                <w:sz w:val="24"/>
                <w:szCs w:val="24"/>
                <w:highlight w:val="none"/>
                <w:lang w:eastAsia="zh-CN"/>
              </w:rPr>
              <w:t>分）</w:t>
            </w:r>
          </w:p>
        </w:tc>
        <w:tc>
          <w:tcPr>
            <w:tcW w:w="6348" w:type="dxa"/>
          </w:tcPr>
          <w:p w14:paraId="3AD811E1">
            <w:pPr>
              <w:pStyle w:val="68"/>
              <w:spacing w:before="114" w:line="360" w:lineRule="auto"/>
              <w:ind w:right="112"/>
              <w:rPr>
                <w:sz w:val="24"/>
                <w:szCs w:val="24"/>
                <w:highlight w:val="none"/>
                <w:lang w:eastAsia="zh-CN"/>
              </w:rPr>
            </w:pPr>
            <w:r>
              <w:rPr>
                <w:rFonts w:hint="eastAsia"/>
                <w:sz w:val="24"/>
                <w:szCs w:val="24"/>
                <w:highlight w:val="none"/>
                <w:lang w:eastAsia="zh-CN"/>
              </w:rPr>
              <w:t>投标人根据其所投标标项采购需求的特性提供的质量保障方案，包含但不限于</w:t>
            </w:r>
            <w:r>
              <w:rPr>
                <w:rFonts w:hint="eastAsia"/>
                <w:sz w:val="24"/>
                <w:szCs w:val="24"/>
                <w:highlight w:val="none"/>
                <w:lang w:val="en-US" w:eastAsia="zh-CN"/>
              </w:rPr>
              <w:t>①</w:t>
            </w:r>
            <w:r>
              <w:rPr>
                <w:rFonts w:hint="eastAsia"/>
                <w:sz w:val="24"/>
                <w:szCs w:val="24"/>
                <w:highlight w:val="none"/>
                <w:lang w:eastAsia="zh-CN"/>
              </w:rPr>
              <w:t>产品质量保障承诺、</w:t>
            </w:r>
            <w:r>
              <w:rPr>
                <w:rFonts w:hint="eastAsia"/>
                <w:sz w:val="24"/>
                <w:szCs w:val="24"/>
                <w:highlight w:val="none"/>
                <w:lang w:val="en-US" w:eastAsia="zh-CN"/>
              </w:rPr>
              <w:t>②</w:t>
            </w:r>
            <w:r>
              <w:rPr>
                <w:rFonts w:hint="eastAsia"/>
                <w:sz w:val="24"/>
                <w:szCs w:val="24"/>
                <w:highlight w:val="none"/>
                <w:lang w:eastAsia="zh-CN"/>
              </w:rPr>
              <w:t>货源品质保障、</w:t>
            </w:r>
            <w:r>
              <w:rPr>
                <w:rFonts w:hint="eastAsia"/>
                <w:sz w:val="24"/>
                <w:szCs w:val="24"/>
                <w:highlight w:val="none"/>
                <w:lang w:val="en-US" w:eastAsia="zh-CN"/>
              </w:rPr>
              <w:t>③</w:t>
            </w:r>
            <w:r>
              <w:rPr>
                <w:rFonts w:hint="eastAsia"/>
                <w:sz w:val="24"/>
                <w:szCs w:val="24"/>
                <w:highlight w:val="none"/>
                <w:lang w:eastAsia="zh-CN"/>
              </w:rPr>
              <w:t>内部质量监督管理、</w:t>
            </w:r>
            <w:r>
              <w:rPr>
                <w:rFonts w:hint="eastAsia"/>
                <w:sz w:val="24"/>
                <w:szCs w:val="24"/>
                <w:highlight w:val="none"/>
                <w:lang w:val="en-US" w:eastAsia="zh-CN"/>
              </w:rPr>
              <w:t>④</w:t>
            </w:r>
            <w:r>
              <w:rPr>
                <w:rFonts w:hint="eastAsia"/>
                <w:sz w:val="24"/>
                <w:szCs w:val="24"/>
                <w:highlight w:val="none"/>
                <w:lang w:eastAsia="zh-CN"/>
              </w:rPr>
              <w:t>临时存放产品质量保证、</w:t>
            </w:r>
            <w:r>
              <w:rPr>
                <w:rFonts w:hint="eastAsia"/>
                <w:sz w:val="24"/>
                <w:szCs w:val="24"/>
                <w:highlight w:val="none"/>
                <w:lang w:val="en-US" w:eastAsia="zh-CN"/>
              </w:rPr>
              <w:t>⑤</w:t>
            </w:r>
            <w:r>
              <w:rPr>
                <w:rFonts w:hint="eastAsia"/>
                <w:sz w:val="24"/>
                <w:szCs w:val="24"/>
                <w:highlight w:val="none"/>
                <w:lang w:eastAsia="zh-CN"/>
              </w:rPr>
              <w:t>配送途中产品质量保证等内容，上述每项内容1分，未提供或缺失5对应内容不得分，满分5分;每项内容出现不符合项目情况或不利于项目实施或内容表述错误或内容前后矛盾等情形，每处扣0.5分，扣完为止。</w:t>
            </w:r>
          </w:p>
        </w:tc>
      </w:tr>
      <w:tr w14:paraId="4904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5" w:type="dxa"/>
            <w:vMerge w:val="continue"/>
            <w:vAlign w:val="center"/>
          </w:tcPr>
          <w:p w14:paraId="29810D75">
            <w:pPr>
              <w:widowControl/>
              <w:topLinePunct/>
              <w:spacing w:line="360" w:lineRule="auto"/>
              <w:jc w:val="center"/>
              <w:rPr>
                <w:rFonts w:ascii="宋体" w:hAnsi="宋体" w:cs="宋体"/>
                <w:b/>
                <w:sz w:val="24"/>
                <w:szCs w:val="24"/>
                <w:highlight w:val="none"/>
              </w:rPr>
            </w:pPr>
          </w:p>
        </w:tc>
        <w:tc>
          <w:tcPr>
            <w:tcW w:w="1780" w:type="dxa"/>
          </w:tcPr>
          <w:p w14:paraId="14C6B04F">
            <w:pPr>
              <w:pStyle w:val="68"/>
              <w:spacing w:before="78"/>
              <w:ind w:left="496" w:hanging="496" w:hangingChars="200"/>
              <w:jc w:val="center"/>
              <w:rPr>
                <w:spacing w:val="4"/>
                <w:sz w:val="24"/>
                <w:szCs w:val="24"/>
                <w:highlight w:val="none"/>
                <w:lang w:eastAsia="zh-CN"/>
              </w:rPr>
            </w:pPr>
          </w:p>
          <w:p w14:paraId="5AD4C198">
            <w:pPr>
              <w:pStyle w:val="68"/>
              <w:spacing w:before="78"/>
              <w:ind w:left="468" w:hanging="496" w:hangingChars="200"/>
              <w:jc w:val="left"/>
              <w:rPr>
                <w:sz w:val="24"/>
                <w:szCs w:val="24"/>
                <w:highlight w:val="none"/>
                <w:lang w:eastAsia="zh-CN"/>
              </w:rPr>
            </w:pPr>
            <w:r>
              <w:rPr>
                <w:rFonts w:hint="eastAsia"/>
                <w:spacing w:val="4"/>
                <w:sz w:val="24"/>
                <w:szCs w:val="24"/>
                <w:highlight w:val="none"/>
                <w:lang w:eastAsia="zh-CN"/>
              </w:rPr>
              <w:t>食品安全保障措施</w:t>
            </w:r>
            <w:r>
              <w:rPr>
                <w:rFonts w:hint="eastAsia"/>
                <w:spacing w:val="-3"/>
                <w:sz w:val="24"/>
                <w:szCs w:val="24"/>
                <w:highlight w:val="none"/>
                <w:lang w:eastAsia="zh-CN"/>
              </w:rPr>
              <w:t>（</w:t>
            </w:r>
            <w:r>
              <w:rPr>
                <w:rFonts w:hint="eastAsia"/>
                <w:spacing w:val="-3"/>
                <w:sz w:val="24"/>
                <w:szCs w:val="24"/>
                <w:highlight w:val="none"/>
                <w:lang w:val="en-US" w:eastAsia="zh-CN"/>
              </w:rPr>
              <w:t>12.5</w:t>
            </w:r>
            <w:r>
              <w:rPr>
                <w:rFonts w:hint="eastAsia"/>
                <w:spacing w:val="-3"/>
                <w:sz w:val="24"/>
                <w:szCs w:val="24"/>
                <w:highlight w:val="none"/>
                <w:lang w:eastAsia="zh-CN"/>
              </w:rPr>
              <w:t>分）</w:t>
            </w:r>
          </w:p>
        </w:tc>
        <w:tc>
          <w:tcPr>
            <w:tcW w:w="6348" w:type="dxa"/>
          </w:tcPr>
          <w:p w14:paraId="30E02E00">
            <w:pPr>
              <w:pStyle w:val="68"/>
              <w:spacing w:before="114" w:line="360" w:lineRule="auto"/>
              <w:ind w:right="112"/>
              <w:rPr>
                <w:sz w:val="24"/>
                <w:szCs w:val="24"/>
                <w:highlight w:val="none"/>
                <w:lang w:eastAsia="zh-CN"/>
              </w:rPr>
            </w:pPr>
            <w:r>
              <w:rPr>
                <w:rFonts w:hint="eastAsia"/>
                <w:sz w:val="24"/>
                <w:szCs w:val="24"/>
                <w:highlight w:val="none"/>
                <w:lang w:eastAsia="zh-CN"/>
              </w:rPr>
              <w:t>投标人根据采购需求的特性提供的食品安全保障措施，包括但不限于</w:t>
            </w:r>
            <w:r>
              <w:rPr>
                <w:rFonts w:hint="eastAsia"/>
                <w:sz w:val="24"/>
                <w:szCs w:val="24"/>
                <w:highlight w:val="none"/>
                <w:lang w:val="en-US" w:eastAsia="zh-CN"/>
              </w:rPr>
              <w:t>①</w:t>
            </w:r>
            <w:r>
              <w:rPr>
                <w:rFonts w:hint="eastAsia"/>
                <w:sz w:val="24"/>
                <w:szCs w:val="24"/>
                <w:highlight w:val="none"/>
                <w:lang w:eastAsia="zh-CN"/>
              </w:rPr>
              <w:t>食品安全保障承诺、</w:t>
            </w:r>
            <w:r>
              <w:rPr>
                <w:rFonts w:hint="eastAsia"/>
                <w:sz w:val="24"/>
                <w:szCs w:val="24"/>
                <w:highlight w:val="none"/>
                <w:lang w:val="en-US" w:eastAsia="zh-CN"/>
              </w:rPr>
              <w:t>②</w:t>
            </w:r>
            <w:r>
              <w:rPr>
                <w:rFonts w:hint="eastAsia"/>
                <w:sz w:val="24"/>
                <w:szCs w:val="24"/>
                <w:highlight w:val="none"/>
                <w:lang w:eastAsia="zh-CN"/>
              </w:rPr>
              <w:t>食品安全监管措施、</w:t>
            </w:r>
            <w:r>
              <w:rPr>
                <w:rFonts w:hint="eastAsia"/>
                <w:sz w:val="24"/>
                <w:szCs w:val="24"/>
                <w:highlight w:val="none"/>
                <w:lang w:val="en-US" w:eastAsia="zh-CN"/>
              </w:rPr>
              <w:t>③</w:t>
            </w:r>
            <w:r>
              <w:rPr>
                <w:rFonts w:hint="eastAsia"/>
                <w:sz w:val="24"/>
                <w:szCs w:val="24"/>
                <w:highlight w:val="none"/>
                <w:lang w:eastAsia="zh-CN"/>
              </w:rPr>
              <w:t>配送途径的安全保障、</w:t>
            </w:r>
            <w:r>
              <w:rPr>
                <w:rFonts w:hint="eastAsia"/>
                <w:sz w:val="24"/>
                <w:szCs w:val="24"/>
                <w:highlight w:val="none"/>
                <w:lang w:val="en-US" w:eastAsia="zh-CN"/>
              </w:rPr>
              <w:t>④</w:t>
            </w:r>
            <w:r>
              <w:rPr>
                <w:rFonts w:hint="eastAsia"/>
                <w:sz w:val="24"/>
                <w:szCs w:val="24"/>
                <w:highlight w:val="none"/>
                <w:lang w:eastAsia="zh-CN"/>
              </w:rPr>
              <w:t>卫生安全管理、</w:t>
            </w:r>
            <w:r>
              <w:rPr>
                <w:rFonts w:hint="eastAsia"/>
                <w:sz w:val="24"/>
                <w:szCs w:val="24"/>
                <w:highlight w:val="none"/>
                <w:lang w:val="en-US" w:eastAsia="zh-CN"/>
              </w:rPr>
              <w:t>⑤</w:t>
            </w:r>
            <w:r>
              <w:rPr>
                <w:rFonts w:hint="eastAsia"/>
                <w:sz w:val="24"/>
                <w:szCs w:val="24"/>
                <w:highlight w:val="none"/>
                <w:lang w:eastAsia="zh-CN"/>
              </w:rPr>
              <w:t>卫生防疫等内容，上述每项内容2.5分，未提供或缺失对应内容不得分，满分12.5分:每项内容出现不符合项目情况或不利于项目实施或内容表述错误或内容前后矛盾等情形，每处扣0.5分，扣完为止。</w:t>
            </w:r>
          </w:p>
        </w:tc>
      </w:tr>
      <w:tr w14:paraId="4DCD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5" w:type="dxa"/>
            <w:gridSpan w:val="2"/>
            <w:vAlign w:val="center"/>
          </w:tcPr>
          <w:p w14:paraId="23A5A8B6">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合计</w:t>
            </w:r>
          </w:p>
        </w:tc>
        <w:tc>
          <w:tcPr>
            <w:tcW w:w="6348" w:type="dxa"/>
            <w:vAlign w:val="center"/>
          </w:tcPr>
          <w:p w14:paraId="7836C9A1">
            <w:pPr>
              <w:widowControl/>
              <w:topLinePunct/>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0</w:t>
            </w:r>
            <w:r>
              <w:rPr>
                <w:rFonts w:hint="eastAsia" w:ascii="宋体" w:hAnsi="宋体" w:cs="宋体"/>
                <w:sz w:val="24"/>
                <w:szCs w:val="24"/>
                <w:highlight w:val="none"/>
              </w:rPr>
              <w:t>分</w:t>
            </w:r>
          </w:p>
        </w:tc>
      </w:tr>
      <w:tr w14:paraId="666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3" w:type="dxa"/>
            <w:gridSpan w:val="3"/>
            <w:vAlign w:val="center"/>
          </w:tcPr>
          <w:p w14:paraId="4BD0BB07">
            <w:pPr>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注： 1、计算过程中，算术平均值保留2位小数（百分比亦取2位小数），第三位小数四舍五入。</w:t>
            </w:r>
          </w:p>
          <w:p w14:paraId="0A61A7B9">
            <w:pPr>
              <w:spacing w:line="360" w:lineRule="auto"/>
              <w:rPr>
                <w:rFonts w:ascii="宋体" w:hAnsi="宋体" w:cs="宋体"/>
                <w:sz w:val="24"/>
                <w:szCs w:val="24"/>
                <w:highlight w:val="none"/>
              </w:rPr>
            </w:pPr>
            <w:r>
              <w:rPr>
                <w:rFonts w:hint="eastAsia" w:ascii="宋体" w:hAnsi="宋体" w:cs="宋体"/>
                <w:sz w:val="24"/>
                <w:szCs w:val="24"/>
                <w:highlight w:val="none"/>
                <w:lang w:val="zh-CN"/>
              </w:rPr>
              <w:t>2、投标人的最终得分为：所有评委对其评分的算术平均值。</w:t>
            </w:r>
          </w:p>
        </w:tc>
      </w:tr>
    </w:tbl>
    <w:p w14:paraId="0A351C58">
      <w:pPr>
        <w:rPr>
          <w:rFonts w:hint="eastAsia" w:ascii="宋体" w:hAnsi="宋体" w:cs="宋体"/>
          <w:b/>
          <w:sz w:val="32"/>
          <w:szCs w:val="32"/>
          <w:highlight w:val="none"/>
        </w:rPr>
      </w:pPr>
    </w:p>
    <w:p w14:paraId="061320AF">
      <w:pPr>
        <w:rPr>
          <w:rFonts w:hint="eastAsia" w:ascii="宋体" w:hAnsi="宋体" w:cs="宋体"/>
          <w:b/>
          <w:sz w:val="32"/>
          <w:szCs w:val="32"/>
          <w:highlight w:val="none"/>
        </w:rPr>
      </w:pPr>
    </w:p>
    <w:p w14:paraId="52033D3F">
      <w:pPr>
        <w:jc w:val="center"/>
        <w:rPr>
          <w:rFonts w:ascii="宋体" w:hAnsi="宋体" w:cs="宋体"/>
          <w:b/>
          <w:sz w:val="32"/>
          <w:szCs w:val="32"/>
          <w:highlight w:val="none"/>
        </w:rPr>
      </w:pPr>
      <w:r>
        <w:rPr>
          <w:rFonts w:hint="eastAsia" w:ascii="宋体" w:hAnsi="宋体" w:cs="宋体"/>
          <w:b/>
          <w:sz w:val="32"/>
          <w:szCs w:val="32"/>
          <w:highlight w:val="none"/>
        </w:rPr>
        <w:t>价格评标（分）记录明细表</w:t>
      </w:r>
    </w:p>
    <w:tbl>
      <w:tblPr>
        <w:tblStyle w:val="27"/>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14:paraId="16EE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14:paraId="782C29FD">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项目</w:t>
            </w:r>
          </w:p>
        </w:tc>
        <w:tc>
          <w:tcPr>
            <w:tcW w:w="6304" w:type="dxa"/>
            <w:vAlign w:val="center"/>
          </w:tcPr>
          <w:p w14:paraId="7583E5F7">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评标内容</w:t>
            </w:r>
          </w:p>
        </w:tc>
        <w:tc>
          <w:tcPr>
            <w:tcW w:w="1231" w:type="dxa"/>
            <w:vAlign w:val="center"/>
          </w:tcPr>
          <w:p w14:paraId="2D74E40B">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分值</w:t>
            </w:r>
          </w:p>
        </w:tc>
      </w:tr>
      <w:tr w14:paraId="1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14:paraId="78F28EBC">
            <w:pPr>
              <w:pStyle w:val="45"/>
              <w:jc w:val="both"/>
              <w:rPr>
                <w:rFonts w:ascii="宋体" w:hAnsi="宋体" w:cs="仿宋"/>
                <w:color w:val="auto"/>
                <w:kern w:val="2"/>
                <w:highlight w:val="none"/>
              </w:rPr>
            </w:pPr>
            <w:r>
              <w:rPr>
                <w:rFonts w:hint="eastAsia" w:ascii="宋体" w:hAnsi="宋体" w:cs="仿宋"/>
                <w:b/>
                <w:bCs/>
                <w:color w:val="auto"/>
                <w:kern w:val="2"/>
                <w:highlight w:val="none"/>
              </w:rPr>
              <w:t>A．投标价格评分</w:t>
            </w:r>
            <w:r>
              <w:rPr>
                <w:rFonts w:hint="eastAsia" w:ascii="宋体" w:hAnsi="宋体" w:cs="仿宋"/>
                <w:b/>
                <w:bCs/>
                <w:color w:val="auto"/>
                <w:kern w:val="2"/>
                <w:highlight w:val="none"/>
                <w:lang w:val="en-US" w:eastAsia="zh-CN"/>
              </w:rPr>
              <w:t>4</w:t>
            </w:r>
            <w:r>
              <w:rPr>
                <w:rFonts w:hint="eastAsia" w:ascii="宋体" w:hAnsi="宋体" w:cs="仿宋"/>
                <w:b/>
                <w:bCs/>
                <w:color w:val="auto"/>
                <w:kern w:val="2"/>
                <w:highlight w:val="none"/>
              </w:rPr>
              <w:t>0</w:t>
            </w:r>
            <w:r>
              <w:rPr>
                <w:rFonts w:ascii="宋体" w:hAnsi="宋体" w:cs="仿宋"/>
                <w:b/>
                <w:bCs/>
                <w:color w:val="auto"/>
                <w:kern w:val="2"/>
                <w:highlight w:val="none"/>
              </w:rPr>
              <w:t>分</w:t>
            </w:r>
          </w:p>
        </w:tc>
      </w:tr>
      <w:tr w14:paraId="79B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14:paraId="013F7B1C">
            <w:pPr>
              <w:jc w:val="center"/>
              <w:rPr>
                <w:rFonts w:ascii="宋体" w:hAnsi="宋体" w:cs="仿宋"/>
                <w:sz w:val="24"/>
                <w:szCs w:val="24"/>
                <w:highlight w:val="none"/>
              </w:rPr>
            </w:pPr>
            <w:r>
              <w:rPr>
                <w:rFonts w:hint="eastAsia" w:ascii="宋体" w:hAnsi="宋体" w:cs="仿宋"/>
                <w:sz w:val="24"/>
                <w:szCs w:val="24"/>
                <w:highlight w:val="none"/>
              </w:rPr>
              <w:t>价格评审</w:t>
            </w:r>
          </w:p>
          <w:p w14:paraId="1AEDCA21">
            <w:pPr>
              <w:pStyle w:val="5"/>
              <w:jc w:val="center"/>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0</w:t>
            </w:r>
            <w:r>
              <w:rPr>
                <w:rFonts w:ascii="宋体" w:hAnsi="宋体"/>
                <w:sz w:val="24"/>
                <w:szCs w:val="24"/>
                <w:highlight w:val="none"/>
              </w:rPr>
              <w:t>分</w:t>
            </w:r>
          </w:p>
        </w:tc>
        <w:tc>
          <w:tcPr>
            <w:tcW w:w="6304" w:type="dxa"/>
            <w:vAlign w:val="center"/>
          </w:tcPr>
          <w:p w14:paraId="7A2261D7">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评标基准价</w:t>
            </w:r>
            <w:r>
              <w:rPr>
                <w:rFonts w:ascii="宋体" w:hAnsi="宋体" w:eastAsia="宋体" w:cs="宋体"/>
                <w:kern w:val="2"/>
                <w:highlight w:val="none"/>
              </w:rPr>
              <w:t xml:space="preserve"> =有效投标</w:t>
            </w:r>
            <w:r>
              <w:rPr>
                <w:rFonts w:hint="eastAsia" w:ascii="宋体" w:hAnsi="宋体" w:eastAsia="宋体" w:cs="宋体"/>
                <w:kern w:val="2"/>
                <w:highlight w:val="none"/>
              </w:rPr>
              <w:t>下浮率</w:t>
            </w:r>
            <w:r>
              <w:rPr>
                <w:rFonts w:ascii="宋体" w:hAnsi="宋体" w:eastAsia="宋体" w:cs="宋体"/>
                <w:kern w:val="2"/>
                <w:highlight w:val="none"/>
              </w:rPr>
              <w:t>的最</w:t>
            </w:r>
            <w:r>
              <w:rPr>
                <w:rFonts w:hint="eastAsia" w:ascii="宋体" w:hAnsi="宋体" w:eastAsia="宋体" w:cs="宋体"/>
                <w:kern w:val="2"/>
                <w:highlight w:val="none"/>
              </w:rPr>
              <w:t>高</w:t>
            </w:r>
            <w:r>
              <w:rPr>
                <w:rFonts w:ascii="宋体" w:hAnsi="宋体" w:eastAsia="宋体" w:cs="宋体"/>
                <w:kern w:val="2"/>
                <w:highlight w:val="none"/>
              </w:rPr>
              <w:t>值，有效投标</w:t>
            </w:r>
            <w:r>
              <w:rPr>
                <w:rFonts w:hint="eastAsia" w:ascii="宋体" w:hAnsi="宋体" w:eastAsia="宋体" w:cs="宋体"/>
                <w:kern w:val="2"/>
                <w:highlight w:val="none"/>
              </w:rPr>
              <w:t>下浮率</w:t>
            </w:r>
            <w:r>
              <w:rPr>
                <w:rFonts w:ascii="宋体" w:hAnsi="宋体" w:eastAsia="宋体" w:cs="宋体"/>
                <w:kern w:val="2"/>
                <w:highlight w:val="none"/>
              </w:rPr>
              <w:t>等于</w:t>
            </w:r>
            <w:r>
              <w:rPr>
                <w:rFonts w:hint="eastAsia" w:ascii="宋体" w:hAnsi="宋体" w:eastAsia="宋体" w:cs="宋体"/>
                <w:kern w:val="2"/>
                <w:highlight w:val="none"/>
              </w:rPr>
              <w:t>评标</w:t>
            </w:r>
            <w:r>
              <w:rPr>
                <w:rFonts w:ascii="宋体" w:hAnsi="宋体" w:eastAsia="宋体" w:cs="宋体"/>
                <w:kern w:val="2"/>
                <w:highlight w:val="none"/>
              </w:rPr>
              <w:t xml:space="preserve">基准值的得满分，投标报价得分= </w:t>
            </w:r>
            <w:r>
              <w:rPr>
                <w:rFonts w:hint="eastAsia" w:ascii="宋体" w:hAnsi="宋体" w:eastAsia="宋体" w:cs="宋体"/>
                <w:kern w:val="2"/>
                <w:highlight w:val="none"/>
              </w:rPr>
              <w:t>（1-评标基准价</w:t>
            </w:r>
            <w:r>
              <w:rPr>
                <w:rFonts w:ascii="宋体" w:hAnsi="宋体" w:eastAsia="宋体" w:cs="宋体"/>
                <w:kern w:val="2"/>
                <w:highlight w:val="none"/>
              </w:rPr>
              <w:t>/</w:t>
            </w:r>
            <w:r>
              <w:rPr>
                <w:rFonts w:hint="eastAsia" w:ascii="宋体" w:hAnsi="宋体" w:eastAsia="宋体" w:cs="宋体"/>
                <w:kern w:val="2"/>
                <w:highlight w:val="none"/>
              </w:rPr>
              <w:t>1-</w:t>
            </w:r>
            <w:r>
              <w:rPr>
                <w:rFonts w:ascii="宋体" w:hAnsi="宋体" w:eastAsia="宋体" w:cs="宋体"/>
                <w:kern w:val="2"/>
                <w:highlight w:val="none"/>
              </w:rPr>
              <w:t>投标报价）×</w:t>
            </w:r>
            <w:r>
              <w:rPr>
                <w:rFonts w:hint="eastAsia" w:ascii="宋体" w:hAnsi="宋体" w:eastAsia="宋体" w:cs="宋体"/>
                <w:kern w:val="2"/>
                <w:highlight w:val="none"/>
                <w:lang w:val="en-US" w:eastAsia="zh-CN"/>
              </w:rPr>
              <w:t>4</w:t>
            </w:r>
            <w:r>
              <w:rPr>
                <w:rFonts w:hint="eastAsia" w:ascii="宋体" w:hAnsi="宋体" w:eastAsia="宋体" w:cs="宋体"/>
                <w:kern w:val="2"/>
                <w:highlight w:val="none"/>
              </w:rPr>
              <w:t>0</w:t>
            </w:r>
            <w:r>
              <w:rPr>
                <w:rFonts w:ascii="宋体" w:hAnsi="宋体" w:eastAsia="宋体" w:cs="宋体"/>
                <w:kern w:val="2"/>
                <w:highlight w:val="none"/>
              </w:rPr>
              <w:t>。有效投标</w:t>
            </w:r>
            <w:r>
              <w:rPr>
                <w:rFonts w:hint="eastAsia" w:ascii="宋体" w:hAnsi="宋体" w:eastAsia="宋体" w:cs="宋体"/>
                <w:kern w:val="2"/>
                <w:highlight w:val="none"/>
              </w:rPr>
              <w:t>下浮率</w:t>
            </w:r>
            <w:r>
              <w:rPr>
                <w:rFonts w:ascii="宋体" w:hAnsi="宋体" w:eastAsia="宋体" w:cs="宋体"/>
                <w:kern w:val="2"/>
                <w:highlight w:val="none"/>
              </w:rPr>
              <w:t>为通过初步审查的</w:t>
            </w:r>
            <w:r>
              <w:rPr>
                <w:rFonts w:hint="eastAsia" w:ascii="宋体" w:hAnsi="宋体" w:eastAsia="宋体" w:cs="宋体"/>
                <w:kern w:val="2"/>
                <w:highlight w:val="none"/>
              </w:rPr>
              <w:t>投标人</w:t>
            </w:r>
            <w:r>
              <w:rPr>
                <w:rFonts w:ascii="宋体" w:hAnsi="宋体" w:eastAsia="宋体" w:cs="宋体"/>
                <w:kern w:val="2"/>
                <w:highlight w:val="none"/>
              </w:rPr>
              <w:t>报价</w:t>
            </w:r>
            <w:r>
              <w:rPr>
                <w:rFonts w:hint="eastAsia" w:ascii="宋体" w:hAnsi="宋体" w:eastAsia="宋体" w:cs="宋体"/>
                <w:kern w:val="2"/>
                <w:highlight w:val="none"/>
              </w:rPr>
              <w:t>。</w:t>
            </w:r>
          </w:p>
        </w:tc>
        <w:tc>
          <w:tcPr>
            <w:tcW w:w="1231" w:type="dxa"/>
            <w:vMerge w:val="restart"/>
            <w:vAlign w:val="center"/>
          </w:tcPr>
          <w:p w14:paraId="46E7218A">
            <w:pPr>
              <w:pStyle w:val="45"/>
              <w:jc w:val="center"/>
              <w:rPr>
                <w:rFonts w:ascii="宋体" w:hAnsi="宋体" w:cs="仿宋"/>
                <w:color w:val="auto"/>
                <w:kern w:val="2"/>
                <w:highlight w:val="none"/>
              </w:rPr>
            </w:pPr>
            <w:r>
              <w:rPr>
                <w:rFonts w:hint="eastAsia" w:ascii="宋体" w:hAnsi="宋体" w:cs="仿宋"/>
                <w:color w:val="auto"/>
                <w:kern w:val="2"/>
                <w:highlight w:val="none"/>
                <w:lang w:val="en-US" w:eastAsia="zh-CN"/>
              </w:rPr>
              <w:t>4</w:t>
            </w:r>
            <w:r>
              <w:rPr>
                <w:rFonts w:hint="eastAsia" w:ascii="宋体" w:hAnsi="宋体" w:cs="仿宋"/>
                <w:color w:val="auto"/>
                <w:kern w:val="2"/>
                <w:highlight w:val="none"/>
              </w:rPr>
              <w:t>0</w:t>
            </w:r>
            <w:r>
              <w:rPr>
                <w:rFonts w:ascii="宋体" w:hAnsi="宋体" w:cs="仿宋"/>
                <w:color w:val="auto"/>
                <w:kern w:val="2"/>
                <w:highlight w:val="none"/>
              </w:rPr>
              <w:t>分</w:t>
            </w:r>
          </w:p>
        </w:tc>
      </w:tr>
      <w:tr w14:paraId="7BD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29" w:type="dxa"/>
            <w:vMerge w:val="continue"/>
            <w:vAlign w:val="center"/>
          </w:tcPr>
          <w:p w14:paraId="585005B3">
            <w:pPr>
              <w:pStyle w:val="45"/>
              <w:jc w:val="center"/>
              <w:rPr>
                <w:rFonts w:ascii="宋体" w:hAnsi="宋体" w:cs="仿宋"/>
                <w:color w:val="auto"/>
                <w:kern w:val="2"/>
                <w:highlight w:val="none"/>
              </w:rPr>
            </w:pPr>
          </w:p>
        </w:tc>
        <w:tc>
          <w:tcPr>
            <w:tcW w:w="6304" w:type="dxa"/>
            <w:vAlign w:val="center"/>
          </w:tcPr>
          <w:p w14:paraId="5A825970">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14:paraId="7856F763">
            <w:pPr>
              <w:pStyle w:val="45"/>
              <w:jc w:val="center"/>
              <w:rPr>
                <w:rFonts w:ascii="宋体" w:hAnsi="宋体" w:cs="仿宋"/>
                <w:color w:val="auto"/>
                <w:kern w:val="2"/>
                <w:highlight w:val="none"/>
              </w:rPr>
            </w:pPr>
          </w:p>
        </w:tc>
      </w:tr>
      <w:tr w14:paraId="5C2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14:paraId="630FE4BE">
            <w:pPr>
              <w:pStyle w:val="45"/>
              <w:jc w:val="both"/>
              <w:rPr>
                <w:rFonts w:ascii="宋体" w:hAnsi="宋体" w:cs="宋体"/>
                <w:color w:val="auto"/>
                <w:kern w:val="2"/>
                <w:highlight w:val="none"/>
              </w:rPr>
            </w:pPr>
            <w:r>
              <w:rPr>
                <w:rFonts w:hint="eastAsia" w:ascii="宋体" w:hAnsi="宋体" w:cs="宋体"/>
                <w:color w:val="auto"/>
                <w:kern w:val="2"/>
                <w:highlight w:val="none"/>
              </w:rPr>
              <w:t>注：</w:t>
            </w:r>
            <w:r>
              <w:rPr>
                <w:rFonts w:ascii="宋体" w:hAnsi="宋体" w:cs="宋体"/>
                <w:color w:val="auto"/>
                <w:kern w:val="2"/>
                <w:highlight w:val="none"/>
              </w:rPr>
              <w:t>1、计算过程中，算术平均值保留2位小数（百分比亦取2位小数），第三位小数四舍五入。</w:t>
            </w:r>
          </w:p>
          <w:p w14:paraId="22696C0A">
            <w:pPr>
              <w:pStyle w:val="45"/>
              <w:ind w:firstLine="480" w:firstLineChars="200"/>
              <w:jc w:val="both"/>
              <w:rPr>
                <w:rFonts w:ascii="宋体" w:hAnsi="宋体" w:cs="仿宋"/>
                <w:color w:val="auto"/>
                <w:kern w:val="2"/>
                <w:highlight w:val="none"/>
              </w:rPr>
            </w:pPr>
            <w:r>
              <w:rPr>
                <w:rFonts w:ascii="宋体" w:hAnsi="宋体" w:cs="宋体"/>
                <w:color w:val="auto"/>
                <w:kern w:val="2"/>
                <w:highlight w:val="none"/>
              </w:rPr>
              <w:t>2、投标人的最终得分为：所有评委对其评分的算术平均值。</w:t>
            </w:r>
          </w:p>
        </w:tc>
      </w:tr>
      <w:tr w14:paraId="1DE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14:paraId="2799A493">
            <w:pPr>
              <w:pStyle w:val="45"/>
              <w:jc w:val="both"/>
              <w:rPr>
                <w:rFonts w:hint="default" w:ascii="宋体" w:hAnsi="宋体" w:eastAsia="宋体" w:cs="仿宋"/>
                <w:color w:val="auto"/>
                <w:kern w:val="2"/>
                <w:highlight w:val="none"/>
                <w:lang w:val="en-US" w:eastAsia="zh-CN"/>
              </w:rPr>
            </w:pPr>
            <w:r>
              <w:rPr>
                <w:rFonts w:hint="eastAsia" w:ascii="宋体" w:hAnsi="宋体" w:cs="仿宋"/>
                <w:b/>
                <w:bCs/>
                <w:color w:val="auto"/>
                <w:kern w:val="2"/>
                <w:highlight w:val="none"/>
              </w:rPr>
              <w:t>B．属于中小企业评标优惠内容及价格扣除幅度</w:t>
            </w:r>
          </w:p>
        </w:tc>
      </w:tr>
      <w:tr w14:paraId="435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14:paraId="127FF9A3">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根据中华人民共和国财政部、中华人民共和国工业和信息化部《政府采购促进中小企业发展暂行办法》（财库[2020]46号）文件、财政部《关于进一步加大政府采购支持中小企业力度的通知》(财库(2022〕19号)的规定，属于中小企业评标优惠内容及幅度如下：</w:t>
            </w:r>
          </w:p>
          <w:p w14:paraId="55649E87">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（一）中小企业（含中型、小型、微型企业）应当同时符合以下条件：</w:t>
            </w:r>
          </w:p>
          <w:p w14:paraId="30F80FB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①符合中小企业划分标准(按《关于印发中小企业划型标准规定的通知》(工信部联企业( 2011)300号）执行）；</w:t>
            </w:r>
          </w:p>
          <w:p w14:paraId="63ED1800">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②提供本企业制造的货物、承担的项目或者服务，或者提供其他中小企业制造的货物。本项所称货物不包括使用大型企业注册商标的货物；</w:t>
            </w:r>
          </w:p>
          <w:p w14:paraId="63F4DFEC">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③小型、微型企业提供中型企业制造的货物的，视同为中型企业。</w:t>
            </w:r>
          </w:p>
          <w:p w14:paraId="676753F4">
            <w:pPr>
              <w:pStyle w:val="45"/>
              <w:spacing w:line="300" w:lineRule="exact"/>
              <w:jc w:val="both"/>
              <w:rPr>
                <w:rFonts w:ascii="宋体" w:hAnsi="宋体" w:cs="仿宋"/>
                <w:color w:val="auto"/>
                <w:kern w:val="2"/>
                <w:highlight w:val="none"/>
              </w:rPr>
            </w:pPr>
            <w:r>
              <w:rPr>
                <w:rFonts w:hint="eastAsia" w:ascii="宋体" w:hAnsi="宋体" w:cs="仿宋"/>
                <w:b/>
                <w:bCs/>
                <w:color w:val="auto"/>
                <w:kern w:val="2"/>
                <w:highlight w:val="none"/>
              </w:rPr>
              <w:t>（二）价格扣除办法</w:t>
            </w:r>
            <w:r>
              <w:rPr>
                <w:rFonts w:hint="eastAsia" w:ascii="宋体" w:hAnsi="宋体" w:cs="仿宋"/>
                <w:color w:val="auto"/>
                <w:kern w:val="2"/>
                <w:highlight w:val="none"/>
              </w:rPr>
              <w:t>：</w:t>
            </w:r>
          </w:p>
          <w:p w14:paraId="0E18D8C5">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①对于非专门面向中小企业的项目，</w:t>
            </w:r>
            <w:r>
              <w:rPr>
                <w:rFonts w:hint="eastAsia" w:ascii="宋体" w:hAnsi="宋体" w:cs="仿宋"/>
                <w:color w:val="auto"/>
                <w:kern w:val="2"/>
                <w:highlight w:val="none"/>
                <w:lang w:val="en-US" w:eastAsia="zh-CN"/>
              </w:rPr>
              <w:t>制造商为</w:t>
            </w:r>
            <w:r>
              <w:rPr>
                <w:rFonts w:hint="eastAsia" w:ascii="宋体" w:hAnsi="宋体" w:cs="仿宋"/>
                <w:color w:val="auto"/>
                <w:kern w:val="2"/>
                <w:highlight w:val="none"/>
              </w:rPr>
              <w:t>小型</w:t>
            </w:r>
            <w:r>
              <w:rPr>
                <w:rFonts w:hint="eastAsia" w:ascii="宋体" w:hAnsi="宋体" w:cs="仿宋"/>
                <w:color w:val="auto"/>
                <w:kern w:val="2"/>
                <w:highlight w:val="none"/>
                <w:lang w:val="en-US" w:eastAsia="zh-CN"/>
              </w:rPr>
              <w:t>和</w:t>
            </w:r>
            <w:r>
              <w:rPr>
                <w:rFonts w:hint="eastAsia" w:ascii="宋体" w:hAnsi="宋体" w:cs="仿宋"/>
                <w:color w:val="auto"/>
                <w:kern w:val="2"/>
                <w:highlight w:val="none"/>
              </w:rPr>
              <w:t>微型企业产品的价格给予10%的扣除，用扣除后的评标价格参与价格分的评标。</w:t>
            </w:r>
          </w:p>
          <w:p w14:paraId="73B0305B">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 xml:space="preserve">②大中型企业和其他自然人、法人或者其他组织与小型、微型企业组成联合体，联合体协议中约定，小型、微型企业的协议合同金额占到联合体协议合同总金额30%以上的，可给予联合体4%的价格扣除。联合体各方均为小型、微型企业的，联合体视同为小型、微型企业享受扶持政策。组成联合体的大中型企业和其他自然人、法人或者其他组织，与小型、微型企业之间不得存在投资关系，并附协议书。  </w:t>
            </w:r>
          </w:p>
          <w:p w14:paraId="0CF93782">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（三）小型和微型企业适用价格扣除办法时应提供的相关资料：</w:t>
            </w:r>
          </w:p>
          <w:p w14:paraId="7C44748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①《中小企业声明函》；</w:t>
            </w:r>
          </w:p>
        </w:tc>
      </w:tr>
    </w:tbl>
    <w:p w14:paraId="10F2EB2E">
      <w:pPr>
        <w:pStyle w:val="19"/>
        <w:rPr>
          <w:highlight w:val="none"/>
          <w:lang w:val="zh-CN"/>
        </w:rPr>
      </w:pPr>
    </w:p>
    <w:p w14:paraId="09FBD00E">
      <w:pPr>
        <w:tabs>
          <w:tab w:val="left" w:pos="8280"/>
        </w:tabs>
        <w:spacing w:line="360" w:lineRule="auto"/>
        <w:ind w:right="-1" w:firstLine="542" w:firstLineChars="225"/>
        <w:rPr>
          <w:rFonts w:ascii="宋体" w:hAnsi="宋体" w:cs="宋体"/>
          <w:b/>
          <w:sz w:val="24"/>
          <w:highlight w:val="none"/>
          <w:lang w:val="zh-CN"/>
        </w:rPr>
      </w:pPr>
    </w:p>
    <w:p w14:paraId="7B0ECFAB">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2</w:t>
      </w:r>
      <w:r>
        <w:rPr>
          <w:rFonts w:hint="eastAsia" w:ascii="宋体" w:hAnsi="宋体" w:cs="宋体"/>
          <w:b/>
          <w:sz w:val="24"/>
          <w:highlight w:val="none"/>
          <w:lang w:val="zh-CN"/>
        </w:rPr>
        <w:t>. 推荐拟中标候选人</w:t>
      </w:r>
    </w:p>
    <w:p w14:paraId="0C5F0B4A">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.1由评标委员会集体按照经署名确认的汇总得分排序顺序，</w:t>
      </w:r>
      <w:r>
        <w:rPr>
          <w:rFonts w:hint="eastAsia" w:ascii="宋体" w:hAnsi="宋体" w:cs="宋体"/>
          <w:bCs/>
          <w:sz w:val="24"/>
          <w:highlight w:val="none"/>
        </w:rPr>
        <w:t>推荐拟中标候选人。</w:t>
      </w:r>
    </w:p>
    <w:p w14:paraId="13226156">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bCs/>
          <w:sz w:val="24"/>
          <w:highlight w:val="none"/>
        </w:rPr>
        <w:t>.2 推荐拟中标候选人数量应当根据采购需要确定，应当限定在一至三人，并标明排列顺序。排序第一位的为推荐的</w:t>
      </w:r>
      <w:r>
        <w:rPr>
          <w:rFonts w:hint="eastAsia" w:ascii="宋体" w:hAnsi="宋体" w:cs="宋体"/>
          <w:sz w:val="24"/>
          <w:szCs w:val="24"/>
          <w:highlight w:val="none"/>
        </w:rPr>
        <w:t>第一拟成交投标人。</w:t>
      </w:r>
    </w:p>
    <w:p w14:paraId="2CDC7CE1">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.3 投标方</w:t>
      </w:r>
      <w:r>
        <w:rPr>
          <w:rFonts w:hint="eastAsia" w:ascii="宋体" w:hAnsi="宋体" w:cs="宋体"/>
          <w:bCs/>
          <w:sz w:val="24"/>
          <w:highlight w:val="none"/>
        </w:rPr>
        <w:t>最低投标报价不是唯一中标条件</w:t>
      </w:r>
      <w:r>
        <w:rPr>
          <w:rFonts w:hint="eastAsia" w:ascii="宋体" w:hAnsi="宋体" w:cs="宋体"/>
          <w:sz w:val="24"/>
          <w:highlight w:val="none"/>
          <w:lang w:val="zh-CN"/>
        </w:rPr>
        <w:t>。对资格资质审查和符合性审查合格的投标报价文件完整无缺、最大限度的满足招标文件需求的投标方，中标机会均等。</w:t>
      </w:r>
    </w:p>
    <w:p w14:paraId="46EC7008">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szCs w:val="24"/>
          <w:highlight w:val="none"/>
        </w:rPr>
        <w:t>.4 如汇总得分排序后出现</w:t>
      </w:r>
      <w:r>
        <w:rPr>
          <w:rFonts w:hint="eastAsia" w:ascii="宋体" w:hAnsi="宋体" w:cs="宋体"/>
          <w:bCs/>
          <w:sz w:val="24"/>
          <w:highlight w:val="none"/>
        </w:rPr>
        <w:t>推荐拟中标候选人</w:t>
      </w:r>
      <w:r>
        <w:rPr>
          <w:rFonts w:hint="eastAsia" w:ascii="宋体" w:hAnsi="宋体" w:cs="宋体"/>
          <w:sz w:val="24"/>
          <w:szCs w:val="24"/>
          <w:highlight w:val="none"/>
        </w:rPr>
        <w:t>得分相同的，评标委员会只对取得得分前三位投标人，按照</w:t>
      </w:r>
      <w:r>
        <w:rPr>
          <w:rFonts w:hint="eastAsia" w:ascii="宋体" w:hAnsi="宋体" w:cs="宋体"/>
          <w:sz w:val="24"/>
          <w:highlight w:val="none"/>
          <w:lang w:val="zh-CN"/>
        </w:rPr>
        <w:t>其报价由低到高顺序排列；得分且其报价相等的，则按核心技术指标优劣顺序排列。价格、技术指标的高</w:t>
      </w:r>
      <w:r>
        <w:rPr>
          <w:rFonts w:hint="eastAsia" w:ascii="宋体" w:hAnsi="宋体" w:cs="宋体"/>
          <w:sz w:val="24"/>
          <w:szCs w:val="24"/>
          <w:highlight w:val="none"/>
        </w:rPr>
        <w:t>低或优劣由评标委员会集体进行综合确认评定。排序在前三位之后的，按原排序不变，允许排序并列。</w:t>
      </w:r>
    </w:p>
    <w:p w14:paraId="06518FB3">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.5 由采购代理机构对未推荐拟成交候选人、确认废标的，进行核对汇总后，由评标委员会各成员签署确认。</w:t>
      </w:r>
    </w:p>
    <w:p w14:paraId="4C5470DC">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3</w:t>
      </w:r>
      <w:r>
        <w:rPr>
          <w:rFonts w:hint="eastAsia" w:ascii="宋体" w:hAnsi="宋体" w:cs="宋体"/>
          <w:b/>
          <w:sz w:val="24"/>
          <w:highlight w:val="none"/>
          <w:lang w:val="zh-CN"/>
        </w:rPr>
        <w:t>. 编写评标报告</w:t>
      </w:r>
    </w:p>
    <w:p w14:paraId="36BDEF8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highlight w:val="none"/>
          <w:lang w:val="zh-CN"/>
        </w:rPr>
        <w:t>评标委员会</w:t>
      </w:r>
      <w:r>
        <w:rPr>
          <w:rFonts w:hint="eastAsia" w:ascii="宋体" w:hAnsi="宋体" w:cs="宋体"/>
          <w:sz w:val="24"/>
          <w:szCs w:val="24"/>
          <w:highlight w:val="none"/>
        </w:rPr>
        <w:t>根据全体成员签字的评标（评审）原始记录和结果，编写</w:t>
      </w:r>
    </w:p>
    <w:p w14:paraId="5336A795">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评标报告，并现场提交给采购代理机构。编写的评标报告要符合招标文件的要求。</w:t>
      </w:r>
    </w:p>
    <w:p w14:paraId="4F2BD386">
      <w:pPr>
        <w:tabs>
          <w:tab w:val="left" w:pos="8280"/>
        </w:tabs>
        <w:spacing w:line="360" w:lineRule="auto"/>
        <w:ind w:right="-1" w:firstLine="542" w:firstLineChars="225"/>
        <w:rPr>
          <w:rFonts w:ascii="宋体" w:hAnsi="宋体" w:cs="宋体"/>
          <w:b/>
          <w:sz w:val="24"/>
          <w:szCs w:val="24"/>
          <w:highlight w:val="none"/>
        </w:rPr>
      </w:pPr>
      <w:r>
        <w:rPr>
          <w:rFonts w:hint="eastAsia" w:ascii="宋体" w:hAnsi="宋体" w:cs="宋体"/>
          <w:b/>
          <w:sz w:val="24"/>
          <w:szCs w:val="24"/>
          <w:highlight w:val="none"/>
        </w:rPr>
        <w:t>24. 评标结束</w:t>
      </w:r>
    </w:p>
    <w:p w14:paraId="174DBB45">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24.1采购代理机构应按规定时间，通知全部参与本次招标投标有效的投标人入场，进行会议总结，宣布本次</w:t>
      </w:r>
      <w:r>
        <w:rPr>
          <w:rFonts w:hint="eastAsia" w:ascii="宋体" w:hAnsi="宋体" w:cs="宋体"/>
          <w:sz w:val="24"/>
          <w:highlight w:val="none"/>
          <w:lang w:val="zh-CN"/>
        </w:rPr>
        <w:t>评标委员会</w:t>
      </w:r>
      <w:r>
        <w:rPr>
          <w:rFonts w:hint="eastAsia" w:ascii="宋体" w:hAnsi="宋体" w:cs="宋体"/>
          <w:sz w:val="24"/>
          <w:szCs w:val="24"/>
          <w:highlight w:val="none"/>
        </w:rPr>
        <w:t>推荐的第一拟成交投标人名单。</w:t>
      </w:r>
    </w:p>
    <w:p w14:paraId="03F9BB5B">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24.2 评审小组各成员名单不公开。</w:t>
      </w:r>
    </w:p>
    <w:p w14:paraId="125E8143">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24.3 由采购代理机构宣读有关招标信息公告、中标确认原则及质疑（投诉）事项等说明。</w:t>
      </w:r>
    </w:p>
    <w:p w14:paraId="7BE76916">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24.4 在宣布会议结束后，采购代理机构均有义务告知所有投标人办理投标保证金的退付手续。</w:t>
      </w:r>
    </w:p>
    <w:p w14:paraId="468C4F7D">
      <w:pPr>
        <w:spacing w:line="360" w:lineRule="auto"/>
        <w:ind w:firstLine="480" w:firstLineChars="200"/>
        <w:rPr>
          <w:rFonts w:ascii="宋体" w:hAnsi="宋体" w:cs="宋体"/>
          <w:b/>
          <w:sz w:val="36"/>
          <w:szCs w:val="36"/>
          <w:highlight w:val="none"/>
        </w:rPr>
      </w:pPr>
      <w:r>
        <w:rPr>
          <w:rFonts w:hint="eastAsia" w:ascii="宋体" w:hAnsi="宋体" w:cs="宋体"/>
          <w:sz w:val="24"/>
          <w:szCs w:val="24"/>
          <w:highlight w:val="none"/>
        </w:rPr>
        <w:t>24</w:t>
      </w:r>
      <w:r>
        <w:rPr>
          <w:rFonts w:hint="eastAsia" w:ascii="宋体" w:hAnsi="宋体" w:cs="宋体"/>
          <w:sz w:val="24"/>
          <w:highlight w:val="none"/>
          <w:lang w:val="zh-CN"/>
        </w:rPr>
        <w:t xml:space="preserve">.5 </w:t>
      </w:r>
      <w:r>
        <w:rPr>
          <w:rFonts w:hint="eastAsia" w:ascii="宋体" w:hAnsi="宋体" w:cs="宋体"/>
          <w:bCs/>
          <w:sz w:val="24"/>
          <w:szCs w:val="24"/>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771FFB14">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第三章 定　标</w:t>
      </w:r>
    </w:p>
    <w:p w14:paraId="3895BCE1">
      <w:pPr>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w:t>
      </w:r>
      <w:r>
        <w:rPr>
          <w:rFonts w:hint="eastAsia" w:ascii="宋体" w:hAnsi="宋体" w:cs="宋体"/>
          <w:b/>
          <w:bCs/>
          <w:sz w:val="24"/>
          <w:highlight w:val="none"/>
          <w:lang w:val="zh-CN"/>
        </w:rPr>
        <w:t>．定标标准</w:t>
      </w:r>
    </w:p>
    <w:p w14:paraId="4CB97E7B">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招标代理机构</w:t>
      </w:r>
      <w:r>
        <w:rPr>
          <w:rFonts w:hint="eastAsia" w:ascii="宋体" w:hAnsi="宋体" w:cs="宋体"/>
          <w:sz w:val="24"/>
          <w:highlight w:val="none"/>
          <w:lang w:val="zh-CN"/>
        </w:rPr>
        <w:t>应在评标结束后</w:t>
      </w:r>
      <w:r>
        <w:rPr>
          <w:rFonts w:hint="eastAsia" w:ascii="宋体" w:hAnsi="宋体" w:cs="宋体"/>
          <w:sz w:val="24"/>
          <w:highlight w:val="none"/>
        </w:rPr>
        <w:t>2</w:t>
      </w:r>
      <w:r>
        <w:rPr>
          <w:rFonts w:hint="eastAsia" w:ascii="宋体" w:hAnsi="宋体" w:cs="宋体"/>
          <w:sz w:val="24"/>
          <w:highlight w:val="none"/>
          <w:lang w:val="zh-CN"/>
        </w:rPr>
        <w:t>个工作日内，以书面形式向采购人发出《关于给予评审结果的确认函》，采购人在收到后5个工作日内，应按照评标报告确定的中标候选人名单中的顺序确认中标人</w:t>
      </w:r>
      <w:r>
        <w:rPr>
          <w:rFonts w:hint="eastAsia" w:ascii="宋体" w:hAnsi="宋体" w:cs="宋体"/>
          <w:sz w:val="24"/>
          <w:szCs w:val="24"/>
          <w:highlight w:val="none"/>
        </w:rPr>
        <w:t>。</w:t>
      </w:r>
    </w:p>
    <w:p w14:paraId="5BF62E7D">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25.2 中标人因不可抗力或者自身原因不能履行合同的，采购人可以与排位在中标人之后第一位的中标候选人签订合同，以此类推。</w:t>
      </w:r>
    </w:p>
    <w:p w14:paraId="13C6B039">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.2.1 最低投标价不一定是被授予合同的保证。</w:t>
      </w:r>
    </w:p>
    <w:p w14:paraId="35FE99FB">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.2.2 合同将授予被确定为实质上响应招标文件要求，经评定认为具备履行合同义务能力、报价合理、技术和商务条件都符合招标文件要求的、对买方最为有利的投标人。</w:t>
      </w:r>
    </w:p>
    <w:p w14:paraId="04A4C7C5">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.2.3 如果采购人确定该中标人无条件圆满履行合同，应由采购人将对下一个可能成交的投标人资格做出类似的审查。</w:t>
      </w:r>
    </w:p>
    <w:p w14:paraId="5E6ECE43">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26</w:t>
      </w:r>
      <w:r>
        <w:rPr>
          <w:rFonts w:hint="eastAsia" w:ascii="宋体" w:hAnsi="宋体" w:cs="宋体"/>
          <w:b/>
          <w:bCs/>
          <w:sz w:val="24"/>
          <w:highlight w:val="none"/>
          <w:lang w:val="zh-CN"/>
        </w:rPr>
        <w:t>．接受和拒绝任何或所有投标的权力</w:t>
      </w:r>
    </w:p>
    <w:p w14:paraId="3ED604CF">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26</w:t>
      </w:r>
      <w:r>
        <w:rPr>
          <w:rFonts w:hint="eastAsia" w:ascii="宋体" w:hAnsi="宋体" w:cs="宋体"/>
          <w:sz w:val="24"/>
          <w:highlight w:val="none"/>
          <w:lang w:val="zh-CN"/>
        </w:rPr>
        <w:t>.1 为维护国家利益，评标委员会在授予合同之前仍有选择或拒绝任何投标的权力。</w:t>
      </w:r>
    </w:p>
    <w:p w14:paraId="33DD1A57">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rPr>
        <w:t>27</w:t>
      </w:r>
      <w:r>
        <w:rPr>
          <w:rFonts w:hint="eastAsia" w:ascii="宋体" w:hAnsi="宋体" w:cs="宋体"/>
          <w:b/>
          <w:bCs/>
          <w:sz w:val="24"/>
          <w:highlight w:val="none"/>
          <w:lang w:val="zh-CN"/>
        </w:rPr>
        <w:t>．中标通知书</w:t>
      </w:r>
    </w:p>
    <w:p w14:paraId="57CAC0B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27.1 中标人确定后，采购代理机构应当将中标结果在省级以上财政部门指定的信息发布媒体上公告1个工作日，在公告中标结果的同时，采购代理机构向中标人发出</w:t>
      </w:r>
      <w:r>
        <w:rPr>
          <w:rFonts w:hint="eastAsia" w:ascii="宋体" w:hAnsi="宋体" w:cs="宋体"/>
          <w:bCs/>
          <w:sz w:val="24"/>
          <w:highlight w:val="none"/>
        </w:rPr>
        <w:t>《中标通知书》 。</w:t>
      </w:r>
    </w:p>
    <w:p w14:paraId="7BF25819">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27.1.1 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14:paraId="4A6908F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.1.2 采购人在收到《关于给予评审结果的确认函》5个工作日内，如不按规定确认中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5F07B62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 中标人领取《中标通知书》时，须向采购人提交合同履约保证金，拒绝提交的，视为放弃成交项目。</w:t>
      </w:r>
    </w:p>
    <w:p w14:paraId="50ADBC7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.1.3.1 合同履约保证金待合同执行期满、货物验收合格及办理货款结算时，由采购人无息退还。</w:t>
      </w:r>
    </w:p>
    <w:p w14:paraId="71134DD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.1.3.2 合同履约保证金可采用银行汇票、银行保函等形式交纳，成交投标人须将履约保证金交到采购人指定账户。指定账户与投标报价保证金同账户。</w:t>
      </w:r>
    </w:p>
    <w:p w14:paraId="2A23D83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.1.3.3 中标人提交的合同履约保证金，其有效期限应不低于合同有效期。</w:t>
      </w:r>
    </w:p>
    <w:p w14:paraId="3D07DA5E">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27.2  </w:t>
      </w:r>
      <w:r>
        <w:rPr>
          <w:rFonts w:hint="eastAsia" w:ascii="宋体" w:hAnsi="宋体" w:cs="宋体"/>
          <w:sz w:val="24"/>
          <w:highlight w:val="none"/>
          <w:lang w:val="zh-CN"/>
        </w:rPr>
        <w:t>在发布中标公告后，招标采购单位应当向中标人发出中标通知书，中标通知书对采购人和中标人具有同等法律效力。《中标通知书》</w:t>
      </w:r>
      <w:r>
        <w:rPr>
          <w:rFonts w:hint="eastAsia" w:ascii="宋体" w:hAnsi="宋体" w:cs="宋体"/>
          <w:sz w:val="24"/>
          <w:szCs w:val="24"/>
          <w:highlight w:val="none"/>
        </w:rPr>
        <w:t>发出后，采购人改变中标结果，或者中标人放弃成交，应当承担相应的法律责任。</w:t>
      </w:r>
    </w:p>
    <w:p w14:paraId="0977970C">
      <w:pPr>
        <w:autoSpaceDE w:val="0"/>
        <w:autoSpaceDN w:val="0"/>
        <w:adjustRightInd w:val="0"/>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27</w:t>
      </w:r>
      <w:r>
        <w:rPr>
          <w:rFonts w:hint="eastAsia" w:ascii="宋体" w:hAnsi="宋体" w:cs="宋体"/>
          <w:sz w:val="24"/>
          <w:highlight w:val="none"/>
          <w:lang w:val="zh-CN"/>
        </w:rPr>
        <w:t>.3 《中标通知书》要作为</w:t>
      </w:r>
      <w:r>
        <w:rPr>
          <w:rFonts w:hint="eastAsia" w:ascii="宋体" w:hAnsi="宋体" w:cs="宋体"/>
          <w:sz w:val="24"/>
          <w:szCs w:val="24"/>
          <w:highlight w:val="none"/>
        </w:rPr>
        <w:t>采购人、中标人</w:t>
      </w:r>
      <w:r>
        <w:rPr>
          <w:rFonts w:hint="eastAsia" w:ascii="宋体" w:hAnsi="宋体" w:cs="宋体"/>
          <w:sz w:val="24"/>
          <w:highlight w:val="none"/>
          <w:lang w:val="zh-CN"/>
        </w:rPr>
        <w:t>签订的由采购人</w:t>
      </w:r>
      <w:r>
        <w:rPr>
          <w:rFonts w:hint="eastAsia" w:ascii="宋体" w:hAnsi="宋体" w:cs="宋体"/>
          <w:sz w:val="24"/>
          <w:highlight w:val="none"/>
        </w:rPr>
        <w:t>签</w:t>
      </w:r>
      <w:r>
        <w:rPr>
          <w:rFonts w:hint="eastAsia" w:ascii="宋体" w:hAnsi="宋体" w:cs="宋体"/>
          <w:sz w:val="24"/>
          <w:highlight w:val="none"/>
          <w:lang w:val="zh-CN"/>
        </w:rPr>
        <w:t>章合同的依据。</w:t>
      </w:r>
    </w:p>
    <w:p w14:paraId="795D0E90">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第四章 授予合同</w:t>
      </w:r>
    </w:p>
    <w:p w14:paraId="1926B8AA">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 xml:space="preserve">28. </w:t>
      </w:r>
      <w:r>
        <w:rPr>
          <w:rFonts w:hint="eastAsia" w:ascii="宋体" w:hAnsi="宋体" w:cs="宋体"/>
          <w:b/>
          <w:bCs/>
          <w:sz w:val="24"/>
          <w:highlight w:val="none"/>
          <w:lang w:val="zh-CN"/>
        </w:rPr>
        <w:t>签订合同</w:t>
      </w:r>
    </w:p>
    <w:p w14:paraId="3A4CA97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.1</w:t>
      </w:r>
      <w:r>
        <w:rPr>
          <w:rFonts w:hint="eastAsia" w:ascii="宋体" w:hAnsi="宋体" w:cs="宋体"/>
          <w:sz w:val="24"/>
          <w:szCs w:val="24"/>
          <w:highlight w:val="none"/>
        </w:rPr>
        <w:t xml:space="preserve"> 中标人应当自《中标通知书》发出之日起30日内，</w:t>
      </w:r>
      <w:r>
        <w:rPr>
          <w:rFonts w:hint="eastAsia" w:ascii="宋体" w:hAnsi="宋体" w:cs="宋体"/>
          <w:sz w:val="24"/>
          <w:highlight w:val="none"/>
          <w:lang w:val="zh-CN"/>
        </w:rPr>
        <w:t>按照采购代理机构招标文件的约定和中标方投标文件中的承诺与采购单位签订书面合同，所签订的合同不得对采购代理机构招标文件和中标方的投标文件作实质性修改。</w:t>
      </w:r>
    </w:p>
    <w:p w14:paraId="1F43316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.2 采购单位不得向中标人提出任何不合理要求作为签订合同的条件，不得与中标人私下订立背离合同实质性内容的协议。</w:t>
      </w:r>
    </w:p>
    <w:p w14:paraId="77A5C6A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.3 合同的双方当事人不得擅自变更、中止或者终止合同。</w:t>
      </w:r>
    </w:p>
    <w:p w14:paraId="6659013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.4 合同继续履行将损害国家利益和社会公共利益的，双方当事人应当变更、中止或者终止合同。有过错的一方承担赔偿责任，双方都有过错的，各自承担相应责任。</w:t>
      </w:r>
    </w:p>
    <w:p w14:paraId="052D4B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 合同履行中，采购人需追加与合同标的相同的货物、工程或者服务的，在不改变其他条款的前提下，经采购人审查后，可以与投标人签订补充合同，补充合同须有采购人</w:t>
      </w:r>
      <w:r>
        <w:rPr>
          <w:rFonts w:hint="eastAsia" w:ascii="宋体" w:hAnsi="宋体" w:cs="宋体"/>
          <w:sz w:val="24"/>
          <w:highlight w:val="none"/>
        </w:rPr>
        <w:t>签</w:t>
      </w:r>
      <w:r>
        <w:rPr>
          <w:rFonts w:hint="eastAsia" w:ascii="宋体" w:hAnsi="宋体" w:cs="宋体"/>
          <w:sz w:val="24"/>
          <w:highlight w:val="none"/>
          <w:lang w:val="zh-CN"/>
        </w:rPr>
        <w:t>章，但所有补充合同的采购金额不得超过原合同金额的10%。</w:t>
      </w:r>
    </w:p>
    <w:p w14:paraId="20B438F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.5.1 采购人在授予中标人合同时，经审查采购人的书面申请后，有权对招标文件中规定的货物和服务的数量在10%的幅度内予以增加或减少，并要在合同中增加条款进行说明。</w:t>
      </w:r>
    </w:p>
    <w:p w14:paraId="0973DD5B">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.6 如中标人拒签合同，则按违约处理。采购人将没收其合同履约保证金。</w:t>
      </w:r>
    </w:p>
    <w:p w14:paraId="4AC006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7 采购代理机构的招标文件、中标方的投标文件及其澄清、询标（答疑）文件等，均做为签订合同的法律依据。</w:t>
      </w:r>
    </w:p>
    <w:p w14:paraId="5F3B967C">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 在未经采购人允许的情况下，不允许中标人将成交项目分包或转交他人承担。而且，采购人也不得直接指定分包人。</w:t>
      </w:r>
    </w:p>
    <w:p w14:paraId="7E0EAB5A">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.8.1 经采购人同意，中标人可以依法采取分包方式履行合同。合同分包履行的，中标人就采购项目和分包项目向采购人负责，分包投标人向分包项目承担责任。</w:t>
      </w:r>
    </w:p>
    <w:p w14:paraId="387C356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 对于不具备分包条件或者不符合分包规定的，采购人有权在签订合同或中标人提出分包要求时予以拒绝。如发现中标人转包或违法分包时，有权要求其改正；拒不改正的，有权要求终止合同，并报请有关行政监督部门查处。</w:t>
      </w:r>
    </w:p>
    <w:p w14:paraId="10F7B7D9">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.8.2.1 中标人必须与采购人协商后，共同决定将合同标的中的部分由第三方承担供货和服务责任，但中标人必须对合同标的的全部内容向采购人负责，并保证第三方提供的供货和服务符合采购代理机构招标文件的约定和其投标文件的承诺及相关约定。</w:t>
      </w:r>
    </w:p>
    <w:p w14:paraId="5F79AFCE">
      <w:pPr>
        <w:rPr>
          <w:rFonts w:ascii="宋体" w:hAnsi="宋体" w:cs="宋体"/>
          <w:b/>
          <w:sz w:val="36"/>
          <w:highlight w:val="none"/>
        </w:rPr>
      </w:pPr>
    </w:p>
    <w:p w14:paraId="512A80BE">
      <w:pPr>
        <w:spacing w:line="360" w:lineRule="auto"/>
        <w:jc w:val="center"/>
        <w:rPr>
          <w:rFonts w:ascii="宋体" w:hAnsi="宋体" w:cs="宋体"/>
          <w:b/>
          <w:sz w:val="36"/>
          <w:highlight w:val="none"/>
        </w:rPr>
        <w:sectPr>
          <w:pgSz w:w="11910" w:h="16840"/>
          <w:pgMar w:top="1440" w:right="1800" w:bottom="1043" w:left="1800" w:header="714" w:footer="587" w:gutter="0"/>
          <w:cols w:space="720" w:num="1"/>
        </w:sectPr>
      </w:pPr>
    </w:p>
    <w:p w14:paraId="262BEE9A">
      <w:pPr>
        <w:spacing w:line="360" w:lineRule="auto"/>
        <w:jc w:val="center"/>
        <w:rPr>
          <w:rFonts w:ascii="宋体" w:hAnsi="宋体" w:cs="宋体"/>
          <w:b/>
          <w:sz w:val="36"/>
          <w:highlight w:val="none"/>
        </w:rPr>
      </w:pPr>
      <w:r>
        <w:rPr>
          <w:rFonts w:hint="eastAsia" w:ascii="宋体" w:hAnsi="宋体" w:cs="宋体"/>
          <w:b/>
          <w:sz w:val="36"/>
          <w:highlight w:val="none"/>
        </w:rPr>
        <w:t>第七部分 商务部分</w:t>
      </w:r>
    </w:p>
    <w:p w14:paraId="51359B19">
      <w:pPr>
        <w:spacing w:line="360" w:lineRule="auto"/>
        <w:jc w:val="center"/>
        <w:rPr>
          <w:rFonts w:ascii="宋体" w:hAnsi="宋体" w:cs="宋体"/>
          <w:b/>
          <w:sz w:val="36"/>
          <w:highlight w:val="none"/>
        </w:rPr>
      </w:pPr>
      <w:r>
        <w:rPr>
          <w:rFonts w:hint="eastAsia" w:ascii="宋体" w:hAnsi="宋体" w:cs="宋体"/>
          <w:sz w:val="24"/>
          <w:highlight w:val="none"/>
        </w:rPr>
        <w:t>（</w:t>
      </w:r>
      <w:r>
        <w:rPr>
          <w:rFonts w:hint="eastAsia" w:ascii="宋体" w:hAnsi="宋体" w:cs="宋体"/>
          <w:b/>
          <w:bCs/>
          <w:sz w:val="24"/>
          <w:highlight w:val="none"/>
          <w:lang w:val="en-US" w:eastAsia="zh-CN"/>
        </w:rPr>
        <w:t>最终以签订合同为准</w:t>
      </w:r>
      <w:r>
        <w:rPr>
          <w:rFonts w:hint="eastAsia" w:ascii="宋体" w:hAnsi="宋体" w:cs="宋体"/>
          <w:sz w:val="24"/>
          <w:highlight w:val="none"/>
        </w:rPr>
        <w:t>）</w:t>
      </w:r>
    </w:p>
    <w:p w14:paraId="760B4AB7">
      <w:pPr>
        <w:pStyle w:val="13"/>
        <w:spacing w:after="0"/>
        <w:jc w:val="center"/>
        <w:rPr>
          <w:rFonts w:hint="eastAsia" w:ascii="宋体" w:hAnsi="宋体" w:cs="宋体"/>
          <w:b/>
          <w:bCs/>
          <w:spacing w:val="-20"/>
          <w:kern w:val="44"/>
          <w:sz w:val="48"/>
          <w:szCs w:val="48"/>
          <w:highlight w:val="none"/>
        </w:rPr>
      </w:pPr>
    </w:p>
    <w:p w14:paraId="30F67D7C">
      <w:pPr>
        <w:spacing w:line="360" w:lineRule="auto"/>
        <w:ind w:left="17" w:hanging="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XXXX年度</w:t>
      </w:r>
      <w:r>
        <w:rPr>
          <w:rFonts w:hint="eastAsia" w:ascii="宋体" w:hAnsi="宋体" w:eastAsia="宋体" w:cs="宋体"/>
          <w:color w:val="auto"/>
          <w:sz w:val="24"/>
          <w:szCs w:val="24"/>
          <w:highlight w:val="none"/>
        </w:rPr>
        <w:t>采购合同</w:t>
      </w:r>
    </w:p>
    <w:p w14:paraId="14C15A82">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与乙方就采购配送事宜，根据</w:t>
      </w:r>
      <w:r>
        <w:rPr>
          <w:rFonts w:hint="eastAsia" w:ascii="宋体" w:hAnsi="宋体" w:eastAsia="宋体" w:cs="宋体"/>
          <w:sz w:val="24"/>
          <w:szCs w:val="24"/>
        </w:rPr>
        <w:drawing>
          <wp:inline distT="0" distB="0" distL="114300" distR="114300">
            <wp:extent cx="12065" cy="2540"/>
            <wp:effectExtent l="0" t="0" r="0" b="0"/>
            <wp:docPr id="11" name="图片 1"/>
            <wp:cNvGraphicFramePr/>
            <a:graphic xmlns:a="http://schemas.openxmlformats.org/drawingml/2006/main">
              <a:graphicData uri="http://schemas.openxmlformats.org/drawingml/2006/picture">
                <pic:pic xmlns:pic="http://schemas.openxmlformats.org/drawingml/2006/picture">
                  <pic:nvPicPr>
                    <pic:cNvPr id="11" name="图片 1"/>
                    <pic:cNvPicPr/>
                  </pic:nvPicPr>
                  <pic:blipFill>
                    <a:blip r:embed="rId17"/>
                    <a:stretch>
                      <a:fillRect/>
                    </a:stretch>
                  </pic:blipFill>
                  <pic:spPr>
                    <a:xfrm>
                      <a:off x="0" y="0"/>
                      <a:ext cx="12065" cy="2540"/>
                    </a:xfrm>
                    <a:prstGeom prst="rect">
                      <a:avLst/>
                    </a:prstGeom>
                    <a:noFill/>
                    <a:ln>
                      <a:noFill/>
                    </a:ln>
                  </pic:spPr>
                </pic:pic>
              </a:graphicData>
            </a:graphic>
          </wp:inline>
        </w:drawing>
      </w:r>
      <w:r>
        <w:rPr>
          <w:rFonts w:hint="eastAsia" w:ascii="宋体" w:hAnsi="宋体" w:eastAsia="宋体" w:cs="宋体"/>
          <w:sz w:val="24"/>
          <w:szCs w:val="24"/>
        </w:rPr>
        <w:t>《中华人民共和国民法典》《中华人民共和国政府采购法》等规定，本着平等、自愿、互利、互惠的原则，经各方协商一致，订立本合同。</w:t>
      </w:r>
    </w:p>
    <w:p w14:paraId="1CB71993">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采购物品名称、</w:t>
      </w:r>
      <w:r>
        <w:rPr>
          <w:rFonts w:hint="eastAsia" w:ascii="宋体" w:hAnsi="宋体" w:eastAsia="宋体" w:cs="宋体"/>
          <w:b/>
          <w:bCs/>
          <w:sz w:val="24"/>
          <w:szCs w:val="24"/>
          <w:lang w:eastAsia="zh-CN"/>
        </w:rPr>
        <w:t>品牌、</w:t>
      </w:r>
      <w:r>
        <w:rPr>
          <w:rFonts w:hint="eastAsia" w:ascii="宋体" w:hAnsi="宋体" w:eastAsia="宋体" w:cs="宋体"/>
          <w:b/>
          <w:bCs/>
          <w:sz w:val="24"/>
          <w:szCs w:val="24"/>
        </w:rPr>
        <w:t>规格、金额（人民币/元）</w:t>
      </w:r>
    </w:p>
    <w:p w14:paraId="3CDD707A">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1.1价格清单（名称、品牌、</w:t>
      </w:r>
      <w:r>
        <w:rPr>
          <w:rFonts w:hint="eastAsia" w:ascii="宋体" w:hAnsi="宋体" w:eastAsia="宋体" w:cs="宋体"/>
          <w:sz w:val="24"/>
          <w:szCs w:val="24"/>
        </w:rPr>
        <w:t>规格及价格</w:t>
      </w:r>
      <w:r>
        <w:rPr>
          <w:rFonts w:hint="eastAsia" w:ascii="宋体" w:hAnsi="宋体" w:eastAsia="宋体" w:cs="宋体"/>
          <w:sz w:val="24"/>
          <w:szCs w:val="24"/>
          <w:lang w:val="en-US" w:eastAsia="zh-CN"/>
        </w:rPr>
        <w:t>）</w:t>
      </w:r>
      <w:r>
        <w:rPr>
          <w:rFonts w:hint="eastAsia" w:ascii="宋体" w:hAnsi="宋体" w:eastAsia="宋体" w:cs="宋体"/>
          <w:sz w:val="24"/>
          <w:szCs w:val="24"/>
        </w:rPr>
        <w:t>：</w:t>
      </w:r>
    </w:p>
    <w:tbl>
      <w:tblPr>
        <w:tblStyle w:val="27"/>
        <w:tblpPr w:leftFromText="180" w:rightFromText="180" w:vertAnchor="text" w:tblpXSpec="center" w:tblpY="1"/>
        <w:tblOverlap w:val="never"/>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24"/>
        <w:gridCol w:w="827"/>
        <w:gridCol w:w="1171"/>
        <w:gridCol w:w="796"/>
        <w:gridCol w:w="1967"/>
        <w:gridCol w:w="1576"/>
      </w:tblGrid>
      <w:tr w14:paraId="24A8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dxa"/>
            <w:noWrap w:val="0"/>
            <w:vAlign w:val="center"/>
          </w:tcPr>
          <w:p w14:paraId="4EA54B23">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序号</w:t>
            </w:r>
          </w:p>
        </w:tc>
        <w:tc>
          <w:tcPr>
            <w:tcW w:w="1624" w:type="dxa"/>
            <w:noWrap w:val="0"/>
            <w:vAlign w:val="center"/>
          </w:tcPr>
          <w:p w14:paraId="43FBD16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品名</w:t>
            </w:r>
          </w:p>
        </w:tc>
        <w:tc>
          <w:tcPr>
            <w:tcW w:w="827" w:type="dxa"/>
            <w:noWrap w:val="0"/>
            <w:vAlign w:val="center"/>
          </w:tcPr>
          <w:p w14:paraId="5E4D22E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品牌</w:t>
            </w:r>
          </w:p>
        </w:tc>
        <w:tc>
          <w:tcPr>
            <w:tcW w:w="1171" w:type="dxa"/>
            <w:noWrap w:val="0"/>
            <w:vAlign w:val="center"/>
          </w:tcPr>
          <w:p w14:paraId="6D947B6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规格</w:t>
            </w:r>
          </w:p>
        </w:tc>
        <w:tc>
          <w:tcPr>
            <w:tcW w:w="796" w:type="dxa"/>
            <w:noWrap w:val="0"/>
            <w:vAlign w:val="center"/>
          </w:tcPr>
          <w:p w14:paraId="5A16404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单位</w:t>
            </w:r>
          </w:p>
        </w:tc>
        <w:tc>
          <w:tcPr>
            <w:tcW w:w="1967" w:type="dxa"/>
            <w:noWrap w:val="0"/>
            <w:vAlign w:val="center"/>
          </w:tcPr>
          <w:p w14:paraId="2428E306">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最高限价</w:t>
            </w:r>
          </w:p>
        </w:tc>
        <w:tc>
          <w:tcPr>
            <w:tcW w:w="1576" w:type="dxa"/>
            <w:noWrap w:val="0"/>
            <w:vAlign w:val="center"/>
          </w:tcPr>
          <w:p w14:paraId="0012893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中标价</w:t>
            </w:r>
          </w:p>
        </w:tc>
      </w:tr>
      <w:tr w14:paraId="199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3" w:type="dxa"/>
            <w:noWrap w:val="0"/>
            <w:vAlign w:val="center"/>
          </w:tcPr>
          <w:p w14:paraId="66B7519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w:t>
            </w:r>
          </w:p>
        </w:tc>
        <w:tc>
          <w:tcPr>
            <w:tcW w:w="1624" w:type="dxa"/>
            <w:noWrap w:val="0"/>
            <w:vAlign w:val="center"/>
          </w:tcPr>
          <w:p w14:paraId="6E53E361">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20246221">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2834229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635ADB2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56CAAEEB">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0339D2F6">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73B9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dxa"/>
            <w:noWrap w:val="0"/>
            <w:vAlign w:val="center"/>
          </w:tcPr>
          <w:p w14:paraId="16F69FA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w:t>
            </w:r>
          </w:p>
        </w:tc>
        <w:tc>
          <w:tcPr>
            <w:tcW w:w="1624" w:type="dxa"/>
            <w:noWrap w:val="0"/>
            <w:vAlign w:val="center"/>
          </w:tcPr>
          <w:p w14:paraId="40D8DF7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69133673">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02C0BFF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79092A3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58AD599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277BF3A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5E59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dxa"/>
            <w:noWrap w:val="0"/>
            <w:vAlign w:val="center"/>
          </w:tcPr>
          <w:p w14:paraId="7934FCF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w:t>
            </w:r>
          </w:p>
        </w:tc>
        <w:tc>
          <w:tcPr>
            <w:tcW w:w="1624" w:type="dxa"/>
            <w:noWrap w:val="0"/>
            <w:vAlign w:val="center"/>
          </w:tcPr>
          <w:p w14:paraId="6877B2E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0DFDA34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3D3C857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0EE41399">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36EC7DF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45CFD6C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256A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3" w:type="dxa"/>
            <w:noWrap w:val="0"/>
            <w:vAlign w:val="center"/>
          </w:tcPr>
          <w:p w14:paraId="2B8FEAB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4</w:t>
            </w:r>
          </w:p>
        </w:tc>
        <w:tc>
          <w:tcPr>
            <w:tcW w:w="1624" w:type="dxa"/>
            <w:noWrap w:val="0"/>
            <w:vAlign w:val="center"/>
          </w:tcPr>
          <w:p w14:paraId="6311219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827" w:type="dxa"/>
            <w:noWrap w:val="0"/>
            <w:vAlign w:val="center"/>
          </w:tcPr>
          <w:p w14:paraId="3BCB87A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171" w:type="dxa"/>
            <w:noWrap w:val="0"/>
            <w:vAlign w:val="center"/>
          </w:tcPr>
          <w:p w14:paraId="1F1290A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796" w:type="dxa"/>
            <w:noWrap w:val="0"/>
            <w:vAlign w:val="center"/>
          </w:tcPr>
          <w:p w14:paraId="7E5177F6">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967" w:type="dxa"/>
            <w:noWrap w:val="0"/>
            <w:vAlign w:val="center"/>
          </w:tcPr>
          <w:p w14:paraId="7958513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c>
          <w:tcPr>
            <w:tcW w:w="1576" w:type="dxa"/>
            <w:noWrap w:val="0"/>
            <w:vAlign w:val="center"/>
          </w:tcPr>
          <w:p w14:paraId="6210A23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val="0"/>
                <w:bCs/>
                <w:color w:val="auto"/>
                <w:kern w:val="2"/>
                <w:sz w:val="24"/>
                <w:szCs w:val="24"/>
                <w:highlight w:val="none"/>
              </w:rPr>
            </w:pPr>
          </w:p>
        </w:tc>
      </w:tr>
      <w:tr w14:paraId="6920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4" w:type="dxa"/>
            <w:gridSpan w:val="7"/>
            <w:noWrap w:val="0"/>
            <w:vAlign w:val="center"/>
          </w:tcPr>
          <w:p w14:paraId="3BD08B7C">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color w:val="auto"/>
                <w:kern w:val="2"/>
                <w:sz w:val="24"/>
                <w:szCs w:val="24"/>
                <w:highlight w:val="none"/>
              </w:rPr>
            </w:pPr>
          </w:p>
        </w:tc>
      </w:tr>
    </w:tbl>
    <w:p w14:paraId="4816DEE0">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本合同作为今后供货执行单价，以上供货价格系指包括全部货品、税费、包装费、运输</w:t>
      </w:r>
      <w:r>
        <w:rPr>
          <w:rFonts w:hint="eastAsia" w:ascii="宋体" w:hAnsi="宋体" w:eastAsia="宋体" w:cs="宋体"/>
          <w:sz w:val="24"/>
          <w:szCs w:val="24"/>
          <w:lang w:eastAsia="zh-CN"/>
        </w:rPr>
        <w:t>费</w:t>
      </w:r>
      <w:r>
        <w:rPr>
          <w:rFonts w:hint="eastAsia" w:ascii="宋体" w:hAnsi="宋体" w:eastAsia="宋体" w:cs="宋体"/>
          <w:sz w:val="24"/>
          <w:szCs w:val="24"/>
        </w:rPr>
        <w:t>、装卸</w:t>
      </w:r>
      <w:r>
        <w:rPr>
          <w:rFonts w:hint="eastAsia" w:ascii="宋体" w:hAnsi="宋体" w:eastAsia="宋体" w:cs="宋体"/>
          <w:sz w:val="24"/>
          <w:szCs w:val="24"/>
          <w:lang w:val="en-US" w:eastAsia="zh-CN"/>
        </w:rPr>
        <w:t>以及最终将货物卸载、运送、搬货交付到甲方指定区域待甲方验收的全部费用，</w:t>
      </w:r>
      <w:r>
        <w:rPr>
          <w:rFonts w:hint="eastAsia" w:ascii="宋体" w:hAnsi="宋体" w:eastAsia="宋体" w:cs="宋体"/>
          <w:sz w:val="24"/>
          <w:szCs w:val="24"/>
          <w:lang w:eastAsia="zh-CN"/>
        </w:rPr>
        <w:t>其他存在或可能存在的各类税、费、成本等亦由乙方承担。</w:t>
      </w:r>
      <w:r>
        <w:rPr>
          <w:rFonts w:hint="eastAsia" w:ascii="宋体" w:hAnsi="宋体" w:eastAsia="宋体" w:cs="宋体"/>
          <w:sz w:val="24"/>
          <w:szCs w:val="24"/>
        </w:rPr>
        <w:t>合同总额按照甲方验收合格的数量结合上述供货单价进行结算。</w:t>
      </w:r>
    </w:p>
    <w:p w14:paraId="5C706B5E">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价格清单是基于乙方在完全理解本项目所需为前提，甲方对清单中的名称、规格、技术参数及数量等有</w:t>
      </w:r>
      <w:r>
        <w:rPr>
          <w:rFonts w:hint="eastAsia" w:ascii="宋体" w:hAnsi="宋体" w:eastAsia="宋体" w:cs="宋体"/>
          <w:sz w:val="24"/>
          <w:szCs w:val="24"/>
          <w:lang w:eastAsia="zh-CN"/>
        </w:rPr>
        <w:t>核对验收的权利</w:t>
      </w:r>
      <w:r>
        <w:rPr>
          <w:rFonts w:hint="eastAsia" w:ascii="宋体" w:hAnsi="宋体" w:eastAsia="宋体" w:cs="宋体"/>
          <w:sz w:val="24"/>
          <w:szCs w:val="24"/>
        </w:rPr>
        <w:t>，且每批货物价格以合同约定</w:t>
      </w:r>
      <w:r>
        <w:rPr>
          <w:rFonts w:hint="eastAsia" w:ascii="宋体" w:hAnsi="宋体" w:eastAsia="宋体" w:cs="宋体"/>
          <w:sz w:val="24"/>
          <w:szCs w:val="24"/>
          <w:lang w:eastAsia="zh-CN"/>
        </w:rPr>
        <w:t>价格计算方式（</w:t>
      </w:r>
      <w:r>
        <w:rPr>
          <w:rFonts w:hint="eastAsia" w:ascii="宋体" w:hAnsi="宋体" w:eastAsia="宋体" w:cs="宋体"/>
          <w:sz w:val="24"/>
          <w:szCs w:val="24"/>
          <w:lang w:val="en-US" w:eastAsia="zh-CN"/>
        </w:rPr>
        <w:t>小数点两位后均不计入价款</w:t>
      </w:r>
      <w:r>
        <w:rPr>
          <w:rFonts w:hint="eastAsia" w:ascii="宋体" w:hAnsi="宋体" w:eastAsia="宋体" w:cs="宋体"/>
          <w:sz w:val="24"/>
          <w:szCs w:val="24"/>
          <w:lang w:eastAsia="zh-CN"/>
        </w:rPr>
        <w:t>）</w:t>
      </w:r>
      <w:r>
        <w:rPr>
          <w:rFonts w:hint="eastAsia" w:ascii="宋体" w:hAnsi="宋体" w:eastAsia="宋体" w:cs="宋体"/>
          <w:sz w:val="24"/>
          <w:szCs w:val="24"/>
        </w:rPr>
        <w:t>，乙方在合同有效期内不得对清单</w:t>
      </w:r>
      <w:r>
        <w:rPr>
          <w:rFonts w:hint="eastAsia" w:ascii="宋体" w:hAnsi="宋体" w:eastAsia="宋体" w:cs="宋体"/>
          <w:sz w:val="24"/>
          <w:szCs w:val="24"/>
          <w:lang w:eastAsia="zh-CN"/>
        </w:rPr>
        <w:t>提出任何费用的增加</w:t>
      </w:r>
      <w:r>
        <w:rPr>
          <w:rFonts w:hint="eastAsia" w:ascii="宋体" w:hAnsi="宋体" w:eastAsia="宋体" w:cs="宋体"/>
          <w:sz w:val="24"/>
          <w:szCs w:val="24"/>
        </w:rPr>
        <w:t>。实际供货数量以甲方通知乙方配送到位的</w:t>
      </w:r>
      <w:r>
        <w:rPr>
          <w:rFonts w:hint="eastAsia" w:ascii="宋体" w:hAnsi="宋体" w:eastAsia="宋体" w:cs="宋体"/>
          <w:sz w:val="24"/>
          <w:szCs w:val="24"/>
          <w:lang w:val="en-US" w:eastAsia="zh-CN"/>
        </w:rPr>
        <w:t>验收合格且</w:t>
      </w:r>
      <w:r>
        <w:rPr>
          <w:rFonts w:hint="eastAsia" w:ascii="宋体" w:hAnsi="宋体" w:eastAsia="宋体" w:cs="宋体"/>
          <w:sz w:val="24"/>
          <w:szCs w:val="24"/>
        </w:rPr>
        <w:t>净重数量为准，结算数量按照甲方对货物称重并清点合格后的净重数量进行结算。</w:t>
      </w:r>
    </w:p>
    <w:p w14:paraId="64D3D76D">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1.4如乙方在同等条件下向任何第三方提供低于给与甲方的价格，乙方有义务主动通报其向第三方提供的更低价格，否则视为违约。甲方有权按照乙方给与第三方的最低价格作为甲乙双方的结算价格。</w:t>
      </w:r>
    </w:p>
    <w:p w14:paraId="5B46213F">
      <w:pPr>
        <w:pStyle w:val="13"/>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质量</w:t>
      </w:r>
      <w:r>
        <w:rPr>
          <w:rFonts w:hint="eastAsia" w:ascii="宋体" w:hAnsi="宋体" w:eastAsia="宋体" w:cs="宋体"/>
          <w:b/>
          <w:bCs/>
          <w:sz w:val="24"/>
          <w:szCs w:val="24"/>
          <w:lang w:val="en-US" w:eastAsia="zh-CN"/>
        </w:rPr>
        <w:t>标准及质保期</w:t>
      </w:r>
    </w:p>
    <w:p w14:paraId="79FBB8C4">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乙方保证本合同项下</w:t>
      </w:r>
      <w:r>
        <w:rPr>
          <w:rFonts w:hint="eastAsia" w:ascii="宋体" w:hAnsi="宋体" w:eastAsia="宋体" w:cs="宋体"/>
          <w:sz w:val="24"/>
          <w:szCs w:val="24"/>
          <w:lang w:val="en-US" w:eastAsia="zh-CN"/>
        </w:rPr>
        <w:t>所</w:t>
      </w:r>
      <w:r>
        <w:rPr>
          <w:rFonts w:hint="eastAsia" w:ascii="宋体" w:hAnsi="宋体" w:eastAsia="宋体" w:cs="宋体"/>
          <w:sz w:val="24"/>
          <w:szCs w:val="24"/>
        </w:rPr>
        <w:t>提供的货物来源安全可靠</w:t>
      </w:r>
      <w:r>
        <w:rPr>
          <w:rFonts w:hint="eastAsia" w:ascii="宋体" w:hAnsi="宋体" w:eastAsia="宋体" w:cs="宋体"/>
          <w:sz w:val="24"/>
          <w:szCs w:val="24"/>
          <w:lang w:eastAsia="zh-CN"/>
        </w:rPr>
        <w:t>，</w:t>
      </w:r>
      <w:r>
        <w:rPr>
          <w:rFonts w:hint="eastAsia" w:ascii="宋体" w:hAnsi="宋体" w:eastAsia="宋体" w:cs="宋体"/>
          <w:sz w:val="24"/>
          <w:szCs w:val="24"/>
        </w:rPr>
        <w:t>质量符合国家质量安全标准及招投标文件、答疑附件的质量要求，干净卫生、新鲜、无杂质，无过期、变质、腐烂、以假充真、以次充好等现象，并保证其销售的产品不存在有造成甲方或任何第三人人身损害的现实或潜在的危险；乙方承诺对货物质量承担终身追溯责任。若因此造成任何损失，由乙方承担全部赔偿责任及违约责任。</w:t>
      </w:r>
    </w:p>
    <w:p w14:paraId="1C6AE12F">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乙方应保证其配送的每一个批次的货物符合上述质量标准及相应的安全标准，并在交付时提供由国家级检测机构出具的货物质量合格证明文件</w:t>
      </w:r>
      <w:r>
        <w:rPr>
          <w:rFonts w:hint="eastAsia" w:ascii="宋体" w:hAnsi="宋体" w:eastAsia="宋体" w:cs="宋体"/>
          <w:sz w:val="24"/>
          <w:szCs w:val="24"/>
          <w:lang w:eastAsia="zh-CN"/>
        </w:rPr>
        <w:t>。</w:t>
      </w:r>
      <w:r>
        <w:rPr>
          <w:rFonts w:hint="eastAsia" w:ascii="宋体" w:hAnsi="宋体" w:eastAsia="宋体" w:cs="宋体"/>
          <w:sz w:val="24"/>
          <w:szCs w:val="24"/>
        </w:rPr>
        <w:t>在实施中甲方将核实乙方投标书中的产品质量标准、检验报告、</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编码（食品生产许可证编号）</w:t>
      </w:r>
      <w:r>
        <w:rPr>
          <w:rFonts w:hint="eastAsia" w:ascii="宋体" w:hAnsi="宋体" w:eastAsia="宋体" w:cs="宋体"/>
          <w:sz w:val="24"/>
          <w:szCs w:val="24"/>
        </w:rPr>
        <w:t>与实际供货的产品的质量标准、检验报告、</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w:t>
      </w:r>
      <w:r>
        <w:rPr>
          <w:rFonts w:hint="eastAsia" w:ascii="宋体" w:hAnsi="宋体" w:eastAsia="宋体" w:cs="宋体"/>
          <w:sz w:val="24"/>
          <w:szCs w:val="24"/>
        </w:rPr>
        <w:t>是否一致，如发现偏离</w:t>
      </w:r>
      <w:r>
        <w:rPr>
          <w:rFonts w:hint="eastAsia" w:ascii="宋体" w:hAnsi="宋体" w:eastAsia="宋体" w:cs="宋体"/>
          <w:sz w:val="24"/>
          <w:szCs w:val="24"/>
          <w:lang w:eastAsia="zh-CN"/>
        </w:rPr>
        <w:t>（实际供货的质量标准低于乙方投标书中的质量标准、无</w:t>
      </w:r>
      <w:r>
        <w:rPr>
          <w:rFonts w:hint="eastAsia" w:ascii="宋体" w:hAnsi="宋体" w:eastAsia="宋体" w:cs="宋体"/>
          <w:sz w:val="24"/>
          <w:szCs w:val="24"/>
          <w:lang w:val="en-US"/>
        </w:rPr>
        <w:t>SC</w:t>
      </w:r>
      <w:r>
        <w:rPr>
          <w:rFonts w:hint="eastAsia" w:ascii="宋体" w:hAnsi="宋体" w:eastAsia="宋体" w:cs="宋体"/>
          <w:sz w:val="24"/>
          <w:szCs w:val="24"/>
          <w:lang w:val="en-US" w:eastAsia="zh-CN"/>
        </w:rPr>
        <w:t>编码、无检验报告或报告未达到投标资料标准等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合格证明文件未随货物交付的视为乙方未完成交货义务</w:t>
      </w:r>
      <w:r>
        <w:rPr>
          <w:rFonts w:hint="eastAsia" w:ascii="宋体" w:hAnsi="宋体" w:cs="宋体"/>
          <w:sz w:val="24"/>
          <w:szCs w:val="24"/>
          <w:lang w:val="en-US" w:eastAsia="zh-CN"/>
        </w:rPr>
        <w:t>，</w:t>
      </w:r>
      <w:r>
        <w:rPr>
          <w:rFonts w:hint="eastAsia" w:ascii="宋体" w:hAnsi="宋体" w:eastAsia="宋体" w:cs="宋体"/>
          <w:sz w:val="24"/>
          <w:szCs w:val="24"/>
          <w:lang w:eastAsia="zh-CN"/>
        </w:rPr>
        <w:t>即认定为违约行为</w:t>
      </w:r>
      <w:r>
        <w:rPr>
          <w:rFonts w:hint="eastAsia" w:ascii="宋体" w:hAnsi="宋体" w:eastAsia="宋体" w:cs="宋体"/>
          <w:sz w:val="24"/>
          <w:szCs w:val="24"/>
        </w:rPr>
        <w:t>，甲方</w:t>
      </w:r>
      <w:r>
        <w:rPr>
          <w:rFonts w:hint="eastAsia" w:ascii="宋体" w:hAnsi="宋体" w:eastAsia="宋体" w:cs="宋体"/>
          <w:sz w:val="24"/>
          <w:szCs w:val="24"/>
          <w:lang w:val="en-US" w:eastAsia="zh-CN"/>
        </w:rPr>
        <w:t>可以</w:t>
      </w:r>
      <w:r>
        <w:rPr>
          <w:rFonts w:hint="eastAsia" w:ascii="宋体" w:hAnsi="宋体" w:eastAsia="宋体" w:cs="宋体"/>
          <w:sz w:val="24"/>
          <w:szCs w:val="24"/>
          <w:lang w:eastAsia="zh-CN"/>
        </w:rPr>
        <w:t>终止</w:t>
      </w:r>
      <w:r>
        <w:rPr>
          <w:rFonts w:hint="eastAsia" w:ascii="宋体" w:hAnsi="宋体" w:eastAsia="宋体" w:cs="宋体"/>
          <w:sz w:val="24"/>
          <w:szCs w:val="24"/>
        </w:rPr>
        <w:t>乙方供货资格</w:t>
      </w:r>
      <w:r>
        <w:rPr>
          <w:rFonts w:hint="eastAsia" w:ascii="宋体" w:hAnsi="宋体" w:eastAsia="宋体" w:cs="宋体"/>
          <w:sz w:val="24"/>
          <w:szCs w:val="24"/>
          <w:lang w:val="en-US" w:eastAsia="zh-CN"/>
        </w:rPr>
        <w:t>并解除合同，并</w:t>
      </w:r>
      <w:r>
        <w:rPr>
          <w:rFonts w:hint="eastAsia" w:ascii="宋体" w:hAnsi="宋体" w:eastAsia="宋体" w:cs="宋体"/>
          <w:sz w:val="24"/>
          <w:szCs w:val="24"/>
        </w:rPr>
        <w:t>追究乙方的违约责任和赔偿责任。</w:t>
      </w:r>
    </w:p>
    <w:p w14:paraId="57E0DF8D">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2.3乙方保证所供货物及相关技术、标识、包装等不侵犯任何第三方的知识产权（包括但不限于专利权、商标权、著作权等其他权利）。如因货物侵犯第三方知识产权导致甲方被诉或遭受损失的，乙方应负责解决纠纷，并承担全部赔偿责任（包括但不限于赔偿金、律师费、诉讼费、保全费、保全保险费等全部损失）。</w:t>
      </w:r>
    </w:p>
    <w:p w14:paraId="4763DDC8">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乙方保证所供货物质量新鲜，有保质期约定的货品，乙方配送的货品剩余保质期应在80%以上（自交付之日的次日起计算），否则。若发现剩余保质期不足80%，甲方有权按照不符合合同约定拒收并要求乙方在24小时内更换符合要求退换的货物，且乙方应承担因此产生的全部运输、双倍运输费用及质量复检验及仓储费用费用，并按不合格货物价值的</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lang w:val="en-US" w:eastAsia="zh-CN"/>
        </w:rPr>
        <w:t>支付违约金。（如质保期为10个月的，供货时剩余的质保期应当大于或等于8个月。）</w:t>
      </w:r>
    </w:p>
    <w:p w14:paraId="687005E9">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如乙方所供货物不符合双方约定质量标准的，甲方有权拒收货物并要求乙方自行收回，费用由乙方承担。因此造成甲方或他方损失的应由乙方承担，并按照合同总金额的20%支付违约金。双方无法确定产品质量问题的，甲方有权通过第三方机构进行检测或鉴定，如确实存在非因甲方原因造成的质量问题，由此产生的费用包括但不限于检测费、鉴定费、运输费、人工费等费用由乙方承担。</w:t>
      </w:r>
    </w:p>
    <w:p w14:paraId="3B6744D1">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交货时间、地点及风险转移</w:t>
      </w:r>
    </w:p>
    <w:p w14:paraId="333BA365">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乙方按甲方要求配送货物的日期将货物送达至指定地点：</w:t>
      </w:r>
      <w:r>
        <w:rPr>
          <w:rFonts w:hint="eastAsia" w:ascii="宋体" w:hAnsi="宋体" w:eastAsia="宋体" w:cs="宋体"/>
          <w:sz w:val="24"/>
          <w:szCs w:val="24"/>
          <w:u w:val="single"/>
        </w:rPr>
        <w:t>甲方指定地点</w:t>
      </w:r>
      <w:r>
        <w:rPr>
          <w:rFonts w:hint="eastAsia" w:ascii="宋体" w:hAnsi="宋体" w:eastAsia="宋体" w:cs="宋体"/>
          <w:sz w:val="24"/>
          <w:szCs w:val="24"/>
        </w:rPr>
        <w:t>，并确保及时配合甲方完成验收工作。</w:t>
      </w:r>
      <w:r>
        <w:rPr>
          <w:rFonts w:hint="eastAsia" w:ascii="宋体" w:hAnsi="宋体" w:eastAsia="宋体" w:cs="宋体"/>
          <w:sz w:val="24"/>
          <w:szCs w:val="24"/>
        </w:rPr>
        <w:drawing>
          <wp:inline distT="0" distB="0" distL="114300" distR="114300">
            <wp:extent cx="2540" cy="2540"/>
            <wp:effectExtent l="0" t="0" r="0" b="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18"/>
                    <a:stretch>
                      <a:fillRect/>
                    </a:stretch>
                  </pic:blipFill>
                  <pic:spPr>
                    <a:xfrm>
                      <a:off x="0" y="0"/>
                      <a:ext cx="2540" cy="2540"/>
                    </a:xfrm>
                    <a:prstGeom prst="rect">
                      <a:avLst/>
                    </a:prstGeom>
                    <a:noFill/>
                    <a:ln>
                      <a:noFill/>
                    </a:ln>
                  </pic:spPr>
                </pic:pic>
              </a:graphicData>
            </a:graphic>
          </wp:inline>
        </w:drawing>
      </w:r>
    </w:p>
    <w:p w14:paraId="2671B014">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供货时间：</w:t>
      </w:r>
    </w:p>
    <w:p w14:paraId="2CBA09F9">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3.2.1甲方向乙方发送订货单时起，乙方应在约定时间或甲方指定的时间将货物送至甲方指定地点（特殊商品除外），甲方将根据订货单进行严格验收，超出订货单范围或质量不合格的货物甲方有权拒收，乙方应在甲方通知的期限内取走，否则甲方将视为乙方无偿提供超出部分货物，并有权处置该部分货物并向乙方收取仓储费用；如乙方不能及时送货造成甲方保障无法正常运行，乙方应当向甲方支付本次货物总价款20%的违约金</w:t>
      </w:r>
      <w:r>
        <w:rPr>
          <w:rFonts w:hint="eastAsia" w:ascii="宋体" w:hAnsi="宋体" w:eastAsia="宋体" w:cs="宋体"/>
          <w:sz w:val="24"/>
          <w:szCs w:val="24"/>
          <w:lang w:eastAsia="zh-CN"/>
        </w:rPr>
        <w:t>，</w:t>
      </w:r>
      <w:r>
        <w:rPr>
          <w:rFonts w:hint="eastAsia" w:ascii="宋体" w:hAnsi="宋体" w:eastAsia="宋体" w:cs="宋体"/>
          <w:sz w:val="24"/>
          <w:szCs w:val="24"/>
        </w:rPr>
        <w:t>甲方委托第三方配送货物的，由此产生的一切费用由乙方承担</w:t>
      </w:r>
      <w:r>
        <w:rPr>
          <w:rFonts w:hint="eastAsia" w:ascii="宋体" w:hAnsi="宋体" w:eastAsia="宋体" w:cs="宋体"/>
          <w:sz w:val="24"/>
          <w:szCs w:val="24"/>
          <w:lang w:eastAsia="zh-CN"/>
        </w:rPr>
        <w:t>。</w:t>
      </w:r>
      <w:r>
        <w:rPr>
          <w:rFonts w:hint="eastAsia" w:ascii="宋体" w:hAnsi="宋体" w:eastAsia="宋体" w:cs="宋体"/>
          <w:sz w:val="24"/>
          <w:szCs w:val="24"/>
        </w:rPr>
        <w:t>第二次</w:t>
      </w:r>
      <w:r>
        <w:rPr>
          <w:rFonts w:hint="eastAsia" w:ascii="宋体" w:hAnsi="宋体" w:eastAsia="宋体" w:cs="宋体"/>
          <w:sz w:val="24"/>
          <w:szCs w:val="24"/>
          <w:lang w:eastAsia="zh-CN"/>
        </w:rPr>
        <w:t>再</w:t>
      </w:r>
      <w:r>
        <w:rPr>
          <w:rFonts w:hint="eastAsia" w:ascii="宋体" w:hAnsi="宋体" w:eastAsia="宋体" w:cs="宋体"/>
          <w:sz w:val="24"/>
          <w:szCs w:val="24"/>
        </w:rPr>
        <w:t>出现同样情况</w:t>
      </w:r>
      <w:r>
        <w:rPr>
          <w:rFonts w:hint="eastAsia" w:ascii="宋体" w:hAnsi="宋体" w:eastAsia="宋体" w:cs="宋体"/>
          <w:sz w:val="24"/>
          <w:szCs w:val="24"/>
          <w:lang w:val="en-US" w:eastAsia="zh-CN"/>
        </w:rPr>
        <w:t>的</w:t>
      </w:r>
      <w:r>
        <w:rPr>
          <w:rFonts w:hint="eastAsia" w:ascii="宋体" w:hAnsi="宋体" w:eastAsia="宋体" w:cs="宋体"/>
          <w:sz w:val="24"/>
          <w:szCs w:val="24"/>
        </w:rPr>
        <w:t>，甲方有权单方解除合同并扣除全额履约保证金。有特殊需求的供货时间，由甲方指定供货时间与频次。</w:t>
      </w:r>
    </w:p>
    <w:p w14:paraId="7FBE900F">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如甲方应急临时需购货品，乙方必须按指定的品种、数量，并保证货物符合国家相关食品安全标准</w:t>
      </w:r>
      <w:r>
        <w:rPr>
          <w:rFonts w:hint="eastAsia" w:ascii="宋体" w:hAnsi="宋体" w:eastAsia="宋体" w:cs="宋体"/>
          <w:sz w:val="24"/>
          <w:szCs w:val="24"/>
          <w:lang w:eastAsia="zh-CN"/>
        </w:rPr>
        <w:t>。</w:t>
      </w:r>
      <w:r>
        <w:rPr>
          <w:rFonts w:hint="eastAsia" w:ascii="宋体" w:hAnsi="宋体" w:eastAsia="宋体" w:cs="宋体"/>
          <w:sz w:val="24"/>
          <w:szCs w:val="24"/>
        </w:rPr>
        <w:t>在接到甲方的要货通知后24小时（最短时间）内及时送货至甲方指定地点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如需使用托盘、叉车、食品级收纳箱等特殊载具时，相应配送交付的费用全部由乙方承担</w:t>
      </w:r>
      <w:r>
        <w:rPr>
          <w:rFonts w:hint="eastAsia" w:ascii="宋体" w:hAnsi="宋体" w:eastAsia="宋体" w:cs="宋体"/>
          <w:sz w:val="24"/>
          <w:szCs w:val="24"/>
        </w:rPr>
        <w:t>。</w:t>
      </w:r>
      <w:r>
        <w:rPr>
          <w:rFonts w:hint="eastAsia" w:ascii="宋体" w:hAnsi="宋体" w:eastAsia="宋体" w:cs="宋体"/>
          <w:sz w:val="24"/>
          <w:szCs w:val="24"/>
          <w:lang w:val="en-US" w:eastAsia="zh-CN"/>
        </w:rPr>
        <w:t>若乙方不能满足甲方应急临时需购货品需求的，甲方有权向第三方进行采购且不承担任何违约责任。</w:t>
      </w:r>
    </w:p>
    <w:p w14:paraId="1AEE50EB">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交货完成前（即货物交付完毕且经甲方书面验收合格前），本合同项下货物的损毁灭失风险由乙方承担，交货完成后（货物交付完毕且经过甲方书面验收合格后）</w:t>
      </w:r>
      <w:r>
        <w:rPr>
          <w:rFonts w:hint="eastAsia" w:ascii="宋体" w:hAnsi="宋体" w:eastAsia="宋体" w:cs="宋体"/>
          <w:sz w:val="24"/>
          <w:szCs w:val="24"/>
          <w:lang w:eastAsia="zh-CN"/>
        </w:rPr>
        <w:t>，非因甲方原因，出现质量问题，</w:t>
      </w:r>
      <w:r>
        <w:rPr>
          <w:rFonts w:hint="eastAsia" w:ascii="宋体" w:hAnsi="宋体" w:eastAsia="宋体" w:cs="宋体"/>
          <w:sz w:val="24"/>
          <w:szCs w:val="24"/>
          <w:lang w:val="en-US" w:eastAsia="zh-CN"/>
        </w:rPr>
        <w:t>甲方要求乙方在24小时内更换货物或退货处理，并保留追偿全部损失的权利。</w:t>
      </w:r>
    </w:p>
    <w:p w14:paraId="19F40600">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供货方式：按甲方需求</w:t>
      </w:r>
      <w:r>
        <w:rPr>
          <w:rFonts w:hint="eastAsia" w:ascii="宋体" w:hAnsi="宋体" w:eastAsia="宋体" w:cs="宋体"/>
          <w:sz w:val="24"/>
          <w:szCs w:val="24"/>
          <w:lang w:eastAsia="zh-CN"/>
        </w:rPr>
        <w:t>及要求（质量要求、送货方式及卸货要求）</w:t>
      </w:r>
      <w:r>
        <w:rPr>
          <w:rFonts w:hint="eastAsia" w:ascii="宋体" w:hAnsi="宋体" w:eastAsia="宋体" w:cs="宋体"/>
          <w:sz w:val="24"/>
          <w:szCs w:val="24"/>
        </w:rPr>
        <w:t>供货</w:t>
      </w:r>
      <w:r>
        <w:rPr>
          <w:rFonts w:hint="eastAsia" w:ascii="宋体" w:hAnsi="宋体" w:eastAsia="宋体" w:cs="宋体"/>
          <w:sz w:val="24"/>
          <w:szCs w:val="24"/>
          <w:lang w:eastAsia="zh-CN"/>
        </w:rPr>
        <w:t>，送达指定地点</w:t>
      </w:r>
      <w:r>
        <w:rPr>
          <w:rFonts w:hint="eastAsia" w:ascii="宋体" w:hAnsi="宋体" w:eastAsia="宋体" w:cs="宋体"/>
          <w:sz w:val="24"/>
          <w:szCs w:val="24"/>
        </w:rPr>
        <w:t>。</w:t>
      </w:r>
    </w:p>
    <w:p w14:paraId="3930D0E0">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3.5在紧急需求特殊情况下，</w:t>
      </w:r>
      <w:r>
        <w:rPr>
          <w:rFonts w:hint="eastAsia" w:ascii="宋体" w:hAnsi="宋体" w:eastAsia="宋体" w:cs="宋体"/>
          <w:sz w:val="24"/>
          <w:szCs w:val="24"/>
        </w:rPr>
        <w:t>乙方有责任配合甲方做好人员、车辆等</w:t>
      </w:r>
      <w:r>
        <w:rPr>
          <w:rFonts w:hint="eastAsia" w:ascii="宋体" w:hAnsi="宋体" w:eastAsia="宋体" w:cs="宋体"/>
          <w:sz w:val="24"/>
          <w:szCs w:val="24"/>
          <w:lang w:val="en-US" w:eastAsia="zh-CN"/>
        </w:rPr>
        <w:t>安全检查、</w:t>
      </w:r>
      <w:r>
        <w:rPr>
          <w:rFonts w:hint="eastAsia" w:ascii="宋体" w:hAnsi="宋体" w:eastAsia="宋体" w:cs="宋体"/>
          <w:sz w:val="24"/>
          <w:szCs w:val="24"/>
        </w:rPr>
        <w:t>卫生</w:t>
      </w:r>
      <w:r>
        <w:rPr>
          <w:rFonts w:hint="eastAsia" w:ascii="宋体" w:hAnsi="宋体" w:eastAsia="宋体" w:cs="宋体"/>
          <w:sz w:val="24"/>
          <w:szCs w:val="24"/>
          <w:lang w:val="en-US" w:eastAsia="zh-CN"/>
        </w:rPr>
        <w:t>防疫等相关</w:t>
      </w:r>
      <w:r>
        <w:rPr>
          <w:rFonts w:hint="eastAsia" w:ascii="宋体" w:hAnsi="宋体" w:eastAsia="宋体" w:cs="宋体"/>
          <w:sz w:val="24"/>
          <w:szCs w:val="24"/>
        </w:rPr>
        <w:t>要求</w:t>
      </w:r>
      <w:r>
        <w:rPr>
          <w:rFonts w:hint="eastAsia" w:ascii="宋体" w:hAnsi="宋体" w:eastAsia="宋体" w:cs="宋体"/>
          <w:sz w:val="24"/>
          <w:szCs w:val="24"/>
          <w:lang w:eastAsia="zh-CN"/>
        </w:rPr>
        <w:t>，未经检测达标的，甲方有权禁止</w:t>
      </w:r>
      <w:r>
        <w:rPr>
          <w:rFonts w:hint="eastAsia" w:ascii="宋体" w:hAnsi="宋体" w:eastAsia="宋体" w:cs="宋体"/>
          <w:sz w:val="24"/>
          <w:szCs w:val="24"/>
          <w:lang w:val="en-US" w:eastAsia="zh-CN"/>
        </w:rPr>
        <w:t>其入场供货</w:t>
      </w:r>
      <w:r>
        <w:rPr>
          <w:rFonts w:hint="eastAsia" w:ascii="宋体" w:hAnsi="宋体" w:eastAsia="宋体" w:cs="宋体"/>
          <w:sz w:val="24"/>
          <w:szCs w:val="24"/>
          <w:lang w:eastAsia="zh-CN"/>
        </w:rPr>
        <w:t>，乙方应当立即整改，</w:t>
      </w:r>
      <w:r>
        <w:rPr>
          <w:rFonts w:hint="eastAsia" w:ascii="宋体" w:hAnsi="宋体" w:eastAsia="宋体" w:cs="宋体"/>
          <w:sz w:val="24"/>
          <w:szCs w:val="24"/>
          <w:lang w:val="en-US" w:eastAsia="zh-CN"/>
        </w:rPr>
        <w:t>由此所造成的逾期视为乙方违约</w:t>
      </w:r>
      <w:r>
        <w:rPr>
          <w:rFonts w:hint="eastAsia" w:ascii="宋体" w:hAnsi="宋体" w:eastAsia="宋体" w:cs="宋体"/>
          <w:sz w:val="24"/>
          <w:szCs w:val="24"/>
        </w:rPr>
        <w:t>。</w:t>
      </w:r>
    </w:p>
    <w:p w14:paraId="0C1C5B05">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货物的包装及运输</w:t>
      </w:r>
    </w:p>
    <w:p w14:paraId="5982F713">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包装必须与运输方式相适应，包装方式的确定和包装费用均由乙方负责；乙方应在货物交付前提供包装方案供甲方审核，未经甲方书面同意不得变更包装方式。由于不适当的包装而造成的货物有任何损坏由乙方负责。</w:t>
      </w:r>
    </w:p>
    <w:p w14:paraId="2D0B8AA6">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包装费、</w:t>
      </w:r>
      <w:r>
        <w:rPr>
          <w:rFonts w:hint="eastAsia" w:ascii="宋体" w:hAnsi="宋体" w:eastAsia="宋体" w:cs="宋体"/>
          <w:sz w:val="24"/>
          <w:szCs w:val="24"/>
          <w:lang w:eastAsia="zh-CN"/>
        </w:rPr>
        <w:t>加工费、</w:t>
      </w:r>
      <w:r>
        <w:rPr>
          <w:rFonts w:hint="eastAsia" w:ascii="宋体" w:hAnsi="宋体" w:eastAsia="宋体" w:cs="宋体"/>
          <w:sz w:val="24"/>
          <w:szCs w:val="24"/>
        </w:rPr>
        <w:t>运输费、装卸费和保险费等均包含在合同单价内。</w:t>
      </w:r>
    </w:p>
    <w:p w14:paraId="1C4A8E9C">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采用定型包装的货物，包装必须符合国家对产品包装的有关规定。货品由生产厂家使用符合国家食品卫生要求的包装箱或包装袋进行完整包装，包装上必须有清晰的厂家信息、生产日期、保质期、净重量；必须有</w:t>
      </w:r>
      <w:r>
        <w:rPr>
          <w:rFonts w:hint="eastAsia" w:ascii="宋体" w:hAnsi="宋体" w:eastAsia="宋体" w:cs="宋体"/>
          <w:sz w:val="24"/>
          <w:szCs w:val="24"/>
          <w:lang w:val="en-US" w:eastAsia="zh-CN"/>
        </w:rPr>
        <w:t>SC编码</w:t>
      </w:r>
      <w:r>
        <w:rPr>
          <w:rFonts w:hint="eastAsia" w:ascii="宋体" w:hAnsi="宋体" w:eastAsia="宋体" w:cs="宋体"/>
          <w:sz w:val="24"/>
          <w:szCs w:val="24"/>
        </w:rPr>
        <w:t>；包装破损甲方有权</w:t>
      </w:r>
      <w:r>
        <w:rPr>
          <w:rFonts w:hint="eastAsia" w:ascii="宋体" w:hAnsi="宋体" w:eastAsia="宋体" w:cs="宋体"/>
          <w:sz w:val="24"/>
          <w:szCs w:val="24"/>
          <w:lang w:eastAsia="zh-CN"/>
        </w:rPr>
        <w:t>拒绝</w:t>
      </w:r>
      <w:r>
        <w:rPr>
          <w:rFonts w:hint="eastAsia" w:ascii="宋体" w:hAnsi="宋体" w:eastAsia="宋体" w:cs="宋体"/>
          <w:sz w:val="24"/>
          <w:szCs w:val="24"/>
        </w:rPr>
        <w:t>接收</w:t>
      </w:r>
      <w:r>
        <w:rPr>
          <w:rFonts w:hint="eastAsia" w:ascii="宋体" w:hAnsi="宋体" w:eastAsia="宋体" w:cs="宋体"/>
          <w:sz w:val="24"/>
          <w:szCs w:val="24"/>
          <w:lang w:eastAsia="zh-CN"/>
        </w:rPr>
        <w:t>，自然破损除外</w:t>
      </w:r>
      <w:r>
        <w:rPr>
          <w:rFonts w:hint="eastAsia" w:ascii="宋体" w:hAnsi="宋体" w:eastAsia="宋体" w:cs="宋体"/>
          <w:sz w:val="24"/>
          <w:szCs w:val="24"/>
        </w:rPr>
        <w:t>。</w:t>
      </w:r>
    </w:p>
    <w:p w14:paraId="3D86F95E">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乙方保证运输周转的容器与车辆的清洁卫生和防止货物在运输过程中受到污染</w:t>
      </w:r>
      <w:r>
        <w:rPr>
          <w:rFonts w:hint="eastAsia" w:ascii="宋体" w:hAnsi="宋体" w:eastAsia="宋体" w:cs="宋体"/>
          <w:sz w:val="24"/>
          <w:szCs w:val="24"/>
          <w:lang w:eastAsia="zh-CN"/>
        </w:rPr>
        <w:t>，否则甲方有权拒绝接收</w:t>
      </w:r>
      <w:r>
        <w:rPr>
          <w:rFonts w:hint="eastAsia" w:ascii="宋体" w:hAnsi="宋体" w:eastAsia="宋体" w:cs="宋体"/>
          <w:sz w:val="24"/>
          <w:szCs w:val="24"/>
        </w:rPr>
        <w:t>。</w:t>
      </w:r>
    </w:p>
    <w:p w14:paraId="3493D75D">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乙方</w:t>
      </w:r>
      <w:r>
        <w:rPr>
          <w:rFonts w:hint="eastAsia" w:ascii="宋体" w:hAnsi="宋体" w:eastAsia="宋体" w:cs="宋体"/>
          <w:sz w:val="24"/>
          <w:szCs w:val="24"/>
          <w:lang w:eastAsia="zh-CN"/>
        </w:rPr>
        <w:t>根据运送货物的需求，运送车辆及方式须符合《中华人民共和国道路交通安全法》《</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lang w:eastAsia="zh-CN"/>
        </w:rPr>
        <w:t>道路运输条例》及国家相关行业标准（如GB/T 26772-2011等），货物装卸必须执行以下操作标准：（1）单件货物人工搬运时离地高度不超过30cm；（2）使用机械装卸时吊装速度控制在0.5m/s以内；（3）货物堆码需遵循‘重不压轻、木不压纸'原则，堆垛高度不超过运输工具栏板高度的2/3，且需使用防滑衬垫材料。乙方承运车辆到达甲方指定地点后必须服从甲方管理，并确保货物按要求安全放置在指定区域。</w:t>
      </w:r>
    </w:p>
    <w:p w14:paraId="78EA00B5">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验收</w:t>
      </w:r>
    </w:p>
    <w:p w14:paraId="121DFA4F">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验收标准：以招投标文件及本合同甲、乙双方约定的质量标准为货物的验收标准。甲方仅对乙方交付货物的数量、规格、外观等进行初步验收，初步验收合格不代表乙方对所交付货物潜在质量安全问题免责。甲方有权对货物进行破坏性抽样检测，检测费用和产生的成本由乙方承担。验收合格后若发现质量问题（如保质期内变质），乙方仍需无条件退换并赔偿损失，且甲方有权从货款中直接扣除相关费用。</w:t>
      </w:r>
    </w:p>
    <w:p w14:paraId="4C038ED4">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数量的认定：乙方依据甲方提供的物资计划单中品种数量</w:t>
      </w:r>
      <w:r>
        <w:rPr>
          <w:rFonts w:hint="eastAsia" w:ascii="宋体" w:hAnsi="宋体" w:eastAsia="宋体" w:cs="宋体"/>
          <w:sz w:val="24"/>
          <w:szCs w:val="24"/>
          <w:lang w:val="en-US" w:eastAsia="zh-CN"/>
        </w:rPr>
        <w:t>进行</w:t>
      </w:r>
      <w:r>
        <w:rPr>
          <w:rFonts w:hint="eastAsia" w:ascii="宋体" w:hAnsi="宋体" w:eastAsia="宋体" w:cs="宋体"/>
          <w:sz w:val="24"/>
          <w:szCs w:val="24"/>
        </w:rPr>
        <w:t>配送；甲方工作人员和乙方人员现场称重或点数完毕后，共同在送货单上核准并签字，并加盖乙方</w:t>
      </w:r>
      <w:r>
        <w:rPr>
          <w:rFonts w:hint="eastAsia" w:ascii="宋体" w:hAnsi="宋体" w:eastAsia="宋体" w:cs="宋体"/>
          <w:sz w:val="24"/>
          <w:szCs w:val="24"/>
          <w:lang w:eastAsia="zh-CN"/>
        </w:rPr>
        <w:t>公章</w:t>
      </w:r>
      <w:r>
        <w:rPr>
          <w:rFonts w:hint="eastAsia" w:ascii="宋体" w:hAnsi="宋体" w:eastAsia="宋体" w:cs="宋体"/>
          <w:sz w:val="24"/>
          <w:szCs w:val="24"/>
        </w:rPr>
        <w:t>作为结帐凭证</w:t>
      </w:r>
      <w:r>
        <w:rPr>
          <w:rFonts w:hint="eastAsia" w:ascii="宋体" w:hAnsi="宋体" w:eastAsia="宋体" w:cs="宋体"/>
          <w:sz w:val="24"/>
          <w:szCs w:val="24"/>
          <w:lang w:eastAsia="zh-CN"/>
        </w:rPr>
        <w:t>，乙方验收人员为法定代表人或乙方书面授权的委托人，乙方将授权委托书一并提交给甲方，授权委托书应加盖乙方公章并由法定代表人签字。</w:t>
      </w:r>
      <w:r>
        <w:rPr>
          <w:rFonts w:hint="eastAsia" w:ascii="宋体" w:hAnsi="宋体" w:eastAsia="宋体" w:cs="宋体"/>
          <w:sz w:val="24"/>
          <w:szCs w:val="24"/>
        </w:rPr>
        <w:t>结算数量按照实际进货数量（净重），除去未通过验收数量进行结算。计量单位：按合同签订的规格。</w:t>
      </w:r>
    </w:p>
    <w:p w14:paraId="728D9068">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散装货物称重采用同类货物抽样五件或十件，根据平均数乘以件数，获得验收合格数量。实际供货量不足，短缺量小于采购量5%以内的，按实际称重数量结算，短缺量超过5%（含5%），乙方应在甲方要求的时间内补齐货物，如乙方未按要求补齐货物，视为违约供货，乙方应当按照合同约定承担违约责任；实际供货量超出采购量的货物，乙方应在甲方要求的时间内自行拉回，并承担由此产生的所有费用。如采购100箱重量合计为1000公斤的土豆，抽查10箱，平均重量为9.8公斤，那么验收合格数量为9.8乘以100，为980公斤，短缺20公斤，未超出采购量的5%，按实际称重数量结算，视为正常履约供货；如抽查10箱，平均重量为9公斤，那么验收合格数量为9乘以100，为900公斤，短缺100公斤，超出采购量的5%，应按甲方要求补齐货物。预包装货物，按实际验收合格的数量计算。</w:t>
      </w:r>
    </w:p>
    <w:p w14:paraId="553A9550">
      <w:pPr>
        <w:pStyle w:val="13"/>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5.4甲方应依照双方在本合同中约定的质量要求和验收标准进行验收。验收不合格的，应及时向乙方提出异议，乙方应在接到甲方发出异议通知后，按甲方要求更换，直至验收合格；如双方就质量问题存在争议，应委托双方认可的第三方检测机构进行检验，检验费用由乙方承担；如果因乙方供货质量原因造成甲方损失的，乙方应按照损失金额的130%承担赔偿责任。甲方可在该批次产品交付后7个工作日内提出，如属于隐蔽瑕疵，在剩余保质期内可提出异议，乙方应积极予以协商解决。 </w:t>
      </w:r>
    </w:p>
    <w:p w14:paraId="1E1BE0D9">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货款支付</w:t>
      </w:r>
    </w:p>
    <w:p w14:paraId="04F98BF1">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乙方应</w:t>
      </w:r>
      <w:r>
        <w:rPr>
          <w:rFonts w:hint="eastAsia" w:ascii="宋体" w:hAnsi="宋体" w:eastAsia="宋体" w:cs="宋体"/>
          <w:sz w:val="24"/>
          <w:szCs w:val="24"/>
          <w:lang w:val="en-US" w:eastAsia="zh-CN"/>
        </w:rPr>
        <w:t>按照甲方的通知</w:t>
      </w:r>
      <w:r>
        <w:rPr>
          <w:rFonts w:hint="eastAsia" w:ascii="宋体" w:hAnsi="宋体" w:eastAsia="宋体" w:cs="宋体"/>
          <w:sz w:val="24"/>
          <w:szCs w:val="24"/>
        </w:rPr>
        <w:t>开具符合国家税务规定的正规普通发票（发票内容需与验收单一致</w:t>
      </w:r>
      <w:r>
        <w:rPr>
          <w:rFonts w:hint="eastAsia" w:ascii="宋体" w:hAnsi="宋体" w:eastAsia="宋体" w:cs="宋体"/>
          <w:sz w:val="24"/>
          <w:szCs w:val="24"/>
          <w:lang w:eastAsia="zh-CN"/>
        </w:rPr>
        <w:t>，</w:t>
      </w:r>
      <w:r>
        <w:rPr>
          <w:rFonts w:hint="eastAsia" w:ascii="宋体" w:hAnsi="宋体" w:eastAsia="宋体" w:cs="宋体"/>
          <w:sz w:val="24"/>
          <w:szCs w:val="24"/>
        </w:rPr>
        <w:t>不能在税务局代开发票）</w:t>
      </w:r>
      <w:r>
        <w:rPr>
          <w:rFonts w:hint="eastAsia" w:ascii="宋体" w:hAnsi="宋体" w:eastAsia="宋体" w:cs="宋体"/>
          <w:sz w:val="24"/>
          <w:szCs w:val="24"/>
          <w:lang w:val="en-US" w:eastAsia="zh-CN"/>
        </w:rPr>
        <w:t>交甲方</w:t>
      </w:r>
      <w:r>
        <w:rPr>
          <w:rFonts w:hint="eastAsia" w:ascii="宋体" w:hAnsi="宋体" w:eastAsia="宋体" w:cs="宋体"/>
          <w:sz w:val="24"/>
          <w:szCs w:val="24"/>
        </w:rPr>
        <w:t>查验</w:t>
      </w:r>
      <w:r>
        <w:rPr>
          <w:rFonts w:hint="eastAsia" w:ascii="宋体" w:hAnsi="宋体" w:eastAsia="宋体" w:cs="宋体"/>
          <w:sz w:val="24"/>
          <w:szCs w:val="24"/>
          <w:lang w:eastAsia="zh-CN"/>
        </w:rPr>
        <w:t>，</w:t>
      </w:r>
      <w:r>
        <w:rPr>
          <w:rFonts w:hint="eastAsia" w:ascii="宋体" w:hAnsi="宋体" w:eastAsia="宋体" w:cs="宋体"/>
          <w:sz w:val="24"/>
          <w:szCs w:val="24"/>
        </w:rPr>
        <w:t>否则视为自行放弃供货资格。如发票被税务机关认定为无效或不符合规定，乙方应在收到甲方通知后3个工作日内重新开具有效发票，否则甲方有权延迟支付相应货款直至收到有效发票，且不承担延迟付款责任。</w:t>
      </w:r>
    </w:p>
    <w:p w14:paraId="7E917F71">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6.2甲乙双方签订合同之后，由乙方先行配送货物，首次送货满1个月后，双方对已供货物进行结算确认，供货期间按月实行滚动结款，</w:t>
      </w:r>
      <w:r>
        <w:rPr>
          <w:rFonts w:hint="eastAsia" w:ascii="宋体" w:hAnsi="宋体" w:eastAsia="宋体" w:cs="宋体"/>
          <w:sz w:val="24"/>
          <w:szCs w:val="24"/>
          <w:lang w:eastAsia="zh-CN"/>
        </w:rPr>
        <w:t>甲方支付货款以上级财政管理部门审批拨付到位为准</w:t>
      </w:r>
      <w:r>
        <w:rPr>
          <w:rFonts w:hint="eastAsia" w:ascii="宋体" w:hAnsi="宋体" w:eastAsia="宋体" w:cs="宋体"/>
          <w:sz w:val="24"/>
          <w:szCs w:val="24"/>
          <w:lang w:val="en-US" w:eastAsia="zh-CN"/>
        </w:rPr>
        <w:t>。因乙方银行账户存在问题导致甲方延迟付款的，甲方不承担迟延付款责任。</w:t>
      </w:r>
    </w:p>
    <w:p w14:paraId="2B45F860">
      <w:pPr>
        <w:pStyle w:val="13"/>
        <w:bidi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6.3合同</w:t>
      </w:r>
      <w:r>
        <w:rPr>
          <w:rFonts w:hint="eastAsia" w:ascii="宋体" w:hAnsi="宋体" w:eastAsia="宋体" w:cs="宋体"/>
          <w:sz w:val="24"/>
          <w:szCs w:val="24"/>
        </w:rPr>
        <w:t>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人民币大写：          圆整），需在合同签订前一天缴纳完毕。</w:t>
      </w:r>
    </w:p>
    <w:p w14:paraId="55A6B5CE">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违约责任</w:t>
      </w:r>
    </w:p>
    <w:p w14:paraId="0A006FD4">
      <w:pPr>
        <w:pStyle w:val="13"/>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合同期满</w:t>
      </w:r>
      <w:r>
        <w:rPr>
          <w:rFonts w:hint="eastAsia" w:ascii="宋体" w:hAnsi="宋体" w:eastAsia="宋体" w:cs="宋体"/>
          <w:sz w:val="24"/>
          <w:szCs w:val="24"/>
          <w:lang w:val="en-US" w:eastAsia="zh-CN"/>
        </w:rPr>
        <w:t>且乙方</w:t>
      </w:r>
      <w:r>
        <w:rPr>
          <w:rFonts w:hint="eastAsia" w:ascii="宋体" w:hAnsi="宋体" w:eastAsia="宋体" w:cs="宋体"/>
          <w:sz w:val="24"/>
          <w:szCs w:val="24"/>
        </w:rPr>
        <w:t>未出现</w:t>
      </w:r>
      <w:r>
        <w:rPr>
          <w:rFonts w:hint="eastAsia" w:ascii="宋体" w:hAnsi="宋体" w:eastAsia="宋体" w:cs="宋体"/>
          <w:sz w:val="24"/>
          <w:szCs w:val="24"/>
          <w:lang w:val="en-US" w:eastAsia="zh-CN"/>
        </w:rPr>
        <w:t>任何</w:t>
      </w:r>
      <w:r>
        <w:rPr>
          <w:rFonts w:hint="eastAsia" w:ascii="宋体" w:hAnsi="宋体" w:eastAsia="宋体" w:cs="宋体"/>
          <w:sz w:val="24"/>
          <w:szCs w:val="24"/>
        </w:rPr>
        <w:t>违约情形</w:t>
      </w:r>
      <w:r>
        <w:rPr>
          <w:rFonts w:hint="eastAsia" w:ascii="宋体" w:hAnsi="宋体" w:eastAsia="宋体" w:cs="宋体"/>
          <w:sz w:val="24"/>
          <w:szCs w:val="24"/>
          <w:lang w:val="en-US" w:eastAsia="zh-CN"/>
        </w:rPr>
        <w:t>的</w:t>
      </w:r>
      <w:r>
        <w:rPr>
          <w:rFonts w:hint="eastAsia" w:ascii="宋体" w:hAnsi="宋体" w:eastAsia="宋体" w:cs="宋体"/>
          <w:sz w:val="24"/>
          <w:szCs w:val="24"/>
        </w:rPr>
        <w:t>，甲方无息退还</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。如乙方有</w:t>
      </w:r>
      <w:r>
        <w:rPr>
          <w:rFonts w:hint="eastAsia" w:ascii="宋体" w:hAnsi="宋体" w:eastAsia="宋体" w:cs="宋体"/>
          <w:sz w:val="24"/>
          <w:szCs w:val="24"/>
          <w:lang w:val="en-US" w:eastAsia="zh-CN"/>
        </w:rPr>
        <w:t>任何</w:t>
      </w:r>
      <w:r>
        <w:rPr>
          <w:rFonts w:hint="eastAsia" w:ascii="宋体" w:hAnsi="宋体" w:eastAsia="宋体" w:cs="宋体"/>
          <w:sz w:val="24"/>
          <w:szCs w:val="24"/>
        </w:rPr>
        <w:t>违约行为，甲方有权按照合同约定从</w:t>
      </w:r>
      <w:r>
        <w:rPr>
          <w:rFonts w:hint="eastAsia" w:ascii="宋体" w:hAnsi="宋体" w:eastAsia="宋体" w:cs="宋体"/>
          <w:sz w:val="24"/>
          <w:szCs w:val="24"/>
          <w:lang w:val="en-US" w:eastAsia="zh-CN"/>
        </w:rPr>
        <w:t>履约保证金</w:t>
      </w:r>
      <w:r>
        <w:rPr>
          <w:rFonts w:hint="eastAsia" w:ascii="宋体" w:hAnsi="宋体" w:eastAsia="宋体" w:cs="宋体"/>
          <w:sz w:val="24"/>
          <w:szCs w:val="24"/>
        </w:rPr>
        <w:t>中扣除乙方应赔偿部分金额，剩余部分合同期满或合同解除时无息退还给</w:t>
      </w:r>
      <w:r>
        <w:rPr>
          <w:rFonts w:hint="eastAsia" w:ascii="宋体" w:hAnsi="宋体" w:eastAsia="宋体" w:cs="宋体"/>
          <w:sz w:val="24"/>
          <w:szCs w:val="24"/>
          <w:lang w:val="en-US" w:eastAsia="zh-CN"/>
        </w:rPr>
        <w:t>至</w:t>
      </w:r>
      <w:r>
        <w:rPr>
          <w:rFonts w:hint="eastAsia" w:ascii="宋体" w:hAnsi="宋体" w:eastAsia="宋体" w:cs="宋体"/>
          <w:sz w:val="24"/>
          <w:szCs w:val="24"/>
        </w:rPr>
        <w:t>乙方</w:t>
      </w:r>
      <w:r>
        <w:rPr>
          <w:rFonts w:hint="eastAsia" w:ascii="宋体" w:hAnsi="宋体" w:eastAsia="宋体" w:cs="宋体"/>
          <w:sz w:val="24"/>
          <w:szCs w:val="24"/>
          <w:lang w:val="en-US" w:eastAsia="zh-CN"/>
        </w:rPr>
        <w:t>账户</w:t>
      </w:r>
      <w:r>
        <w:rPr>
          <w:rFonts w:hint="eastAsia" w:ascii="宋体" w:hAnsi="宋体" w:eastAsia="宋体" w:cs="宋体"/>
          <w:sz w:val="24"/>
          <w:szCs w:val="24"/>
        </w:rPr>
        <w:t>；保证金不足以支付违约金或不足以弥补甲方损失的，由乙方另行向甲方</w:t>
      </w:r>
      <w:r>
        <w:rPr>
          <w:rFonts w:hint="eastAsia" w:ascii="宋体" w:hAnsi="宋体" w:eastAsia="宋体" w:cs="宋体"/>
          <w:sz w:val="24"/>
          <w:szCs w:val="24"/>
          <w:lang w:val="en-US" w:eastAsia="zh-CN"/>
        </w:rPr>
        <w:t>赔偿</w:t>
      </w:r>
      <w:r>
        <w:rPr>
          <w:rFonts w:hint="eastAsia" w:ascii="宋体" w:hAnsi="宋体" w:eastAsia="宋体" w:cs="宋体"/>
          <w:sz w:val="24"/>
          <w:szCs w:val="24"/>
        </w:rPr>
        <w:t>。因乙方违约扣除保证金的乙方</w:t>
      </w:r>
      <w:r>
        <w:rPr>
          <w:rFonts w:hint="eastAsia" w:ascii="宋体" w:hAnsi="宋体" w:eastAsia="宋体" w:cs="宋体"/>
          <w:sz w:val="24"/>
          <w:szCs w:val="24"/>
          <w:lang w:val="en-US" w:eastAsia="zh-CN"/>
        </w:rPr>
        <w:t>应</w:t>
      </w:r>
      <w:r>
        <w:rPr>
          <w:rFonts w:hint="eastAsia" w:ascii="宋体" w:hAnsi="宋体" w:eastAsia="宋体" w:cs="宋体"/>
          <w:sz w:val="24"/>
          <w:szCs w:val="24"/>
        </w:rPr>
        <w:t>在扣除后5个工作日内补足，逾期不补足视为违约，甲方有权主张所需物资总额的10％的违约金，并视为放弃继续供货资格</w:t>
      </w:r>
      <w:r>
        <w:rPr>
          <w:rFonts w:hint="eastAsia" w:ascii="宋体" w:hAnsi="宋体" w:eastAsia="宋体" w:cs="宋体"/>
          <w:sz w:val="24"/>
          <w:szCs w:val="24"/>
          <w:lang w:eastAsia="zh-CN"/>
        </w:rPr>
        <w:t>。</w:t>
      </w:r>
    </w:p>
    <w:p w14:paraId="0DE1BE62">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7.2乙方</w:t>
      </w:r>
      <w:r>
        <w:rPr>
          <w:rFonts w:hint="eastAsia" w:ascii="宋体" w:hAnsi="宋体" w:eastAsia="宋体" w:cs="宋体"/>
          <w:sz w:val="24"/>
          <w:szCs w:val="24"/>
        </w:rPr>
        <w:t>必须满足对在发生突发公共安全等不可抗力事件时，对甲方无条件提供货物保障供应，如不能满足极端特殊条件下的供应，应提前7日以书面形式通知甲方，并提供官方具有证明效力的</w:t>
      </w:r>
      <w:r>
        <w:rPr>
          <w:rFonts w:hint="eastAsia" w:ascii="宋体" w:hAnsi="宋体" w:eastAsia="宋体" w:cs="宋体"/>
          <w:sz w:val="24"/>
          <w:szCs w:val="24"/>
          <w:lang w:val="en-US" w:eastAsia="zh-CN"/>
        </w:rPr>
        <w:t>相关</w:t>
      </w:r>
      <w:r>
        <w:rPr>
          <w:rFonts w:hint="eastAsia" w:ascii="宋体" w:hAnsi="宋体" w:eastAsia="宋体" w:cs="宋体"/>
          <w:sz w:val="24"/>
          <w:szCs w:val="24"/>
        </w:rPr>
        <w:t>证明</w:t>
      </w:r>
      <w:r>
        <w:rPr>
          <w:rFonts w:hint="eastAsia" w:ascii="宋体" w:hAnsi="宋体" w:eastAsia="宋体" w:cs="宋体"/>
          <w:sz w:val="24"/>
          <w:szCs w:val="24"/>
          <w:lang w:val="en-US" w:eastAsia="zh-CN"/>
        </w:rPr>
        <w:t>文件。</w:t>
      </w:r>
      <w:r>
        <w:rPr>
          <w:rFonts w:hint="eastAsia" w:ascii="宋体" w:hAnsi="宋体" w:eastAsia="宋体" w:cs="宋体"/>
          <w:sz w:val="24"/>
          <w:szCs w:val="24"/>
        </w:rPr>
        <w:t>乙方如未</w:t>
      </w:r>
      <w:r>
        <w:rPr>
          <w:rFonts w:hint="eastAsia" w:ascii="宋体" w:hAnsi="宋体" w:eastAsia="宋体" w:cs="宋体"/>
          <w:sz w:val="24"/>
          <w:szCs w:val="24"/>
          <w:lang w:val="en-US" w:eastAsia="zh-CN"/>
        </w:rPr>
        <w:t>及时</w:t>
      </w:r>
      <w:r>
        <w:rPr>
          <w:rFonts w:hint="eastAsia" w:ascii="宋体" w:hAnsi="宋体" w:eastAsia="宋体" w:cs="宋体"/>
          <w:sz w:val="24"/>
          <w:szCs w:val="24"/>
        </w:rPr>
        <w:t>通知甲方</w:t>
      </w:r>
      <w:r>
        <w:rPr>
          <w:rFonts w:hint="eastAsia" w:ascii="宋体" w:hAnsi="宋体" w:eastAsia="宋体" w:cs="宋体"/>
          <w:sz w:val="24"/>
          <w:szCs w:val="24"/>
          <w:lang w:val="en-US" w:eastAsia="zh-CN"/>
        </w:rPr>
        <w:t>则</w:t>
      </w:r>
      <w:r>
        <w:rPr>
          <w:rFonts w:hint="eastAsia" w:ascii="宋体" w:hAnsi="宋体" w:eastAsia="宋体" w:cs="宋体"/>
          <w:sz w:val="24"/>
          <w:szCs w:val="24"/>
        </w:rPr>
        <w:t>视为违约，赔偿甲方所需物资总额的30％</w:t>
      </w:r>
      <w:r>
        <w:rPr>
          <w:rFonts w:hint="eastAsia" w:ascii="宋体" w:hAnsi="宋体" w:eastAsia="宋体" w:cs="宋体"/>
          <w:sz w:val="24"/>
          <w:szCs w:val="24"/>
          <w:lang w:eastAsia="zh-CN"/>
        </w:rPr>
        <w:t>作为</w:t>
      </w:r>
      <w:r>
        <w:rPr>
          <w:rFonts w:hint="eastAsia" w:ascii="宋体" w:hAnsi="宋体" w:eastAsia="宋体" w:cs="宋体"/>
          <w:sz w:val="24"/>
          <w:szCs w:val="24"/>
        </w:rPr>
        <w:t>违约金（由未结算货款进行抵扣</w:t>
      </w:r>
      <w:r>
        <w:rPr>
          <w:rFonts w:hint="eastAsia" w:ascii="宋体" w:hAnsi="宋体" w:eastAsia="宋体" w:cs="宋体"/>
          <w:sz w:val="24"/>
          <w:szCs w:val="24"/>
          <w:lang w:eastAsia="zh-CN"/>
        </w:rPr>
        <w:t>，如货款不足，从履约保证金中扣除</w:t>
      </w:r>
      <w:r>
        <w:rPr>
          <w:rFonts w:hint="eastAsia" w:ascii="宋体" w:hAnsi="宋体" w:eastAsia="宋体" w:cs="宋体"/>
          <w:sz w:val="24"/>
          <w:szCs w:val="24"/>
        </w:rPr>
        <w:t>），并自动终止合同。</w:t>
      </w:r>
    </w:p>
    <w:p w14:paraId="37270F20">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乙方需在本合同签署之日向甲方提供各种有效证照的复印件（需加盖乙方公章），包括但不限于：</w:t>
      </w:r>
      <w:r>
        <w:rPr>
          <w:rFonts w:hint="eastAsia" w:ascii="宋体" w:hAnsi="宋体" w:eastAsia="宋体" w:cs="宋体"/>
          <w:sz w:val="24"/>
          <w:szCs w:val="24"/>
          <w:lang w:val="en-US" w:eastAsia="zh-CN"/>
        </w:rPr>
        <w:t>统一社会信用代码、法定代表人身份证、法定代表人身份证明书、授权委托书、营业执照、税务登记证、</w:t>
      </w:r>
      <w:r>
        <w:rPr>
          <w:rFonts w:hint="eastAsia" w:ascii="宋体" w:hAnsi="宋体" w:eastAsia="宋体" w:cs="宋体"/>
          <w:sz w:val="24"/>
          <w:szCs w:val="24"/>
        </w:rPr>
        <w:t>营业执照、食品卫生许可证、产品质量检验报告</w:t>
      </w:r>
      <w:r>
        <w:rPr>
          <w:rFonts w:hint="eastAsia" w:ascii="宋体" w:hAnsi="宋体" w:eastAsia="宋体" w:cs="宋体"/>
          <w:sz w:val="24"/>
          <w:szCs w:val="24"/>
          <w:lang w:val="en-US" w:eastAsia="zh-CN"/>
        </w:rPr>
        <w:t>等自身主体资格证明和</w:t>
      </w:r>
      <w:r>
        <w:rPr>
          <w:rFonts w:hint="eastAsia" w:ascii="宋体" w:hAnsi="宋体" w:eastAsia="宋体" w:cs="宋体"/>
          <w:sz w:val="24"/>
          <w:szCs w:val="24"/>
        </w:rPr>
        <w:t>与食品销售要求相关的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每批次货品提供所需证件及产品检验报告单，否则甲方有权单方终止合同，同时扣除乙方全额履约保证金。</w:t>
      </w:r>
    </w:p>
    <w:p w14:paraId="39146F18">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合同签订后，乙方应严格履行合同，如乙方因价格原因寻找借口，拒绝供货或不能根据合同约定的品种、规格、数量、质量等标准和要求向甲方配送货物，无法满足甲方采购需要，甲方</w:t>
      </w:r>
      <w:r>
        <w:rPr>
          <w:rFonts w:hint="eastAsia" w:ascii="宋体" w:hAnsi="宋体" w:eastAsia="宋体" w:cs="宋体"/>
          <w:sz w:val="24"/>
          <w:szCs w:val="24"/>
          <w:lang w:val="en-US" w:eastAsia="zh-CN"/>
        </w:rPr>
        <w:t>有权直接以电话、邮箱、微信等途径通知的方式解除合同，乙方应当向甲方支付合同总价款20%的违约金。</w:t>
      </w:r>
      <w:r>
        <w:rPr>
          <w:rFonts w:hint="eastAsia" w:ascii="宋体" w:hAnsi="宋体" w:eastAsia="宋体" w:cs="宋体"/>
          <w:sz w:val="24"/>
          <w:szCs w:val="24"/>
        </w:rPr>
        <w:t>合同解除后，甲方有权临时性应急与第三方供</w:t>
      </w:r>
      <w:r>
        <w:rPr>
          <w:rFonts w:hint="eastAsia" w:ascii="宋体" w:hAnsi="宋体" w:eastAsia="宋体" w:cs="宋体"/>
          <w:sz w:val="24"/>
          <w:szCs w:val="24"/>
          <w:lang w:val="en-US" w:eastAsia="zh-CN"/>
        </w:rPr>
        <w:t>应</w:t>
      </w:r>
      <w:r>
        <w:rPr>
          <w:rFonts w:hint="eastAsia" w:ascii="宋体" w:hAnsi="宋体" w:eastAsia="宋体" w:cs="宋体"/>
          <w:sz w:val="24"/>
          <w:szCs w:val="24"/>
        </w:rPr>
        <w:t>商另行签订合同，进行</w:t>
      </w:r>
      <w:r>
        <w:rPr>
          <w:rFonts w:hint="eastAsia" w:ascii="宋体" w:hAnsi="宋体" w:eastAsia="宋体" w:cs="宋体"/>
          <w:sz w:val="24"/>
          <w:szCs w:val="24"/>
          <w:lang w:val="en-US" w:eastAsia="zh-CN"/>
        </w:rPr>
        <w:t>保障性</w:t>
      </w:r>
      <w:r>
        <w:rPr>
          <w:rFonts w:hint="eastAsia" w:ascii="宋体" w:hAnsi="宋体" w:eastAsia="宋体" w:cs="宋体"/>
          <w:sz w:val="24"/>
          <w:szCs w:val="24"/>
        </w:rPr>
        <w:t>供货。</w:t>
      </w:r>
    </w:p>
    <w:p w14:paraId="2FD01239">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w:t>
      </w:r>
      <w:r>
        <w:rPr>
          <w:rFonts w:hint="eastAsia" w:ascii="宋体" w:hAnsi="宋体" w:eastAsia="宋体" w:cs="宋体"/>
          <w:sz w:val="24"/>
          <w:szCs w:val="24"/>
        </w:rPr>
        <w:t>如乙方出现虚假产品、以次充好，乙方未按甲方要求予以更换或供货，导致甲方需紧急采购的，甲方有权解除合同，扣除全额履约保证金，并且另行采购其他商家同类货物，由此产生的全部费用从乙方货款中扣除，乙方还需支付合同总金额的50%作为违约金，并赔偿甲方因此遭受的全部损失。</w:t>
      </w:r>
    </w:p>
    <w:p w14:paraId="0FFE0008">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乙方货品</w:t>
      </w:r>
      <w:r>
        <w:rPr>
          <w:rFonts w:hint="eastAsia" w:ascii="宋体" w:hAnsi="宋体" w:eastAsia="宋体" w:cs="宋体"/>
          <w:sz w:val="24"/>
          <w:szCs w:val="24"/>
        </w:rPr>
        <w:t>与甲方要求品质标准不符</w:t>
      </w:r>
      <w:r>
        <w:rPr>
          <w:rFonts w:hint="eastAsia" w:ascii="宋体" w:hAnsi="宋体" w:eastAsia="宋体" w:cs="宋体"/>
          <w:sz w:val="24"/>
          <w:szCs w:val="24"/>
          <w:lang w:eastAsia="zh-CN"/>
        </w:rPr>
        <w:t>以及数量不足</w:t>
      </w:r>
      <w:r>
        <w:rPr>
          <w:rFonts w:hint="eastAsia" w:ascii="宋体" w:hAnsi="宋体" w:eastAsia="宋体" w:cs="宋体"/>
          <w:sz w:val="24"/>
          <w:szCs w:val="24"/>
        </w:rPr>
        <w:t>的货品，甲方有权要求乙方</w:t>
      </w:r>
      <w:r>
        <w:rPr>
          <w:rFonts w:hint="eastAsia" w:ascii="宋体" w:hAnsi="宋体" w:eastAsia="宋体" w:cs="宋体"/>
          <w:sz w:val="24"/>
          <w:szCs w:val="24"/>
          <w:lang w:eastAsia="zh-CN"/>
        </w:rPr>
        <w:t>按照约定数量和标准在甲方要求时限内调换或补齐货物</w:t>
      </w:r>
      <w:r>
        <w:rPr>
          <w:rFonts w:hint="eastAsia" w:ascii="宋体" w:hAnsi="宋体" w:eastAsia="宋体" w:cs="宋体"/>
          <w:sz w:val="24"/>
          <w:szCs w:val="24"/>
        </w:rPr>
        <w:t>。乙方应在接到甲方通知后</w:t>
      </w:r>
      <w:r>
        <w:rPr>
          <w:rFonts w:hint="eastAsia" w:ascii="宋体" w:hAnsi="宋体" w:eastAsia="宋体" w:cs="宋体"/>
          <w:sz w:val="24"/>
          <w:szCs w:val="24"/>
          <w:lang w:val="en-US" w:eastAsia="zh-CN"/>
        </w:rPr>
        <w:t>按照甲方要求</w:t>
      </w:r>
      <w:r>
        <w:rPr>
          <w:rFonts w:hint="eastAsia" w:ascii="宋体" w:hAnsi="宋体" w:eastAsia="宋体" w:cs="宋体"/>
          <w:sz w:val="24"/>
          <w:szCs w:val="24"/>
        </w:rPr>
        <w:t>完成调换或补齐货物，并承担由此产生的所有运输、检验及相关费用。若乙方未能在规定时间内完成调换或补齐，甲方有权从应付款项中扣除相应金额或采取其他补救措施，且乙方应赔偿甲方因此造成的全部损失。</w:t>
      </w:r>
      <w:r>
        <w:rPr>
          <w:rFonts w:hint="eastAsia" w:ascii="宋体" w:hAnsi="宋体" w:eastAsia="宋体" w:cs="宋体"/>
          <w:sz w:val="24"/>
          <w:szCs w:val="24"/>
          <w:lang w:eastAsia="zh-CN"/>
        </w:rPr>
        <w:t>合同期内</w:t>
      </w:r>
      <w:r>
        <w:rPr>
          <w:rFonts w:hint="eastAsia" w:ascii="宋体" w:hAnsi="宋体" w:eastAsia="宋体" w:cs="宋体"/>
          <w:sz w:val="24"/>
          <w:szCs w:val="24"/>
        </w:rPr>
        <w:t>第一次出现该情况，甲方书面告知乙方后，乙方</w:t>
      </w:r>
      <w:r>
        <w:rPr>
          <w:rFonts w:hint="eastAsia" w:ascii="宋体" w:hAnsi="宋体" w:eastAsia="宋体" w:cs="宋体"/>
          <w:sz w:val="24"/>
          <w:szCs w:val="24"/>
          <w:lang w:val="en-US" w:eastAsia="zh-CN"/>
        </w:rPr>
        <w:t>须</w:t>
      </w:r>
      <w:r>
        <w:rPr>
          <w:rFonts w:hint="eastAsia" w:ascii="宋体" w:hAnsi="宋体" w:eastAsia="宋体" w:cs="宋体"/>
          <w:sz w:val="24"/>
          <w:szCs w:val="24"/>
        </w:rPr>
        <w:t>在24小时内重新供货，</w:t>
      </w:r>
      <w:r>
        <w:rPr>
          <w:rFonts w:hint="eastAsia" w:ascii="宋体" w:hAnsi="宋体" w:eastAsia="宋体" w:cs="宋体"/>
          <w:sz w:val="24"/>
          <w:szCs w:val="24"/>
          <w:lang w:eastAsia="zh-CN"/>
        </w:rPr>
        <w:t>如未补齐或更换，</w:t>
      </w:r>
      <w:r>
        <w:rPr>
          <w:rFonts w:hint="eastAsia" w:ascii="宋体" w:hAnsi="宋体" w:eastAsia="宋体" w:cs="宋体"/>
          <w:sz w:val="24"/>
          <w:szCs w:val="24"/>
        </w:rPr>
        <w:t>甲方有权扣除当次货款的</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履约保证金的</w:t>
      </w:r>
      <w:r>
        <w:rPr>
          <w:rFonts w:hint="eastAsia" w:ascii="宋体" w:hAnsi="宋体" w:eastAsia="宋体" w:cs="宋体"/>
          <w:sz w:val="24"/>
          <w:szCs w:val="24"/>
          <w:lang w:val="en-US" w:eastAsia="zh-CN"/>
        </w:rPr>
        <w:t>3</w:t>
      </w:r>
      <w:r>
        <w:rPr>
          <w:rFonts w:hint="eastAsia" w:ascii="宋体" w:hAnsi="宋体" w:eastAsia="宋体" w:cs="宋体"/>
          <w:sz w:val="24"/>
          <w:szCs w:val="24"/>
        </w:rPr>
        <w:t>%（以较高者为准）作为违约金；第二次出现该情况，甲方书面告知乙方后，乙方</w:t>
      </w:r>
      <w:r>
        <w:rPr>
          <w:rFonts w:hint="eastAsia" w:ascii="宋体" w:hAnsi="宋体" w:eastAsia="宋体" w:cs="宋体"/>
          <w:sz w:val="24"/>
          <w:szCs w:val="24"/>
          <w:lang w:val="en-US" w:eastAsia="zh-CN"/>
        </w:rPr>
        <w:t>须在24小时内</w:t>
      </w:r>
      <w:r>
        <w:rPr>
          <w:rFonts w:hint="eastAsia" w:ascii="宋体" w:hAnsi="宋体" w:eastAsia="宋体" w:cs="宋体"/>
          <w:sz w:val="24"/>
          <w:szCs w:val="24"/>
        </w:rPr>
        <w:t>重新供货，</w:t>
      </w:r>
      <w:r>
        <w:rPr>
          <w:rFonts w:hint="eastAsia" w:ascii="宋体" w:hAnsi="宋体" w:eastAsia="宋体" w:cs="宋体"/>
          <w:sz w:val="24"/>
          <w:szCs w:val="24"/>
          <w:lang w:eastAsia="zh-CN"/>
        </w:rPr>
        <w:t>如未在24小时内补齐或更换，</w:t>
      </w:r>
      <w:r>
        <w:rPr>
          <w:rFonts w:hint="eastAsia" w:ascii="宋体" w:hAnsi="宋体" w:eastAsia="宋体" w:cs="宋体"/>
          <w:sz w:val="24"/>
          <w:szCs w:val="24"/>
        </w:rPr>
        <w:t>甲方有权扣除当次货款的</w:t>
      </w:r>
      <w:r>
        <w:rPr>
          <w:rFonts w:hint="eastAsia" w:ascii="宋体" w:hAnsi="宋体" w:eastAsia="宋体" w:cs="宋体"/>
          <w:sz w:val="24"/>
          <w:szCs w:val="24"/>
          <w:lang w:val="en-US" w:eastAsia="zh-CN"/>
        </w:rPr>
        <w:t>5</w:t>
      </w:r>
      <w:r>
        <w:rPr>
          <w:rFonts w:hint="eastAsia" w:ascii="宋体" w:hAnsi="宋体" w:eastAsia="宋体" w:cs="宋体"/>
          <w:sz w:val="24"/>
          <w:szCs w:val="24"/>
        </w:rPr>
        <w:t>%或履约保证金的</w:t>
      </w:r>
      <w:r>
        <w:rPr>
          <w:rFonts w:hint="eastAsia" w:ascii="宋体" w:hAnsi="宋体" w:eastAsia="宋体" w:cs="宋体"/>
          <w:sz w:val="24"/>
          <w:szCs w:val="24"/>
          <w:lang w:val="en-US" w:eastAsia="zh-CN"/>
        </w:rPr>
        <w:t>5</w:t>
      </w:r>
      <w:r>
        <w:rPr>
          <w:rFonts w:hint="eastAsia" w:ascii="宋体" w:hAnsi="宋体" w:eastAsia="宋体" w:cs="宋体"/>
          <w:sz w:val="24"/>
          <w:szCs w:val="24"/>
        </w:rPr>
        <w:t>%（以较高者为准）作为违约金</w:t>
      </w:r>
      <w:r>
        <w:rPr>
          <w:rFonts w:hint="eastAsia" w:ascii="宋体" w:hAnsi="宋体" w:eastAsia="宋体" w:cs="宋体"/>
          <w:sz w:val="24"/>
          <w:szCs w:val="24"/>
          <w:lang w:eastAsia="zh-CN"/>
        </w:rPr>
        <w:t>，</w:t>
      </w:r>
      <w:r>
        <w:rPr>
          <w:rFonts w:hint="eastAsia" w:ascii="宋体" w:hAnsi="宋体" w:eastAsia="宋体" w:cs="宋体"/>
          <w:sz w:val="24"/>
          <w:szCs w:val="24"/>
        </w:rPr>
        <w:t>并从货款或履约保证金中直接扣除</w:t>
      </w:r>
      <w:r>
        <w:rPr>
          <w:rFonts w:hint="eastAsia" w:ascii="宋体" w:hAnsi="宋体" w:eastAsia="宋体" w:cs="宋体"/>
          <w:sz w:val="24"/>
          <w:szCs w:val="24"/>
          <w:lang w:eastAsia="zh-CN"/>
        </w:rPr>
        <w:t>。</w:t>
      </w:r>
      <w:r>
        <w:rPr>
          <w:rFonts w:hint="eastAsia" w:ascii="宋体" w:hAnsi="宋体" w:eastAsia="宋体" w:cs="宋体"/>
          <w:sz w:val="24"/>
          <w:szCs w:val="24"/>
        </w:rPr>
        <w:t>累积出现三次上述情况的，甲方</w:t>
      </w:r>
      <w:r>
        <w:rPr>
          <w:rFonts w:hint="eastAsia" w:ascii="宋体" w:hAnsi="宋体" w:eastAsia="宋体" w:cs="宋体"/>
          <w:sz w:val="24"/>
          <w:szCs w:val="24"/>
          <w:lang w:val="en-US" w:eastAsia="zh-CN"/>
        </w:rPr>
        <w:t>有权</w:t>
      </w:r>
      <w:r>
        <w:rPr>
          <w:rFonts w:hint="eastAsia" w:ascii="宋体" w:hAnsi="宋体" w:eastAsia="宋体" w:cs="宋体"/>
          <w:sz w:val="24"/>
          <w:szCs w:val="24"/>
          <w:lang w:eastAsia="zh-CN"/>
        </w:rPr>
        <w:t>直接以</w:t>
      </w:r>
      <w:r>
        <w:rPr>
          <w:rFonts w:hint="eastAsia" w:ascii="宋体" w:hAnsi="宋体" w:eastAsia="宋体" w:cs="宋体"/>
          <w:sz w:val="24"/>
          <w:szCs w:val="24"/>
          <w:lang w:val="en-US" w:eastAsia="zh-CN"/>
        </w:rPr>
        <w:t>电话、邮箱、微信等途径</w:t>
      </w:r>
      <w:r>
        <w:rPr>
          <w:rFonts w:hint="eastAsia" w:ascii="宋体" w:hAnsi="宋体" w:eastAsia="宋体" w:cs="宋体"/>
          <w:sz w:val="24"/>
          <w:szCs w:val="24"/>
          <w:lang w:eastAsia="zh-CN"/>
        </w:rPr>
        <w:t>通知的方式解除合同</w:t>
      </w:r>
      <w:r>
        <w:rPr>
          <w:rFonts w:hint="eastAsia" w:ascii="宋体" w:hAnsi="宋体" w:eastAsia="宋体" w:cs="宋体"/>
          <w:sz w:val="24"/>
          <w:szCs w:val="24"/>
        </w:rPr>
        <w:t>，并</w:t>
      </w:r>
      <w:r>
        <w:rPr>
          <w:rFonts w:hint="eastAsia" w:ascii="宋体" w:hAnsi="宋体" w:eastAsia="宋体" w:cs="宋体"/>
          <w:sz w:val="24"/>
          <w:szCs w:val="24"/>
          <w:lang w:eastAsia="zh-CN"/>
        </w:rPr>
        <w:t>扣除</w:t>
      </w:r>
      <w:r>
        <w:rPr>
          <w:rFonts w:hint="eastAsia" w:ascii="宋体" w:hAnsi="宋体" w:eastAsia="宋体" w:cs="宋体"/>
          <w:sz w:val="24"/>
          <w:szCs w:val="24"/>
          <w:lang w:val="en-US" w:eastAsia="zh-CN"/>
        </w:rPr>
        <w:t>剩余</w:t>
      </w:r>
      <w:r>
        <w:rPr>
          <w:rFonts w:hint="eastAsia" w:ascii="宋体" w:hAnsi="宋体" w:eastAsia="宋体" w:cs="宋体"/>
          <w:sz w:val="24"/>
          <w:szCs w:val="24"/>
          <w:lang w:eastAsia="zh-CN"/>
        </w:rPr>
        <w:t>全部履约保证金作为违约金</w:t>
      </w:r>
      <w:r>
        <w:rPr>
          <w:rFonts w:hint="eastAsia" w:ascii="宋体" w:hAnsi="宋体" w:eastAsia="宋体" w:cs="宋体"/>
          <w:sz w:val="24"/>
          <w:szCs w:val="24"/>
        </w:rPr>
        <w:t>。</w:t>
      </w:r>
    </w:p>
    <w:p w14:paraId="38343C8F">
      <w:pPr>
        <w:pStyle w:val="13"/>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7.6</w:t>
      </w:r>
      <w:r>
        <w:rPr>
          <w:rFonts w:hint="eastAsia" w:ascii="宋体" w:hAnsi="宋体" w:eastAsia="宋体" w:cs="宋体"/>
          <w:sz w:val="24"/>
          <w:szCs w:val="24"/>
          <w:lang w:eastAsia="zh-CN"/>
        </w:rPr>
        <w:t>经甲方验收入库，</w:t>
      </w:r>
      <w:r>
        <w:rPr>
          <w:rFonts w:hint="eastAsia" w:ascii="宋体" w:hAnsi="宋体" w:eastAsia="宋体" w:cs="宋体"/>
          <w:sz w:val="24"/>
          <w:szCs w:val="24"/>
          <w:lang w:val="en-US" w:eastAsia="zh-CN"/>
        </w:rPr>
        <w:t>若</w:t>
      </w:r>
      <w:r>
        <w:rPr>
          <w:rFonts w:hint="eastAsia" w:ascii="宋体" w:hAnsi="宋体" w:eastAsia="宋体" w:cs="宋体"/>
          <w:sz w:val="24"/>
          <w:szCs w:val="24"/>
          <w:lang w:eastAsia="zh-CN"/>
        </w:rPr>
        <w:t>非甲方保管不到位的情况，</w:t>
      </w:r>
      <w:r>
        <w:rPr>
          <w:rFonts w:hint="eastAsia" w:ascii="宋体" w:hAnsi="宋体" w:eastAsia="宋体" w:cs="宋体"/>
          <w:sz w:val="24"/>
          <w:szCs w:val="24"/>
        </w:rPr>
        <w:t>货物出现融化、变质、过期及其他质量问题等，乙方负责免费无条件更换。如遇不可抗</w:t>
      </w:r>
      <w:r>
        <w:rPr>
          <w:rFonts w:hint="eastAsia" w:ascii="宋体" w:hAnsi="宋体" w:eastAsia="宋体" w:cs="宋体"/>
          <w:sz w:val="24"/>
          <w:szCs w:val="24"/>
          <w:lang w:val="en-US" w:eastAsia="zh-CN"/>
        </w:rPr>
        <w:t>力或情势变更导致</w:t>
      </w:r>
      <w:r>
        <w:rPr>
          <w:rFonts w:hint="eastAsia" w:ascii="宋体" w:hAnsi="宋体" w:eastAsia="宋体" w:cs="宋体"/>
          <w:sz w:val="24"/>
          <w:szCs w:val="24"/>
        </w:rPr>
        <w:t>乙方货物质量不符合甲方标准要求，乙方负责无偿更换，退回货物暂由甲方保管，待甲方具备退回条件时，通知乙方退回，退回货物所产生的包装、运费等一切相关费用由乙方承担</w:t>
      </w:r>
      <w:r>
        <w:rPr>
          <w:rFonts w:hint="eastAsia" w:ascii="宋体" w:hAnsi="宋体" w:eastAsia="宋体" w:cs="宋体"/>
          <w:sz w:val="24"/>
          <w:szCs w:val="24"/>
          <w:lang w:eastAsia="zh-CN"/>
        </w:rPr>
        <w:t>。</w:t>
      </w:r>
      <w:r>
        <w:rPr>
          <w:rFonts w:hint="eastAsia" w:ascii="宋体" w:hAnsi="宋体" w:eastAsia="宋体" w:cs="宋体"/>
          <w:sz w:val="24"/>
          <w:szCs w:val="24"/>
        </w:rPr>
        <w:t>如乙方在接到甲方通知后72小时内（或甲乙双方约定时间）未及时取回退货，甲方将按照废弃物处置，处置费用由乙方承担。</w:t>
      </w:r>
      <w:r>
        <w:rPr>
          <w:rFonts w:hint="eastAsia" w:ascii="宋体" w:hAnsi="宋体" w:eastAsia="宋体" w:cs="宋体"/>
          <w:sz w:val="24"/>
          <w:szCs w:val="24"/>
          <w:lang w:eastAsia="zh-CN"/>
        </w:rPr>
        <w:t>或待更换货物状况已不适合或已无法继续保存的，经甲方单方确认后即可直接处置，无需退还乙方，由乙方在24小时内重新供货并承担因此产生的全部费用，</w:t>
      </w:r>
      <w:r>
        <w:rPr>
          <w:rFonts w:hint="eastAsia" w:ascii="宋体" w:hAnsi="宋体" w:eastAsia="宋体" w:cs="宋体"/>
          <w:sz w:val="24"/>
          <w:szCs w:val="24"/>
          <w:lang w:val="en-US" w:eastAsia="zh-CN"/>
        </w:rPr>
        <w:t>且</w:t>
      </w:r>
      <w:r>
        <w:rPr>
          <w:rFonts w:hint="eastAsia" w:ascii="宋体" w:hAnsi="宋体" w:eastAsia="宋体" w:cs="宋体"/>
          <w:sz w:val="24"/>
          <w:szCs w:val="24"/>
          <w:lang w:eastAsia="zh-CN"/>
        </w:rPr>
        <w:t>废物处置、直接处置的费用由乙方承担。</w:t>
      </w:r>
    </w:p>
    <w:p w14:paraId="49ECC142">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7.7乙方应严格按照甲方要求配送货物的日期交货，每逾期一日，按照本次货物总价值的日万分之五的比率向甲方支付违约金，甲方有权从未结货款或保证金中扣除。</w:t>
      </w:r>
    </w:p>
    <w:p w14:paraId="547F11DD">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在履行合同过程中，如果乙方遇到妨碍按时交货和提供服务等不可抗力的情况，乙方至迟提前7日以书面形式将拖延的事实，可能拖延的时间和原因通知甲方，甲方根据实际情况决定是否同意延期交货后，及时采取补救措施，不得无故断货；自上述不可抗力情形消除后，24小时内继续履行交货义务。</w:t>
      </w:r>
    </w:p>
    <w:p w14:paraId="416C6E94">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若乙方提供的产品不符合质量标准，导致食品安全事故，乙方应支付产品价格十倍或实际损失三倍的赔偿金，最低赔偿金额为一万元。此外，乙方还应支付合同总金额的50%作为违约金，并承担所有相关费用；赔偿金的金额不足一万元的，按一万元计算；赔偿款甲方有权直接从履约保证金中扣除，不足部分乙方应另行支付。甲方向第三方垫付赔偿款的，有权向乙方追偿；甲方或第三人由此支出的鉴定、调查取证等为维护权益支出的费用均由乙方承担，且甲方有权直接从履约保证金或未结货款中扣除相关费用。</w:t>
      </w:r>
    </w:p>
    <w:p w14:paraId="28423D7B">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7.10乙方保证在供货时遵从甲方关于本项目的采购程序，保证不会将合同及（或）其中的权利、义务转让，保证不会转包、分包。如发现转包、分包现象，甲方有权扣除全额履约保证金及解除合同。 </w:t>
      </w:r>
    </w:p>
    <w:p w14:paraId="5DDF8E84">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乙方在供应过程中，乙方人员及送货车辆应履行安全保证义务，如发生任何问题应由乙方承担全部责任，如在甲方场所内发生事故或问题，经相关部门鉴定，属乙方责任的，乙方承担全部责任（除不可抗力外），并赔偿给甲方造成的全部损失，甲方有权在确定损失通知乙方后，赔偿款甲方有权直接从未结货款或履约保证金中扣除赔偿款，不足部分乙方应在3个工作日内另行支付，且甲方保留追究其有权要求乙方支付相关法律责任当于损失金额20%的权利额外违约金。</w:t>
      </w:r>
    </w:p>
    <w:p w14:paraId="0C48A9D9">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乙方无条件执行甲方进出大门的管理要求，乙方及配送司机不得携带违禁、危险品（包括但不限于烟、打火机、手机、酒、现金、电子设备等甲方规定视为存在安全风险的物品）进入甲方场所，如出现上述情况，甲方有权禁止司机和车辆再次进入甲方场所，并要求乙方整改，乙方拒不整改或整改不到位而由此产生的货品损失，由乙方自行承担。 乙方确认知悉甲方有关监管安全的各项措施，包括但不限于违禁、危险品，人员出入、车辆出入、搜身检查、通讯工具管理、电子设备管理等。</w:t>
      </w:r>
    </w:p>
    <w:p w14:paraId="30AB16AA">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在合同履行期间，乙方配送人员及所属人员不得向甲方任何人员提供违禁（危）品，如有发生甲方有权根据情节轻重采取相应的处罚措施，包括但不限于警告、罚款、部分或全部扣除履约保证金、暂停合作或解除合同。如造成严重后果的，甲方有权追究其法律责任。</w:t>
      </w:r>
    </w:p>
    <w:p w14:paraId="2F0DD0EA">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7.14如乙方违反合同有关保密约定，向第三方披露本采购项目或合同相关资料或情况的，甲方有权立即解除合同，扣除全部履约保证金，并要求乙方支付合同总金额的10%作为违约金，给造成甲方损失的应由乙方赔偿，且乙方还应承担甲方因此产生的所有合理费用； 如涉及违法犯罪行为，将移送司法机关依法追究乙方的法律责任。</w:t>
      </w:r>
    </w:p>
    <w:p w14:paraId="635DB190">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w:t>
      </w:r>
      <w:r>
        <w:rPr>
          <w:rFonts w:hint="eastAsia" w:ascii="宋体" w:hAnsi="宋体" w:eastAsia="宋体" w:cs="宋体"/>
          <w:sz w:val="24"/>
          <w:szCs w:val="24"/>
        </w:rPr>
        <w:t>如</w:t>
      </w:r>
      <w:r>
        <w:rPr>
          <w:rFonts w:hint="eastAsia" w:ascii="宋体" w:hAnsi="宋体" w:eastAsia="宋体" w:cs="宋体"/>
          <w:sz w:val="24"/>
          <w:szCs w:val="24"/>
          <w:lang w:eastAsia="zh-CN"/>
        </w:rPr>
        <w:t>乙方出现违约行为的</w:t>
      </w:r>
      <w:r>
        <w:rPr>
          <w:rFonts w:hint="eastAsia" w:ascii="宋体" w:hAnsi="宋体" w:eastAsia="宋体" w:cs="宋体"/>
          <w:sz w:val="24"/>
          <w:szCs w:val="24"/>
        </w:rPr>
        <w:t>，乙方承担全部赔偿责任</w:t>
      </w:r>
      <w:r>
        <w:rPr>
          <w:rFonts w:hint="eastAsia" w:ascii="宋体" w:hAnsi="宋体" w:eastAsia="宋体" w:cs="宋体"/>
          <w:sz w:val="24"/>
          <w:szCs w:val="24"/>
          <w:lang w:eastAsia="zh-CN"/>
        </w:rPr>
        <w:t>，并承担甲方维权产生的全部支出等</w:t>
      </w:r>
      <w:r>
        <w:rPr>
          <w:rFonts w:hint="eastAsia" w:ascii="宋体" w:hAnsi="宋体" w:eastAsia="宋体" w:cs="宋体"/>
          <w:sz w:val="24"/>
          <w:szCs w:val="24"/>
        </w:rPr>
        <w:t>（包括但不限于第三方索赔、</w:t>
      </w:r>
      <w:r>
        <w:rPr>
          <w:rFonts w:hint="eastAsia" w:ascii="宋体" w:hAnsi="宋体" w:eastAsia="宋体" w:cs="宋体"/>
          <w:sz w:val="24"/>
          <w:szCs w:val="24"/>
          <w:lang w:val="en-US" w:eastAsia="zh-CN"/>
        </w:rPr>
        <w:t>退货运输费、诉讼费、</w:t>
      </w:r>
      <w:r>
        <w:rPr>
          <w:rFonts w:hint="eastAsia" w:ascii="宋体" w:hAnsi="宋体" w:eastAsia="宋体" w:cs="宋体"/>
          <w:sz w:val="24"/>
          <w:szCs w:val="24"/>
        </w:rPr>
        <w:t>律师</w:t>
      </w:r>
      <w:r>
        <w:rPr>
          <w:rFonts w:hint="eastAsia" w:ascii="宋体" w:hAnsi="宋体" w:eastAsia="宋体" w:cs="宋体"/>
          <w:sz w:val="24"/>
          <w:szCs w:val="24"/>
          <w:lang w:val="en-US" w:eastAsia="zh-CN"/>
        </w:rPr>
        <w:t>服务</w:t>
      </w:r>
      <w:r>
        <w:rPr>
          <w:rFonts w:hint="eastAsia" w:ascii="宋体" w:hAnsi="宋体" w:eastAsia="宋体" w:cs="宋体"/>
          <w:sz w:val="24"/>
          <w:szCs w:val="24"/>
        </w:rPr>
        <w:t>费、鉴定费、</w:t>
      </w:r>
      <w:r>
        <w:rPr>
          <w:rFonts w:hint="eastAsia" w:ascii="宋体" w:hAnsi="宋体" w:eastAsia="宋体" w:cs="宋体"/>
          <w:sz w:val="24"/>
          <w:szCs w:val="24"/>
          <w:lang w:val="en-US" w:eastAsia="zh-CN"/>
        </w:rPr>
        <w:t>公告费、公证费、</w:t>
      </w:r>
      <w:r>
        <w:rPr>
          <w:rFonts w:hint="eastAsia" w:ascii="宋体" w:hAnsi="宋体" w:eastAsia="宋体" w:cs="宋体"/>
          <w:sz w:val="24"/>
          <w:szCs w:val="24"/>
          <w:lang w:eastAsia="zh-CN"/>
        </w:rPr>
        <w:t>调查取证</w:t>
      </w:r>
      <w:r>
        <w:rPr>
          <w:rFonts w:hint="eastAsia" w:ascii="宋体" w:hAnsi="宋体" w:eastAsia="宋体" w:cs="宋体"/>
          <w:sz w:val="24"/>
          <w:szCs w:val="24"/>
        </w:rPr>
        <w:t>费、差旅费、</w:t>
      </w:r>
      <w:r>
        <w:rPr>
          <w:rFonts w:hint="eastAsia" w:ascii="宋体" w:hAnsi="宋体" w:eastAsia="宋体" w:cs="宋体"/>
          <w:sz w:val="24"/>
          <w:szCs w:val="24"/>
          <w:lang w:val="en-US" w:eastAsia="zh-CN"/>
        </w:rPr>
        <w:t>交通费、</w:t>
      </w:r>
      <w:r>
        <w:rPr>
          <w:rFonts w:hint="eastAsia" w:ascii="宋体" w:hAnsi="宋体" w:eastAsia="宋体" w:cs="宋体"/>
          <w:sz w:val="24"/>
          <w:szCs w:val="24"/>
        </w:rPr>
        <w:t>保全保险费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财产保全费、强制执行费</w:t>
      </w:r>
      <w:r>
        <w:rPr>
          <w:rFonts w:hint="eastAsia" w:ascii="宋体" w:hAnsi="宋体" w:eastAsia="宋体" w:cs="宋体"/>
          <w:sz w:val="24"/>
          <w:szCs w:val="24"/>
        </w:rPr>
        <w:t>等</w:t>
      </w:r>
      <w:r>
        <w:rPr>
          <w:rFonts w:hint="eastAsia" w:ascii="宋体" w:hAnsi="宋体" w:eastAsia="宋体" w:cs="宋体"/>
          <w:sz w:val="24"/>
          <w:szCs w:val="24"/>
          <w:lang w:val="en-US" w:eastAsia="zh-CN"/>
        </w:rPr>
        <w:t>与之相关的</w:t>
      </w:r>
      <w:r>
        <w:rPr>
          <w:rFonts w:hint="eastAsia" w:ascii="宋体" w:hAnsi="宋体" w:eastAsia="宋体" w:cs="宋体"/>
          <w:sz w:val="24"/>
          <w:szCs w:val="24"/>
        </w:rPr>
        <w:t>一切费用）以及相关法律责任。</w:t>
      </w:r>
    </w:p>
    <w:p w14:paraId="044C067F">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7.16在本合同履行期间，未经甲方书面同意，乙方不得提出解除本合同（除不可抗力外），如因乙方自身原因导致合同解除，甲方有权扣除全额履约保证金，并有权向乙方追偿因解除合同造成的全部损失，包括但不限于预期利润损失。</w:t>
      </w:r>
    </w:p>
    <w:p w14:paraId="5D544C3D">
      <w:pPr>
        <w:pStyle w:val="13"/>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8.通知和送达条款</w:t>
      </w:r>
    </w:p>
    <w:p w14:paraId="17BCD224">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任何一方合同当事人根据本合同向对方发出的通知、信件或数据电文均应采用书面形式。书信形式包括信件、电传、传真等可有形地表现所载内容的形式，以电子数据交换、电子邮件等方式能有形地表现所载内容，并可以随时调取查用的数据电文，视为书面形式。</w:t>
      </w:r>
    </w:p>
    <w:p w14:paraId="2AFD6EB0">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双方确认，在本合同签署盖章页关于甲方、乙方主体信息中所载明的各方地址、电话、传真、微信、邮箱地址和联系人为各方的有效送达地址和联系人。该有效送达地址和联系人的适用范围包括双方根据本合同向对方发出的通知、信件和数据电文，以及在合同发生纠纷时相关文件和法律文书的送达，还包括在合同争议进入仲裁、民事诉讼程序后的一审、二审、再审和执行程序的送达。</w:t>
      </w:r>
    </w:p>
    <w:p w14:paraId="38DC7912">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8.3任何一方变更本合同所载明的有效送达地址或联系人时，须在变更前十五日以书面形式通知对方。否则，因有效送达地址或联系人变更而导致无法送达或迟延送达的法律后果均由未通知一方承担。</w:t>
      </w:r>
    </w:p>
    <w:p w14:paraId="73EA951E">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8.4双方按以下约定，根据不同的送达方式，确定送达时间。</w:t>
      </w:r>
    </w:p>
    <w:p w14:paraId="574FCA7E">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8.4.1当面送达的，受送达人签收时视为送达。若受送达人拒绝签收的，送达人将送达文件留在受送达人的有效送达地址之时，视为送达。</w:t>
      </w:r>
    </w:p>
    <w:p w14:paraId="45A84658">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8.4.2以平信、挂号信、特快专递或快递方式送达的，甲方送达至乙方时到达注册地址、主要营业地或合同所载明的地址即视为送达；乙方送达至甲方时需实际签收方视为送达。若因受送达人自己提供或确认的送达地址不准确，拒不提供送达地址，送达地址变更未及时告知送达人，受送达人或者受送达人指定的代收人、代理人、受送达人的工作人员拒绝签收，导致通知或文书未能被受送达人实际签收的，通知或文书退回之日视为送达之日。</w:t>
      </w:r>
    </w:p>
    <w:p w14:paraId="51C1567F">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8.4.3以传真方式送达的，以发送方打印的传真发送确认单显示的时间为送达时间。</w:t>
      </w:r>
    </w:p>
    <w:p w14:paraId="2FEE374C">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8.4.4以电子邮件方式送达的，系统发送成功的时间视为送达时间，若乙方作为受送达人，则邮件发送至乙方在本合同签署盖章页载明的邮箱地址即视为送达。</w:t>
      </w:r>
    </w:p>
    <w:p w14:paraId="0E34B516">
      <w:pPr>
        <w:pStyle w:val="13"/>
        <w:bidi w:val="0"/>
        <w:spacing w:line="360" w:lineRule="auto"/>
        <w:rPr>
          <w:rFonts w:hint="eastAsia" w:ascii="宋体" w:hAnsi="宋体" w:eastAsia="宋体" w:cs="宋体"/>
          <w:b/>
          <w:bCs/>
          <w:sz w:val="24"/>
          <w:szCs w:val="24"/>
          <w:lang w:val="en-US" w:eastAsia="zh-CN"/>
        </w:rPr>
      </w:pPr>
    </w:p>
    <w:p w14:paraId="4B79F5A6">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争议解决</w:t>
      </w:r>
    </w:p>
    <w:p w14:paraId="56A20231">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本合同如发生纠纷，双方当事人应当及时协商解决，协商不成时，向甲方所在地</w:t>
      </w:r>
      <w:r>
        <w:rPr>
          <w:rFonts w:hint="eastAsia" w:ascii="宋体" w:hAnsi="宋体" w:eastAsia="宋体" w:cs="宋体"/>
          <w:sz w:val="24"/>
          <w:szCs w:val="24"/>
          <w:lang w:val="en-US" w:eastAsia="zh-CN"/>
        </w:rPr>
        <w:t>有管辖权的</w:t>
      </w:r>
      <w:r>
        <w:rPr>
          <w:rFonts w:hint="eastAsia" w:ascii="宋体" w:hAnsi="宋体" w:eastAsia="宋体" w:cs="宋体"/>
          <w:sz w:val="24"/>
          <w:szCs w:val="24"/>
        </w:rPr>
        <w:t>人民法院起诉。</w:t>
      </w:r>
    </w:p>
    <w:p w14:paraId="5A61576B">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合同生效</w:t>
      </w:r>
    </w:p>
    <w:p w14:paraId="319CE7AE">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本合同壹式</w:t>
      </w:r>
      <w:r>
        <w:rPr>
          <w:rFonts w:hint="eastAsia" w:ascii="宋体" w:hAnsi="宋体" w:eastAsia="宋体" w:cs="宋体"/>
          <w:sz w:val="24"/>
          <w:szCs w:val="24"/>
          <w:lang w:eastAsia="zh-CN"/>
        </w:rPr>
        <w:t>伍</w:t>
      </w:r>
      <w:r>
        <w:rPr>
          <w:rFonts w:hint="eastAsia" w:ascii="宋体" w:hAnsi="宋体" w:eastAsia="宋体" w:cs="宋体"/>
          <w:sz w:val="24"/>
          <w:szCs w:val="24"/>
        </w:rPr>
        <w:t>份，甲方</w:t>
      </w:r>
      <w:r>
        <w:rPr>
          <w:rFonts w:hint="eastAsia" w:ascii="宋体" w:hAnsi="宋体" w:eastAsia="宋体" w:cs="宋体"/>
          <w:sz w:val="24"/>
          <w:szCs w:val="24"/>
          <w:lang w:eastAsia="zh-CN"/>
        </w:rPr>
        <w:t>肆</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，具有同等法律效力</w:t>
      </w:r>
      <w:r>
        <w:rPr>
          <w:rFonts w:hint="eastAsia" w:ascii="宋体" w:hAnsi="宋体" w:eastAsia="宋体" w:cs="宋体"/>
          <w:sz w:val="24"/>
          <w:szCs w:val="24"/>
        </w:rPr>
        <w:t>。</w:t>
      </w:r>
    </w:p>
    <w:p w14:paraId="3F9262C4">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本合同经双方法定代表人</w:t>
      </w:r>
      <w:r>
        <w:rPr>
          <w:rFonts w:hint="eastAsia" w:ascii="宋体" w:hAnsi="宋体" w:eastAsia="宋体" w:cs="宋体"/>
          <w:sz w:val="24"/>
          <w:szCs w:val="24"/>
          <w:lang w:val="en-US" w:eastAsia="zh-CN"/>
        </w:rPr>
        <w:t>或授权代表</w:t>
      </w:r>
      <w:r>
        <w:rPr>
          <w:rFonts w:hint="eastAsia" w:ascii="宋体" w:hAnsi="宋体" w:eastAsia="宋体" w:cs="宋体"/>
          <w:sz w:val="24"/>
          <w:szCs w:val="24"/>
        </w:rPr>
        <w:t>签</w:t>
      </w:r>
      <w:r>
        <w:rPr>
          <w:rFonts w:hint="eastAsia" w:ascii="宋体" w:hAnsi="宋体" w:eastAsia="宋体" w:cs="宋体"/>
          <w:sz w:val="24"/>
          <w:szCs w:val="24"/>
          <w:lang w:val="en-US" w:eastAsia="zh-CN"/>
        </w:rPr>
        <w:t>名</w:t>
      </w:r>
      <w:r>
        <w:rPr>
          <w:rFonts w:hint="eastAsia" w:ascii="宋体" w:hAnsi="宋体" w:eastAsia="宋体" w:cs="宋体"/>
          <w:sz w:val="24"/>
          <w:szCs w:val="24"/>
          <w:lang w:eastAsia="zh-CN"/>
        </w:rPr>
        <w:t>且</w:t>
      </w:r>
      <w:r>
        <w:rPr>
          <w:rFonts w:hint="eastAsia" w:ascii="宋体" w:hAnsi="宋体" w:eastAsia="宋体" w:cs="宋体"/>
          <w:sz w:val="24"/>
          <w:szCs w:val="24"/>
          <w:lang w:val="en-US" w:eastAsia="zh-CN"/>
        </w:rPr>
        <w:t>加盖</w:t>
      </w:r>
      <w:r>
        <w:rPr>
          <w:rFonts w:hint="eastAsia" w:ascii="宋体" w:hAnsi="宋体" w:eastAsia="宋体" w:cs="宋体"/>
          <w:sz w:val="24"/>
          <w:szCs w:val="24"/>
        </w:rPr>
        <w:t>单位</w:t>
      </w:r>
      <w:r>
        <w:rPr>
          <w:rFonts w:hint="eastAsia" w:ascii="宋体" w:hAnsi="宋体" w:eastAsia="宋体" w:cs="宋体"/>
          <w:sz w:val="24"/>
          <w:szCs w:val="24"/>
          <w:lang w:val="en-US" w:eastAsia="zh-CN"/>
        </w:rPr>
        <w:t>公章之日起</w:t>
      </w:r>
      <w:r>
        <w:rPr>
          <w:rFonts w:hint="eastAsia" w:ascii="宋体" w:hAnsi="宋体" w:eastAsia="宋体" w:cs="宋体"/>
          <w:sz w:val="24"/>
          <w:szCs w:val="24"/>
        </w:rPr>
        <w:t>生效，</w:t>
      </w:r>
      <w:r>
        <w:rPr>
          <w:rFonts w:hint="eastAsia" w:ascii="宋体" w:hAnsi="宋体" w:eastAsia="宋体" w:cs="宋体"/>
          <w:sz w:val="24"/>
          <w:szCs w:val="24"/>
          <w:lang w:val="en-US" w:eastAsia="zh-CN"/>
        </w:rPr>
        <w:t>授权应当提供书面授权委托书。</w:t>
      </w:r>
    </w:p>
    <w:p w14:paraId="654B7D68">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本合同有效期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p w14:paraId="2A90144E">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w:t>
      </w:r>
      <w:r>
        <w:rPr>
          <w:rFonts w:hint="eastAsia" w:ascii="宋体" w:hAnsi="宋体" w:eastAsia="宋体" w:cs="宋体"/>
          <w:sz w:val="24"/>
          <w:szCs w:val="24"/>
        </w:rPr>
        <w:t>本合同所称不可抗力包括但不限于：天灾、罢工、停工、战争、暴乱、内乱、恐怖行为、恶意破坏、流行病、检疫、火灾、洪水、风暴、自然灾害或对任何法律或政府命令、规则、条例或指示的遵守，无论其后来是否被认定为无效或不适用。</w:t>
      </w:r>
    </w:p>
    <w:p w14:paraId="598E5058">
      <w:pPr>
        <w:pStyle w:val="13"/>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11.保密条款</w:t>
      </w:r>
    </w:p>
    <w:p w14:paraId="14030065">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11.1乙方应签订《保密协议》，乙</w:t>
      </w:r>
      <w:r>
        <w:rPr>
          <w:rFonts w:hint="eastAsia" w:ascii="宋体" w:hAnsi="宋体" w:eastAsia="宋体" w:cs="宋体"/>
          <w:sz w:val="24"/>
          <w:szCs w:val="24"/>
        </w:rPr>
        <w:t>方应对在合同签订和履行过程中知悉的</w:t>
      </w:r>
      <w:r>
        <w:rPr>
          <w:rFonts w:hint="eastAsia" w:ascii="宋体" w:hAnsi="宋体" w:eastAsia="宋体" w:cs="宋体"/>
          <w:sz w:val="24"/>
          <w:szCs w:val="24"/>
          <w:lang w:val="en-US" w:eastAsia="zh-CN"/>
        </w:rPr>
        <w:t>甲</w:t>
      </w:r>
      <w:r>
        <w:rPr>
          <w:rFonts w:hint="eastAsia" w:ascii="宋体" w:hAnsi="宋体" w:eastAsia="宋体" w:cs="宋体"/>
          <w:sz w:val="24"/>
          <w:szCs w:val="24"/>
        </w:rPr>
        <w:t>方</w:t>
      </w:r>
      <w:r>
        <w:rPr>
          <w:rFonts w:hint="eastAsia" w:ascii="宋体" w:hAnsi="宋体" w:eastAsia="宋体" w:cs="宋体"/>
          <w:sz w:val="24"/>
          <w:szCs w:val="24"/>
          <w:lang w:val="en-US" w:eastAsia="zh-CN"/>
        </w:rPr>
        <w:t>国家秘密、工作秘密、内部信息、</w:t>
      </w:r>
      <w:r>
        <w:rPr>
          <w:rFonts w:hint="eastAsia" w:ascii="宋体" w:hAnsi="宋体" w:eastAsia="宋体" w:cs="宋体"/>
          <w:sz w:val="24"/>
          <w:szCs w:val="24"/>
        </w:rPr>
        <w:t>商业秘密、技术信息、经营信息等予以保密，未经</w:t>
      </w:r>
      <w:r>
        <w:rPr>
          <w:rFonts w:hint="eastAsia" w:ascii="宋体" w:hAnsi="宋体" w:eastAsia="宋体" w:cs="宋体"/>
          <w:sz w:val="24"/>
          <w:szCs w:val="24"/>
          <w:lang w:val="en-US" w:eastAsia="zh-CN"/>
        </w:rPr>
        <w:t>甲</w:t>
      </w:r>
      <w:r>
        <w:rPr>
          <w:rFonts w:hint="eastAsia" w:ascii="宋体" w:hAnsi="宋体" w:eastAsia="宋体" w:cs="宋体"/>
          <w:sz w:val="24"/>
          <w:szCs w:val="24"/>
        </w:rPr>
        <w:t>方书面同意，不得向任何第三方披露或使用。</w:t>
      </w:r>
      <w:r>
        <w:rPr>
          <w:rFonts w:hint="eastAsia" w:ascii="宋体" w:hAnsi="宋体" w:eastAsia="宋体" w:cs="宋体"/>
          <w:sz w:val="24"/>
          <w:szCs w:val="24"/>
          <w:lang w:eastAsia="zh-CN"/>
        </w:rPr>
        <w:t>保密条款、保密协议在合同履行完成后，依旧有效</w:t>
      </w:r>
      <w:r>
        <w:rPr>
          <w:rFonts w:hint="eastAsia" w:ascii="宋体" w:hAnsi="宋体" w:eastAsia="宋体" w:cs="宋体"/>
          <w:sz w:val="24"/>
          <w:szCs w:val="24"/>
        </w:rPr>
        <w:t>。</w:t>
      </w:r>
    </w:p>
    <w:p w14:paraId="6AE02FAB">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因单位特殊性和保密性，乙方与甲方形成的合同、协议、文件资料及合同履行过程中形成的全部资料内容，均应当保密，未经甲方书面同意，不得以任何方式向任何第三方公开、披露、使用，也不得作为乙方的业绩、成果等对外宣传和使用。乙方违反本条款应承担甲方因此遭受的全部损失。</w:t>
      </w:r>
    </w:p>
    <w:p w14:paraId="01B1FE43">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11.3本合同保密条款永久有效，不因合同的无效、被撤销、被解除或终止而丧失法律效力。</w:t>
      </w:r>
    </w:p>
    <w:p w14:paraId="60A5D7FC">
      <w:pPr>
        <w:pStyle w:val="13"/>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12.反商业贿赂条款</w:t>
      </w:r>
    </w:p>
    <w:p w14:paraId="0B96E935">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乙方承诺不得进行任何形式的行贿及其他不正当交易行为。乙方严禁为谋取利益向甲方赠送礼品、现金、样品等任何形式的利益，造成的损失由乙方承担，且甲方有权解除合同并要求乙方支付相当于合同总金额20%的违约金。</w:t>
      </w:r>
    </w:p>
    <w:p w14:paraId="38A8AE12">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若发现存在任何形式的商业贿赂及其他不正当方式贿赂甲方工作人员，以获取订单、更有利的价格，或虚报送货量，或降低货物质量，或缩短付款期限时，甲方有权立即解除合同，并要求乙方退还已支付的货款，同时甲方有权向有关执法部门举报。</w:t>
      </w:r>
    </w:p>
    <w:p w14:paraId="02353A10">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如有甲方工作人员向乙方索取贿赂的，乙方有义务及时向甲方告知，并提供相关证据。乙方承诺已充分了解并严格遵守甲方《反商业贿赂管理制度》及相关规定，乙方违反本条规定的，甲方有权扣除合同总金额5%作为违约金，并保留追究法律责任的权利。</w:t>
      </w:r>
    </w:p>
    <w:p w14:paraId="1E9C9C47">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其他约定事项</w:t>
      </w:r>
    </w:p>
    <w:p w14:paraId="6E72A9EE">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若本合同中任何条款被认定为无效或不可执行，该条款的无效性不影响其他条款的效力，特别是已履行部分的价款结算条款效力。</w:t>
      </w:r>
    </w:p>
    <w:p w14:paraId="75E14144">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13.1乙方具有签订和履行本合同所需要的一切权利、资质和资格，不因本合同的签订和履行而侵害任何第三方的权利或利益。</w:t>
      </w:r>
    </w:p>
    <w:p w14:paraId="7414A0C8">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13.2乙方不存在已经发生或正在发生的对签订和履行本合同能力可能产生影响的诉讼、仲裁等各类案件，不存在已经启动但尚未终结的行政程序、司法程序或其他法律程序。</w:t>
      </w:r>
    </w:p>
    <w:p w14:paraId="4F0F7022">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如乙方违反本条款的陈述与保证，应向甲方支付相当于合同总金额10%的违约金，并赔偿甲方因此遭受的全部损失（包括但不限于直接损失、间接损失、律师费、诉讼费、保全费、保全保险费等）。 </w:t>
      </w:r>
    </w:p>
    <w:p w14:paraId="4B6B262B">
      <w:pPr>
        <w:pStyle w:val="13"/>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13.3未经对方书面同意，任何一方合同当事人不得转让（抵押）本合同项下任何权利和义务。</w:t>
      </w:r>
    </w:p>
    <w:p w14:paraId="3BF8E9D1">
      <w:pPr>
        <w:pStyle w:val="13"/>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本合同的任何变更、修改或补充，须经双方协商一致</w:t>
      </w:r>
      <w:r>
        <w:rPr>
          <w:rFonts w:hint="eastAsia" w:ascii="宋体" w:hAnsi="宋体" w:eastAsia="宋体" w:cs="宋体"/>
          <w:sz w:val="24"/>
          <w:szCs w:val="24"/>
          <w:lang w:val="en-US" w:eastAsia="zh-CN"/>
        </w:rPr>
        <w:t>同意</w:t>
      </w:r>
      <w:r>
        <w:rPr>
          <w:rFonts w:hint="eastAsia" w:ascii="宋体" w:hAnsi="宋体" w:eastAsia="宋体" w:cs="宋体"/>
          <w:sz w:val="24"/>
          <w:szCs w:val="24"/>
        </w:rPr>
        <w:t>并签订书面</w:t>
      </w:r>
      <w:r>
        <w:rPr>
          <w:rFonts w:hint="eastAsia" w:ascii="宋体" w:hAnsi="宋体" w:eastAsia="宋体" w:cs="宋体"/>
          <w:sz w:val="24"/>
          <w:szCs w:val="24"/>
          <w:lang w:val="en-US" w:eastAsia="zh-CN"/>
        </w:rPr>
        <w:t>补充</w:t>
      </w:r>
      <w:r>
        <w:rPr>
          <w:rFonts w:hint="eastAsia" w:ascii="宋体" w:hAnsi="宋体" w:eastAsia="宋体" w:cs="宋体"/>
          <w:sz w:val="24"/>
          <w:szCs w:val="24"/>
        </w:rPr>
        <w:t>协议，否则不发生法律效力。</w:t>
      </w:r>
    </w:p>
    <w:p w14:paraId="7C903635">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13.5本合同附件包括但不限于与本合同有关的补充协议、</w:t>
      </w:r>
      <w:r>
        <w:rPr>
          <w:rFonts w:hint="eastAsia" w:ascii="宋体" w:hAnsi="宋体" w:eastAsia="宋体" w:cs="宋体"/>
          <w:sz w:val="24"/>
          <w:szCs w:val="24"/>
        </w:rPr>
        <w:t>投标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w:t>
      </w:r>
      <w:r>
        <w:rPr>
          <w:rFonts w:hint="eastAsia" w:ascii="宋体" w:hAnsi="宋体" w:eastAsia="宋体" w:cs="宋体"/>
          <w:sz w:val="24"/>
          <w:szCs w:val="24"/>
        </w:rPr>
        <w:t>文件、答疑附件、</w:t>
      </w:r>
      <w:r>
        <w:rPr>
          <w:rFonts w:hint="eastAsia" w:ascii="宋体" w:hAnsi="宋体" w:eastAsia="宋体" w:cs="宋体"/>
          <w:sz w:val="24"/>
          <w:szCs w:val="24"/>
          <w:lang w:val="en-US" w:eastAsia="zh-CN"/>
        </w:rPr>
        <w:t>澄清文件、《</w:t>
      </w:r>
      <w:r>
        <w:rPr>
          <w:rFonts w:hint="eastAsia" w:ascii="宋体" w:hAnsi="宋体" w:eastAsia="宋体" w:cs="宋体"/>
          <w:sz w:val="24"/>
          <w:szCs w:val="24"/>
        </w:rPr>
        <w:t>供货承诺书</w:t>
      </w:r>
      <w:r>
        <w:rPr>
          <w:rFonts w:hint="eastAsia" w:ascii="宋体" w:hAnsi="宋体" w:eastAsia="宋体" w:cs="宋体"/>
          <w:sz w:val="24"/>
          <w:szCs w:val="24"/>
          <w:lang w:val="en-US" w:eastAsia="zh-CN"/>
        </w:rPr>
        <w:t>》</w:t>
      </w:r>
      <w:r>
        <w:rPr>
          <w:rFonts w:hint="eastAsia" w:ascii="宋体" w:hAnsi="宋体" w:eastAsia="宋体" w:cs="宋体"/>
          <w:sz w:val="24"/>
          <w:szCs w:val="24"/>
        </w:rPr>
        <w:t>《食品安全承诺书》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保密协议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《质量标准》等，与本合同具有同等法律效力。</w:t>
      </w:r>
    </w:p>
    <w:p w14:paraId="109E63FF">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甲乙双方约定在实际供应过程中，若出现解释等情形，以本合同的甲方解释为优先准则。本合同如与其他补充合同或各合同内容之间存在冲突或异议的，甲方具有最终解释权，且有权选择适用于己有利的条款和内容，乙方对此予以认可并承诺执行。</w:t>
      </w:r>
    </w:p>
    <w:p w14:paraId="1E2C3AD8">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13.7本合同未尽事宜，由甲方单方解释并制定补充规定，补充规定与本合同具有同等法律效力。</w:t>
      </w:r>
    </w:p>
    <w:p w14:paraId="09DA464C">
      <w:pPr>
        <w:pStyle w:val="13"/>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13.8本合同条款标题仅为方便阅读而设，不影响条款内容的解释。</w:t>
      </w:r>
    </w:p>
    <w:p w14:paraId="1330A23E">
      <w:pPr>
        <w:pStyle w:val="13"/>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（以下无正文，为本合同签署页</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5CCCCCD4">
      <w:pPr>
        <w:pStyle w:val="14"/>
        <w:spacing w:line="360" w:lineRule="auto"/>
        <w:rPr>
          <w:rFonts w:hint="eastAsia" w:ascii="宋体" w:hAnsi="宋体" w:eastAsia="宋体" w:cs="宋体"/>
          <w:b/>
          <w:bCs/>
          <w:sz w:val="24"/>
          <w:szCs w:val="24"/>
        </w:rPr>
      </w:pPr>
    </w:p>
    <w:p w14:paraId="463BA76A">
      <w:pPr>
        <w:pStyle w:val="14"/>
        <w:spacing w:line="360" w:lineRule="auto"/>
        <w:rPr>
          <w:rFonts w:hint="eastAsia" w:ascii="宋体" w:hAnsi="宋体" w:eastAsia="宋体" w:cs="宋体"/>
          <w:b/>
          <w:bCs/>
          <w:sz w:val="24"/>
          <w:szCs w:val="24"/>
        </w:rPr>
      </w:pPr>
    </w:p>
    <w:p w14:paraId="72F37B60">
      <w:pPr>
        <w:spacing w:line="360" w:lineRule="auto"/>
        <w:ind w:right="0"/>
        <w:rPr>
          <w:rFonts w:hint="eastAsia" w:ascii="宋体" w:hAnsi="宋体" w:eastAsia="宋体" w:cs="宋体"/>
          <w:color w:val="auto"/>
          <w:sz w:val="24"/>
          <w:szCs w:val="24"/>
          <w:highlight w:val="none"/>
        </w:rPr>
      </w:pPr>
    </w:p>
    <w:p w14:paraId="3635C1E4">
      <w:pPr>
        <w:pStyle w:val="26"/>
        <w:spacing w:line="360" w:lineRule="auto"/>
        <w:rPr>
          <w:rFonts w:hint="eastAsia" w:ascii="宋体" w:hAnsi="宋体" w:eastAsia="宋体" w:cs="宋体"/>
          <w:color w:val="auto"/>
          <w:sz w:val="24"/>
          <w:szCs w:val="24"/>
          <w:highlight w:val="none"/>
        </w:rPr>
      </w:pPr>
    </w:p>
    <w:p w14:paraId="6EC1DCF5">
      <w:pPr>
        <w:spacing w:line="360" w:lineRule="auto"/>
        <w:rPr>
          <w:rFonts w:hint="eastAsia" w:ascii="宋体" w:hAnsi="宋体" w:eastAsia="宋体" w:cs="宋体"/>
          <w:color w:val="auto"/>
          <w:sz w:val="24"/>
          <w:szCs w:val="24"/>
          <w:highlight w:val="none"/>
        </w:rPr>
      </w:pPr>
    </w:p>
    <w:p w14:paraId="28FC61E0">
      <w:pPr>
        <w:pStyle w:val="26"/>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p>
    <w:p w14:paraId="40E8504E">
      <w:pPr>
        <w:spacing w:line="360" w:lineRule="auto"/>
        <w:rPr>
          <w:rFonts w:hint="eastAsia" w:ascii="宋体" w:hAnsi="宋体" w:eastAsia="宋体" w:cs="宋体"/>
          <w:color w:val="auto"/>
          <w:sz w:val="24"/>
          <w:szCs w:val="24"/>
          <w:highlight w:val="none"/>
          <w:lang w:val="en-US"/>
        </w:rPr>
      </w:pPr>
    </w:p>
    <w:p w14:paraId="39670644">
      <w:pPr>
        <w:pStyle w:val="26"/>
        <w:spacing w:line="360" w:lineRule="auto"/>
        <w:rPr>
          <w:rFonts w:hint="eastAsia" w:ascii="宋体" w:hAnsi="宋体" w:eastAsia="宋体" w:cs="宋体"/>
          <w:sz w:val="24"/>
          <w:szCs w:val="24"/>
          <w:lang w:val="en-US"/>
        </w:rPr>
      </w:pPr>
    </w:p>
    <w:tbl>
      <w:tblPr>
        <w:tblStyle w:val="28"/>
        <w:tblpPr w:leftFromText="181" w:rightFromText="181" w:vertAnchor="text" w:tblpXSpec="center" w:tblpY="1"/>
        <w:tblOverlap w:val="never"/>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6"/>
        <w:gridCol w:w="293"/>
        <w:gridCol w:w="4465"/>
      </w:tblGrid>
      <w:tr w14:paraId="5233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086" w:type="dxa"/>
            <w:noWrap w:val="0"/>
            <w:vAlign w:val="center"/>
          </w:tcPr>
          <w:p w14:paraId="77A2C84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甲方（盖章）</w:t>
            </w:r>
            <w:r>
              <w:rPr>
                <w:rFonts w:hint="eastAsia" w:ascii="宋体" w:hAnsi="宋体" w:eastAsia="宋体" w:cs="宋体"/>
                <w:b w:val="0"/>
                <w:bCs/>
                <w:color w:val="auto"/>
                <w:kern w:val="2"/>
                <w:sz w:val="24"/>
                <w:szCs w:val="24"/>
                <w:highlight w:val="none"/>
                <w:lang w:eastAsia="zh-CN"/>
              </w:rPr>
              <w:t>：</w:t>
            </w:r>
          </w:p>
        </w:tc>
        <w:tc>
          <w:tcPr>
            <w:tcW w:w="293" w:type="dxa"/>
            <w:noWrap w:val="0"/>
            <w:vAlign w:val="center"/>
          </w:tcPr>
          <w:p w14:paraId="40CF17A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464BF230">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乙方（盖章）：</w:t>
            </w:r>
          </w:p>
        </w:tc>
      </w:tr>
      <w:tr w14:paraId="0A68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086" w:type="dxa"/>
            <w:noWrap w:val="0"/>
            <w:vAlign w:val="center"/>
          </w:tcPr>
          <w:p w14:paraId="4C16CB3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法定代表人</w:t>
            </w:r>
            <w:r>
              <w:rPr>
                <w:rFonts w:hint="eastAsia" w:ascii="宋体" w:hAnsi="宋体" w:eastAsia="宋体" w:cs="宋体"/>
                <w:b w:val="0"/>
                <w:bCs/>
                <w:color w:val="auto"/>
                <w:kern w:val="2"/>
                <w:sz w:val="24"/>
                <w:szCs w:val="24"/>
                <w:highlight w:val="none"/>
              </w:rPr>
              <w:t>或授权代表（</w:t>
            </w:r>
            <w:r>
              <w:rPr>
                <w:rFonts w:hint="eastAsia" w:ascii="宋体" w:hAnsi="宋体" w:eastAsia="宋体" w:cs="宋体"/>
                <w:b w:val="0"/>
                <w:bCs/>
                <w:color w:val="auto"/>
                <w:kern w:val="2"/>
                <w:sz w:val="24"/>
                <w:szCs w:val="24"/>
                <w:highlight w:val="none"/>
                <w:lang w:val="en-US" w:eastAsia="zh-CN"/>
              </w:rPr>
              <w:t>签名</w:t>
            </w:r>
            <w:r>
              <w:rPr>
                <w:rFonts w:hint="eastAsia" w:ascii="宋体" w:hAnsi="宋体" w:eastAsia="宋体" w:cs="宋体"/>
                <w:b w:val="0"/>
                <w:bCs/>
                <w:color w:val="auto"/>
                <w:kern w:val="2"/>
                <w:sz w:val="24"/>
                <w:szCs w:val="24"/>
                <w:highlight w:val="none"/>
              </w:rPr>
              <w:t>）：</w:t>
            </w:r>
          </w:p>
        </w:tc>
        <w:tc>
          <w:tcPr>
            <w:tcW w:w="293" w:type="dxa"/>
            <w:noWrap w:val="0"/>
            <w:vAlign w:val="center"/>
          </w:tcPr>
          <w:p w14:paraId="46D4947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2192747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法定代表人</w:t>
            </w:r>
            <w:r>
              <w:rPr>
                <w:rFonts w:hint="eastAsia" w:ascii="宋体" w:hAnsi="宋体" w:eastAsia="宋体" w:cs="宋体"/>
                <w:b w:val="0"/>
                <w:bCs/>
                <w:color w:val="auto"/>
                <w:kern w:val="2"/>
                <w:sz w:val="24"/>
                <w:szCs w:val="24"/>
                <w:highlight w:val="none"/>
              </w:rPr>
              <w:t>或授权代表（</w:t>
            </w:r>
            <w:r>
              <w:rPr>
                <w:rFonts w:hint="eastAsia" w:ascii="宋体" w:hAnsi="宋体" w:eastAsia="宋体" w:cs="宋体"/>
                <w:b w:val="0"/>
                <w:bCs/>
                <w:color w:val="auto"/>
                <w:kern w:val="2"/>
                <w:sz w:val="24"/>
                <w:szCs w:val="24"/>
                <w:highlight w:val="none"/>
                <w:lang w:val="en-US" w:eastAsia="zh-CN"/>
              </w:rPr>
              <w:t>签名</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捺</w:t>
            </w:r>
            <w:r>
              <w:rPr>
                <w:rFonts w:hint="eastAsia" w:ascii="宋体" w:hAnsi="宋体" w:eastAsia="宋体" w:cs="宋体"/>
                <w:b w:val="0"/>
                <w:bCs/>
                <w:color w:val="auto"/>
                <w:kern w:val="2"/>
                <w:sz w:val="24"/>
                <w:szCs w:val="24"/>
                <w:highlight w:val="none"/>
                <w:lang w:eastAsia="zh-CN"/>
              </w:rPr>
              <w:t>手印</w:t>
            </w:r>
            <w:r>
              <w:rPr>
                <w:rFonts w:hint="eastAsia" w:ascii="宋体" w:hAnsi="宋体" w:eastAsia="宋体" w:cs="宋体"/>
                <w:b w:val="0"/>
                <w:bCs/>
                <w:color w:val="auto"/>
                <w:kern w:val="2"/>
                <w:sz w:val="24"/>
                <w:szCs w:val="24"/>
                <w:highlight w:val="none"/>
              </w:rPr>
              <w:t>）：</w:t>
            </w:r>
          </w:p>
        </w:tc>
      </w:tr>
      <w:tr w14:paraId="61A9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2" w:hRule="atLeast"/>
          <w:jc w:val="center"/>
        </w:trPr>
        <w:tc>
          <w:tcPr>
            <w:tcW w:w="4086" w:type="dxa"/>
            <w:noWrap w:val="0"/>
            <w:vAlign w:val="center"/>
          </w:tcPr>
          <w:p w14:paraId="28BD155B">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地址：</w:t>
            </w:r>
          </w:p>
        </w:tc>
        <w:tc>
          <w:tcPr>
            <w:tcW w:w="293" w:type="dxa"/>
            <w:noWrap w:val="0"/>
            <w:vAlign w:val="center"/>
          </w:tcPr>
          <w:p w14:paraId="018726B4">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05718EB3">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rPr>
              <w:t>地址：</w:t>
            </w:r>
          </w:p>
          <w:p w14:paraId="0FB014AE">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账户：</w:t>
            </w:r>
          </w:p>
          <w:p w14:paraId="4D219DE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账号：</w:t>
            </w:r>
          </w:p>
          <w:p w14:paraId="07D17DC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邮箱：</w:t>
            </w:r>
          </w:p>
          <w:p w14:paraId="1A24D6C7">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微信：</w:t>
            </w:r>
          </w:p>
          <w:p w14:paraId="171BF45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开户行信息：</w:t>
            </w:r>
          </w:p>
          <w:p w14:paraId="36B48C61">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统一社会信用代码：</w:t>
            </w:r>
          </w:p>
        </w:tc>
      </w:tr>
      <w:tr w14:paraId="6429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4086" w:type="dxa"/>
            <w:noWrap w:val="0"/>
            <w:vAlign w:val="center"/>
          </w:tcPr>
          <w:p w14:paraId="79BD782F">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联系人：</w:t>
            </w:r>
          </w:p>
          <w:p w14:paraId="0569DFB5">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电话：</w:t>
            </w:r>
          </w:p>
        </w:tc>
        <w:tc>
          <w:tcPr>
            <w:tcW w:w="293" w:type="dxa"/>
            <w:noWrap w:val="0"/>
            <w:vAlign w:val="center"/>
          </w:tcPr>
          <w:p w14:paraId="5644FB4D">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p w14:paraId="28509B32">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4A89A07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联系人：</w:t>
            </w:r>
          </w:p>
          <w:p w14:paraId="4315A10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rPr>
              <w:t>电话：</w:t>
            </w:r>
            <w:r>
              <w:rPr>
                <w:rFonts w:hint="eastAsia" w:ascii="宋体" w:hAnsi="宋体" w:eastAsia="宋体" w:cs="宋体"/>
                <w:b w:val="0"/>
                <w:bCs/>
                <w:color w:val="auto"/>
                <w:kern w:val="2"/>
                <w:sz w:val="24"/>
                <w:szCs w:val="24"/>
                <w:highlight w:val="none"/>
                <w:lang w:val="en-US" w:eastAsia="zh-CN"/>
              </w:rPr>
              <w:t xml:space="preserve">           座机：</w:t>
            </w:r>
          </w:p>
        </w:tc>
      </w:tr>
      <w:tr w14:paraId="5773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086" w:type="dxa"/>
            <w:noWrap w:val="0"/>
            <w:vAlign w:val="center"/>
          </w:tcPr>
          <w:p w14:paraId="6E80B94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日期：</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年</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月</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 xml:space="preserve"> 日</w:t>
            </w:r>
          </w:p>
        </w:tc>
        <w:tc>
          <w:tcPr>
            <w:tcW w:w="293" w:type="dxa"/>
            <w:noWrap w:val="0"/>
            <w:vAlign w:val="center"/>
          </w:tcPr>
          <w:p w14:paraId="5312D128">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p>
        </w:tc>
        <w:tc>
          <w:tcPr>
            <w:tcW w:w="4465" w:type="dxa"/>
            <w:noWrap w:val="0"/>
            <w:vAlign w:val="center"/>
          </w:tcPr>
          <w:p w14:paraId="0BEFFFEA">
            <w:pPr>
              <w:keepNext w:val="0"/>
              <w:keepLines w:val="0"/>
              <w:pageBreakBefore w:val="0"/>
              <w:widowControl/>
              <w:suppressLineNumbers w:val="0"/>
              <w:kinsoku/>
              <w:wordWrap/>
              <w:overflowPunct w:val="0"/>
              <w:topLinePunct/>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日期：</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年</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 xml:space="preserve">月 </w:t>
            </w:r>
            <w:r>
              <w:rPr>
                <w:rFonts w:hint="eastAsia" w:ascii="宋体" w:hAnsi="宋体" w:eastAsia="宋体" w:cs="宋体"/>
                <w:b w:val="0"/>
                <w:bCs/>
                <w:color w:val="auto"/>
                <w:kern w:val="2"/>
                <w:sz w:val="24"/>
                <w:szCs w:val="24"/>
                <w:highlight w:val="none"/>
                <w:lang w:val="en-US" w:eastAsia="zh-CN"/>
              </w:rPr>
              <w:t xml:space="preserve">   </w:t>
            </w:r>
            <w:r>
              <w:rPr>
                <w:rFonts w:hint="eastAsia" w:ascii="宋体" w:hAnsi="宋体" w:eastAsia="宋体" w:cs="宋体"/>
                <w:b w:val="0"/>
                <w:bCs/>
                <w:color w:val="auto"/>
                <w:kern w:val="2"/>
                <w:sz w:val="24"/>
                <w:szCs w:val="24"/>
                <w:highlight w:val="none"/>
              </w:rPr>
              <w:t>日</w:t>
            </w:r>
          </w:p>
        </w:tc>
      </w:tr>
    </w:tbl>
    <w:p w14:paraId="077076D7">
      <w:pPr>
        <w:ind w:left="0" w:leftChars="0" w:firstLine="0" w:firstLineChars="0"/>
      </w:pPr>
    </w:p>
    <w:p w14:paraId="266FA867">
      <w:pPr>
        <w:spacing w:line="640" w:lineRule="exact"/>
        <w:ind w:firstLine="640" w:firstLineChars="200"/>
        <w:rPr>
          <w:rFonts w:ascii="仿宋_GB2312" w:hAnsi="仿宋_GB2312" w:eastAsia="仿宋_GB2312" w:cs="仿宋_GB2312"/>
          <w:color w:val="000000"/>
          <w:sz w:val="32"/>
          <w:szCs w:val="32"/>
          <w:highlight w:val="none"/>
        </w:rPr>
      </w:pPr>
    </w:p>
    <w:p w14:paraId="4854AFE0">
      <w:pPr>
        <w:rPr>
          <w:rFonts w:ascii="宋体" w:hAnsi="宋体" w:cs="宋体"/>
          <w:b/>
          <w:sz w:val="36"/>
          <w:highlight w:val="none"/>
        </w:rPr>
      </w:pPr>
      <w:r>
        <w:rPr>
          <w:rFonts w:hint="eastAsia" w:ascii="宋体" w:hAnsi="宋体" w:cs="宋体"/>
          <w:b/>
          <w:sz w:val="36"/>
          <w:highlight w:val="none"/>
        </w:rPr>
        <w:br w:type="page"/>
      </w:r>
    </w:p>
    <w:p w14:paraId="4FB3F3D0">
      <w:pPr>
        <w:spacing w:line="360" w:lineRule="auto"/>
        <w:jc w:val="center"/>
        <w:rPr>
          <w:rFonts w:ascii="宋体" w:hAnsi="宋体" w:cs="宋体"/>
          <w:b/>
          <w:sz w:val="36"/>
          <w:highlight w:val="none"/>
        </w:rPr>
      </w:pPr>
      <w:r>
        <w:rPr>
          <w:rFonts w:hint="eastAsia" w:ascii="宋体" w:hAnsi="宋体" w:cs="宋体"/>
          <w:b/>
          <w:sz w:val="36"/>
          <w:highlight w:val="none"/>
        </w:rPr>
        <w:t>第八部分 投标文件的编制装订</w:t>
      </w:r>
    </w:p>
    <w:p w14:paraId="1E8664D8">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一、投标文件编制和装订顺序</w:t>
      </w:r>
    </w:p>
    <w:p w14:paraId="0D14331D">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（一）投标人的投标文件必须制作目录和页码并进行胶装。</w:t>
      </w:r>
    </w:p>
    <w:p w14:paraId="6E321B91">
      <w:pPr>
        <w:spacing w:line="360" w:lineRule="auto"/>
        <w:ind w:firstLine="597" w:firstLineChars="249"/>
        <w:rPr>
          <w:rFonts w:ascii="宋体" w:hAnsi="宋体" w:cs="宋体"/>
          <w:sz w:val="24"/>
          <w:szCs w:val="24"/>
          <w:highlight w:val="none"/>
        </w:rPr>
      </w:pPr>
      <w:r>
        <w:rPr>
          <w:rFonts w:hint="eastAsia" w:ascii="宋体" w:hAnsi="宋体" w:cs="宋体"/>
          <w:sz w:val="24"/>
          <w:szCs w:val="24"/>
          <w:highlight w:val="none"/>
        </w:rPr>
        <w:t>（二）投标人的投标文件编制顺序，必须按下列顺序排列和装订。编制排列和装订顺序严格如下：</w:t>
      </w:r>
    </w:p>
    <w:p w14:paraId="484C917C">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3D8C3A2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1A1B917">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03ABF04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1AF627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514BAD36">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0D2DF062">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138A0F12">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62EF7859">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378D69E9">
      <w:pPr>
        <w:spacing w:line="360" w:lineRule="auto"/>
        <w:ind w:firstLine="720" w:firstLineChars="300"/>
        <w:rPr>
          <w:highlight w:val="none"/>
        </w:rPr>
      </w:pPr>
      <w:r>
        <w:rPr>
          <w:rFonts w:hint="eastAsia" w:ascii="宋体" w:hAnsi="宋体" w:cs="宋体"/>
          <w:sz w:val="24"/>
          <w:highlight w:val="none"/>
        </w:rPr>
        <w:t xml:space="preserve">6、关于资格的声明函 </w:t>
      </w:r>
    </w:p>
    <w:p w14:paraId="08A5EAC9">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6902DFBE">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278347DF">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1CE4B380">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C931E9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71DCD537">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76E8CBBA">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4B265C3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6A6D214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、投标承诺书</w:t>
      </w:r>
    </w:p>
    <w:p w14:paraId="76C96C59">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6</w:t>
      </w:r>
      <w:r>
        <w:rPr>
          <w:rFonts w:hint="eastAsia" w:ascii="宋体" w:hAnsi="宋体" w:cs="宋体"/>
          <w:sz w:val="24"/>
          <w:szCs w:val="22"/>
          <w:highlight w:val="none"/>
        </w:rPr>
        <w:t>、投标单位（供应商）《遵守政府采购相关法律法规承诺书》</w:t>
      </w:r>
    </w:p>
    <w:p w14:paraId="1763D24F">
      <w:pPr>
        <w:spacing w:line="360" w:lineRule="auto"/>
        <w:ind w:firstLine="720" w:firstLineChars="300"/>
        <w:rPr>
          <w:rFonts w:hint="eastAsia" w:ascii="宋体" w:hAnsi="宋体" w:eastAsia="宋体" w:cs="宋体"/>
          <w:sz w:val="24"/>
          <w:szCs w:val="22"/>
          <w:highlight w:val="none"/>
          <w:lang w:eastAsia="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、中小企业声明函</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如有</w:t>
      </w:r>
      <w:r>
        <w:rPr>
          <w:rFonts w:hint="eastAsia" w:ascii="宋体" w:hAnsi="宋体" w:cs="宋体"/>
          <w:sz w:val="24"/>
          <w:szCs w:val="22"/>
          <w:highlight w:val="none"/>
          <w:lang w:eastAsia="zh-CN"/>
        </w:rPr>
        <w:t>）</w:t>
      </w:r>
    </w:p>
    <w:p w14:paraId="42B9CC02">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04F368DC">
      <w:pPr>
        <w:spacing w:line="360" w:lineRule="auto"/>
        <w:ind w:firstLine="720" w:firstLineChars="300"/>
        <w:rPr>
          <w:rFonts w:ascii="宋体" w:hAnsi="宋体" w:cs="宋体"/>
          <w:b/>
          <w:sz w:val="24"/>
          <w:highlight w:val="none"/>
        </w:rPr>
      </w:pPr>
      <w:r>
        <w:rPr>
          <w:rFonts w:hint="eastAsia" w:ascii="宋体" w:hAnsi="宋体" w:cs="宋体"/>
          <w:sz w:val="24"/>
          <w:szCs w:val="22"/>
          <w:highlight w:val="none"/>
          <w:lang w:val="en-US" w:eastAsia="zh-CN"/>
        </w:rPr>
        <w:t>19</w:t>
      </w:r>
      <w:r>
        <w:rPr>
          <w:rFonts w:hint="eastAsia" w:ascii="宋体" w:hAnsi="宋体" w:cs="宋体"/>
          <w:sz w:val="24"/>
          <w:szCs w:val="22"/>
          <w:highlight w:val="none"/>
        </w:rPr>
        <w:t>、提供其它有利于投标的资料</w:t>
      </w:r>
    </w:p>
    <w:p w14:paraId="7C9118DA">
      <w:pPr>
        <w:spacing w:line="360" w:lineRule="auto"/>
        <w:ind w:firstLine="602" w:firstLineChars="250"/>
        <w:rPr>
          <w:rFonts w:ascii="宋体" w:hAnsi="宋体" w:cs="宋体"/>
          <w:b/>
          <w:sz w:val="24"/>
          <w:highlight w:val="none"/>
        </w:rPr>
      </w:pPr>
      <w:r>
        <w:rPr>
          <w:rFonts w:hint="eastAsia" w:ascii="宋体" w:hAnsi="宋体" w:cs="宋体"/>
          <w:b/>
          <w:sz w:val="24"/>
          <w:highlight w:val="none"/>
        </w:rPr>
        <w:t xml:space="preserve">二、投标文件顺序及格式范本 </w:t>
      </w:r>
    </w:p>
    <w:p w14:paraId="49812AFC">
      <w:pPr>
        <w:spacing w:line="360" w:lineRule="auto"/>
        <w:ind w:firstLine="602" w:firstLineChars="250"/>
        <w:rPr>
          <w:rFonts w:ascii="宋体" w:hAnsi="宋体" w:cs="宋体"/>
          <w:b/>
          <w:sz w:val="24"/>
          <w:highlight w:val="none"/>
        </w:rPr>
      </w:pPr>
      <w:r>
        <w:rPr>
          <w:rFonts w:hint="eastAsia" w:ascii="宋体" w:hAnsi="宋体" w:cs="宋体"/>
          <w:b/>
          <w:sz w:val="24"/>
          <w:highlight w:val="none"/>
        </w:rPr>
        <w:t>（一）投标文件顺序及要求</w:t>
      </w:r>
    </w:p>
    <w:p w14:paraId="64DCCA1E">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1、各投标人应严格按格式范本提供，不允许擅自或随意改变和变动，标书范本应做到工整整齐和完整。</w:t>
      </w:r>
    </w:p>
    <w:p w14:paraId="6A3FCFD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2、文书字体应选择不大于仿宋三号或宋体三号字体，表格内字体应选择不大于仿宋小四号或宋体小四号字体。</w:t>
      </w:r>
    </w:p>
    <w:p w14:paraId="14A19CB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3、凡须要签字盖章的，必须有符合招标文件规定要求的人员签字，公章必须是单位法人印章。</w:t>
      </w:r>
    </w:p>
    <w:p w14:paraId="46639CFF">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4、凡有备注说明的，必须符合说明的要求。</w:t>
      </w:r>
    </w:p>
    <w:p w14:paraId="4578B12E">
      <w:pPr>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5、凡招标文件要求提供的，必须提供。</w:t>
      </w:r>
    </w:p>
    <w:p w14:paraId="429EF0EB">
      <w:pPr>
        <w:rPr>
          <w:highlight w:val="none"/>
        </w:rPr>
      </w:pPr>
      <w:r>
        <w:rPr>
          <w:rFonts w:hint="eastAsia" w:ascii="宋体" w:hAnsi="宋体" w:cs="宋体"/>
          <w:sz w:val="24"/>
          <w:szCs w:val="24"/>
          <w:highlight w:val="none"/>
        </w:rPr>
        <w:br w:type="page"/>
      </w:r>
    </w:p>
    <w:p w14:paraId="4908606B">
      <w:pPr>
        <w:spacing w:line="360" w:lineRule="auto"/>
        <w:ind w:firstLine="703" w:firstLineChars="250"/>
        <w:jc w:val="center"/>
        <w:rPr>
          <w:rFonts w:ascii="宋体" w:hAnsi="宋体" w:cs="宋体"/>
          <w:sz w:val="28"/>
          <w:szCs w:val="28"/>
          <w:highlight w:val="none"/>
        </w:rPr>
      </w:pPr>
      <w:r>
        <w:rPr>
          <w:rFonts w:hint="eastAsia" w:ascii="宋体" w:hAnsi="宋体" w:cs="宋体"/>
          <w:b/>
          <w:sz w:val="28"/>
          <w:szCs w:val="28"/>
          <w:highlight w:val="none"/>
        </w:rPr>
        <w:t>投标文件格式范本</w:t>
      </w:r>
    </w:p>
    <w:p w14:paraId="6CA12D98">
      <w:pPr>
        <w:spacing w:line="360" w:lineRule="auto"/>
        <w:rPr>
          <w:rFonts w:ascii="宋体" w:hAnsi="宋体" w:cs="宋体"/>
          <w:b/>
          <w:sz w:val="28"/>
          <w:szCs w:val="18"/>
          <w:highlight w:val="none"/>
        </w:rPr>
      </w:pPr>
      <w:r>
        <w:rPr>
          <w:rFonts w:hint="eastAsia" w:ascii="宋体" w:hAnsi="宋体" w:cs="宋体"/>
          <w:b/>
          <w:sz w:val="28"/>
          <w:szCs w:val="18"/>
          <w:highlight w:val="none"/>
        </w:rPr>
        <w:t>(一)投标函</w:t>
      </w:r>
    </w:p>
    <w:p w14:paraId="128D5186">
      <w:pPr>
        <w:spacing w:line="42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w:t>
      </w:r>
    </w:p>
    <w:p w14:paraId="3ED6B065">
      <w:pPr>
        <w:spacing w:line="420" w:lineRule="exact"/>
        <w:ind w:firstLine="55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xml:space="preserve">）    </w:t>
      </w:r>
      <w:r>
        <w:rPr>
          <w:rFonts w:hint="eastAsia" w:ascii="宋体" w:hAnsi="宋体" w:cs="宋体"/>
          <w:sz w:val="24"/>
          <w:highlight w:val="none"/>
        </w:rPr>
        <w:t>项目招标的投标邀请</w:t>
      </w:r>
      <w:r>
        <w:rPr>
          <w:rFonts w:hint="eastAsia" w:ascii="宋体" w:hAnsi="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cs="宋体"/>
          <w:sz w:val="24"/>
          <w:highlight w:val="none"/>
          <w:u w:val="single"/>
        </w:rPr>
        <w:t xml:space="preserve">编号）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提交投标文件。</w:t>
      </w:r>
    </w:p>
    <w:p w14:paraId="3795B456">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603FEC3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F66366E">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3CBE6FCB">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61029575">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755A24B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4ADCE65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bCs/>
          <w:sz w:val="24"/>
          <w:szCs w:val="24"/>
          <w:highlight w:val="none"/>
        </w:rPr>
        <w:t>；</w:t>
      </w:r>
    </w:p>
    <w:p w14:paraId="6EEE52A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B4A28D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2AF6BD73">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6、关于资格的声明函 </w:t>
      </w:r>
    </w:p>
    <w:p w14:paraId="78D5E061">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500ADAE3">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61E7A991">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2C15BD42">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080AAAF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0C9ACF9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1DEE39F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0253F18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、主要股东或出资人信息</w:t>
      </w:r>
    </w:p>
    <w:p w14:paraId="691235E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、投标承诺书</w:t>
      </w:r>
    </w:p>
    <w:p w14:paraId="5343B6E6">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6</w:t>
      </w:r>
      <w:r>
        <w:rPr>
          <w:rFonts w:hint="eastAsia" w:ascii="宋体" w:hAnsi="宋体" w:cs="宋体"/>
          <w:sz w:val="24"/>
          <w:szCs w:val="22"/>
          <w:highlight w:val="none"/>
        </w:rPr>
        <w:t>、投标单位（供应商）《遵守政府采购相关法律法规承诺书》</w:t>
      </w:r>
    </w:p>
    <w:p w14:paraId="3202CF33">
      <w:pPr>
        <w:spacing w:line="360" w:lineRule="auto"/>
        <w:ind w:firstLine="720" w:firstLineChars="300"/>
        <w:rPr>
          <w:rFonts w:hint="eastAsia" w:ascii="宋体" w:hAnsi="宋体" w:eastAsia="宋体" w:cs="宋体"/>
          <w:sz w:val="24"/>
          <w:szCs w:val="22"/>
          <w:highlight w:val="none"/>
          <w:lang w:eastAsia="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、中小企业声明函</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如有</w:t>
      </w:r>
      <w:r>
        <w:rPr>
          <w:rFonts w:hint="eastAsia" w:ascii="宋体" w:hAnsi="宋体" w:cs="宋体"/>
          <w:sz w:val="24"/>
          <w:szCs w:val="22"/>
          <w:highlight w:val="none"/>
          <w:lang w:eastAsia="zh-CN"/>
        </w:rPr>
        <w:t>）</w:t>
      </w:r>
    </w:p>
    <w:p w14:paraId="4CE305F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5075E6A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19</w:t>
      </w:r>
      <w:r>
        <w:rPr>
          <w:rFonts w:hint="eastAsia" w:ascii="宋体" w:hAnsi="宋体" w:cs="宋体"/>
          <w:sz w:val="24"/>
          <w:szCs w:val="22"/>
          <w:highlight w:val="none"/>
        </w:rPr>
        <w:t>、提供其它有利于投标的资料</w:t>
      </w:r>
    </w:p>
    <w:p w14:paraId="44442A58">
      <w:pPr>
        <w:numPr>
          <w:ilvl w:val="0"/>
          <w:numId w:val="10"/>
        </w:numPr>
        <w:spacing w:line="420" w:lineRule="exact"/>
        <w:rPr>
          <w:rFonts w:ascii="宋体" w:hAnsi="宋体" w:cs="宋体"/>
          <w:sz w:val="24"/>
          <w:highlight w:val="none"/>
        </w:rPr>
      </w:pPr>
      <w:r>
        <w:rPr>
          <w:rFonts w:hint="eastAsia" w:ascii="宋体" w:hAnsi="宋体" w:cs="宋体"/>
          <w:sz w:val="24"/>
          <w:highlight w:val="none"/>
        </w:rPr>
        <w:t>投标保证金，金额为</w:t>
      </w:r>
      <w:r>
        <w:rPr>
          <w:rFonts w:hint="eastAsia" w:ascii="宋体" w:hAnsi="宋体" w:cs="宋体"/>
          <w:sz w:val="24"/>
          <w:highlight w:val="none"/>
          <w:u w:val="single"/>
        </w:rPr>
        <w:t>　　              　　</w:t>
      </w:r>
      <w:r>
        <w:rPr>
          <w:rFonts w:hint="eastAsia" w:ascii="宋体" w:hAnsi="宋体" w:cs="宋体"/>
          <w:sz w:val="24"/>
          <w:highlight w:val="none"/>
        </w:rPr>
        <w:t>。</w:t>
      </w:r>
    </w:p>
    <w:p w14:paraId="5F4D7B89">
      <w:pPr>
        <w:spacing w:line="420" w:lineRule="exact"/>
        <w:ind w:firstLine="555"/>
        <w:rPr>
          <w:rFonts w:ascii="宋体" w:hAnsi="宋体" w:cs="宋体"/>
          <w:sz w:val="24"/>
          <w:highlight w:val="none"/>
        </w:rPr>
      </w:pPr>
      <w:r>
        <w:rPr>
          <w:rFonts w:hint="eastAsia" w:ascii="宋体" w:hAnsi="宋体" w:cs="宋体"/>
          <w:sz w:val="24"/>
          <w:highlight w:val="none"/>
        </w:rPr>
        <w:t>据此函，签字代表宣布并同意如下：</w:t>
      </w:r>
    </w:p>
    <w:p w14:paraId="3A6323D9">
      <w:pPr>
        <w:spacing w:line="420" w:lineRule="exact"/>
        <w:ind w:firstLine="555"/>
        <w:rPr>
          <w:rFonts w:ascii="宋体" w:hAnsi="宋体" w:cs="宋体"/>
          <w:sz w:val="24"/>
          <w:highlight w:val="none"/>
        </w:rPr>
      </w:pPr>
      <w:r>
        <w:rPr>
          <w:rFonts w:hint="eastAsia" w:ascii="宋体" w:hAnsi="宋体" w:cs="宋体"/>
          <w:sz w:val="24"/>
          <w:highlight w:val="none"/>
        </w:rPr>
        <w:t>1、所附投标报价表中规定的应提交和交付的货物和服务投标</w:t>
      </w:r>
      <w:r>
        <w:rPr>
          <w:rFonts w:hint="eastAsia" w:ascii="宋体" w:hAnsi="宋体" w:cs="宋体"/>
          <w:sz w:val="24"/>
          <w:highlight w:val="none"/>
          <w:lang w:val="en-US" w:eastAsia="zh-CN"/>
        </w:rPr>
        <w:t>下浮率</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分别</w:t>
      </w:r>
      <w:r>
        <w:rPr>
          <w:rFonts w:hint="eastAsia" w:ascii="宋体" w:hAnsi="宋体" w:cs="宋体"/>
          <w:sz w:val="24"/>
          <w:highlight w:val="none"/>
          <w:u w:val="single"/>
        </w:rPr>
        <w:t>用文字和数字表示</w:t>
      </w:r>
      <w:r>
        <w:rPr>
          <w:rFonts w:hint="eastAsia" w:ascii="宋体" w:hAnsi="宋体" w:cs="宋体"/>
          <w:sz w:val="24"/>
          <w:highlight w:val="none"/>
          <w:u w:val="single"/>
          <w:lang w:val="en-US" w:eastAsia="zh-CN"/>
        </w:rPr>
        <w:t>下浮率</w:t>
      </w:r>
      <w:r>
        <w:rPr>
          <w:rFonts w:hint="eastAsia" w:ascii="宋体" w:hAnsi="宋体" w:cs="宋体"/>
          <w:sz w:val="24"/>
          <w:highlight w:val="none"/>
        </w:rPr>
        <w:t>）。</w:t>
      </w:r>
    </w:p>
    <w:p w14:paraId="1910A849">
      <w:pPr>
        <w:spacing w:line="420" w:lineRule="exact"/>
        <w:ind w:firstLine="555"/>
        <w:rPr>
          <w:rFonts w:ascii="宋体" w:hAnsi="宋体" w:cs="宋体"/>
          <w:sz w:val="24"/>
          <w:highlight w:val="none"/>
        </w:rPr>
      </w:pPr>
      <w:r>
        <w:rPr>
          <w:rFonts w:hint="eastAsia" w:ascii="宋体" w:hAnsi="宋体" w:cs="宋体"/>
          <w:sz w:val="24"/>
          <w:highlight w:val="none"/>
        </w:rPr>
        <w:t>2、投标方将按招标文件的规定履行合同责任和义务。</w:t>
      </w:r>
    </w:p>
    <w:p w14:paraId="2F41FB2D">
      <w:pPr>
        <w:spacing w:line="420" w:lineRule="exact"/>
        <w:ind w:firstLine="555"/>
        <w:rPr>
          <w:rFonts w:ascii="宋体" w:hAnsi="宋体" w:cs="宋体"/>
          <w:sz w:val="24"/>
          <w:highlight w:val="none"/>
        </w:rPr>
      </w:pPr>
      <w:r>
        <w:rPr>
          <w:rFonts w:hint="eastAsia" w:ascii="宋体" w:hAnsi="宋体" w:cs="宋体"/>
          <w:sz w:val="24"/>
          <w:highlight w:val="none"/>
        </w:rPr>
        <w:t>3、投标方已详细阅读并理解了招标文件的全部，包括修改文件。我们完全理解并同意放弃对这方面有不明及误解的权利。</w:t>
      </w:r>
    </w:p>
    <w:p w14:paraId="7EEC9BE2">
      <w:pPr>
        <w:spacing w:line="420" w:lineRule="exact"/>
        <w:ind w:firstLine="555"/>
        <w:rPr>
          <w:rFonts w:ascii="宋体" w:hAnsi="宋体" w:cs="宋体"/>
          <w:sz w:val="24"/>
          <w:highlight w:val="none"/>
        </w:rPr>
      </w:pPr>
      <w:r>
        <w:rPr>
          <w:rFonts w:hint="eastAsia" w:ascii="宋体" w:hAnsi="宋体" w:cs="宋体"/>
          <w:sz w:val="24"/>
          <w:highlight w:val="none"/>
        </w:rPr>
        <w:t>4、本投标有效期自开标之日起</w:t>
      </w:r>
      <w:r>
        <w:rPr>
          <w:rFonts w:hint="eastAsia" w:ascii="宋体" w:hAnsi="宋体" w:cs="宋体"/>
          <w:sz w:val="24"/>
          <w:highlight w:val="none"/>
          <w:u w:val="single"/>
        </w:rPr>
        <w:t>　90　</w:t>
      </w:r>
      <w:r>
        <w:rPr>
          <w:rFonts w:hint="eastAsia" w:ascii="宋体" w:hAnsi="宋体" w:cs="宋体"/>
          <w:sz w:val="24"/>
          <w:highlight w:val="none"/>
        </w:rPr>
        <w:t>个日历日。</w:t>
      </w:r>
    </w:p>
    <w:p w14:paraId="4C807227">
      <w:pPr>
        <w:spacing w:line="420" w:lineRule="exact"/>
        <w:ind w:firstLine="555"/>
        <w:rPr>
          <w:rFonts w:ascii="宋体" w:hAnsi="宋体" w:cs="宋体"/>
          <w:sz w:val="24"/>
          <w:highlight w:val="none"/>
        </w:rPr>
      </w:pPr>
      <w:r>
        <w:rPr>
          <w:rFonts w:hint="eastAsia" w:ascii="宋体" w:hAnsi="宋体" w:cs="宋体"/>
          <w:sz w:val="24"/>
          <w:highlight w:val="none"/>
        </w:rPr>
        <w:t>5、在规定的开标时间后，如果在投标有效期内撤回投标，同意投标保证金将被贵方没收。</w:t>
      </w:r>
    </w:p>
    <w:p w14:paraId="51D5599F">
      <w:pPr>
        <w:spacing w:line="420" w:lineRule="exact"/>
        <w:ind w:firstLine="555"/>
        <w:rPr>
          <w:rFonts w:ascii="宋体" w:hAnsi="宋体" w:cs="宋体"/>
          <w:sz w:val="24"/>
          <w:highlight w:val="none"/>
        </w:rPr>
      </w:pPr>
      <w:r>
        <w:rPr>
          <w:rFonts w:hint="eastAsia" w:ascii="宋体" w:hAnsi="宋体" w:cs="宋体"/>
          <w:sz w:val="24"/>
          <w:highlight w:val="none"/>
        </w:rPr>
        <w:t>6、投标人同意提供按照贵方可能要求的与其投标有关的一切数据或资料，完全理解贵方不一定接受最低价的投标或收到的任何投标的约定。</w:t>
      </w:r>
    </w:p>
    <w:p w14:paraId="5A297530">
      <w:pPr>
        <w:spacing w:line="420" w:lineRule="exact"/>
        <w:ind w:firstLine="570"/>
        <w:rPr>
          <w:rFonts w:ascii="宋体" w:hAnsi="宋体" w:cs="宋体"/>
          <w:sz w:val="24"/>
          <w:highlight w:val="none"/>
        </w:rPr>
      </w:pPr>
      <w:r>
        <w:rPr>
          <w:rFonts w:hint="eastAsia" w:ascii="宋体" w:hAnsi="宋体" w:cs="宋体"/>
          <w:sz w:val="24"/>
          <w:highlight w:val="none"/>
        </w:rPr>
        <w:t>7、与本投标有关的一切正式往来信函请寄：</w:t>
      </w:r>
    </w:p>
    <w:p w14:paraId="5221A85A">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 标 人 名 称：</w:t>
      </w:r>
      <w:r>
        <w:rPr>
          <w:rFonts w:hint="eastAsia" w:ascii="宋体" w:hAnsi="宋体" w:cs="宋体"/>
          <w:sz w:val="24"/>
          <w:highlight w:val="none"/>
          <w:u w:val="single"/>
        </w:rPr>
        <w:t xml:space="preserve">　      　　　　　　　　　          </w:t>
      </w:r>
    </w:p>
    <w:p w14:paraId="14D597FC">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投标人代表签字或印章：</w:t>
      </w:r>
      <w:r>
        <w:rPr>
          <w:rFonts w:hint="eastAsia" w:ascii="宋体" w:hAnsi="宋体" w:cs="宋体"/>
          <w:sz w:val="24"/>
          <w:highlight w:val="none"/>
          <w:u w:val="single"/>
        </w:rPr>
        <w:t xml:space="preserve">　　　　　　　　　　　        </w:t>
      </w:r>
    </w:p>
    <w:p w14:paraId="5E52F6E8">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4CE86973">
      <w:pPr>
        <w:spacing w:line="420" w:lineRule="exact"/>
        <w:ind w:firstLine="876" w:firstLineChars="365"/>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2D319BAE">
      <w:pPr>
        <w:spacing w:line="420" w:lineRule="exact"/>
        <w:rPr>
          <w:rFonts w:ascii="宋体" w:hAnsi="宋体" w:cs="宋体"/>
          <w:sz w:val="24"/>
          <w:highlight w:val="none"/>
        </w:rPr>
      </w:pPr>
      <w:r>
        <w:rPr>
          <w:rFonts w:hint="eastAsia" w:ascii="宋体" w:hAnsi="宋体" w:cs="宋体"/>
          <w:sz w:val="24"/>
          <w:highlight w:val="none"/>
        </w:rPr>
        <w:t>　     电　　　　　话：</w:t>
      </w:r>
      <w:r>
        <w:rPr>
          <w:rFonts w:hint="eastAsia" w:ascii="宋体" w:hAnsi="宋体" w:cs="宋体"/>
          <w:sz w:val="24"/>
          <w:highlight w:val="none"/>
          <w:u w:val="single"/>
        </w:rPr>
        <w:t xml:space="preserve">　　　　　　　　　　                </w:t>
      </w:r>
    </w:p>
    <w:p w14:paraId="22E8FD0E">
      <w:pPr>
        <w:spacing w:line="420" w:lineRule="exact"/>
        <w:rPr>
          <w:rFonts w:ascii="宋体" w:hAnsi="宋体" w:cs="宋体"/>
          <w:sz w:val="24"/>
          <w:highlight w:val="none"/>
        </w:rPr>
      </w:pPr>
      <w:r>
        <w:rPr>
          <w:rFonts w:hint="eastAsia" w:ascii="宋体" w:hAnsi="宋体" w:cs="宋体"/>
          <w:sz w:val="24"/>
          <w:highlight w:val="none"/>
        </w:rPr>
        <w:t>　     邮          编：</w:t>
      </w:r>
      <w:r>
        <w:rPr>
          <w:rFonts w:hint="eastAsia" w:ascii="宋体" w:hAnsi="宋体" w:cs="宋体"/>
          <w:sz w:val="24"/>
          <w:highlight w:val="none"/>
          <w:u w:val="single"/>
        </w:rPr>
        <w:t xml:space="preserve">　　　　   　　　                   </w:t>
      </w:r>
    </w:p>
    <w:p w14:paraId="7880AE94">
      <w:pPr>
        <w:spacing w:line="420" w:lineRule="exact"/>
        <w:rPr>
          <w:rFonts w:ascii="宋体" w:hAnsi="宋体" w:cs="宋体"/>
          <w:sz w:val="24"/>
          <w:highlight w:val="none"/>
        </w:rPr>
      </w:pPr>
      <w:r>
        <w:rPr>
          <w:rFonts w:hint="eastAsia" w:ascii="宋体" w:hAnsi="宋体" w:cs="宋体"/>
          <w:sz w:val="24"/>
          <w:highlight w:val="none"/>
        </w:rPr>
        <w:t>　     传          真：</w:t>
      </w:r>
      <w:r>
        <w:rPr>
          <w:rFonts w:hint="eastAsia" w:ascii="宋体" w:hAnsi="宋体" w:cs="宋体"/>
          <w:sz w:val="24"/>
          <w:highlight w:val="none"/>
          <w:u w:val="single"/>
        </w:rPr>
        <w:t xml:space="preserve">　   　　　　　　                   </w:t>
      </w:r>
    </w:p>
    <w:p w14:paraId="1515E0A2">
      <w:pPr>
        <w:spacing w:line="4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E957D7B">
      <w:pPr>
        <w:pStyle w:val="13"/>
        <w:rPr>
          <w:rFonts w:ascii="宋体" w:hAnsi="宋体" w:cs="宋体"/>
          <w:b/>
          <w:sz w:val="24"/>
          <w:highlight w:val="none"/>
        </w:rPr>
      </w:pPr>
    </w:p>
    <w:p w14:paraId="162E7A34">
      <w:pPr>
        <w:rPr>
          <w:b/>
          <w:bCs/>
          <w:sz w:val="28"/>
          <w:szCs w:val="28"/>
          <w:highlight w:val="none"/>
        </w:rPr>
      </w:pPr>
      <w:r>
        <w:rPr>
          <w:rFonts w:hint="eastAsia"/>
          <w:b/>
          <w:bCs/>
          <w:sz w:val="28"/>
          <w:szCs w:val="28"/>
          <w:highlight w:val="none"/>
        </w:rPr>
        <w:br w:type="page"/>
      </w:r>
    </w:p>
    <w:p w14:paraId="499A8AB0">
      <w:pPr>
        <w:spacing w:line="360" w:lineRule="auto"/>
        <w:rPr>
          <w:b/>
          <w:bCs/>
          <w:sz w:val="28"/>
          <w:szCs w:val="28"/>
          <w:highlight w:val="none"/>
        </w:rPr>
      </w:pPr>
      <w:r>
        <w:rPr>
          <w:rFonts w:hint="eastAsia"/>
          <w:b/>
          <w:bCs/>
          <w:sz w:val="28"/>
          <w:szCs w:val="28"/>
          <w:highlight w:val="none"/>
        </w:rPr>
        <w:t xml:space="preserve">（二）法定代表人资格证明书 </w:t>
      </w:r>
    </w:p>
    <w:p w14:paraId="7276C169">
      <w:pPr>
        <w:tabs>
          <w:tab w:val="left" w:pos="5053"/>
        </w:tabs>
        <w:spacing w:line="360" w:lineRule="auto"/>
        <w:rPr>
          <w:rFonts w:ascii="宋体" w:hAnsi="宋体" w:cs="宋体"/>
          <w:b/>
          <w:sz w:val="24"/>
          <w:szCs w:val="24"/>
          <w:highlight w:val="none"/>
        </w:rPr>
      </w:pPr>
      <w:r>
        <w:rPr>
          <w:rFonts w:hint="eastAsia" w:ascii="宋体" w:hAnsi="宋体" w:cs="宋体"/>
          <w:b/>
          <w:sz w:val="24"/>
          <w:szCs w:val="24"/>
          <w:highlight w:val="none"/>
        </w:rPr>
        <w:tab/>
      </w:r>
    </w:p>
    <w:p w14:paraId="5016E6A0">
      <w:pPr>
        <w:pStyle w:val="7"/>
        <w:numPr>
          <w:ilvl w:val="0"/>
          <w:numId w:val="0"/>
        </w:numPr>
        <w:jc w:val="center"/>
        <w:rPr>
          <w:rFonts w:ascii="宋体" w:hAnsi="宋体" w:cs="宋体"/>
          <w:sz w:val="28"/>
          <w:szCs w:val="28"/>
          <w:highlight w:val="none"/>
        </w:rPr>
      </w:pPr>
      <w:bookmarkStart w:id="2" w:name="_Toc7277"/>
      <w:r>
        <w:rPr>
          <w:rFonts w:hint="eastAsia" w:ascii="宋体" w:hAnsi="宋体" w:cs="宋体"/>
          <w:sz w:val="28"/>
          <w:szCs w:val="28"/>
          <w:highlight w:val="none"/>
        </w:rPr>
        <w:t>法定代表人资格证明书</w:t>
      </w:r>
      <w:bookmarkEnd w:id="2"/>
    </w:p>
    <w:p w14:paraId="3A3A315E">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单位名称：</w:t>
      </w:r>
    </w:p>
    <w:p w14:paraId="463C2384">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单位性质：</w:t>
      </w:r>
    </w:p>
    <w:p w14:paraId="13DBC803">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地址：</w:t>
      </w:r>
    </w:p>
    <w:p w14:paraId="2D6FF2C9">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成立时间：</w:t>
      </w:r>
    </w:p>
    <w:p w14:paraId="22D674D0">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经营期限：</w:t>
      </w:r>
    </w:p>
    <w:p w14:paraId="73906657">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230E5AEE">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 xml:space="preserve"> 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p>
    <w:p w14:paraId="7F88F85A">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（投标人）</w:t>
      </w:r>
      <w:r>
        <w:rPr>
          <w:rFonts w:hint="eastAsia" w:ascii="宋体" w:hAnsi="宋体" w:cs="宋体"/>
          <w:sz w:val="24"/>
          <w:szCs w:val="24"/>
          <w:highlight w:val="none"/>
        </w:rPr>
        <w:t>的法定代表人。</w:t>
      </w:r>
    </w:p>
    <w:p w14:paraId="77B15994">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3C3ACB5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11F21079">
      <w:pPr>
        <w:spacing w:before="120" w:beforeLines="50" w:after="120" w:afterLines="50"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投标人公章：[投标人盖章]</w:t>
      </w:r>
    </w:p>
    <w:p w14:paraId="43F7BBCA">
      <w:pPr>
        <w:spacing w:before="120" w:beforeLines="50" w:after="120" w:afterLines="50" w:line="460" w:lineRule="exact"/>
        <w:ind w:firstLine="496" w:firstLineChars="200"/>
        <w:rPr>
          <w:rFonts w:ascii="宋体" w:hAnsi="宋体" w:cs="宋体"/>
          <w:highlight w:val="none"/>
        </w:rPr>
      </w:pPr>
      <w:r>
        <w:rPr>
          <w:rFonts w:hint="eastAsia" w:ascii="宋体" w:hAnsi="宋体" w:cs="宋体"/>
          <w:spacing w:val="4"/>
          <w:sz w:val="24"/>
          <w:szCs w:val="24"/>
          <w:highlight w:val="none"/>
        </w:rPr>
        <w:t xml:space="preserve">日期：   </w:t>
      </w:r>
      <w:r>
        <w:rPr>
          <w:rFonts w:hint="eastAsia" w:ascii="宋体" w:hAnsi="宋体" w:cs="宋体"/>
          <w:sz w:val="24"/>
          <w:szCs w:val="24"/>
          <w:highlight w:val="none"/>
        </w:rPr>
        <w:t>年   月   日</w:t>
      </w:r>
    </w:p>
    <w:p w14:paraId="4F89031D">
      <w:pPr>
        <w:pStyle w:val="19"/>
        <w:ind w:left="0"/>
        <w:rPr>
          <w:rFonts w:ascii="宋体" w:hAnsi="宋体" w:cs="宋体"/>
          <w:highlight w:val="none"/>
        </w:rPr>
      </w:pPr>
    </w:p>
    <w:p w14:paraId="246C5312">
      <w:pPr>
        <w:rPr>
          <w:rFonts w:ascii="宋体" w:hAnsi="宋体" w:cs="宋体"/>
          <w:highlight w:val="none"/>
        </w:rPr>
      </w:pPr>
    </w:p>
    <w:p w14:paraId="41641A16">
      <w:pPr>
        <w:pStyle w:val="5"/>
        <w:rPr>
          <w:rFonts w:ascii="宋体" w:hAnsi="宋体" w:cs="宋体"/>
          <w:highlight w:val="none"/>
        </w:rPr>
      </w:pPr>
    </w:p>
    <w:p w14:paraId="7955C53C">
      <w:pPr>
        <w:pStyle w:val="5"/>
        <w:rPr>
          <w:rFonts w:ascii="宋体" w:hAnsi="宋体" w:cs="宋体"/>
          <w:highlight w:val="none"/>
        </w:rPr>
      </w:pPr>
    </w:p>
    <w:p w14:paraId="0F164307">
      <w:pPr>
        <w:pStyle w:val="5"/>
        <w:rPr>
          <w:rFonts w:ascii="宋体" w:hAnsi="宋体" w:cs="宋体"/>
          <w:highlight w:val="none"/>
        </w:rPr>
      </w:pPr>
    </w:p>
    <w:p w14:paraId="05E943EA">
      <w:pPr>
        <w:jc w:val="center"/>
        <w:rPr>
          <w:rFonts w:ascii="宋体" w:hAnsi="宋体" w:cs="宋体"/>
          <w:b/>
          <w:sz w:val="28"/>
          <w:szCs w:val="28"/>
          <w:highlight w:val="none"/>
        </w:rPr>
      </w:pPr>
    </w:p>
    <w:p w14:paraId="592B1241">
      <w:pPr>
        <w:jc w:val="center"/>
        <w:rPr>
          <w:rFonts w:ascii="宋体" w:hAnsi="宋体" w:cs="宋体"/>
          <w:b/>
          <w:sz w:val="28"/>
          <w:szCs w:val="28"/>
          <w:highlight w:val="none"/>
        </w:rPr>
      </w:pPr>
    </w:p>
    <w:p w14:paraId="75630EB5">
      <w:pPr>
        <w:jc w:val="center"/>
        <w:rPr>
          <w:rFonts w:ascii="宋体" w:hAnsi="宋体" w:cs="宋体"/>
          <w:b/>
          <w:sz w:val="28"/>
          <w:szCs w:val="28"/>
          <w:highlight w:val="none"/>
        </w:rPr>
      </w:pPr>
    </w:p>
    <w:p w14:paraId="5D0CA338">
      <w:pPr>
        <w:jc w:val="center"/>
        <w:rPr>
          <w:rFonts w:ascii="宋体" w:hAnsi="宋体" w:cs="宋体"/>
          <w:b/>
          <w:sz w:val="28"/>
          <w:szCs w:val="28"/>
          <w:highlight w:val="none"/>
        </w:rPr>
      </w:pPr>
    </w:p>
    <w:p w14:paraId="1C3A3DAB">
      <w:pPr>
        <w:jc w:val="center"/>
        <w:rPr>
          <w:rFonts w:ascii="宋体" w:hAnsi="宋体" w:cs="宋体"/>
          <w:b/>
          <w:sz w:val="28"/>
          <w:szCs w:val="28"/>
          <w:highlight w:val="none"/>
        </w:rPr>
      </w:pPr>
    </w:p>
    <w:p w14:paraId="171317FC">
      <w:pPr>
        <w:jc w:val="center"/>
        <w:rPr>
          <w:rFonts w:ascii="宋体" w:hAnsi="宋体" w:cs="宋体"/>
          <w:b/>
          <w:sz w:val="28"/>
          <w:szCs w:val="28"/>
          <w:highlight w:val="none"/>
        </w:rPr>
      </w:pPr>
    </w:p>
    <w:p w14:paraId="4E98B8E9">
      <w:pPr>
        <w:jc w:val="center"/>
        <w:rPr>
          <w:rFonts w:ascii="宋体" w:hAnsi="宋体" w:cs="宋体"/>
          <w:b/>
          <w:sz w:val="28"/>
          <w:szCs w:val="28"/>
          <w:highlight w:val="none"/>
        </w:rPr>
      </w:pPr>
    </w:p>
    <w:p w14:paraId="2D650120">
      <w:pPr>
        <w:rPr>
          <w:highlight w:val="none"/>
        </w:rPr>
      </w:pPr>
    </w:p>
    <w:p w14:paraId="22BDAD33">
      <w:pPr>
        <w:rPr>
          <w:highlight w:val="none"/>
        </w:rPr>
      </w:pPr>
    </w:p>
    <w:p w14:paraId="24FE70E6">
      <w:pPr>
        <w:rPr>
          <w:highlight w:val="none"/>
        </w:rPr>
      </w:pPr>
    </w:p>
    <w:p w14:paraId="7DD1E11B">
      <w:pPr>
        <w:rPr>
          <w:highlight w:val="none"/>
        </w:rPr>
      </w:pPr>
    </w:p>
    <w:p w14:paraId="4612AC01">
      <w:pPr>
        <w:jc w:val="center"/>
        <w:rPr>
          <w:rFonts w:ascii="宋体" w:hAnsi="宋体" w:cs="宋体"/>
          <w:b/>
          <w:sz w:val="28"/>
          <w:szCs w:val="28"/>
          <w:highlight w:val="none"/>
        </w:rPr>
      </w:pPr>
    </w:p>
    <w:p w14:paraId="2BFABF71">
      <w:pPr>
        <w:rPr>
          <w:rFonts w:ascii="宋体" w:hAnsi="宋体" w:cs="宋体"/>
          <w:b/>
          <w:sz w:val="28"/>
          <w:szCs w:val="28"/>
          <w:highlight w:val="none"/>
        </w:rPr>
      </w:pPr>
      <w:r>
        <w:rPr>
          <w:rFonts w:hint="eastAsia" w:ascii="宋体" w:hAnsi="宋体" w:cs="宋体"/>
          <w:b/>
          <w:sz w:val="28"/>
          <w:szCs w:val="28"/>
          <w:highlight w:val="none"/>
        </w:rPr>
        <w:br w:type="page"/>
      </w:r>
    </w:p>
    <w:p w14:paraId="062AA97B">
      <w:pPr>
        <w:jc w:val="center"/>
        <w:rPr>
          <w:rFonts w:ascii="宋体" w:hAnsi="宋体" w:cs="宋体"/>
          <w:b/>
          <w:sz w:val="28"/>
          <w:szCs w:val="28"/>
          <w:highlight w:val="none"/>
        </w:rPr>
      </w:pPr>
    </w:p>
    <w:p w14:paraId="38F78DDF">
      <w:pPr>
        <w:jc w:val="center"/>
        <w:rPr>
          <w:rFonts w:ascii="宋体" w:hAnsi="宋体" w:cs="宋体"/>
          <w:b/>
          <w:sz w:val="28"/>
          <w:szCs w:val="28"/>
          <w:highlight w:val="none"/>
        </w:rPr>
      </w:pPr>
      <w:r>
        <w:rPr>
          <w:rFonts w:hint="eastAsia" w:ascii="宋体" w:hAnsi="宋体" w:cs="宋体"/>
          <w:b/>
          <w:sz w:val="28"/>
          <w:szCs w:val="28"/>
          <w:highlight w:val="none"/>
        </w:rPr>
        <w:t>法人代表授权书</w:t>
      </w:r>
    </w:p>
    <w:p w14:paraId="5F2D1D3A">
      <w:pPr>
        <w:pStyle w:val="13"/>
        <w:rPr>
          <w:highlight w:val="none"/>
        </w:rPr>
      </w:pPr>
    </w:p>
    <w:p w14:paraId="7EEBE756">
      <w:pPr>
        <w:spacing w:line="360" w:lineRule="auto"/>
        <w:ind w:firstLine="602"/>
        <w:rPr>
          <w:rFonts w:ascii="宋体" w:hAnsi="宋体" w:cs="宋体"/>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（地区的名称）</w:t>
      </w:r>
      <w:r>
        <w:rPr>
          <w:rFonts w:hint="eastAsia" w:ascii="宋体" w:hAnsi="宋体" w:cs="宋体"/>
          <w:sz w:val="24"/>
          <w:highlight w:val="none"/>
        </w:rPr>
        <w:t>的</w:t>
      </w:r>
      <w:r>
        <w:rPr>
          <w:rFonts w:hint="eastAsia" w:ascii="宋体" w:hAnsi="宋体" w:cs="宋体"/>
          <w:sz w:val="24"/>
          <w:highlight w:val="none"/>
          <w:u w:val="single"/>
        </w:rPr>
        <w:t>（公司名称）</w:t>
      </w:r>
      <w:r>
        <w:rPr>
          <w:rFonts w:hint="eastAsia" w:ascii="宋体" w:hAnsi="宋体" w:cs="宋体"/>
          <w:sz w:val="24"/>
          <w:highlight w:val="none"/>
        </w:rPr>
        <w:t>，在下面签字的法人代表</w:t>
      </w:r>
      <w:r>
        <w:rPr>
          <w:rFonts w:hint="eastAsia" w:ascii="宋体" w:hAnsi="宋体" w:cs="宋体"/>
          <w:sz w:val="24"/>
          <w:highlight w:val="none"/>
          <w:u w:val="single"/>
        </w:rPr>
        <w:t>（姓名、职务）</w:t>
      </w:r>
      <w:r>
        <w:rPr>
          <w:rFonts w:hint="eastAsia" w:ascii="宋体" w:hAnsi="宋体" w:cs="宋体"/>
          <w:sz w:val="24"/>
          <w:highlight w:val="none"/>
        </w:rPr>
        <w:t>，代表本公司授权在下面签字的</w:t>
      </w:r>
      <w:r>
        <w:rPr>
          <w:rFonts w:hint="eastAsia" w:ascii="宋体" w:hAnsi="宋体" w:cs="宋体"/>
          <w:sz w:val="24"/>
          <w:highlight w:val="none"/>
          <w:u w:val="single"/>
        </w:rPr>
        <w:t>（被授权人的姓名、职务）</w:t>
      </w:r>
      <w:r>
        <w:rPr>
          <w:rFonts w:hint="eastAsia" w:ascii="宋体" w:hAnsi="宋体" w:cs="宋体"/>
          <w:sz w:val="24"/>
          <w:highlight w:val="none"/>
        </w:rPr>
        <w:t>为本公司的合法代理人，就</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w:t>
      </w:r>
      <w:r>
        <w:rPr>
          <w:rFonts w:hint="eastAsia" w:ascii="宋体" w:hAnsi="宋体" w:cs="宋体"/>
          <w:sz w:val="24"/>
          <w:highlight w:val="none"/>
        </w:rPr>
        <w:t>的投标，以本公司的名义处理一切与之有关的事务。本授权书于20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日签字生效，特此声明。</w:t>
      </w:r>
    </w:p>
    <w:p w14:paraId="28EE9547">
      <w:pPr>
        <w:pStyle w:val="13"/>
        <w:ind w:firstLine="602"/>
        <w:rPr>
          <w:rFonts w:ascii="宋体" w:hAnsi="宋体" w:cs="宋体"/>
          <w:highlight w:val="none"/>
        </w:rPr>
      </w:pPr>
    </w:p>
    <w:p w14:paraId="59024EB2">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4292889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（附被授权人身份证复印件）</w:t>
      </w:r>
    </w:p>
    <w:p w14:paraId="38095473">
      <w:pPr>
        <w:pStyle w:val="13"/>
        <w:rPr>
          <w:rFonts w:ascii="宋体" w:hAnsi="宋体" w:cs="宋体"/>
          <w:highlight w:val="none"/>
        </w:rPr>
      </w:pPr>
    </w:p>
    <w:p w14:paraId="1408CB69">
      <w:pPr>
        <w:spacing w:line="360" w:lineRule="auto"/>
        <w:ind w:firstLine="482"/>
        <w:rPr>
          <w:rFonts w:ascii="宋体" w:hAnsi="宋体" w:cs="宋体"/>
          <w:sz w:val="24"/>
          <w:highlight w:val="none"/>
        </w:rPr>
      </w:pPr>
    </w:p>
    <w:p w14:paraId="4AA184CB">
      <w:pPr>
        <w:spacing w:line="360" w:lineRule="auto"/>
        <w:ind w:firstLine="2400" w:firstLineChars="1000"/>
        <w:rPr>
          <w:rFonts w:ascii="宋体" w:hAnsi="宋体" w:cs="宋体"/>
          <w:sz w:val="24"/>
          <w:highlight w:val="none"/>
        </w:rPr>
      </w:pPr>
      <w:r>
        <w:rPr>
          <w:rFonts w:hint="eastAsia" w:ascii="宋体" w:hAnsi="宋体" w:cs="宋体"/>
          <w:sz w:val="24"/>
          <w:highlight w:val="none"/>
        </w:rPr>
        <w:t>法人代表签字或印章：</w:t>
      </w:r>
      <w:r>
        <w:rPr>
          <w:rFonts w:hint="eastAsia" w:ascii="宋体" w:hAnsi="宋体" w:cs="宋体"/>
          <w:sz w:val="24"/>
          <w:highlight w:val="none"/>
          <w:u w:val="single"/>
        </w:rPr>
        <w:t>　　　　　　　　　　　　</w:t>
      </w:r>
    </w:p>
    <w:p w14:paraId="2126B6E8">
      <w:pPr>
        <w:spacing w:line="360" w:lineRule="auto"/>
        <w:ind w:firstLine="2400" w:firstLineChars="1000"/>
        <w:rPr>
          <w:rFonts w:ascii="宋体" w:hAnsi="宋体" w:cs="宋体"/>
          <w:sz w:val="24"/>
          <w:highlight w:val="none"/>
        </w:rPr>
      </w:pPr>
      <w:r>
        <w:rPr>
          <w:rFonts w:hint="eastAsia" w:ascii="宋体" w:hAnsi="宋体" w:cs="宋体"/>
          <w:sz w:val="24"/>
          <w:highlight w:val="none"/>
        </w:rPr>
        <w:t>被授权人签字或印章：</w:t>
      </w:r>
      <w:r>
        <w:rPr>
          <w:rFonts w:hint="eastAsia" w:ascii="宋体" w:hAnsi="宋体" w:cs="宋体"/>
          <w:sz w:val="24"/>
          <w:highlight w:val="none"/>
          <w:u w:val="single"/>
        </w:rPr>
        <w:t>　　　　　　　　　　　　</w:t>
      </w:r>
    </w:p>
    <w:p w14:paraId="3FBFDF9A">
      <w:pPr>
        <w:spacing w:line="360" w:lineRule="auto"/>
        <w:ind w:firstLine="2400" w:firstLineChars="1000"/>
        <w:rPr>
          <w:rFonts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24B59A1A">
      <w:pPr>
        <w:spacing w:line="360" w:lineRule="auto"/>
        <w:ind w:firstLine="480"/>
        <w:rPr>
          <w:rFonts w:ascii="宋体" w:hAnsi="宋体" w:cs="宋体"/>
          <w:sz w:val="24"/>
          <w:highlight w:val="none"/>
          <w:u w:val="single"/>
        </w:rPr>
      </w:pPr>
      <w:r>
        <w:rPr>
          <w:rFonts w:hint="eastAsia" w:ascii="宋体" w:hAnsi="宋体" w:cs="宋体"/>
          <w:sz w:val="24"/>
          <w:highlight w:val="none"/>
        </w:rPr>
        <w:t>　　　　　　　　授  权 日 期：</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58182FE8">
      <w:pPr>
        <w:ind w:firstLine="482" w:firstLineChars="200"/>
        <w:rPr>
          <w:rFonts w:ascii="宋体" w:hAnsi="宋体" w:cs="宋体"/>
          <w:b/>
          <w:sz w:val="24"/>
          <w:highlight w:val="none"/>
        </w:rPr>
      </w:pPr>
      <w:r>
        <w:rPr>
          <w:rFonts w:hint="eastAsia" w:ascii="宋体" w:hAnsi="宋体" w:cs="宋体"/>
          <w:b/>
          <w:sz w:val="24"/>
          <w:highlight w:val="none"/>
        </w:rPr>
        <w:t>注：法人代表本人作为公司代理人前来参加投标的，投标方可以不填写此项证明文件。</w:t>
      </w:r>
    </w:p>
    <w:p w14:paraId="15567F7A">
      <w:pPr>
        <w:rPr>
          <w:rFonts w:ascii="宋体" w:hAnsi="宋体" w:cs="宋体"/>
          <w:b/>
          <w:sz w:val="24"/>
          <w:highlight w:val="none"/>
        </w:rPr>
      </w:pPr>
      <w:r>
        <w:rPr>
          <w:rFonts w:hint="eastAsia" w:ascii="宋体" w:hAnsi="宋体" w:cs="宋体"/>
          <w:b/>
          <w:sz w:val="24"/>
          <w:highlight w:val="none"/>
        </w:rPr>
        <w:br w:type="page"/>
      </w:r>
    </w:p>
    <w:p w14:paraId="2DFADFCA">
      <w:pPr>
        <w:spacing w:line="360" w:lineRule="auto"/>
        <w:ind w:firstLine="482" w:firstLineChars="200"/>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sz w:val="24"/>
          <w:szCs w:val="24"/>
          <w:highlight w:val="none"/>
        </w:rPr>
        <w:t>开标一览表</w:t>
      </w:r>
    </w:p>
    <w:p w14:paraId="0C601BB3">
      <w:pPr>
        <w:pStyle w:val="40"/>
        <w:spacing w:line="360" w:lineRule="auto"/>
        <w:jc w:val="center"/>
        <w:rPr>
          <w:rFonts w:ascii="宋体" w:hAnsi="宋体" w:cs="宋体"/>
          <w:b/>
          <w:color w:val="auto"/>
          <w:kern w:val="2"/>
          <w:sz w:val="30"/>
          <w:szCs w:val="20"/>
          <w:highlight w:val="none"/>
        </w:rPr>
      </w:pPr>
      <w:r>
        <w:rPr>
          <w:rFonts w:hint="eastAsia" w:ascii="宋体" w:hAnsi="宋体" w:cs="宋体"/>
          <w:b/>
          <w:color w:val="auto"/>
          <w:kern w:val="2"/>
          <w:sz w:val="30"/>
          <w:szCs w:val="20"/>
          <w:highlight w:val="none"/>
        </w:rPr>
        <w:t xml:space="preserve"> 开标一览表</w:t>
      </w:r>
    </w:p>
    <w:p w14:paraId="2D3EF872">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p w14:paraId="70D5543B">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lang w:val="en-US" w:eastAsia="zh-CN"/>
        </w:rPr>
        <w:t>项目</w:t>
      </w:r>
      <w:r>
        <w:rPr>
          <w:rFonts w:hint="eastAsia" w:ascii="宋体" w:hAnsi="宋体" w:cs="宋体"/>
          <w:b/>
          <w:color w:val="auto"/>
          <w:highlight w:val="none"/>
        </w:rPr>
        <w:t>名称：</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7DED1C15">
      <w:pPr>
        <w:pStyle w:val="40"/>
        <w:spacing w:line="360" w:lineRule="auto"/>
        <w:ind w:left="212" w:leftChars="-86" w:hanging="393" w:hangingChars="163"/>
        <w:jc w:val="both"/>
        <w:rPr>
          <w:rFonts w:ascii="宋体" w:hAnsi="宋体" w:cs="宋体"/>
          <w:b/>
          <w:color w:val="auto"/>
          <w:highlight w:val="none"/>
          <w:u w:val="single"/>
        </w:rPr>
      </w:pPr>
      <w:r>
        <w:rPr>
          <w:rFonts w:hint="eastAsia" w:ascii="宋体" w:hAnsi="宋体" w:cs="宋体"/>
          <w:b/>
          <w:color w:val="auto"/>
          <w:highlight w:val="none"/>
        </w:rPr>
        <w:t>项目编号：</w:t>
      </w:r>
      <w:r>
        <w:rPr>
          <w:rFonts w:hint="eastAsia" w:ascii="宋体" w:hAnsi="宋体" w:cs="宋体"/>
          <w:b/>
          <w:color w:val="auto"/>
          <w:highlight w:val="none"/>
          <w:u w:val="single"/>
        </w:rPr>
        <w:t xml:space="preserve">                                </w:t>
      </w:r>
    </w:p>
    <w:p w14:paraId="37A831F0">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tbl>
      <w:tblPr>
        <w:tblStyle w:val="27"/>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14:paraId="30D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14:paraId="07472215">
            <w:pPr>
              <w:pStyle w:val="40"/>
              <w:spacing w:line="360" w:lineRule="auto"/>
              <w:ind w:left="-178" w:leftChars="-342" w:right="-743" w:rightChars="-354" w:hanging="540" w:hangingChars="256"/>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供应商名称</w:t>
            </w:r>
          </w:p>
        </w:tc>
        <w:tc>
          <w:tcPr>
            <w:tcW w:w="3229" w:type="dxa"/>
            <w:vAlign w:val="center"/>
          </w:tcPr>
          <w:p w14:paraId="4C9FE8B3">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投标下浮率（%）</w:t>
            </w:r>
          </w:p>
        </w:tc>
        <w:tc>
          <w:tcPr>
            <w:tcW w:w="1649" w:type="dxa"/>
            <w:vAlign w:val="center"/>
          </w:tcPr>
          <w:p w14:paraId="431428AE">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合同履行期限</w:t>
            </w:r>
          </w:p>
        </w:tc>
        <w:tc>
          <w:tcPr>
            <w:tcW w:w="1408" w:type="dxa"/>
            <w:vAlign w:val="center"/>
          </w:tcPr>
          <w:p w14:paraId="767879B9">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485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4976E85C">
            <w:pPr>
              <w:pStyle w:val="40"/>
              <w:spacing w:line="360" w:lineRule="auto"/>
              <w:ind w:left="-342" w:right="-354"/>
              <w:jc w:val="center"/>
              <w:rPr>
                <w:rFonts w:ascii="宋体" w:hAnsi="宋体" w:cs="宋体"/>
                <w:color w:val="auto"/>
                <w:kern w:val="2"/>
                <w:sz w:val="21"/>
                <w:highlight w:val="none"/>
              </w:rPr>
            </w:pPr>
          </w:p>
        </w:tc>
        <w:tc>
          <w:tcPr>
            <w:tcW w:w="3229" w:type="dxa"/>
            <w:vAlign w:val="center"/>
          </w:tcPr>
          <w:p w14:paraId="686A1A42">
            <w:pPr>
              <w:pStyle w:val="40"/>
              <w:spacing w:line="360" w:lineRule="auto"/>
              <w:ind w:left="-342" w:right="-354"/>
              <w:jc w:val="center"/>
              <w:rPr>
                <w:rFonts w:ascii="宋体" w:hAnsi="宋体" w:cs="宋体"/>
                <w:color w:val="auto"/>
                <w:kern w:val="2"/>
                <w:sz w:val="21"/>
                <w:highlight w:val="none"/>
              </w:rPr>
            </w:pPr>
          </w:p>
        </w:tc>
        <w:tc>
          <w:tcPr>
            <w:tcW w:w="1649" w:type="dxa"/>
            <w:vAlign w:val="center"/>
          </w:tcPr>
          <w:p w14:paraId="6F7B39CA">
            <w:pPr>
              <w:pStyle w:val="40"/>
              <w:spacing w:line="360" w:lineRule="auto"/>
              <w:ind w:left="-342" w:right="-354"/>
              <w:jc w:val="center"/>
              <w:rPr>
                <w:rFonts w:ascii="宋体" w:hAnsi="宋体" w:cs="宋体"/>
                <w:color w:val="auto"/>
                <w:kern w:val="2"/>
                <w:sz w:val="21"/>
                <w:highlight w:val="none"/>
              </w:rPr>
            </w:pPr>
          </w:p>
        </w:tc>
        <w:tc>
          <w:tcPr>
            <w:tcW w:w="1408" w:type="dxa"/>
            <w:vAlign w:val="center"/>
          </w:tcPr>
          <w:p w14:paraId="4409DE24">
            <w:pPr>
              <w:pStyle w:val="40"/>
              <w:spacing w:line="360" w:lineRule="auto"/>
              <w:ind w:left="-342" w:right="-354"/>
              <w:jc w:val="center"/>
              <w:rPr>
                <w:rFonts w:ascii="宋体" w:hAnsi="宋体" w:cs="宋体"/>
                <w:color w:val="auto"/>
                <w:kern w:val="2"/>
                <w:sz w:val="21"/>
                <w:highlight w:val="none"/>
              </w:rPr>
            </w:pPr>
          </w:p>
        </w:tc>
      </w:tr>
      <w:tr w14:paraId="656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63E0C531">
            <w:pPr>
              <w:pStyle w:val="40"/>
              <w:spacing w:line="360" w:lineRule="auto"/>
              <w:ind w:left="-342" w:right="-354"/>
              <w:jc w:val="center"/>
              <w:rPr>
                <w:rFonts w:ascii="宋体" w:hAnsi="宋体" w:cs="宋体"/>
                <w:color w:val="auto"/>
                <w:kern w:val="2"/>
                <w:sz w:val="21"/>
                <w:highlight w:val="none"/>
              </w:rPr>
            </w:pPr>
            <w:r>
              <w:rPr>
                <w:rFonts w:hint="eastAsia" w:ascii="宋体" w:hAnsi="宋体" w:cs="宋体"/>
                <w:color w:val="auto"/>
                <w:kern w:val="2"/>
                <w:sz w:val="21"/>
                <w:highlight w:val="none"/>
              </w:rPr>
              <w:t>大写</w:t>
            </w:r>
          </w:p>
        </w:tc>
        <w:tc>
          <w:tcPr>
            <w:tcW w:w="6286" w:type="dxa"/>
            <w:gridSpan w:val="3"/>
            <w:vAlign w:val="center"/>
          </w:tcPr>
          <w:p w14:paraId="18308E86">
            <w:pPr>
              <w:pStyle w:val="40"/>
              <w:spacing w:line="360" w:lineRule="auto"/>
              <w:ind w:left="-342" w:right="-354"/>
              <w:jc w:val="center"/>
              <w:rPr>
                <w:rFonts w:ascii="宋体" w:hAnsi="宋体" w:cs="宋体"/>
                <w:color w:val="auto"/>
                <w:kern w:val="2"/>
                <w:sz w:val="21"/>
                <w:highlight w:val="none"/>
              </w:rPr>
            </w:pPr>
          </w:p>
        </w:tc>
      </w:tr>
    </w:tbl>
    <w:p w14:paraId="47F8FA79">
      <w:pPr>
        <w:pStyle w:val="40"/>
        <w:spacing w:line="360" w:lineRule="auto"/>
        <w:rPr>
          <w:rFonts w:hint="eastAsia" w:ascii="宋体" w:hAnsi="宋体" w:cs="宋体"/>
          <w:b/>
          <w:color w:val="auto"/>
          <w:highlight w:val="none"/>
        </w:rPr>
      </w:pPr>
    </w:p>
    <w:p w14:paraId="1679D6D1">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兹声明：以上投标报价在投标有效期内一直有效。 </w:t>
      </w:r>
    </w:p>
    <w:p w14:paraId="5DD6615A">
      <w:pPr>
        <w:pStyle w:val="40"/>
        <w:spacing w:line="360" w:lineRule="auto"/>
        <w:rPr>
          <w:rFonts w:ascii="宋体" w:hAnsi="宋体" w:cs="宋体"/>
          <w:b/>
          <w:color w:val="auto"/>
          <w:highlight w:val="none"/>
        </w:rPr>
      </w:pPr>
      <w:r>
        <w:rPr>
          <w:rFonts w:hint="eastAsia" w:ascii="宋体" w:hAnsi="宋体" w:cs="宋体"/>
          <w:b/>
          <w:color w:val="auto"/>
          <w:highlight w:val="none"/>
        </w:rPr>
        <w:t>注：1、本表固定格式不得更改，投标人只能按要求填报，否则将被视为无效投标 。</w:t>
      </w:r>
    </w:p>
    <w:p w14:paraId="510B545B">
      <w:pPr>
        <w:pStyle w:val="40"/>
        <w:spacing w:line="360" w:lineRule="auto"/>
        <w:rPr>
          <w:rFonts w:ascii="宋体" w:hAnsi="宋体" w:cs="宋体"/>
          <w:b/>
          <w:color w:val="auto"/>
          <w:highlight w:val="none"/>
        </w:rPr>
      </w:pPr>
      <w:r>
        <w:rPr>
          <w:rFonts w:hint="eastAsia" w:ascii="宋体" w:hAnsi="宋体" w:cs="宋体"/>
          <w:b/>
          <w:color w:val="auto"/>
          <w:highlight w:val="none"/>
        </w:rPr>
        <w:t>3、投标报价以下浮率进行报价。</w:t>
      </w:r>
    </w:p>
    <w:p w14:paraId="6281B7BE">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4、投标报价保留小数点后两位。如有大小写不一致时，以大写为准。 </w:t>
      </w:r>
    </w:p>
    <w:p w14:paraId="64DDC254">
      <w:pPr>
        <w:pStyle w:val="40"/>
        <w:spacing w:line="360" w:lineRule="auto"/>
        <w:rPr>
          <w:rFonts w:ascii="宋体" w:hAnsi="宋体" w:cs="宋体"/>
          <w:b/>
          <w:color w:val="auto"/>
          <w:highlight w:val="none"/>
        </w:rPr>
      </w:pPr>
    </w:p>
    <w:p w14:paraId="4F350202">
      <w:pPr>
        <w:pStyle w:val="2"/>
        <w:ind w:left="420" w:firstLine="480"/>
        <w:rPr>
          <w:rFonts w:ascii="宋体" w:hAnsi="宋体" w:cs="宋体"/>
          <w:sz w:val="24"/>
          <w:szCs w:val="24"/>
          <w:highlight w:val="none"/>
        </w:rPr>
      </w:pPr>
    </w:p>
    <w:p w14:paraId="5DC552F2">
      <w:pPr>
        <w:pStyle w:val="2"/>
        <w:ind w:left="420" w:firstLine="480"/>
        <w:rPr>
          <w:rFonts w:ascii="宋体" w:hAnsi="宋体" w:cs="宋体"/>
          <w:sz w:val="24"/>
          <w:szCs w:val="24"/>
          <w:highlight w:val="none"/>
        </w:rPr>
      </w:pPr>
    </w:p>
    <w:p w14:paraId="31C2436E">
      <w:pPr>
        <w:pStyle w:val="2"/>
        <w:ind w:left="420" w:firstLine="2880" w:firstLineChars="1200"/>
        <w:rPr>
          <w:rFonts w:ascii="宋体" w:hAnsi="宋体" w:cs="宋体"/>
          <w:sz w:val="24"/>
          <w:szCs w:val="24"/>
          <w:highlight w:val="none"/>
        </w:rPr>
      </w:pPr>
      <w:r>
        <w:rPr>
          <w:rFonts w:hint="eastAsia" w:ascii="宋体" w:hAnsi="宋体" w:cs="宋体"/>
          <w:sz w:val="24"/>
          <w:szCs w:val="24"/>
          <w:highlight w:val="none"/>
        </w:rPr>
        <w:t>投标人（公章）：</w:t>
      </w:r>
    </w:p>
    <w:p w14:paraId="004C6F3E">
      <w:pPr>
        <w:pStyle w:val="2"/>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F510494">
      <w:pPr>
        <w:pStyle w:val="2"/>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1603BF0E">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558B9A59">
      <w:pPr>
        <w:pStyle w:val="40"/>
        <w:spacing w:line="360" w:lineRule="auto"/>
        <w:rPr>
          <w:rFonts w:ascii="宋体" w:hAnsi="宋体" w:cs="宋体"/>
          <w:b/>
          <w:color w:val="auto"/>
          <w:highlight w:val="none"/>
        </w:rPr>
      </w:pPr>
    </w:p>
    <w:p w14:paraId="7F35FB0C">
      <w:pPr>
        <w:pStyle w:val="40"/>
        <w:spacing w:line="360" w:lineRule="auto"/>
        <w:rPr>
          <w:rFonts w:ascii="宋体" w:hAnsi="宋体" w:cs="宋体"/>
          <w:b/>
          <w:color w:val="auto"/>
          <w:highlight w:val="none"/>
        </w:rPr>
      </w:pPr>
    </w:p>
    <w:p w14:paraId="2214FE12">
      <w:pPr>
        <w:pStyle w:val="40"/>
        <w:spacing w:line="360" w:lineRule="auto"/>
        <w:rPr>
          <w:rFonts w:ascii="宋体" w:hAnsi="宋体" w:cs="宋体"/>
          <w:b/>
          <w:color w:val="auto"/>
          <w:highlight w:val="none"/>
        </w:rPr>
      </w:pPr>
    </w:p>
    <w:p w14:paraId="16DFB26B">
      <w:pPr>
        <w:pStyle w:val="40"/>
        <w:spacing w:line="360" w:lineRule="auto"/>
        <w:rPr>
          <w:rFonts w:ascii="宋体" w:hAnsi="宋体" w:cs="宋体"/>
          <w:b/>
          <w:color w:val="auto"/>
          <w:highlight w:val="none"/>
        </w:rPr>
      </w:pPr>
    </w:p>
    <w:p w14:paraId="46D47671">
      <w:pPr>
        <w:pStyle w:val="40"/>
        <w:spacing w:line="360" w:lineRule="auto"/>
        <w:rPr>
          <w:rFonts w:ascii="宋体" w:hAnsi="宋体" w:cs="宋体"/>
          <w:b/>
          <w:color w:val="auto"/>
          <w:highlight w:val="none"/>
        </w:rPr>
        <w:sectPr>
          <w:footerReference r:id="rId11" w:type="default"/>
          <w:pgSz w:w="11910" w:h="16840"/>
          <w:pgMar w:top="1440" w:right="1800" w:bottom="1043" w:left="1800" w:header="714" w:footer="587" w:gutter="0"/>
          <w:cols w:space="720" w:num="1"/>
        </w:sectPr>
      </w:pPr>
    </w:p>
    <w:p w14:paraId="4EFA0CD0">
      <w:pPr>
        <w:pStyle w:val="40"/>
        <w:spacing w:line="360" w:lineRule="auto"/>
        <w:rPr>
          <w:rFonts w:ascii="宋体" w:hAnsi="宋体" w:cs="宋体"/>
          <w:b/>
          <w:color w:val="auto"/>
          <w:highlight w:val="none"/>
        </w:rPr>
      </w:pPr>
    </w:p>
    <w:p w14:paraId="205FD823">
      <w:pPr>
        <w:numPr>
          <w:ilvl w:val="0"/>
          <w:numId w:val="11"/>
        </w:numPr>
        <w:spacing w:line="360" w:lineRule="auto"/>
        <w:rPr>
          <w:rFonts w:ascii="宋体" w:hAnsi="宋体" w:cs="宋体"/>
          <w:b/>
          <w:sz w:val="24"/>
          <w:szCs w:val="24"/>
          <w:highlight w:val="none"/>
        </w:rPr>
      </w:pPr>
      <w:r>
        <w:rPr>
          <w:rFonts w:hint="eastAsia" w:ascii="宋体" w:hAnsi="宋体" w:cs="宋体"/>
          <w:b/>
          <w:sz w:val="24"/>
          <w:szCs w:val="24"/>
          <w:highlight w:val="none"/>
        </w:rPr>
        <w:t>投标方资质证明文件</w:t>
      </w:r>
    </w:p>
    <w:p w14:paraId="21FDD4E9">
      <w:pPr>
        <w:spacing w:line="360" w:lineRule="auto"/>
        <w:rPr>
          <w:rFonts w:ascii="宋体" w:hAnsi="宋体" w:cs="宋体"/>
          <w:sz w:val="24"/>
          <w:szCs w:val="22"/>
          <w:highlight w:val="none"/>
        </w:rPr>
      </w:pPr>
      <w:r>
        <w:rPr>
          <w:rFonts w:hint="eastAsia" w:ascii="宋体" w:hAnsi="宋体" w:cs="宋体"/>
          <w:sz w:val="24"/>
          <w:szCs w:val="22"/>
          <w:highlight w:val="none"/>
        </w:rPr>
        <w:t>4.1满足《中华人民共和国政府采购法》第二十二条规定（提供承诺书）；</w:t>
      </w:r>
    </w:p>
    <w:p w14:paraId="059F00E1">
      <w:pPr>
        <w:spacing w:line="360" w:lineRule="auto"/>
        <w:rPr>
          <w:rFonts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5CD7628B">
      <w:pPr>
        <w:spacing w:line="360" w:lineRule="auto"/>
        <w:rPr>
          <w:rFonts w:ascii="宋体" w:hAnsi="宋体" w:cs="宋体"/>
          <w:sz w:val="24"/>
          <w:szCs w:val="22"/>
          <w:highlight w:val="none"/>
        </w:rPr>
      </w:pPr>
      <w:r>
        <w:rPr>
          <w:rFonts w:hint="eastAsia" w:ascii="宋体" w:hAnsi="宋体" w:cs="宋体"/>
          <w:sz w:val="24"/>
          <w:szCs w:val="22"/>
          <w:highlight w:val="none"/>
        </w:rPr>
        <w:t>4.3</w:t>
      </w:r>
      <w:r>
        <w:rPr>
          <w:rFonts w:hint="eastAsia" w:ascii="宋体" w:hAnsi="宋体" w:cs="宋体"/>
          <w:bCs/>
          <w:sz w:val="24"/>
          <w:szCs w:val="24"/>
          <w:highlight w:val="none"/>
        </w:rPr>
        <w:t>具有有效的《食品经营许可证》或《食品生产许可证》</w:t>
      </w:r>
      <w:r>
        <w:rPr>
          <w:rFonts w:hint="eastAsia" w:ascii="宋体" w:hAnsi="宋体" w:cs="宋体"/>
          <w:bCs/>
          <w:sz w:val="24"/>
          <w:szCs w:val="24"/>
          <w:highlight w:val="none"/>
          <w:lang w:val="en-US" w:eastAsia="zh-CN"/>
        </w:rPr>
        <w:t>或食品安全监督管理部门备案证明</w:t>
      </w:r>
      <w:r>
        <w:rPr>
          <w:rFonts w:hint="eastAsia" w:ascii="宋体" w:hAnsi="宋体" w:cs="宋体"/>
          <w:sz w:val="24"/>
          <w:szCs w:val="22"/>
          <w:highlight w:val="none"/>
        </w:rPr>
        <w:t xml:space="preserve">； </w:t>
      </w:r>
    </w:p>
    <w:p w14:paraId="74C2D179">
      <w:pPr>
        <w:spacing w:line="360" w:lineRule="auto"/>
        <w:rPr>
          <w:rFonts w:ascii="宋体" w:hAnsi="宋体" w:cs="宋体"/>
          <w:sz w:val="24"/>
          <w:szCs w:val="22"/>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r>
        <w:rPr>
          <w:rFonts w:hint="eastAsia" w:ascii="宋体" w:hAnsi="宋体" w:cs="宋体"/>
          <w:sz w:val="24"/>
          <w:szCs w:val="22"/>
          <w:highlight w:val="none"/>
        </w:rPr>
        <w:t>。</w:t>
      </w:r>
    </w:p>
    <w:p w14:paraId="61BD7269">
      <w:pPr>
        <w:autoSpaceDE w:val="0"/>
        <w:autoSpaceDN w:val="0"/>
        <w:adjustRightInd w:val="0"/>
        <w:spacing w:line="360" w:lineRule="auto"/>
        <w:ind w:firstLine="482" w:firstLineChars="200"/>
        <w:rPr>
          <w:rFonts w:ascii="宋体" w:hAnsi="宋体" w:cs="仿宋_GB2312"/>
          <w:b/>
          <w:bCs/>
          <w:sz w:val="24"/>
          <w:highlight w:val="none"/>
        </w:rPr>
        <w:sectPr>
          <w:pgSz w:w="11910" w:h="16840"/>
          <w:pgMar w:top="1440" w:right="1800" w:bottom="1043" w:left="1800" w:header="714" w:footer="587" w:gutter="0"/>
          <w:cols w:space="720" w:num="1"/>
        </w:sectPr>
      </w:pPr>
    </w:p>
    <w:p w14:paraId="09AD3CCE">
      <w:pPr>
        <w:autoSpaceDE w:val="0"/>
        <w:autoSpaceDN w:val="0"/>
        <w:adjustRightInd w:val="0"/>
        <w:spacing w:line="360" w:lineRule="auto"/>
        <w:ind w:firstLine="482" w:firstLineChars="200"/>
        <w:rPr>
          <w:rFonts w:ascii="宋体" w:hAnsi="宋体" w:cs="仿宋_GB2312"/>
          <w:sz w:val="24"/>
          <w:highlight w:val="none"/>
        </w:rPr>
      </w:pPr>
      <w:r>
        <w:rPr>
          <w:rFonts w:hint="eastAsia" w:ascii="宋体" w:hAnsi="宋体" w:cs="仿宋_GB2312"/>
          <w:b/>
          <w:bCs/>
          <w:sz w:val="24"/>
          <w:highlight w:val="none"/>
        </w:rPr>
        <w:t xml:space="preserve">附件4.1  </w:t>
      </w:r>
      <w:r>
        <w:rPr>
          <w:rFonts w:ascii="宋体" w:hAnsi="宋体" w:cs="宋体"/>
          <w:sz w:val="24"/>
          <w:highlight w:val="none"/>
        </w:rPr>
        <w:t>满足《中华人民共和国政府采购法》第二十</w:t>
      </w:r>
      <w:r>
        <w:rPr>
          <w:rFonts w:hint="eastAsia" w:ascii="宋体" w:hAnsi="宋体" w:cs="宋体"/>
          <w:sz w:val="24"/>
          <w:highlight w:val="none"/>
        </w:rPr>
        <w:t>二</w:t>
      </w:r>
      <w:r>
        <w:rPr>
          <w:rFonts w:ascii="宋体" w:hAnsi="宋体" w:cs="宋体"/>
          <w:sz w:val="24"/>
          <w:highlight w:val="none"/>
        </w:rPr>
        <w:t>条规定</w:t>
      </w:r>
      <w:r>
        <w:rPr>
          <w:rFonts w:hint="eastAsia" w:ascii="宋体" w:hAnsi="宋体" w:cs="宋体"/>
          <w:sz w:val="24"/>
          <w:highlight w:val="none"/>
        </w:rPr>
        <w:t>（提供承诺书）；</w:t>
      </w:r>
    </w:p>
    <w:p w14:paraId="0436C51F">
      <w:pPr>
        <w:jc w:val="center"/>
        <w:rPr>
          <w:rFonts w:ascii="宋体" w:hAnsi="宋体" w:cs="宋体"/>
          <w:b/>
          <w:sz w:val="24"/>
          <w:szCs w:val="24"/>
          <w:highlight w:val="none"/>
        </w:rPr>
      </w:pPr>
    </w:p>
    <w:p w14:paraId="300E6F2C">
      <w:pPr>
        <w:jc w:val="center"/>
        <w:rPr>
          <w:rFonts w:ascii="宋体" w:hAnsi="宋体" w:cs="宋体"/>
          <w:b/>
          <w:sz w:val="24"/>
          <w:szCs w:val="24"/>
          <w:highlight w:val="none"/>
        </w:rPr>
      </w:pPr>
    </w:p>
    <w:p w14:paraId="5624F7AD">
      <w:pPr>
        <w:jc w:val="center"/>
        <w:rPr>
          <w:rFonts w:ascii="宋体" w:hAnsi="宋体" w:cs="宋体"/>
          <w:b/>
          <w:sz w:val="24"/>
          <w:szCs w:val="24"/>
          <w:highlight w:val="none"/>
        </w:rPr>
      </w:pPr>
      <w:r>
        <w:rPr>
          <w:rFonts w:hint="eastAsia" w:ascii="宋体" w:hAnsi="宋体" w:cs="宋体"/>
          <w:b/>
          <w:sz w:val="24"/>
          <w:szCs w:val="24"/>
          <w:highlight w:val="none"/>
        </w:rPr>
        <w:t>符合《政府采购法》第二十二条内容的承诺书</w:t>
      </w:r>
    </w:p>
    <w:p w14:paraId="7AADE0E0">
      <w:pPr>
        <w:spacing w:line="360" w:lineRule="auto"/>
        <w:ind w:firstLine="120" w:firstLineChars="50"/>
        <w:rPr>
          <w:rFonts w:ascii="宋体" w:hAnsi="宋体" w:cs="宋体"/>
          <w:b/>
          <w:bCs/>
          <w:sz w:val="24"/>
          <w:szCs w:val="24"/>
          <w:highlight w:val="none"/>
        </w:rPr>
      </w:pPr>
    </w:p>
    <w:p w14:paraId="2F741409">
      <w:pPr>
        <w:spacing w:line="360" w:lineRule="auto"/>
        <w:ind w:firstLine="120" w:firstLineChars="50"/>
        <w:rPr>
          <w:rFonts w:hint="eastAsia" w:ascii="宋体" w:hAnsi="宋体" w:eastAsia="宋体" w:cs="宋体"/>
          <w:sz w:val="24"/>
          <w:szCs w:val="24"/>
          <w:highlight w:val="none"/>
          <w:u w:val="single"/>
          <w:lang w:eastAsia="zh-CN"/>
        </w:rPr>
      </w:pPr>
      <w:r>
        <w:rPr>
          <w:rFonts w:hint="eastAsia" w:ascii="宋体" w:hAnsi="宋体" w:cs="宋体"/>
          <w:b/>
          <w:bCs/>
          <w:sz w:val="24"/>
          <w:szCs w:val="24"/>
          <w:highlight w:val="none"/>
        </w:rPr>
        <w:t>致：</w:t>
      </w:r>
      <w:r>
        <w:rPr>
          <w:rFonts w:hint="eastAsia" w:ascii="宋体" w:hAnsi="宋体" w:cs="宋体"/>
          <w:b/>
          <w:bCs/>
          <w:sz w:val="24"/>
          <w:szCs w:val="24"/>
          <w:highlight w:val="none"/>
          <w:u w:val="single"/>
          <w:lang w:eastAsia="zh-CN"/>
        </w:rPr>
        <w:t>新疆锦瑞祥工程项目咨询管理有限公司</w:t>
      </w:r>
    </w:p>
    <w:p w14:paraId="037F709D">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关于贵方</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项目编号 </w:t>
      </w:r>
      <w:r>
        <w:rPr>
          <w:rFonts w:hint="eastAsia" w:ascii="宋体" w:hAnsi="宋体" w:cs="宋体"/>
          <w:sz w:val="24"/>
          <w:szCs w:val="24"/>
          <w:highlight w:val="none"/>
        </w:rPr>
        <w:t xml:space="preserve">投标邀请， </w:t>
      </w:r>
      <w:r>
        <w:rPr>
          <w:rFonts w:hint="eastAsia" w:ascii="宋体" w:hAnsi="宋体" w:cs="宋体"/>
          <w:b/>
          <w:bCs/>
          <w:sz w:val="24"/>
          <w:szCs w:val="24"/>
          <w:highlight w:val="none"/>
          <w:u w:val="singl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愿意参加投标，提供招标文件中规定的货物和服务，并声明我公司符合《政府采购法》第二十二条之规定：</w:t>
      </w:r>
    </w:p>
    <w:p w14:paraId="02879D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（一）具有独立承担民事责任的能力；</w:t>
      </w:r>
    </w:p>
    <w:p w14:paraId="098624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（二）具有良好的商业信誉和健全的财务会计制度；</w:t>
      </w:r>
    </w:p>
    <w:p w14:paraId="3C8511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（三）具有履行合同所必需的设备和专业技术能力；</w:t>
      </w:r>
    </w:p>
    <w:p w14:paraId="23CCD0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（四）有依法缴纳税收和社会保障资金的良好记录；</w:t>
      </w:r>
    </w:p>
    <w:p w14:paraId="69201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（五）参加政府采购活动前三年内，在经营活动中没有重大违法记录；</w:t>
      </w:r>
    </w:p>
    <w:p w14:paraId="3F70CC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（六）满足法律、行政法规规定的其他条件。</w:t>
      </w:r>
    </w:p>
    <w:p w14:paraId="029648A7">
      <w:pPr>
        <w:spacing w:line="360" w:lineRule="auto"/>
        <w:ind w:firstLine="120" w:firstLineChars="50"/>
        <w:jc w:val="right"/>
        <w:rPr>
          <w:rFonts w:ascii="宋体" w:hAnsi="宋体" w:cs="宋体"/>
          <w:sz w:val="24"/>
          <w:szCs w:val="24"/>
          <w:highlight w:val="none"/>
        </w:rPr>
      </w:pPr>
    </w:p>
    <w:p w14:paraId="2D252B0B">
      <w:pPr>
        <w:pStyle w:val="2"/>
        <w:ind w:left="420" w:firstLine="480"/>
        <w:rPr>
          <w:highlight w:val="none"/>
        </w:rPr>
      </w:pPr>
      <w:r>
        <w:rPr>
          <w:rFonts w:hint="eastAsia" w:ascii="宋体" w:hAnsi="宋体" w:cs="宋体"/>
          <w:sz w:val="24"/>
          <w:szCs w:val="24"/>
          <w:highlight w:val="none"/>
        </w:rPr>
        <w:t>特此声明！</w:t>
      </w:r>
    </w:p>
    <w:p w14:paraId="62ADCF89">
      <w:pPr>
        <w:pStyle w:val="5"/>
        <w:rPr>
          <w:highlight w:val="none"/>
        </w:rPr>
      </w:pPr>
    </w:p>
    <w:p w14:paraId="74CCB061">
      <w:pPr>
        <w:ind w:firstLine="482" w:firstLineChars="200"/>
        <w:rPr>
          <w:rFonts w:ascii="宋体" w:hAnsi="宋体"/>
          <w:b/>
          <w:sz w:val="24"/>
          <w:highlight w:val="none"/>
        </w:rPr>
      </w:pPr>
    </w:p>
    <w:p w14:paraId="55E0388A">
      <w:pPr>
        <w:ind w:firstLine="482" w:firstLineChars="200"/>
        <w:rPr>
          <w:rFonts w:ascii="宋体" w:hAnsi="宋体"/>
          <w:b/>
          <w:sz w:val="24"/>
          <w:highlight w:val="none"/>
        </w:rPr>
      </w:pPr>
    </w:p>
    <w:p w14:paraId="186E221F">
      <w:pPr>
        <w:ind w:firstLine="482" w:firstLineChars="200"/>
        <w:rPr>
          <w:rFonts w:ascii="宋体" w:hAnsi="宋体"/>
          <w:b/>
          <w:sz w:val="24"/>
          <w:highlight w:val="none"/>
        </w:rPr>
      </w:pPr>
    </w:p>
    <w:p w14:paraId="4722CA07">
      <w:pPr>
        <w:pStyle w:val="2"/>
        <w:ind w:left="420" w:firstLine="480"/>
        <w:rPr>
          <w:rFonts w:ascii="宋体" w:hAnsi="宋体" w:cs="宋体"/>
          <w:sz w:val="24"/>
          <w:szCs w:val="24"/>
          <w:highlight w:val="none"/>
        </w:rPr>
      </w:pPr>
      <w:r>
        <w:rPr>
          <w:rFonts w:hint="eastAsia" w:ascii="宋体" w:hAnsi="宋体" w:cs="宋体"/>
          <w:sz w:val="24"/>
          <w:szCs w:val="24"/>
          <w:highlight w:val="none"/>
        </w:rPr>
        <w:t>投标人（公章）：</w:t>
      </w:r>
    </w:p>
    <w:p w14:paraId="58FF4CE3">
      <w:pPr>
        <w:pStyle w:val="2"/>
        <w:ind w:left="420" w:firstLine="48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78A943A">
      <w:pPr>
        <w:pStyle w:val="2"/>
        <w:ind w:left="420" w:firstLine="48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2D32F86D">
      <w:pPr>
        <w:pStyle w:val="5"/>
        <w:ind w:firstLine="0"/>
        <w:rPr>
          <w:highlight w:val="none"/>
        </w:rPr>
      </w:pPr>
    </w:p>
    <w:p w14:paraId="6D88919D">
      <w:pPr>
        <w:pStyle w:val="5"/>
        <w:ind w:firstLine="0"/>
        <w:rPr>
          <w:highlight w:val="none"/>
        </w:rPr>
      </w:pPr>
    </w:p>
    <w:p w14:paraId="2FF6FE90">
      <w:pPr>
        <w:pStyle w:val="5"/>
        <w:ind w:firstLine="0"/>
        <w:rPr>
          <w:highlight w:val="none"/>
        </w:rPr>
      </w:pPr>
    </w:p>
    <w:p w14:paraId="035EAB5B">
      <w:pPr>
        <w:spacing w:line="360" w:lineRule="auto"/>
        <w:rPr>
          <w:rFonts w:ascii="宋体" w:hAnsi="宋体" w:cs="宋体"/>
          <w:b/>
          <w:sz w:val="24"/>
          <w:szCs w:val="24"/>
          <w:highlight w:val="none"/>
        </w:rPr>
      </w:pPr>
    </w:p>
    <w:p w14:paraId="44913C26">
      <w:pPr>
        <w:spacing w:line="360" w:lineRule="auto"/>
        <w:rPr>
          <w:rFonts w:ascii="宋体" w:hAnsi="宋体" w:cs="宋体"/>
          <w:b/>
          <w:sz w:val="24"/>
          <w:szCs w:val="24"/>
          <w:highlight w:val="none"/>
        </w:rPr>
      </w:pPr>
    </w:p>
    <w:p w14:paraId="5986F663">
      <w:pPr>
        <w:spacing w:line="360" w:lineRule="auto"/>
        <w:rPr>
          <w:rFonts w:ascii="宋体" w:hAnsi="宋体" w:cs="宋体"/>
          <w:b/>
          <w:sz w:val="24"/>
          <w:szCs w:val="24"/>
          <w:highlight w:val="none"/>
        </w:rPr>
        <w:sectPr>
          <w:pgSz w:w="11910" w:h="16840"/>
          <w:pgMar w:top="1440" w:right="1800" w:bottom="1043" w:left="1800" w:header="714" w:footer="587" w:gutter="0"/>
          <w:cols w:space="720" w:num="1"/>
        </w:sectPr>
      </w:pPr>
    </w:p>
    <w:p w14:paraId="0752805C">
      <w:pPr>
        <w:spacing w:line="360" w:lineRule="auto"/>
        <w:rPr>
          <w:rFonts w:ascii="宋体" w:hAnsi="宋体" w:cs="宋体"/>
          <w:b/>
          <w:sz w:val="24"/>
          <w:szCs w:val="24"/>
          <w:highlight w:val="none"/>
        </w:rPr>
      </w:pPr>
      <w:r>
        <w:rPr>
          <w:rFonts w:hint="eastAsia" w:ascii="宋体" w:hAnsi="宋体" w:cs="宋体"/>
          <w:b/>
          <w:sz w:val="24"/>
          <w:szCs w:val="24"/>
          <w:highlight w:val="none"/>
        </w:rPr>
        <w:t>（五）非联合体投标声明</w:t>
      </w:r>
    </w:p>
    <w:p w14:paraId="64CE1238">
      <w:pPr>
        <w:jc w:val="center"/>
        <w:rPr>
          <w:rFonts w:ascii="宋体" w:hAnsi="宋体"/>
          <w:b/>
          <w:sz w:val="24"/>
          <w:szCs w:val="24"/>
          <w:highlight w:val="none"/>
        </w:rPr>
      </w:pPr>
      <w:r>
        <w:rPr>
          <w:rFonts w:hint="eastAsia" w:ascii="宋体" w:hAnsi="宋体"/>
          <w:b/>
          <w:sz w:val="24"/>
          <w:szCs w:val="24"/>
          <w:highlight w:val="none"/>
        </w:rPr>
        <w:t>非联合体投标声明</w:t>
      </w:r>
    </w:p>
    <w:p w14:paraId="202439C6">
      <w:pPr>
        <w:ind w:firstLine="642"/>
        <w:rPr>
          <w:rFonts w:ascii="宋体" w:hAnsi="宋体"/>
          <w:b/>
          <w:sz w:val="24"/>
          <w:szCs w:val="24"/>
          <w:highlight w:val="none"/>
        </w:rPr>
      </w:pPr>
    </w:p>
    <w:p w14:paraId="22F97A00">
      <w:pPr>
        <w:ind w:firstLine="642"/>
        <w:rPr>
          <w:rFonts w:ascii="宋体" w:hAnsi="宋体"/>
          <w:b/>
          <w:sz w:val="24"/>
          <w:szCs w:val="24"/>
          <w:highlight w:val="none"/>
        </w:rPr>
      </w:pPr>
    </w:p>
    <w:p w14:paraId="67ABB29F">
      <w:pPr>
        <w:ind w:firstLine="642"/>
        <w:rPr>
          <w:rFonts w:ascii="宋体" w:hAnsi="宋体"/>
          <w:b/>
          <w:sz w:val="24"/>
          <w:szCs w:val="24"/>
          <w:highlight w:val="none"/>
        </w:rPr>
      </w:pPr>
    </w:p>
    <w:p w14:paraId="3F7AF831">
      <w:pPr>
        <w:ind w:firstLine="642"/>
        <w:rPr>
          <w:rFonts w:ascii="宋体" w:hAnsi="宋体"/>
          <w:b/>
          <w:sz w:val="24"/>
          <w:szCs w:val="24"/>
          <w:highlight w:val="none"/>
        </w:rPr>
      </w:pPr>
      <w:r>
        <w:rPr>
          <w:rFonts w:hint="eastAsia" w:ascii="宋体" w:hAnsi="宋体"/>
          <w:b/>
          <w:sz w:val="24"/>
          <w:szCs w:val="24"/>
          <w:highlight w:val="none"/>
        </w:rPr>
        <w:t>本项目非联合体投标，特此声明。</w:t>
      </w:r>
    </w:p>
    <w:p w14:paraId="5ACC426E">
      <w:pPr>
        <w:ind w:firstLine="642"/>
        <w:rPr>
          <w:rFonts w:ascii="宋体" w:hAnsi="宋体"/>
          <w:b/>
          <w:sz w:val="24"/>
          <w:szCs w:val="24"/>
          <w:highlight w:val="none"/>
        </w:rPr>
      </w:pPr>
    </w:p>
    <w:p w14:paraId="6C82FBC8">
      <w:pPr>
        <w:ind w:firstLine="642"/>
        <w:rPr>
          <w:rFonts w:ascii="宋体" w:hAnsi="宋体"/>
          <w:b/>
          <w:sz w:val="24"/>
          <w:szCs w:val="24"/>
          <w:highlight w:val="none"/>
        </w:rPr>
      </w:pPr>
    </w:p>
    <w:p w14:paraId="6D2B481B">
      <w:pPr>
        <w:ind w:firstLine="642"/>
        <w:rPr>
          <w:rFonts w:ascii="宋体" w:hAnsi="宋体"/>
          <w:b/>
          <w:sz w:val="24"/>
          <w:szCs w:val="24"/>
          <w:highlight w:val="none"/>
        </w:rPr>
      </w:pPr>
    </w:p>
    <w:p w14:paraId="410AA9DD">
      <w:pPr>
        <w:ind w:firstLine="642"/>
        <w:rPr>
          <w:rFonts w:ascii="宋体" w:hAnsi="宋体"/>
          <w:b/>
          <w:sz w:val="24"/>
          <w:szCs w:val="24"/>
          <w:highlight w:val="none"/>
        </w:rPr>
      </w:pPr>
    </w:p>
    <w:p w14:paraId="736AE9E1">
      <w:pPr>
        <w:ind w:firstLine="642"/>
        <w:rPr>
          <w:rFonts w:ascii="宋体" w:hAnsi="宋体"/>
          <w:b/>
          <w:sz w:val="24"/>
          <w:szCs w:val="24"/>
          <w:highlight w:val="none"/>
        </w:rPr>
      </w:pPr>
    </w:p>
    <w:p w14:paraId="415C49E4">
      <w:pPr>
        <w:ind w:firstLine="642"/>
        <w:rPr>
          <w:rFonts w:ascii="宋体" w:hAnsi="宋体"/>
          <w:b/>
          <w:sz w:val="24"/>
          <w:szCs w:val="24"/>
          <w:highlight w:val="none"/>
        </w:rPr>
      </w:pPr>
    </w:p>
    <w:p w14:paraId="6327C214">
      <w:pPr>
        <w:pStyle w:val="2"/>
        <w:ind w:left="420" w:firstLine="482"/>
        <w:rPr>
          <w:rFonts w:ascii="宋体" w:hAnsi="宋体" w:cs="宋体"/>
          <w:sz w:val="24"/>
          <w:szCs w:val="24"/>
          <w:highlight w:val="none"/>
        </w:rPr>
      </w:pPr>
      <w:r>
        <w:rPr>
          <w:rFonts w:hint="eastAsia" w:ascii="宋体" w:hAnsi="宋体"/>
          <w:b/>
          <w:sz w:val="24"/>
          <w:szCs w:val="24"/>
          <w:highlight w:val="none"/>
        </w:rPr>
        <w:t xml:space="preserve">    </w:t>
      </w:r>
      <w:r>
        <w:rPr>
          <w:rFonts w:hint="eastAsia" w:ascii="宋体" w:hAnsi="宋体" w:cs="宋体"/>
          <w:sz w:val="24"/>
          <w:szCs w:val="24"/>
          <w:highlight w:val="none"/>
        </w:rPr>
        <w:t>投标人（公章）：</w:t>
      </w:r>
    </w:p>
    <w:p w14:paraId="27699413">
      <w:pPr>
        <w:pStyle w:val="2"/>
        <w:ind w:left="420" w:firstLine="960" w:firstLineChars="4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21618C5">
      <w:pPr>
        <w:pStyle w:val="5"/>
        <w:ind w:firstLine="1440" w:firstLineChars="600"/>
        <w:rPr>
          <w:rFonts w:ascii="宋体" w:hAnsi="宋体"/>
          <w:b/>
          <w:sz w:val="24"/>
          <w:szCs w:val="24"/>
          <w:highlight w:val="none"/>
        </w:rPr>
      </w:pPr>
      <w:r>
        <w:rPr>
          <w:rFonts w:hint="eastAsia" w:ascii="宋体" w:hAnsi="宋体" w:cs="宋体"/>
          <w:sz w:val="24"/>
          <w:szCs w:val="24"/>
          <w:highlight w:val="none"/>
        </w:rPr>
        <w:t>日   期 ：    年   月   日</w:t>
      </w:r>
    </w:p>
    <w:p w14:paraId="6ECC2844">
      <w:pPr>
        <w:pStyle w:val="5"/>
        <w:ind w:firstLine="1446" w:firstLineChars="600"/>
        <w:rPr>
          <w:rFonts w:ascii="宋体" w:hAnsi="宋体"/>
          <w:b/>
          <w:sz w:val="24"/>
          <w:szCs w:val="24"/>
          <w:highlight w:val="none"/>
        </w:rPr>
      </w:pPr>
    </w:p>
    <w:p w14:paraId="289930B7">
      <w:pPr>
        <w:pStyle w:val="5"/>
        <w:rPr>
          <w:rFonts w:ascii="宋体" w:hAnsi="宋体"/>
          <w:b/>
          <w:sz w:val="24"/>
          <w:szCs w:val="24"/>
          <w:highlight w:val="none"/>
        </w:rPr>
      </w:pPr>
    </w:p>
    <w:p w14:paraId="52290E66">
      <w:pPr>
        <w:pStyle w:val="5"/>
        <w:rPr>
          <w:rFonts w:ascii="宋体" w:hAnsi="宋体"/>
          <w:b/>
          <w:sz w:val="24"/>
          <w:szCs w:val="24"/>
          <w:highlight w:val="none"/>
        </w:rPr>
      </w:pPr>
    </w:p>
    <w:p w14:paraId="01ACED93">
      <w:pPr>
        <w:pStyle w:val="5"/>
        <w:rPr>
          <w:rFonts w:ascii="宋体" w:hAnsi="宋体"/>
          <w:b/>
          <w:sz w:val="24"/>
          <w:szCs w:val="24"/>
          <w:highlight w:val="none"/>
        </w:rPr>
      </w:pPr>
    </w:p>
    <w:p w14:paraId="058BCDCE">
      <w:pPr>
        <w:rPr>
          <w:highlight w:val="none"/>
        </w:rPr>
      </w:pPr>
      <w:r>
        <w:rPr>
          <w:rFonts w:hint="eastAsia"/>
          <w:highlight w:val="none"/>
        </w:rPr>
        <w:br w:type="page"/>
      </w:r>
    </w:p>
    <w:p w14:paraId="06773D13">
      <w:pPr>
        <w:pStyle w:val="5"/>
        <w:ind w:firstLine="0"/>
        <w:rPr>
          <w:rFonts w:ascii="宋体" w:hAnsi="宋体"/>
          <w:b/>
          <w:sz w:val="24"/>
          <w:szCs w:val="24"/>
          <w:highlight w:val="none"/>
        </w:rPr>
      </w:pPr>
    </w:p>
    <w:p w14:paraId="4B31E99D">
      <w:pPr>
        <w:spacing w:line="360" w:lineRule="auto"/>
        <w:rPr>
          <w:rFonts w:ascii="宋体" w:hAnsi="宋体" w:cs="宋体"/>
          <w:b/>
          <w:sz w:val="24"/>
          <w:szCs w:val="24"/>
          <w:highlight w:val="none"/>
        </w:rPr>
      </w:pPr>
      <w:r>
        <w:rPr>
          <w:rFonts w:hint="eastAsia" w:ascii="宋体" w:hAnsi="宋体" w:cs="宋体"/>
          <w:b/>
          <w:sz w:val="24"/>
          <w:szCs w:val="24"/>
          <w:highlight w:val="none"/>
        </w:rPr>
        <w:t xml:space="preserve">（六）关于资格的声明函 </w:t>
      </w:r>
    </w:p>
    <w:p w14:paraId="1FD82A6F">
      <w:pPr>
        <w:spacing w:line="360" w:lineRule="auto"/>
        <w:jc w:val="center"/>
        <w:rPr>
          <w:rFonts w:ascii="宋体" w:hAnsi="宋体" w:cs="宋体"/>
          <w:b/>
          <w:sz w:val="30"/>
          <w:szCs w:val="30"/>
          <w:highlight w:val="none"/>
        </w:rPr>
      </w:pPr>
      <w:r>
        <w:rPr>
          <w:rFonts w:hint="eastAsia" w:ascii="宋体" w:hAnsi="宋体" w:cs="宋体"/>
          <w:b/>
          <w:sz w:val="30"/>
          <w:szCs w:val="30"/>
          <w:highlight w:val="none"/>
        </w:rPr>
        <w:t>关于资格的声明函</w:t>
      </w:r>
    </w:p>
    <w:p w14:paraId="6B163E33">
      <w:pPr>
        <w:spacing w:line="360" w:lineRule="auto"/>
        <w:rPr>
          <w:rFonts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新疆锦瑞祥工程项目咨询管理有限公司</w:t>
      </w:r>
      <w:r>
        <w:rPr>
          <w:rFonts w:hint="eastAsia" w:ascii="宋体" w:hAnsi="宋体" w:cs="宋体"/>
          <w:b/>
          <w:sz w:val="24"/>
          <w:szCs w:val="24"/>
          <w:highlight w:val="none"/>
        </w:rPr>
        <w:t>：</w:t>
      </w:r>
    </w:p>
    <w:p w14:paraId="794046FC">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关于贵方</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（招标编号）招标公告关于</w:t>
      </w:r>
      <w:r>
        <w:rPr>
          <w:rFonts w:hint="eastAsia" w:ascii="宋体" w:hAnsi="宋体" w:cs="宋体"/>
          <w:sz w:val="24"/>
          <w:szCs w:val="24"/>
          <w:highlight w:val="none"/>
          <w:u w:val="single"/>
        </w:rPr>
        <w:t>“　　　　　　　　”</w:t>
      </w:r>
      <w:r>
        <w:rPr>
          <w:rFonts w:hint="eastAsia" w:ascii="宋体" w:hAnsi="宋体" w:cs="宋体"/>
          <w:sz w:val="24"/>
          <w:szCs w:val="24"/>
          <w:highlight w:val="none"/>
        </w:rPr>
        <w:t>的招标项目，本签字人愿意参加投标，并有能力提供</w:t>
      </w:r>
      <w:r>
        <w:rPr>
          <w:rFonts w:hint="eastAsia" w:ascii="宋体" w:hAnsi="宋体" w:cs="宋体"/>
          <w:sz w:val="24"/>
          <w:szCs w:val="24"/>
          <w:highlight w:val="none"/>
          <w:u w:val="single"/>
        </w:rPr>
        <w:t xml:space="preserve">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项目中的招标货物及相关服务，并保证所提交的所有文件和说明是真实和准确的。</w:t>
      </w:r>
    </w:p>
    <w:p w14:paraId="1F2CAEED">
      <w:pPr>
        <w:pStyle w:val="3"/>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投标人名称　                         </w:t>
      </w:r>
      <w:r>
        <w:rPr>
          <w:rFonts w:hint="eastAsia" w:ascii="宋体" w:hAnsi="宋体" w:cs="宋体"/>
          <w:sz w:val="24"/>
          <w:szCs w:val="24"/>
          <w:highlight w:val="none"/>
        </w:rPr>
        <w:t>　　　　</w:t>
      </w:r>
    </w:p>
    <w:p w14:paraId="34A17207">
      <w:pPr>
        <w:pStyle w:val="3"/>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法定代表人或被授权人（签字或印章）：</w:t>
      </w:r>
      <w:r>
        <w:rPr>
          <w:rFonts w:hint="eastAsia" w:ascii="宋体" w:hAnsi="宋体" w:cs="宋体"/>
          <w:sz w:val="24"/>
          <w:szCs w:val="24"/>
          <w:highlight w:val="none"/>
          <w:u w:val="single"/>
        </w:rPr>
        <w:t xml:space="preserve">                 </w:t>
      </w:r>
    </w:p>
    <w:p w14:paraId="7F9ECF6C">
      <w:pPr>
        <w:pStyle w:val="3"/>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投标人地址                                       </w:t>
      </w:r>
      <w:r>
        <w:rPr>
          <w:rFonts w:hint="eastAsia" w:ascii="宋体" w:hAnsi="宋体" w:cs="宋体"/>
          <w:sz w:val="24"/>
          <w:szCs w:val="24"/>
          <w:highlight w:val="none"/>
        </w:rPr>
        <w:t>　　　　　　　　　　　　　</w:t>
      </w:r>
    </w:p>
    <w:p w14:paraId="201C38BE">
      <w:pPr>
        <w:pStyle w:val="3"/>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邮编：</w:t>
      </w:r>
      <w:r>
        <w:rPr>
          <w:rFonts w:hint="eastAsia" w:ascii="宋体" w:hAnsi="宋体" w:cs="宋体"/>
          <w:sz w:val="24"/>
          <w:szCs w:val="24"/>
          <w:highlight w:val="none"/>
          <w:u w:val="single"/>
        </w:rPr>
        <w:t xml:space="preserve">          </w:t>
      </w:r>
      <w:r>
        <w:rPr>
          <w:rFonts w:hint="eastAsia" w:ascii="宋体" w:hAnsi="宋体" w:cs="宋体"/>
          <w:sz w:val="24"/>
          <w:szCs w:val="24"/>
          <w:highlight w:val="none"/>
        </w:rPr>
        <w:t>　　　　　　　　　</w:t>
      </w:r>
    </w:p>
    <w:p w14:paraId="72A791A7">
      <w:pPr>
        <w:pStyle w:val="3"/>
        <w:spacing w:line="360" w:lineRule="auto"/>
        <w:rPr>
          <w:rFonts w:ascii="宋体" w:hAnsi="宋体" w:cs="宋体"/>
          <w:sz w:val="24"/>
          <w:szCs w:val="24"/>
          <w:highlight w:val="none"/>
        </w:rPr>
      </w:pPr>
      <w:r>
        <w:rPr>
          <w:rFonts w:hint="eastAsia" w:ascii="宋体" w:hAnsi="宋体" w:cs="宋体"/>
          <w:sz w:val="24"/>
          <w:szCs w:val="24"/>
          <w:highlight w:val="none"/>
        </w:rPr>
        <w:t>　　　　　　　　　　　　　　　　　　　　</w:t>
      </w:r>
    </w:p>
    <w:p w14:paraId="68A9AD8E">
      <w:pPr>
        <w:pStyle w:val="16"/>
        <w:spacing w:line="360" w:lineRule="auto"/>
        <w:jc w:val="center"/>
        <w:rPr>
          <w:rFonts w:hAnsi="宋体" w:cs="宋体"/>
          <w:bCs/>
          <w:sz w:val="24"/>
          <w:szCs w:val="24"/>
          <w:highlight w:val="none"/>
        </w:rPr>
      </w:pPr>
      <w:r>
        <w:rPr>
          <w:rFonts w:hint="eastAsia" w:hAnsi="宋体" w:cs="宋体"/>
          <w:sz w:val="24"/>
          <w:szCs w:val="24"/>
          <w:highlight w:val="none"/>
        </w:rPr>
        <w:t>　　　　　　　　　　　　　　　　</w:t>
      </w:r>
      <w:r>
        <w:rPr>
          <w:rFonts w:hint="eastAsia" w:hAnsi="宋体" w:cs="宋体"/>
          <w:b/>
          <w:sz w:val="24"/>
          <w:szCs w:val="24"/>
          <w:highlight w:val="none"/>
        </w:rPr>
        <w:t>　</w:t>
      </w:r>
      <w:r>
        <w:rPr>
          <w:rFonts w:hint="eastAsia" w:hAnsi="宋体" w:cs="宋体"/>
          <w:bCs/>
          <w:sz w:val="24"/>
          <w:szCs w:val="24"/>
          <w:highlight w:val="none"/>
        </w:rPr>
        <w:t>声明日期：</w:t>
      </w:r>
      <w:r>
        <w:rPr>
          <w:rFonts w:hint="eastAsia" w:hAnsi="宋体" w:cs="宋体"/>
          <w:bCs/>
          <w:sz w:val="24"/>
          <w:szCs w:val="24"/>
          <w:highlight w:val="none"/>
          <w:u w:val="single"/>
        </w:rPr>
        <w:t>　　</w:t>
      </w:r>
      <w:r>
        <w:rPr>
          <w:rFonts w:hint="eastAsia" w:hAnsi="宋体" w:cs="宋体"/>
          <w:bCs/>
          <w:sz w:val="24"/>
          <w:szCs w:val="24"/>
          <w:highlight w:val="none"/>
        </w:rPr>
        <w:t>年</w:t>
      </w:r>
      <w:r>
        <w:rPr>
          <w:rFonts w:hint="eastAsia" w:hAnsi="宋体" w:cs="宋体"/>
          <w:bCs/>
          <w:sz w:val="24"/>
          <w:szCs w:val="24"/>
          <w:highlight w:val="none"/>
          <w:u w:val="single"/>
        </w:rPr>
        <w:t>　</w:t>
      </w:r>
      <w:r>
        <w:rPr>
          <w:rFonts w:hint="eastAsia" w:hAnsi="宋体" w:cs="宋体"/>
          <w:bCs/>
          <w:sz w:val="24"/>
          <w:szCs w:val="24"/>
          <w:highlight w:val="none"/>
        </w:rPr>
        <w:t>月</w:t>
      </w:r>
      <w:r>
        <w:rPr>
          <w:rFonts w:hint="eastAsia" w:hAnsi="宋体" w:cs="宋体"/>
          <w:bCs/>
          <w:sz w:val="24"/>
          <w:szCs w:val="24"/>
          <w:highlight w:val="none"/>
          <w:u w:val="single"/>
        </w:rPr>
        <w:t>　</w:t>
      </w:r>
      <w:r>
        <w:rPr>
          <w:rFonts w:hint="eastAsia" w:hAnsi="宋体" w:cs="宋体"/>
          <w:bCs/>
          <w:sz w:val="24"/>
          <w:szCs w:val="24"/>
          <w:highlight w:val="none"/>
        </w:rPr>
        <w:t>日</w:t>
      </w:r>
    </w:p>
    <w:p w14:paraId="17D3AFB4">
      <w:pPr>
        <w:rPr>
          <w:rFonts w:hint="eastAsia" w:ascii="宋体" w:hAnsi="宋体" w:cs="宋体"/>
          <w:b/>
          <w:sz w:val="24"/>
          <w:szCs w:val="24"/>
          <w:highlight w:val="none"/>
        </w:rPr>
      </w:pPr>
      <w:r>
        <w:rPr>
          <w:rFonts w:hint="eastAsia" w:ascii="宋体" w:hAnsi="宋体" w:cs="宋体"/>
          <w:b/>
          <w:sz w:val="24"/>
          <w:szCs w:val="24"/>
          <w:highlight w:val="none"/>
        </w:rPr>
        <w:br w:type="page"/>
      </w:r>
    </w:p>
    <w:p w14:paraId="22FD1F40">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（七）产品规格报价明细表</w:t>
      </w:r>
    </w:p>
    <w:p w14:paraId="7249AF01">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产品规格报价明细表</w:t>
      </w:r>
    </w:p>
    <w:p w14:paraId="4D3D130A">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bl>
      <w:tblPr>
        <w:tblStyle w:val="27"/>
        <w:tblW w:w="9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802"/>
        <w:gridCol w:w="637"/>
        <w:gridCol w:w="814"/>
        <w:gridCol w:w="1061"/>
        <w:gridCol w:w="1588"/>
        <w:gridCol w:w="1187"/>
        <w:gridCol w:w="1113"/>
        <w:gridCol w:w="1075"/>
      </w:tblGrid>
      <w:tr w14:paraId="2D4D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7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5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CA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3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F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制造商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E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单价控制价（元）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C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投标单价（元）</w:t>
            </w:r>
          </w:p>
        </w:tc>
      </w:tr>
      <w:tr w14:paraId="66BA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9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3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发酵粉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DC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0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2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B6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C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E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E1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11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E2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F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CC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5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55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C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5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泡打粉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6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C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1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B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4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A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59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D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麻辣鱼作料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66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6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2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4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0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6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CF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11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蕨根粉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E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8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 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23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7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A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46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1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A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豆浆粉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2D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C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8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F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F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E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23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2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胡辣汤料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A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8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28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D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A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26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F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榨菜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E6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B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1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9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5A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7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4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03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E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B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火锅底料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7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C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CD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E8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8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F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41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B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0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2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00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9F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0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53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FC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9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2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纯牛奶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3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1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A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E2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C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3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B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C3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9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3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老面包</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2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C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4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0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B4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6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F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7F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4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2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B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8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C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7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0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5E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E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老酸奶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E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2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7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8D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73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F3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1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6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F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6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2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7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E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D0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7A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8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3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F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0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1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3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E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77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9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1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C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3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A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29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4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3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76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A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9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番茄鸡蛋牛肉面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2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3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1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73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C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D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62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6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奶茶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0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3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2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C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9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CA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燕麦片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E6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D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3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6D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6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5F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DF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3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B2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8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C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4A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1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4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A4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大黄油饼干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7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0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9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5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A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4B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16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7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早餐饼干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5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B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7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5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9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4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56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86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5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6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B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25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A4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1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83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80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5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C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速冻水饺</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3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A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5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B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F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EA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F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6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油条膨松剂</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BC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2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C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BD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6B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9D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D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B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番茄沙司</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8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5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8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C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C1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9E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1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2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芝麻球(小)</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3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9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9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1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38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51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F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3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芝麻球(大)</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C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2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E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D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75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A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6B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D2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0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E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香芋卷</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C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3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0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8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6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B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70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7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1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脆皮香蕉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AA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5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7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BD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0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9E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70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1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D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地瓜丸</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4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D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4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5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82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6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9D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90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7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6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爆米花玉米粒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79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A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72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77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2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F9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AF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F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鸡肉烤肠</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F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1E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AE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7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8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58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A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年糕</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E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B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F3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6A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B1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5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BE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0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B8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9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D8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5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沙拉酱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97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C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8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47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4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5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35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3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麻辣鲜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8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E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31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B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92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A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F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芽菜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F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A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5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F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4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7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9F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E6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7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0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奥尔良腌料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0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2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8B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C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B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F2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0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4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咸鸭蛋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C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6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5EE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5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D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C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8C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B5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C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78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5D1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35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4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A2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E2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6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F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卤蛋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6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2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AE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B8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3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3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B2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F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A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粽子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57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D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8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A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6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AB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B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B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鸡肉火腿肠</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6F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B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E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61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50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0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牛肉火腿肠</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3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D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E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1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72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50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1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味精</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F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75F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C8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A5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0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9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54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0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鸡精</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B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7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144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A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05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99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99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A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2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1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C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9F7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8F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28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F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B7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EF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7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红花椒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C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952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B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0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57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D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青花椒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6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3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3B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3B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5E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F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25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1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0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超级生粉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F7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FF7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D4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3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8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7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CF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F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0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玉米淀粉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4C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A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CA3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7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5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2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6D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0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CE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4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D3D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6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0B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4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F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74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A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黑木耳(干)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F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0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DEE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58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72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D3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4B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D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香菇(干)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9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5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DD5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A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B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8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F4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0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2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干海带丝</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4D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4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629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49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F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B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2F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6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5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1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干莴笋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B8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2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C17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B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5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8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65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A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干豆角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D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7D3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65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0B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1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A1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A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4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干豇豆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6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5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935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4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E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C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99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99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7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8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干花菜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1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9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C4A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0A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C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C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68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26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4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E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F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D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BEE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E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2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3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57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5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1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腐竹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E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C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04B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91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1C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A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8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19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2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3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粉条</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A0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3FF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0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4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22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D9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F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D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黄豆(豆芽黄豆)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A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204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BF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72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E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5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9F0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B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5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8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04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3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F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花椒粉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DB0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7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B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6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6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38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1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7F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8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906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3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7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0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81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8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桂皮粉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6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397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9A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E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E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1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75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F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6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线辣皮子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B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5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7F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A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E5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B4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朝天椒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4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4AF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DD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D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2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7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C9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1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D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A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424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B0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7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1B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5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0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F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AAC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EC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4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D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22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F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小茴香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B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649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C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D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B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38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D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9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肉蔻</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08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2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606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08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C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B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47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1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2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6D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FD8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2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0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1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39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F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3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孜然粒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4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7FA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3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F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2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3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C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4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C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黑芝麻</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AA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C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9F0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1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8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CD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39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4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白蔻</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7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91F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1D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36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7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C6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69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2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5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白胡椒粉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C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B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0A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2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17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A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E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73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D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B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黑胡椒粉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B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2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A1F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A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D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A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82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5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白胡椒粒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E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6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2E7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85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9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C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F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F4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7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黑胡椒粒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2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482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EB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6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4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2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C1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1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6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FC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2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FA9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7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5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1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62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7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90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2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DA8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0A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84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58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6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62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E5AC">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B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2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93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65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F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C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白芝麻</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5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C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0A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8C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E8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0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98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3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榨菜(雪菜、什锦、二荆条、海白菜等)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F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1D5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B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1C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6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A1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F2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C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D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剁椒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EE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5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D51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1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E5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E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39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3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E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玉米榛子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1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B3B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73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8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3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5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62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八宝米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96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3F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72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F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B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0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D1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4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F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黄小米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E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97B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F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AD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9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B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18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1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E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红薯淀粉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1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B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3C4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9D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F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9D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2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5D3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1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07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5D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粉丝</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C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F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C06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D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06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7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11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82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0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4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969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8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43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5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17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0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香豆粉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9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8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942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35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C1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3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60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4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8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小苏打</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F1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1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51C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69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0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6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B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25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C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2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69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3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3B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7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BC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5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6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E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FAE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A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FD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5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3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A4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6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孜然粉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9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1E4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32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B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5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D5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鹰嘴豆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1A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0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B6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1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E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2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44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E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F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白芷</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B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E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259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1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B0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A6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6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D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4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581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08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D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4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1E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5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CF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2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EE8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2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3C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1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20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89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6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9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粗辣子面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6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0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8A4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39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99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D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A7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73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A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9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93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D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B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C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10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A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1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细辣椒面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1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D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59AC">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F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C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0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D4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96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4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C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C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249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D0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F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B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D6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D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6F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8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86E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D2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3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9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B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2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D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云丝豆腐丝</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4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F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E8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0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8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16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43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1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7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吉士粉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A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0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EE9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0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1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4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66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1F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8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干拉皮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5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E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D8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24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51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C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5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7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2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鱼酸菜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1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49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04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64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F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B5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5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海带头</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A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B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B4B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91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E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42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E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ED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CA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F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4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F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E7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2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6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7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7B8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A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7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8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EC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6D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1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2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单晶冰糖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0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A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301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A5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B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0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1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0B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2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9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枸杞</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D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4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19B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4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18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B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1F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89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3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E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黑米面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9E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C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26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C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8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C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D8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火锅丸子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94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9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4E6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8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9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1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8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9E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8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老母鸡粉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2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6C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9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8B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E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82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8F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F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牛筋面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7A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2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34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5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66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A9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C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8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酸豇豆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1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B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4B8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CC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66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8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3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77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2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4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香辣酥</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8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C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632C">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0A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D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D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1D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E3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F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1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枣泥</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A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93B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77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9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C9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9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黄金脆骨丸</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D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185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A0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83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6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57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3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鱼豆腐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54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7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31E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C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F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3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F0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C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0A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8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168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1A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E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0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FD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CF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8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C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0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C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D80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08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0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F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D3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82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9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杏干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8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B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6B7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D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84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B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9D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A6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E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红枣</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1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B6F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4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23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B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67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0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6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5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高筋粉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6B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4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D90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A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DE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72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F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0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低筋粉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E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3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795C">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84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8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7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7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E1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9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B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B4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0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2F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C2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F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E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8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70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0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C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A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06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5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C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7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B0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0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B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6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8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AE6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E2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AD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F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B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42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A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9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D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EB3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81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3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7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66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26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6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菠萝酱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74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8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3BF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5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2F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5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45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BD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D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0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蓝莓酱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1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4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AEB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D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5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3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CE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39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F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水蜜桃酱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12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5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04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A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C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0E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8E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9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6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饮料粉（草莓味）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3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365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F5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E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C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3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73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7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F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饮料粉（菠萝味）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42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A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51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AF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F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5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BF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0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E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饮料粉（蓝莓味）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59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5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CFA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A0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8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E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B0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3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2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饮料粉（水蜜桃味）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6A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B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29D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40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4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3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9B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7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9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E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酸梅汤粉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3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A63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1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4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E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39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5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酸梅汤料包</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B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4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DCF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93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BA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5D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D5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C5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8A2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A9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EF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2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9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35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B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豌豆粉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8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F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22D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5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1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A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A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33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0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明矾</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42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9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B91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9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4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D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75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ED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6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3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C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22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5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0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C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B9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00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3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1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06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B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BD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5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9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7B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F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7A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A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AE8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78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3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C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58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E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B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1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38B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3B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B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04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5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F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千叶豆腐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A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9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A42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DF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4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73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6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E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5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87C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3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8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1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4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62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B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手擀粉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C9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5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36E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4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3C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A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E9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2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5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6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4E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A9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2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D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B2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9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鲜鸡蛋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A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A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70C">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D8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1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0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98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冰淇淋粉(原味)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F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1D2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0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D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B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9D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E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冰淇淋粉(可可味)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D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F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A43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C5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C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B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2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25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4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冰淇淋粉(草莓味)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4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0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051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6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5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4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2E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8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冰淇淋粉(芒果味)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D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1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39A8">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A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9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E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B4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C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冰淇淋粉(抹茶味)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2E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BFD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50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4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1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1F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2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冰淇淋粉(香芋味)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D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CAE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1D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A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2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11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E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5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巴旦木</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7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6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20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76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7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0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55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0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0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核桃仁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26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5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824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3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3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4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3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D3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B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F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3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9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BA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4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73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A2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B5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4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开心果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9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F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CFB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6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1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B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2A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0D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1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C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6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3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6F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5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2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3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3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33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B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E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半梅干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52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D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33C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08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B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E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DC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8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薄皮核桃</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B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9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4E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D1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3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1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8A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5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4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饺子皮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A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2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56E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9E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6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E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A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C8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1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包子皮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70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9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00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8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8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9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A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49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C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6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65ED">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D0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E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0B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4C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F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0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水果糖</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F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254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2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9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7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84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F8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C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8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党参</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8A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D28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D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7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7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8B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50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F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4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2B7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86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5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4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3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0F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F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3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野蘑菇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21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4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0056">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C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D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B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0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1A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5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牛肉面料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9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7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56B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E1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A6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4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5D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8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D2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4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C6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B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7F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2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A1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FA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肉松</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35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E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90B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B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8F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F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4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CD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E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3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新鲜凉皮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AA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4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CD2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9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9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A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F7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9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新鲜黄面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6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48A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96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4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F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E5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D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A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鸡边腿</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5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448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9A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2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0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B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38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A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牛仔骨</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3B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C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82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22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ED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7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62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46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7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F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F3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543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0C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F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A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4F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2C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D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8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鸡腿</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8F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A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C28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C6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9C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1C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C1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鸡中翅</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5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1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A79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1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4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5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8F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3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4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鸭边腿</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1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CFB9">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7D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3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5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5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B2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1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2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板鸭</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F5FF">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E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8F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A6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C1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8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F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鸡胗</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EB0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B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1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E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6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79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8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9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C742">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38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0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E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2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66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7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C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带鱼</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2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B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4D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4cm-</w:t>
            </w:r>
            <w:r>
              <w:rPr>
                <w:rFonts w:hint="eastAsia" w:ascii="宋体" w:hAnsi="宋体" w:eastAsia="宋体" w:cs="宋体"/>
                <w:i w:val="0"/>
                <w:iCs w:val="0"/>
                <w:color w:val="000000"/>
                <w:kern w:val="0"/>
                <w:sz w:val="24"/>
                <w:szCs w:val="24"/>
                <w:u w:val="none"/>
                <w:lang w:val="en-US" w:eastAsia="zh-CN" w:bidi="ar"/>
              </w:rPr>
              <w:t>5cm</w:t>
            </w:r>
            <w:r>
              <w:rPr>
                <w:rFonts w:hint="eastAsia" w:ascii="宋体" w:hAnsi="宋体" w:cs="宋体"/>
                <w:i w:val="0"/>
                <w:iCs w:val="0"/>
                <w:color w:val="000000"/>
                <w:kern w:val="0"/>
                <w:sz w:val="24"/>
                <w:szCs w:val="24"/>
                <w:u w:val="none"/>
                <w:lang w:val="en-US" w:eastAsia="zh-CN" w:bidi="ar"/>
              </w:rPr>
              <w:t>宽</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E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E2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6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BC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猪耳朵</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3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1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1BBB">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D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1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F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A8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39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0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D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熏马肉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A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B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D683">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5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D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C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54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9B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E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9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薰马肠</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8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E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FF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9F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D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2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2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27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2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鸡爪</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8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0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CDB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38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C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C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71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8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9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鸡脯肉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2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8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0B9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F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75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F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10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80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9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8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小黄鱼</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E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EE85">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D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2E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75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D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小河虾</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B1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0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8F37">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1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C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6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65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D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9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89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9EE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5A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70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9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EA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13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E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6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猪扇子骨</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1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9DAA">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10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2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D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A6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A4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F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乌鸡爪</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6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8654">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1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5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D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A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AE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8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B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冻猪蹄</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D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9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87C1">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3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2C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1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82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8D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F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D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鸭脖子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A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D5DE">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0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D5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3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F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腊肉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F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C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BF0">
            <w:pPr>
              <w:jc w:val="center"/>
              <w:rPr>
                <w:rFonts w:hint="eastAsia" w:ascii="宋体" w:hAnsi="宋体" w:eastAsia="宋体" w:cs="宋体"/>
                <w:i w:val="0"/>
                <w:iCs w:val="0"/>
                <w:color w:val="000000"/>
                <w:sz w:val="24"/>
                <w:szCs w:val="24"/>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E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A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8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C8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AA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47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凉茶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4D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D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B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4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3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46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2D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7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饼干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E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5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3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E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C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0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65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1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干拌方便面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8A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0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 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8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8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1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30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8A8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五香粉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C5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D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0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C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D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AC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E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醪糟</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D7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F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9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 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E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82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0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6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55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8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自热火锅</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A3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E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5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98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FD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冰淇淋威化杯</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4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E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A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600个</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C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5D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8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A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19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B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冰淇淋脆皮筒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8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D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400个</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5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3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2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E9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2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沙琪玛</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9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4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A1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1E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E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7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F9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F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7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方火腿</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9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8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4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7F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3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5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B7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3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F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4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50克/块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F4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1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0C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F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大砖茶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E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A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1.1公斤/块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D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F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BF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4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D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1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油辣椒（参考品牌：老干妈、陶华碧、乡下妹或同等档次品质产品）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D6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8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A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97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E7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E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7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D4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0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C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5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4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1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97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辣鲜露</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5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F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C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1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5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5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EE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E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9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6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1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7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醪糟</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B8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E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A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7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D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36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3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8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红油腐乳</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3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4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C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 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6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C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8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5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83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4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D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嫩肉粉</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6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0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A7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D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46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FC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C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5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浓缩橙汁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0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9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0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E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0E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7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2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6D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2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C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排骨酱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6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1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A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79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4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D2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6A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B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72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ascii="宋体" w:hAnsi="宋体" w:eastAsia="宋体" w:cs="宋体"/>
                <w:sz w:val="24"/>
                <w:szCs w:val="24"/>
              </w:rPr>
              <w:t>碳酸饮料（柠檬味）</w:t>
            </w:r>
            <w:r>
              <w:rPr>
                <w:rFonts w:hint="eastAsia" w:ascii="宋体" w:hAnsi="宋体" w:eastAsia="宋体" w:cs="宋体"/>
                <w:sz w:val="24"/>
                <w:szCs w:val="24"/>
                <w:lang w:eastAsia="zh-CN"/>
              </w:rPr>
              <w:t>，</w:t>
            </w:r>
            <w:r>
              <w:rPr>
                <w:rFonts w:ascii="宋体" w:hAnsi="宋体" w:eastAsia="宋体" w:cs="宋体"/>
                <w:sz w:val="24"/>
                <w:szCs w:val="24"/>
              </w:rPr>
              <w:t>参考品牌：雪碧、芬达、美年达或同等品质档次产品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E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8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8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5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0B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3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C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94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B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B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2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C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8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2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C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1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5E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F7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233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E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82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E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8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38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73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F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5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86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DC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冰红茶</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1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D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8B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51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F2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D4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38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F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C7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1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6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21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1F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08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DA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2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果粒橙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2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2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BD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37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2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35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C1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4F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2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果粒橙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3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D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D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7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A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C6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93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24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71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无糖茶饮料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2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3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500毫升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6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29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C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77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73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B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可乐</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A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9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D9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6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33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DF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B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C8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A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0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4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A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5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07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E1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F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7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4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1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4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13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D7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B3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E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生抽</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2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43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E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3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C1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85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CA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老抽</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7A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5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B2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C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1F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5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8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15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0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8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9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F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03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7A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67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E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0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1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F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1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B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24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23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E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豆瓣酱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5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D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0C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E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A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9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72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1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花椒油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30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4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B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E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2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55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D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B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红烧酱油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1E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1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8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F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B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CD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0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B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料酒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5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C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1E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1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3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B9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9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0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头抽</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64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9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5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02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E7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9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5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BF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C79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白醋</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E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E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 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1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B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1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32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9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泡子姜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E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2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E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C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A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C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83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1E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E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米粉酱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9A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8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E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63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6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93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1C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29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E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9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6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7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7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2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7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28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B8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1A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D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4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F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C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3B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0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9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4F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5B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97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蒸鱼豉油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3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3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9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F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7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B4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89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2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黄豆酱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B6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0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F7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F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9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B9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0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9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F9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D7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C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5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BC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B1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4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0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F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44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7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0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20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0D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D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香辣牛肉面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F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9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D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C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0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F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E3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F7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6E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5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藤椒牛肉面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8B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4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0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9E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5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29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F3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2C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8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番茄鸡蛋牛肉面</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C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126克</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3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3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F0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33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91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2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sz w:val="24"/>
                <w:szCs w:val="24"/>
              </w:rPr>
              <w:t>油辣椒（参考品牌：老干妈、陶华碧、乡下妹或同等档次品质产品）</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43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2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2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7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D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5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02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AC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B7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E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8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6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B9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98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8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F0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9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A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味极鲜</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7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A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1.9L</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F0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44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8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F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CD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E6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B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爆米花油</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8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4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0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24L</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7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0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5B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8F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43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E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D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F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5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E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9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7C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47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268</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C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甜面酱</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CC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4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2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E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F8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6B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73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6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蛋挞皮</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74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6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6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A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B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73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C6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C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7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野山椒</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7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9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1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7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75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9C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E1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豆沙</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D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7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5公斤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48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F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1C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0AB7660">
      <w:pPr>
        <w:rPr>
          <w:rFonts w:hint="eastAsia" w:ascii="宋体" w:hAnsi="宋体" w:eastAsia="宋体" w:cs="宋体"/>
          <w:b/>
          <w:bCs/>
          <w:color w:val="auto"/>
          <w:kern w:val="0"/>
          <w:sz w:val="24"/>
          <w:szCs w:val="24"/>
          <w:highlight w:val="none"/>
          <w:lang w:val="en-US" w:eastAsia="zh-CN" w:bidi="ar-SA"/>
        </w:rPr>
      </w:pPr>
    </w:p>
    <w:p w14:paraId="662BBDFB">
      <w:pPr>
        <w:rPr>
          <w:rFonts w:ascii="宋体" w:hAnsi="宋体" w:cs="宋体"/>
          <w:b/>
          <w:color w:val="auto"/>
          <w:highlight w:val="none"/>
        </w:rPr>
      </w:pPr>
      <w:r>
        <w:rPr>
          <w:rFonts w:hint="eastAsia" w:ascii="宋体" w:hAnsi="宋体" w:eastAsia="宋体" w:cs="宋体"/>
          <w:b/>
          <w:bCs/>
          <w:color w:val="auto"/>
          <w:kern w:val="0"/>
          <w:sz w:val="24"/>
          <w:szCs w:val="24"/>
          <w:highlight w:val="none"/>
          <w:lang w:val="en-US" w:eastAsia="zh-CN" w:bidi="ar-SA"/>
        </w:rPr>
        <w:t>注：</w:t>
      </w:r>
    </w:p>
    <w:p w14:paraId="33E1A84D">
      <w:pPr>
        <w:pStyle w:val="40"/>
        <w:spacing w:line="360" w:lineRule="auto"/>
        <w:jc w:val="both"/>
        <w:rPr>
          <w:rFonts w:hint="default" w:ascii="宋体" w:hAnsi="宋体" w:eastAsia="宋体" w:cs="宋体"/>
          <w:b/>
          <w:color w:val="auto"/>
          <w:highlight w:val="none"/>
          <w:lang w:val="en-US" w:eastAsia="zh-CN"/>
        </w:rPr>
      </w:pPr>
      <w:r>
        <w:rPr>
          <w:rFonts w:hint="eastAsia" w:ascii="宋体" w:hAnsi="宋体" w:cs="宋体"/>
          <w:b/>
          <w:color w:val="auto"/>
          <w:highlight w:val="none"/>
        </w:rPr>
        <w:t>1、</w:t>
      </w:r>
      <w:r>
        <w:rPr>
          <w:rFonts w:hint="eastAsia" w:ascii="宋体" w:hAnsi="宋体" w:cs="宋体"/>
          <w:b/>
          <w:color w:val="auto"/>
          <w:highlight w:val="none"/>
          <w:lang w:val="en-US" w:eastAsia="zh-CN"/>
        </w:rPr>
        <w:t>投标单价不得超过单价最高限价，否则按无效标处理。</w:t>
      </w:r>
    </w:p>
    <w:p w14:paraId="1F677092">
      <w:pPr>
        <w:pStyle w:val="40"/>
        <w:spacing w:line="360" w:lineRule="auto"/>
        <w:jc w:val="both"/>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2、</w:t>
      </w:r>
      <w:r>
        <w:rPr>
          <w:rFonts w:hint="eastAsia" w:ascii="宋体" w:hAnsi="宋体" w:eastAsia="宋体" w:cs="宋体"/>
          <w:b/>
          <w:bCs/>
          <w:color w:val="auto"/>
          <w:sz w:val="24"/>
          <w:szCs w:val="24"/>
          <w:highlight w:val="none"/>
          <w:lang w:val="en-US" w:eastAsia="zh-CN"/>
        </w:rPr>
        <w:t>所报单价为采购需求中的单价最高限价*</w:t>
      </w:r>
      <w:r>
        <w:rPr>
          <w:rFonts w:hint="eastAsia" w:cs="宋体"/>
          <w:b/>
          <w:bCs/>
          <w:color w:val="auto"/>
          <w:sz w:val="24"/>
          <w:szCs w:val="24"/>
          <w:highlight w:val="none"/>
          <w:lang w:val="en-US" w:eastAsia="zh-CN"/>
        </w:rPr>
        <w:t>（1-报价下浮率）</w:t>
      </w:r>
      <w:r>
        <w:rPr>
          <w:rFonts w:hint="eastAsia" w:ascii="宋体" w:hAnsi="宋体" w:cs="宋体"/>
          <w:b/>
          <w:color w:val="auto"/>
          <w:highlight w:val="none"/>
          <w:lang w:val="en-US" w:eastAsia="zh-CN"/>
        </w:rPr>
        <w:t>。</w:t>
      </w:r>
    </w:p>
    <w:p w14:paraId="47ED9FE5">
      <w:pPr>
        <w:pStyle w:val="40"/>
        <w:spacing w:line="360" w:lineRule="auto"/>
        <w:jc w:val="both"/>
        <w:rPr>
          <w:rFonts w:ascii="宋体" w:hAnsi="宋体" w:cs="宋体"/>
          <w:b/>
          <w:color w:val="auto"/>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实际供货产品的种类、数量以采购单位发出的订货单为准。</w:t>
      </w:r>
    </w:p>
    <w:p w14:paraId="6F7331B3">
      <w:pPr>
        <w:pStyle w:val="2"/>
        <w:spacing w:line="360" w:lineRule="auto"/>
        <w:ind w:left="0" w:leftChars="0" w:firstLine="0" w:firstLineChars="0"/>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4、如投标人提供中《小企业声明函》，明细表中的制造商名称与《小企业声明函》中制造商名称保持一致。</w:t>
      </w:r>
    </w:p>
    <w:p w14:paraId="0CE9C64A">
      <w:pPr>
        <w:pStyle w:val="2"/>
        <w:ind w:left="420" w:firstLine="3600" w:firstLineChars="1500"/>
        <w:rPr>
          <w:rFonts w:hint="eastAsia" w:ascii="宋体" w:hAnsi="宋体" w:cs="宋体"/>
          <w:sz w:val="24"/>
          <w:szCs w:val="24"/>
          <w:highlight w:val="none"/>
        </w:rPr>
      </w:pPr>
    </w:p>
    <w:p w14:paraId="6E9C4A89">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6CA902F">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0AB7EF12">
      <w:pPr>
        <w:pStyle w:val="5"/>
        <w:ind w:firstLine="4080" w:firstLineChars="1700"/>
        <w:rPr>
          <w:rFonts w:ascii="宋体" w:hAnsi="宋体"/>
          <w:b/>
          <w:sz w:val="24"/>
          <w:szCs w:val="24"/>
          <w:highlight w:val="none"/>
        </w:rPr>
      </w:pPr>
      <w:r>
        <w:rPr>
          <w:rFonts w:hint="eastAsia" w:ascii="宋体" w:hAnsi="宋体" w:cs="宋体"/>
          <w:sz w:val="24"/>
          <w:szCs w:val="24"/>
          <w:highlight w:val="none"/>
        </w:rPr>
        <w:t>日   期 ：    年   月   日</w:t>
      </w:r>
    </w:p>
    <w:p w14:paraId="3C800C62">
      <w:pPr>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br w:type="page"/>
      </w:r>
    </w:p>
    <w:p w14:paraId="2D498C66">
      <w:pPr>
        <w:numPr>
          <w:ilvl w:val="0"/>
          <w:numId w:val="0"/>
        </w:numPr>
        <w:spacing w:line="360" w:lineRule="auto"/>
        <w:ind w:leftChars="-772" w:firstLine="2168" w:firstLineChars="900"/>
        <w:rPr>
          <w:rFonts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八</w:t>
      </w:r>
      <w:r>
        <w:rPr>
          <w:rFonts w:hint="eastAsia" w:ascii="宋体" w:hAnsi="宋体" w:cs="宋体"/>
          <w:b/>
          <w:sz w:val="24"/>
          <w:szCs w:val="24"/>
          <w:highlight w:val="none"/>
          <w:lang w:eastAsia="zh-CN"/>
        </w:rPr>
        <w:t>）</w:t>
      </w:r>
      <w:r>
        <w:rPr>
          <w:rFonts w:hint="eastAsia" w:ascii="宋体" w:hAnsi="宋体" w:cs="宋体"/>
          <w:b/>
          <w:sz w:val="24"/>
          <w:szCs w:val="24"/>
          <w:highlight w:val="none"/>
        </w:rPr>
        <w:t>投标产品技术规格及要求详述</w:t>
      </w:r>
    </w:p>
    <w:p w14:paraId="2CC84566">
      <w:pPr>
        <w:spacing w:line="360" w:lineRule="auto"/>
        <w:rPr>
          <w:rFonts w:ascii="宋体" w:hAnsi="宋体" w:cs="宋体"/>
          <w:b/>
          <w:sz w:val="24"/>
          <w:szCs w:val="24"/>
          <w:highlight w:val="none"/>
        </w:rPr>
      </w:pPr>
    </w:p>
    <w:p w14:paraId="3F47C486">
      <w:pPr>
        <w:spacing w:line="360" w:lineRule="auto"/>
        <w:rPr>
          <w:rFonts w:ascii="宋体" w:hAnsi="宋体" w:cs="宋体"/>
          <w:b/>
          <w:sz w:val="24"/>
          <w:szCs w:val="24"/>
          <w:highlight w:val="none"/>
        </w:rPr>
      </w:pPr>
    </w:p>
    <w:p w14:paraId="31A64D30">
      <w:pPr>
        <w:spacing w:line="360" w:lineRule="auto"/>
        <w:rPr>
          <w:rFonts w:ascii="宋体" w:hAnsi="宋体" w:cs="宋体"/>
          <w:b/>
          <w:sz w:val="24"/>
          <w:szCs w:val="24"/>
          <w:highlight w:val="none"/>
        </w:rPr>
      </w:pPr>
    </w:p>
    <w:p w14:paraId="5BA8C132">
      <w:pPr>
        <w:spacing w:line="360" w:lineRule="auto"/>
        <w:rPr>
          <w:rFonts w:ascii="宋体" w:hAnsi="宋体" w:cs="宋体"/>
          <w:b/>
          <w:sz w:val="24"/>
          <w:szCs w:val="24"/>
          <w:highlight w:val="none"/>
        </w:rPr>
      </w:pPr>
    </w:p>
    <w:p w14:paraId="3FB484AD">
      <w:pPr>
        <w:spacing w:line="360" w:lineRule="auto"/>
        <w:rPr>
          <w:rFonts w:ascii="宋体" w:hAnsi="宋体" w:cs="宋体"/>
          <w:b/>
          <w:sz w:val="24"/>
          <w:szCs w:val="24"/>
          <w:highlight w:val="none"/>
        </w:rPr>
      </w:pPr>
    </w:p>
    <w:p w14:paraId="6C5C3D79">
      <w:pPr>
        <w:spacing w:line="360" w:lineRule="auto"/>
        <w:rPr>
          <w:rFonts w:ascii="宋体" w:hAnsi="宋体" w:cs="宋体"/>
          <w:b/>
          <w:sz w:val="24"/>
          <w:szCs w:val="24"/>
          <w:highlight w:val="none"/>
        </w:rPr>
      </w:pPr>
    </w:p>
    <w:p w14:paraId="512AA723">
      <w:pPr>
        <w:spacing w:line="360" w:lineRule="auto"/>
        <w:rPr>
          <w:rFonts w:ascii="宋体" w:hAnsi="宋体" w:cs="宋体"/>
          <w:b/>
          <w:sz w:val="24"/>
          <w:szCs w:val="24"/>
          <w:highlight w:val="none"/>
        </w:rPr>
      </w:pPr>
    </w:p>
    <w:p w14:paraId="41838086">
      <w:pPr>
        <w:spacing w:line="360" w:lineRule="auto"/>
        <w:ind w:left="2888" w:leftChars="228" w:hanging="2409" w:hangingChars="1000"/>
        <w:rPr>
          <w:rFonts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九</w:t>
      </w:r>
      <w:r>
        <w:rPr>
          <w:rFonts w:hint="eastAsia" w:ascii="宋体" w:hAnsi="宋体" w:cs="宋体"/>
          <w:b/>
          <w:sz w:val="24"/>
          <w:szCs w:val="24"/>
          <w:highlight w:val="none"/>
        </w:rPr>
        <w:t>）售后服务承诺详述</w:t>
      </w:r>
    </w:p>
    <w:p w14:paraId="65EAF0CD">
      <w:pPr>
        <w:spacing w:line="360" w:lineRule="auto"/>
        <w:ind w:left="2888" w:leftChars="228" w:hanging="2409" w:hangingChars="1000"/>
        <w:rPr>
          <w:rFonts w:ascii="宋体" w:hAnsi="宋体" w:cs="宋体"/>
          <w:b/>
          <w:sz w:val="24"/>
          <w:szCs w:val="24"/>
          <w:highlight w:val="none"/>
        </w:rPr>
        <w:sectPr>
          <w:pgSz w:w="11910" w:h="16840"/>
          <w:pgMar w:top="1440" w:right="1800" w:bottom="1043" w:left="1800" w:header="714" w:footer="587" w:gutter="0"/>
          <w:cols w:space="720" w:num="1"/>
        </w:sectPr>
      </w:pPr>
    </w:p>
    <w:p w14:paraId="6A6FD129">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十</w:t>
      </w:r>
      <w:r>
        <w:rPr>
          <w:rFonts w:hint="eastAsia" w:ascii="宋体" w:hAnsi="宋体" w:cs="宋体"/>
          <w:b/>
          <w:sz w:val="24"/>
          <w:szCs w:val="24"/>
          <w:highlight w:val="none"/>
        </w:rPr>
        <w:t xml:space="preserve">）技术参数、功能偏离表 </w:t>
      </w:r>
    </w:p>
    <w:p w14:paraId="7FBE583A">
      <w:pPr>
        <w:spacing w:line="360" w:lineRule="auto"/>
        <w:ind w:left="2880" w:hanging="2880"/>
        <w:jc w:val="center"/>
        <w:rPr>
          <w:rFonts w:ascii="宋体" w:hAnsi="宋体" w:cs="宋体"/>
          <w:b/>
          <w:sz w:val="30"/>
          <w:highlight w:val="none"/>
        </w:rPr>
      </w:pPr>
    </w:p>
    <w:p w14:paraId="6CA90CEF">
      <w:pPr>
        <w:spacing w:line="360" w:lineRule="auto"/>
        <w:ind w:left="2880" w:hanging="2880"/>
        <w:jc w:val="center"/>
        <w:rPr>
          <w:rFonts w:ascii="宋体" w:hAnsi="宋体" w:cs="宋体"/>
          <w:b/>
          <w:sz w:val="30"/>
          <w:highlight w:val="none"/>
        </w:rPr>
      </w:pPr>
      <w:r>
        <w:rPr>
          <w:rFonts w:hint="eastAsia" w:ascii="宋体" w:hAnsi="宋体" w:cs="宋体"/>
          <w:b/>
          <w:sz w:val="30"/>
          <w:highlight w:val="none"/>
        </w:rPr>
        <w:t>产品技术参数、功能偏离表</w:t>
      </w:r>
    </w:p>
    <w:p w14:paraId="4D34746C">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bl>
      <w:tblPr>
        <w:tblStyle w:val="27"/>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24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14:paraId="6B353E44">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453" w:type="dxa"/>
            <w:vAlign w:val="center"/>
          </w:tcPr>
          <w:p w14:paraId="7946FBB3">
            <w:pPr>
              <w:spacing w:line="360" w:lineRule="auto"/>
              <w:jc w:val="center"/>
              <w:rPr>
                <w:rFonts w:ascii="宋体" w:hAnsi="宋体" w:cs="宋体"/>
                <w:b/>
                <w:szCs w:val="21"/>
                <w:highlight w:val="none"/>
              </w:rPr>
            </w:pPr>
            <w:r>
              <w:rPr>
                <w:rFonts w:hint="eastAsia" w:ascii="宋体" w:hAnsi="宋体" w:cs="宋体"/>
                <w:b/>
                <w:szCs w:val="21"/>
                <w:highlight w:val="none"/>
              </w:rPr>
              <w:t>招标规格</w:t>
            </w:r>
          </w:p>
        </w:tc>
        <w:tc>
          <w:tcPr>
            <w:tcW w:w="2227" w:type="dxa"/>
            <w:vAlign w:val="center"/>
          </w:tcPr>
          <w:p w14:paraId="74404092">
            <w:pPr>
              <w:spacing w:line="360" w:lineRule="auto"/>
              <w:jc w:val="center"/>
              <w:rPr>
                <w:rFonts w:ascii="宋体" w:hAnsi="宋体" w:cs="宋体"/>
                <w:b/>
                <w:szCs w:val="21"/>
                <w:highlight w:val="none"/>
              </w:rPr>
            </w:pPr>
            <w:r>
              <w:rPr>
                <w:rFonts w:hint="eastAsia" w:ascii="宋体" w:hAnsi="宋体" w:cs="宋体"/>
                <w:b/>
                <w:szCs w:val="21"/>
                <w:highlight w:val="none"/>
              </w:rPr>
              <w:t>投标规格</w:t>
            </w:r>
          </w:p>
        </w:tc>
        <w:tc>
          <w:tcPr>
            <w:tcW w:w="1600" w:type="dxa"/>
            <w:vAlign w:val="center"/>
          </w:tcPr>
          <w:p w14:paraId="4E51DF1F">
            <w:pPr>
              <w:spacing w:line="360" w:lineRule="auto"/>
              <w:jc w:val="center"/>
              <w:rPr>
                <w:rFonts w:ascii="宋体" w:hAnsi="宋体" w:cs="宋体"/>
                <w:b/>
                <w:szCs w:val="21"/>
                <w:highlight w:val="none"/>
              </w:rPr>
            </w:pPr>
            <w:r>
              <w:rPr>
                <w:rFonts w:hint="eastAsia" w:ascii="宋体" w:hAnsi="宋体" w:cs="宋体"/>
                <w:b/>
                <w:szCs w:val="21"/>
                <w:highlight w:val="none"/>
              </w:rPr>
              <w:t>偏离</w:t>
            </w:r>
          </w:p>
        </w:tc>
        <w:tc>
          <w:tcPr>
            <w:tcW w:w="1394" w:type="dxa"/>
            <w:vAlign w:val="center"/>
          </w:tcPr>
          <w:p w14:paraId="64374971">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347D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378063FB">
            <w:pPr>
              <w:spacing w:line="360" w:lineRule="auto"/>
              <w:rPr>
                <w:rFonts w:ascii="宋体" w:hAnsi="宋体" w:cs="宋体"/>
                <w:sz w:val="18"/>
                <w:szCs w:val="18"/>
                <w:highlight w:val="none"/>
              </w:rPr>
            </w:pPr>
          </w:p>
        </w:tc>
        <w:tc>
          <w:tcPr>
            <w:tcW w:w="2453" w:type="dxa"/>
          </w:tcPr>
          <w:p w14:paraId="2F121606">
            <w:pPr>
              <w:spacing w:line="360" w:lineRule="auto"/>
              <w:rPr>
                <w:rFonts w:ascii="宋体" w:hAnsi="宋体" w:cs="宋体"/>
                <w:sz w:val="18"/>
                <w:szCs w:val="18"/>
                <w:highlight w:val="none"/>
              </w:rPr>
            </w:pPr>
          </w:p>
        </w:tc>
        <w:tc>
          <w:tcPr>
            <w:tcW w:w="2227" w:type="dxa"/>
          </w:tcPr>
          <w:p w14:paraId="29392A12">
            <w:pPr>
              <w:spacing w:line="360" w:lineRule="auto"/>
              <w:rPr>
                <w:rFonts w:ascii="宋体" w:hAnsi="宋体" w:cs="宋体"/>
                <w:sz w:val="18"/>
                <w:szCs w:val="18"/>
                <w:highlight w:val="none"/>
              </w:rPr>
            </w:pPr>
          </w:p>
        </w:tc>
        <w:tc>
          <w:tcPr>
            <w:tcW w:w="1600" w:type="dxa"/>
          </w:tcPr>
          <w:p w14:paraId="23AD10DF">
            <w:pPr>
              <w:spacing w:line="360" w:lineRule="auto"/>
              <w:rPr>
                <w:rFonts w:ascii="宋体" w:hAnsi="宋体" w:cs="宋体"/>
                <w:sz w:val="18"/>
                <w:szCs w:val="18"/>
                <w:highlight w:val="none"/>
              </w:rPr>
            </w:pPr>
          </w:p>
        </w:tc>
        <w:tc>
          <w:tcPr>
            <w:tcW w:w="1394" w:type="dxa"/>
          </w:tcPr>
          <w:p w14:paraId="6539AB72">
            <w:pPr>
              <w:spacing w:line="360" w:lineRule="auto"/>
              <w:rPr>
                <w:rFonts w:ascii="宋体" w:hAnsi="宋体" w:cs="宋体"/>
                <w:sz w:val="18"/>
                <w:szCs w:val="18"/>
                <w:highlight w:val="none"/>
              </w:rPr>
            </w:pPr>
          </w:p>
        </w:tc>
      </w:tr>
      <w:tr w14:paraId="4DB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6F4144A6">
            <w:pPr>
              <w:spacing w:line="360" w:lineRule="auto"/>
              <w:rPr>
                <w:rFonts w:ascii="宋体" w:hAnsi="宋体" w:cs="宋体"/>
                <w:sz w:val="18"/>
                <w:szCs w:val="18"/>
                <w:highlight w:val="none"/>
              </w:rPr>
            </w:pPr>
          </w:p>
        </w:tc>
        <w:tc>
          <w:tcPr>
            <w:tcW w:w="2453" w:type="dxa"/>
          </w:tcPr>
          <w:p w14:paraId="1BAE672C">
            <w:pPr>
              <w:spacing w:line="360" w:lineRule="auto"/>
              <w:rPr>
                <w:rFonts w:ascii="宋体" w:hAnsi="宋体" w:cs="宋体"/>
                <w:sz w:val="18"/>
                <w:szCs w:val="18"/>
                <w:highlight w:val="none"/>
              </w:rPr>
            </w:pPr>
          </w:p>
        </w:tc>
        <w:tc>
          <w:tcPr>
            <w:tcW w:w="2227" w:type="dxa"/>
          </w:tcPr>
          <w:p w14:paraId="70D9A098">
            <w:pPr>
              <w:spacing w:line="360" w:lineRule="auto"/>
              <w:rPr>
                <w:rFonts w:ascii="宋体" w:hAnsi="宋体" w:cs="宋体"/>
                <w:sz w:val="18"/>
                <w:szCs w:val="18"/>
                <w:highlight w:val="none"/>
              </w:rPr>
            </w:pPr>
          </w:p>
        </w:tc>
        <w:tc>
          <w:tcPr>
            <w:tcW w:w="1600" w:type="dxa"/>
          </w:tcPr>
          <w:p w14:paraId="2FB453C5">
            <w:pPr>
              <w:spacing w:line="360" w:lineRule="auto"/>
              <w:rPr>
                <w:rFonts w:ascii="宋体" w:hAnsi="宋体" w:cs="宋体"/>
                <w:sz w:val="18"/>
                <w:szCs w:val="18"/>
                <w:highlight w:val="none"/>
              </w:rPr>
            </w:pPr>
          </w:p>
        </w:tc>
        <w:tc>
          <w:tcPr>
            <w:tcW w:w="1394" w:type="dxa"/>
          </w:tcPr>
          <w:p w14:paraId="757E86A6">
            <w:pPr>
              <w:spacing w:line="360" w:lineRule="auto"/>
              <w:rPr>
                <w:rFonts w:ascii="宋体" w:hAnsi="宋体" w:cs="宋体"/>
                <w:sz w:val="18"/>
                <w:szCs w:val="18"/>
                <w:highlight w:val="none"/>
              </w:rPr>
            </w:pPr>
          </w:p>
        </w:tc>
      </w:tr>
      <w:tr w14:paraId="0C1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04E69860">
            <w:pPr>
              <w:spacing w:line="360" w:lineRule="auto"/>
              <w:rPr>
                <w:rFonts w:ascii="宋体" w:hAnsi="宋体" w:cs="宋体"/>
                <w:sz w:val="18"/>
                <w:szCs w:val="18"/>
                <w:highlight w:val="none"/>
              </w:rPr>
            </w:pPr>
          </w:p>
        </w:tc>
        <w:tc>
          <w:tcPr>
            <w:tcW w:w="2453" w:type="dxa"/>
          </w:tcPr>
          <w:p w14:paraId="6FAD6FD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227" w:type="dxa"/>
          </w:tcPr>
          <w:p w14:paraId="77086F50">
            <w:pPr>
              <w:spacing w:line="360" w:lineRule="auto"/>
              <w:rPr>
                <w:rFonts w:ascii="宋体" w:hAnsi="宋体" w:cs="宋体"/>
                <w:sz w:val="18"/>
                <w:szCs w:val="18"/>
                <w:highlight w:val="none"/>
              </w:rPr>
            </w:pPr>
          </w:p>
        </w:tc>
        <w:tc>
          <w:tcPr>
            <w:tcW w:w="1600" w:type="dxa"/>
          </w:tcPr>
          <w:p w14:paraId="0EFC70AD">
            <w:pPr>
              <w:spacing w:line="360" w:lineRule="auto"/>
              <w:rPr>
                <w:rFonts w:ascii="宋体" w:hAnsi="宋体" w:cs="宋体"/>
                <w:sz w:val="18"/>
                <w:szCs w:val="18"/>
                <w:highlight w:val="none"/>
              </w:rPr>
            </w:pPr>
          </w:p>
        </w:tc>
        <w:tc>
          <w:tcPr>
            <w:tcW w:w="1394" w:type="dxa"/>
          </w:tcPr>
          <w:p w14:paraId="11853B77">
            <w:pPr>
              <w:spacing w:line="360" w:lineRule="auto"/>
              <w:rPr>
                <w:rFonts w:ascii="宋体" w:hAnsi="宋体" w:cs="宋体"/>
                <w:sz w:val="18"/>
                <w:szCs w:val="18"/>
                <w:highlight w:val="none"/>
              </w:rPr>
            </w:pPr>
          </w:p>
        </w:tc>
      </w:tr>
    </w:tbl>
    <w:p w14:paraId="29343991">
      <w:pPr>
        <w:spacing w:line="360" w:lineRule="auto"/>
        <w:rPr>
          <w:rFonts w:ascii="宋体" w:hAnsi="宋体" w:cs="宋体"/>
          <w:b/>
          <w:sz w:val="24"/>
          <w:highlight w:val="none"/>
        </w:rPr>
      </w:pPr>
      <w:r>
        <w:rPr>
          <w:rFonts w:hint="eastAsia" w:ascii="宋体" w:hAnsi="宋体" w:cs="宋体"/>
          <w:b/>
          <w:sz w:val="24"/>
          <w:highlight w:val="none"/>
        </w:rPr>
        <w:t>注：与招标文件中第三章技术要求对应填写。</w:t>
      </w:r>
    </w:p>
    <w:p w14:paraId="7385E065">
      <w:pPr>
        <w:spacing w:line="360" w:lineRule="auto"/>
        <w:rPr>
          <w:rFonts w:ascii="宋体" w:hAnsi="宋体" w:cs="宋体"/>
          <w:b/>
          <w:sz w:val="24"/>
          <w:highlight w:val="none"/>
        </w:rPr>
      </w:pPr>
    </w:p>
    <w:p w14:paraId="5EFB0DC0">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F8950B2">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295607E">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ED51064">
      <w:pPr>
        <w:spacing w:line="360" w:lineRule="auto"/>
        <w:ind w:firstLine="482" w:firstLineChars="200"/>
        <w:rPr>
          <w:rFonts w:ascii="宋体" w:hAnsi="宋体" w:cs="宋体"/>
          <w:b/>
          <w:sz w:val="24"/>
          <w:szCs w:val="24"/>
          <w:highlight w:val="none"/>
        </w:rPr>
      </w:pPr>
    </w:p>
    <w:p w14:paraId="2F9BCC0B">
      <w:pPr>
        <w:rPr>
          <w:highlight w:val="none"/>
        </w:rPr>
      </w:pPr>
      <w:r>
        <w:rPr>
          <w:rFonts w:hint="eastAsia"/>
          <w:highlight w:val="none"/>
        </w:rPr>
        <w:br w:type="page"/>
      </w:r>
    </w:p>
    <w:p w14:paraId="06EE55E1">
      <w:pPr>
        <w:pStyle w:val="4"/>
        <w:rPr>
          <w:highlight w:val="none"/>
        </w:rPr>
      </w:pPr>
    </w:p>
    <w:p w14:paraId="4C0BF187">
      <w:pPr>
        <w:pStyle w:val="4"/>
        <w:rPr>
          <w:highlight w:val="none"/>
        </w:rPr>
      </w:pPr>
    </w:p>
    <w:p w14:paraId="352B0968">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一</w:t>
      </w:r>
      <w:r>
        <w:rPr>
          <w:rFonts w:hint="eastAsia" w:ascii="宋体" w:hAnsi="宋体" w:cs="宋体"/>
          <w:b/>
          <w:sz w:val="24"/>
          <w:szCs w:val="24"/>
          <w:highlight w:val="none"/>
        </w:rPr>
        <w:t xml:space="preserve">）商务条款偏离表 </w:t>
      </w:r>
    </w:p>
    <w:p w14:paraId="4FB8D724">
      <w:pPr>
        <w:spacing w:line="360" w:lineRule="auto"/>
        <w:jc w:val="center"/>
        <w:rPr>
          <w:rFonts w:ascii="宋体" w:hAnsi="宋体" w:cs="宋体"/>
          <w:b/>
          <w:sz w:val="30"/>
          <w:highlight w:val="none"/>
        </w:rPr>
      </w:pPr>
      <w:r>
        <w:rPr>
          <w:rFonts w:hint="eastAsia" w:ascii="宋体" w:hAnsi="宋体" w:cs="宋体"/>
          <w:b/>
          <w:sz w:val="30"/>
          <w:highlight w:val="none"/>
        </w:rPr>
        <w:t>商务条款偏离表</w:t>
      </w:r>
    </w:p>
    <w:p w14:paraId="23D80869">
      <w:pPr>
        <w:spacing w:line="360" w:lineRule="auto"/>
        <w:ind w:firstLine="482" w:firstLineChars="200"/>
        <w:rPr>
          <w:rFonts w:ascii="宋体" w:hAnsi="宋体" w:cs="宋体"/>
          <w:b/>
          <w:szCs w:val="21"/>
          <w:highlight w:val="none"/>
        </w:rPr>
      </w:pPr>
      <w:r>
        <w:rPr>
          <w:rFonts w:hint="eastAsia" w:ascii="宋体" w:hAnsi="宋体" w:cs="宋体"/>
          <w:b/>
          <w:sz w:val="24"/>
          <w:highlight w:val="none"/>
          <w:lang w:val="en-US" w:eastAsia="zh-CN"/>
        </w:rPr>
        <w:t>项目</w:t>
      </w:r>
      <w:r>
        <w:rPr>
          <w:rFonts w:hint="eastAsia" w:ascii="宋体" w:hAnsi="宋体" w:cs="宋体"/>
          <w:b/>
          <w:sz w:val="24"/>
          <w:highlight w:val="none"/>
        </w:rPr>
        <w:t xml:space="preserve">名称：          　　　　　         项目编号：　  </w:t>
      </w:r>
      <w:r>
        <w:rPr>
          <w:rFonts w:hint="eastAsia" w:ascii="宋体" w:hAnsi="宋体" w:cs="宋体"/>
          <w:b/>
          <w:szCs w:val="21"/>
          <w:highlight w:val="none"/>
        </w:rPr>
        <w:t>　</w:t>
      </w:r>
    </w:p>
    <w:tbl>
      <w:tblPr>
        <w:tblStyle w:val="27"/>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9"/>
        <w:gridCol w:w="2175"/>
        <w:gridCol w:w="2325"/>
        <w:gridCol w:w="1770"/>
      </w:tblGrid>
      <w:tr w14:paraId="5E4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663EA832">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329" w:type="dxa"/>
            <w:vAlign w:val="center"/>
          </w:tcPr>
          <w:p w14:paraId="4F156E27">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项目</w:t>
            </w:r>
          </w:p>
        </w:tc>
        <w:tc>
          <w:tcPr>
            <w:tcW w:w="2175" w:type="dxa"/>
            <w:vAlign w:val="center"/>
          </w:tcPr>
          <w:p w14:paraId="561310F2">
            <w:pPr>
              <w:spacing w:line="360" w:lineRule="auto"/>
              <w:rPr>
                <w:rFonts w:ascii="宋体" w:hAnsi="宋体" w:cs="宋体"/>
                <w:b/>
                <w:szCs w:val="21"/>
                <w:highlight w:val="none"/>
              </w:rPr>
            </w:pPr>
            <w:r>
              <w:rPr>
                <w:rFonts w:hint="eastAsia" w:ascii="宋体" w:hAnsi="宋体" w:cs="宋体"/>
                <w:b/>
                <w:szCs w:val="21"/>
                <w:highlight w:val="none"/>
              </w:rPr>
              <w:t>招标文件的商务条款</w:t>
            </w:r>
          </w:p>
        </w:tc>
        <w:tc>
          <w:tcPr>
            <w:tcW w:w="2325" w:type="dxa"/>
            <w:vAlign w:val="center"/>
          </w:tcPr>
          <w:p w14:paraId="5EE0480D">
            <w:pPr>
              <w:spacing w:line="360" w:lineRule="auto"/>
              <w:jc w:val="center"/>
              <w:rPr>
                <w:rFonts w:ascii="宋体" w:hAnsi="宋体" w:cs="宋体"/>
                <w:b/>
                <w:szCs w:val="21"/>
                <w:highlight w:val="none"/>
              </w:rPr>
            </w:pPr>
            <w:r>
              <w:rPr>
                <w:rFonts w:hint="eastAsia" w:ascii="宋体" w:hAnsi="宋体" w:cs="宋体"/>
                <w:b/>
                <w:szCs w:val="21"/>
                <w:highlight w:val="none"/>
              </w:rPr>
              <w:t>投标文件的商务条款</w:t>
            </w:r>
          </w:p>
        </w:tc>
        <w:tc>
          <w:tcPr>
            <w:tcW w:w="1770" w:type="dxa"/>
            <w:vAlign w:val="center"/>
          </w:tcPr>
          <w:p w14:paraId="371A4493">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1DC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233E435">
            <w:pPr>
              <w:spacing w:line="360" w:lineRule="auto"/>
              <w:jc w:val="center"/>
              <w:rPr>
                <w:rFonts w:ascii="宋体" w:hAnsi="宋体" w:cs="宋体"/>
                <w:sz w:val="18"/>
                <w:szCs w:val="18"/>
                <w:highlight w:val="none"/>
              </w:rPr>
            </w:pPr>
            <w:r>
              <w:rPr>
                <w:rFonts w:hint="eastAsia" w:ascii="宋体" w:hAnsi="宋体" w:cs="宋体"/>
                <w:sz w:val="18"/>
                <w:szCs w:val="18"/>
                <w:highlight w:val="none"/>
              </w:rPr>
              <w:t>1</w:t>
            </w:r>
          </w:p>
        </w:tc>
        <w:tc>
          <w:tcPr>
            <w:tcW w:w="1329" w:type="dxa"/>
            <w:shd w:val="clear" w:color="auto" w:fill="auto"/>
          </w:tcPr>
          <w:p w14:paraId="0D0B7204">
            <w:pPr>
              <w:spacing w:line="360" w:lineRule="auto"/>
              <w:rPr>
                <w:rFonts w:ascii="宋体" w:hAnsi="宋体" w:cs="宋体"/>
                <w:sz w:val="18"/>
                <w:szCs w:val="18"/>
                <w:highlight w:val="none"/>
              </w:rPr>
            </w:pPr>
            <w:r>
              <w:rPr>
                <w:rFonts w:hint="eastAsia" w:ascii="宋体" w:hAnsi="宋体" w:cs="宋体"/>
                <w:sz w:val="18"/>
                <w:szCs w:val="18"/>
                <w:highlight w:val="none"/>
              </w:rPr>
              <w:t>项目编号</w:t>
            </w:r>
          </w:p>
        </w:tc>
        <w:tc>
          <w:tcPr>
            <w:tcW w:w="2175" w:type="dxa"/>
            <w:shd w:val="clear" w:color="auto" w:fill="auto"/>
          </w:tcPr>
          <w:p w14:paraId="51CB6CAA">
            <w:pPr>
              <w:spacing w:line="360" w:lineRule="auto"/>
              <w:rPr>
                <w:rFonts w:ascii="宋体" w:hAnsi="宋体" w:cs="宋体"/>
                <w:sz w:val="18"/>
                <w:szCs w:val="18"/>
                <w:highlight w:val="none"/>
              </w:rPr>
            </w:pPr>
          </w:p>
        </w:tc>
        <w:tc>
          <w:tcPr>
            <w:tcW w:w="2325" w:type="dxa"/>
          </w:tcPr>
          <w:p w14:paraId="16AF0496">
            <w:pPr>
              <w:spacing w:line="360" w:lineRule="auto"/>
              <w:rPr>
                <w:rFonts w:ascii="宋体" w:hAnsi="宋体" w:cs="宋体"/>
                <w:sz w:val="18"/>
                <w:szCs w:val="18"/>
                <w:highlight w:val="none"/>
              </w:rPr>
            </w:pPr>
          </w:p>
        </w:tc>
        <w:tc>
          <w:tcPr>
            <w:tcW w:w="1770" w:type="dxa"/>
          </w:tcPr>
          <w:p w14:paraId="1D627610">
            <w:pPr>
              <w:spacing w:line="360" w:lineRule="auto"/>
              <w:rPr>
                <w:rFonts w:ascii="宋体" w:hAnsi="宋体" w:cs="宋体"/>
                <w:sz w:val="18"/>
                <w:szCs w:val="18"/>
                <w:highlight w:val="none"/>
              </w:rPr>
            </w:pPr>
          </w:p>
        </w:tc>
      </w:tr>
      <w:tr w14:paraId="4D3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14:paraId="4EC228E4">
            <w:pPr>
              <w:spacing w:line="360" w:lineRule="auto"/>
              <w:jc w:val="center"/>
              <w:rPr>
                <w:rFonts w:ascii="宋体" w:hAnsi="宋体" w:cs="宋体"/>
                <w:sz w:val="18"/>
                <w:szCs w:val="18"/>
                <w:highlight w:val="none"/>
              </w:rPr>
            </w:pPr>
            <w:r>
              <w:rPr>
                <w:rFonts w:hint="eastAsia" w:ascii="宋体" w:hAnsi="宋体" w:cs="宋体"/>
                <w:sz w:val="18"/>
                <w:szCs w:val="18"/>
                <w:highlight w:val="none"/>
              </w:rPr>
              <w:t>2</w:t>
            </w:r>
          </w:p>
        </w:tc>
        <w:tc>
          <w:tcPr>
            <w:tcW w:w="1329" w:type="dxa"/>
            <w:shd w:val="clear" w:color="auto" w:fill="auto"/>
          </w:tcPr>
          <w:p w14:paraId="0167C42C">
            <w:pPr>
              <w:spacing w:line="360" w:lineRule="auto"/>
              <w:rPr>
                <w:rFonts w:ascii="宋体" w:hAnsi="宋体" w:cs="宋体"/>
                <w:sz w:val="18"/>
                <w:szCs w:val="18"/>
                <w:highlight w:val="none"/>
              </w:rPr>
            </w:pPr>
            <w:r>
              <w:rPr>
                <w:rFonts w:hint="eastAsia" w:ascii="宋体" w:hAnsi="宋体" w:cs="宋体"/>
                <w:sz w:val="18"/>
                <w:szCs w:val="18"/>
                <w:highlight w:val="none"/>
              </w:rPr>
              <w:t>付款方式</w:t>
            </w:r>
          </w:p>
        </w:tc>
        <w:tc>
          <w:tcPr>
            <w:tcW w:w="2175" w:type="dxa"/>
            <w:shd w:val="clear" w:color="auto" w:fill="auto"/>
          </w:tcPr>
          <w:p w14:paraId="12F89CF5">
            <w:pPr>
              <w:spacing w:line="360" w:lineRule="auto"/>
              <w:rPr>
                <w:rFonts w:ascii="宋体" w:hAnsi="宋体" w:cs="宋体"/>
                <w:sz w:val="18"/>
                <w:szCs w:val="18"/>
                <w:highlight w:val="none"/>
              </w:rPr>
            </w:pPr>
          </w:p>
        </w:tc>
        <w:tc>
          <w:tcPr>
            <w:tcW w:w="2325" w:type="dxa"/>
          </w:tcPr>
          <w:p w14:paraId="40D1833E">
            <w:pPr>
              <w:spacing w:line="360" w:lineRule="auto"/>
              <w:rPr>
                <w:rFonts w:ascii="宋体" w:hAnsi="宋体" w:cs="宋体"/>
                <w:sz w:val="18"/>
                <w:szCs w:val="18"/>
                <w:highlight w:val="none"/>
              </w:rPr>
            </w:pPr>
          </w:p>
        </w:tc>
        <w:tc>
          <w:tcPr>
            <w:tcW w:w="1770" w:type="dxa"/>
          </w:tcPr>
          <w:p w14:paraId="30BD7779">
            <w:pPr>
              <w:spacing w:line="360" w:lineRule="auto"/>
              <w:rPr>
                <w:rFonts w:ascii="宋体" w:hAnsi="宋体" w:cs="宋体"/>
                <w:sz w:val="18"/>
                <w:szCs w:val="18"/>
                <w:highlight w:val="none"/>
              </w:rPr>
            </w:pPr>
          </w:p>
        </w:tc>
      </w:tr>
      <w:tr w14:paraId="773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30C106C">
            <w:pPr>
              <w:spacing w:line="360" w:lineRule="auto"/>
              <w:jc w:val="center"/>
              <w:rPr>
                <w:rFonts w:ascii="宋体" w:hAnsi="宋体" w:cs="宋体"/>
                <w:sz w:val="18"/>
                <w:szCs w:val="18"/>
                <w:highlight w:val="none"/>
              </w:rPr>
            </w:pPr>
            <w:r>
              <w:rPr>
                <w:rFonts w:hint="eastAsia" w:ascii="宋体" w:hAnsi="宋体" w:cs="宋体"/>
                <w:sz w:val="18"/>
                <w:szCs w:val="18"/>
                <w:highlight w:val="none"/>
              </w:rPr>
              <w:t>3</w:t>
            </w:r>
          </w:p>
        </w:tc>
        <w:tc>
          <w:tcPr>
            <w:tcW w:w="1329" w:type="dxa"/>
            <w:shd w:val="clear" w:color="auto" w:fill="auto"/>
          </w:tcPr>
          <w:p w14:paraId="081C54C8">
            <w:pPr>
              <w:spacing w:line="360" w:lineRule="auto"/>
              <w:rPr>
                <w:rFonts w:ascii="宋体" w:hAnsi="宋体" w:cs="宋体"/>
                <w:sz w:val="18"/>
                <w:szCs w:val="18"/>
                <w:highlight w:val="none"/>
              </w:rPr>
            </w:pPr>
            <w:r>
              <w:rPr>
                <w:rFonts w:hint="eastAsia" w:ascii="宋体" w:hAnsi="宋体" w:cs="宋体"/>
                <w:sz w:val="18"/>
                <w:szCs w:val="18"/>
                <w:highlight w:val="none"/>
              </w:rPr>
              <w:t>质保期</w:t>
            </w:r>
          </w:p>
        </w:tc>
        <w:tc>
          <w:tcPr>
            <w:tcW w:w="2175" w:type="dxa"/>
            <w:shd w:val="clear" w:color="auto" w:fill="auto"/>
          </w:tcPr>
          <w:p w14:paraId="7CCC3B31">
            <w:pPr>
              <w:spacing w:line="360" w:lineRule="auto"/>
              <w:rPr>
                <w:rFonts w:ascii="宋体" w:hAnsi="宋体" w:cs="宋体"/>
                <w:sz w:val="18"/>
                <w:szCs w:val="18"/>
                <w:highlight w:val="none"/>
              </w:rPr>
            </w:pPr>
          </w:p>
        </w:tc>
        <w:tc>
          <w:tcPr>
            <w:tcW w:w="2325" w:type="dxa"/>
          </w:tcPr>
          <w:p w14:paraId="0742DA6F">
            <w:pPr>
              <w:spacing w:line="360" w:lineRule="auto"/>
              <w:rPr>
                <w:rFonts w:ascii="宋体" w:hAnsi="宋体" w:cs="宋体"/>
                <w:sz w:val="18"/>
                <w:szCs w:val="18"/>
                <w:highlight w:val="none"/>
              </w:rPr>
            </w:pPr>
          </w:p>
        </w:tc>
        <w:tc>
          <w:tcPr>
            <w:tcW w:w="1770" w:type="dxa"/>
          </w:tcPr>
          <w:p w14:paraId="4668D76D">
            <w:pPr>
              <w:spacing w:line="360" w:lineRule="auto"/>
              <w:rPr>
                <w:rFonts w:ascii="宋体" w:hAnsi="宋体" w:cs="宋体"/>
                <w:sz w:val="18"/>
                <w:szCs w:val="18"/>
                <w:highlight w:val="none"/>
              </w:rPr>
            </w:pPr>
          </w:p>
        </w:tc>
      </w:tr>
      <w:tr w14:paraId="01D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00029CFE">
            <w:pPr>
              <w:spacing w:line="360" w:lineRule="auto"/>
              <w:jc w:val="center"/>
              <w:rPr>
                <w:rFonts w:ascii="宋体" w:hAnsi="宋体" w:cs="宋体"/>
                <w:sz w:val="18"/>
                <w:szCs w:val="18"/>
                <w:highlight w:val="none"/>
              </w:rPr>
            </w:pPr>
            <w:r>
              <w:rPr>
                <w:rFonts w:hint="eastAsia" w:ascii="宋体" w:hAnsi="宋体" w:cs="宋体"/>
                <w:sz w:val="18"/>
                <w:szCs w:val="18"/>
                <w:highlight w:val="none"/>
              </w:rPr>
              <w:t>4</w:t>
            </w:r>
          </w:p>
        </w:tc>
        <w:tc>
          <w:tcPr>
            <w:tcW w:w="1329" w:type="dxa"/>
            <w:shd w:val="clear" w:color="auto" w:fill="auto"/>
          </w:tcPr>
          <w:p w14:paraId="10A818A2">
            <w:pPr>
              <w:spacing w:line="360" w:lineRule="auto"/>
              <w:rPr>
                <w:rFonts w:ascii="宋体" w:hAnsi="宋体" w:cs="宋体"/>
                <w:sz w:val="18"/>
                <w:szCs w:val="18"/>
                <w:highlight w:val="none"/>
              </w:rPr>
            </w:pPr>
            <w:r>
              <w:rPr>
                <w:rFonts w:hint="eastAsia" w:ascii="宋体" w:hAnsi="宋体" w:cs="宋体"/>
                <w:sz w:val="18"/>
                <w:szCs w:val="18"/>
                <w:highlight w:val="none"/>
              </w:rPr>
              <w:t>合同履行期限</w:t>
            </w:r>
          </w:p>
        </w:tc>
        <w:tc>
          <w:tcPr>
            <w:tcW w:w="2175" w:type="dxa"/>
            <w:shd w:val="clear" w:color="auto" w:fill="auto"/>
          </w:tcPr>
          <w:p w14:paraId="09A45B25">
            <w:pPr>
              <w:spacing w:line="360" w:lineRule="auto"/>
              <w:rPr>
                <w:rFonts w:ascii="宋体" w:hAnsi="宋体" w:cs="宋体"/>
                <w:sz w:val="18"/>
                <w:szCs w:val="18"/>
                <w:highlight w:val="none"/>
              </w:rPr>
            </w:pPr>
          </w:p>
        </w:tc>
        <w:tc>
          <w:tcPr>
            <w:tcW w:w="2325" w:type="dxa"/>
          </w:tcPr>
          <w:p w14:paraId="688DEF44">
            <w:pPr>
              <w:spacing w:line="360" w:lineRule="auto"/>
              <w:rPr>
                <w:rFonts w:ascii="宋体" w:hAnsi="宋体" w:cs="宋体"/>
                <w:sz w:val="18"/>
                <w:szCs w:val="18"/>
                <w:highlight w:val="none"/>
              </w:rPr>
            </w:pPr>
          </w:p>
        </w:tc>
        <w:tc>
          <w:tcPr>
            <w:tcW w:w="1770" w:type="dxa"/>
          </w:tcPr>
          <w:p w14:paraId="4BA57E1A">
            <w:pPr>
              <w:spacing w:line="360" w:lineRule="auto"/>
              <w:rPr>
                <w:rFonts w:ascii="宋体" w:hAnsi="宋体" w:cs="宋体"/>
                <w:sz w:val="18"/>
                <w:szCs w:val="18"/>
                <w:highlight w:val="none"/>
              </w:rPr>
            </w:pPr>
          </w:p>
        </w:tc>
      </w:tr>
      <w:tr w14:paraId="336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610D857">
            <w:pPr>
              <w:spacing w:line="360" w:lineRule="auto"/>
              <w:jc w:val="center"/>
              <w:rPr>
                <w:rFonts w:ascii="宋体" w:hAnsi="宋体" w:cs="宋体"/>
                <w:sz w:val="18"/>
                <w:szCs w:val="18"/>
                <w:highlight w:val="none"/>
              </w:rPr>
            </w:pPr>
            <w:r>
              <w:rPr>
                <w:rFonts w:hint="eastAsia" w:ascii="宋体" w:hAnsi="宋体" w:cs="宋体"/>
                <w:sz w:val="18"/>
                <w:szCs w:val="18"/>
                <w:highlight w:val="none"/>
              </w:rPr>
              <w:t>5</w:t>
            </w:r>
          </w:p>
        </w:tc>
        <w:tc>
          <w:tcPr>
            <w:tcW w:w="1329" w:type="dxa"/>
            <w:shd w:val="clear" w:color="auto" w:fill="auto"/>
          </w:tcPr>
          <w:p w14:paraId="275C0FE7">
            <w:pPr>
              <w:spacing w:line="360" w:lineRule="auto"/>
              <w:rPr>
                <w:rFonts w:ascii="宋体" w:hAnsi="宋体" w:cs="宋体"/>
                <w:sz w:val="18"/>
                <w:szCs w:val="18"/>
                <w:highlight w:val="none"/>
              </w:rPr>
            </w:pPr>
            <w:r>
              <w:rPr>
                <w:rFonts w:hint="eastAsia" w:ascii="宋体" w:hAnsi="宋体" w:cs="宋体"/>
                <w:sz w:val="18"/>
                <w:szCs w:val="18"/>
                <w:highlight w:val="none"/>
              </w:rPr>
              <w:t>投标有效期</w:t>
            </w:r>
          </w:p>
        </w:tc>
        <w:tc>
          <w:tcPr>
            <w:tcW w:w="2175" w:type="dxa"/>
            <w:shd w:val="clear" w:color="auto" w:fill="auto"/>
          </w:tcPr>
          <w:p w14:paraId="59CEEF01">
            <w:pPr>
              <w:spacing w:line="360" w:lineRule="auto"/>
              <w:rPr>
                <w:rFonts w:ascii="宋体" w:hAnsi="宋体" w:cs="宋体"/>
                <w:sz w:val="18"/>
                <w:szCs w:val="18"/>
                <w:highlight w:val="none"/>
              </w:rPr>
            </w:pPr>
          </w:p>
        </w:tc>
        <w:tc>
          <w:tcPr>
            <w:tcW w:w="2325" w:type="dxa"/>
          </w:tcPr>
          <w:p w14:paraId="67523713">
            <w:pPr>
              <w:spacing w:line="360" w:lineRule="auto"/>
              <w:rPr>
                <w:rFonts w:ascii="宋体" w:hAnsi="宋体" w:cs="宋体"/>
                <w:sz w:val="18"/>
                <w:szCs w:val="18"/>
                <w:highlight w:val="none"/>
              </w:rPr>
            </w:pPr>
          </w:p>
        </w:tc>
        <w:tc>
          <w:tcPr>
            <w:tcW w:w="1770" w:type="dxa"/>
          </w:tcPr>
          <w:p w14:paraId="74CEE75F">
            <w:pPr>
              <w:spacing w:line="360" w:lineRule="auto"/>
              <w:rPr>
                <w:rFonts w:ascii="宋体" w:hAnsi="宋体" w:cs="宋体"/>
                <w:sz w:val="18"/>
                <w:szCs w:val="18"/>
                <w:highlight w:val="none"/>
              </w:rPr>
            </w:pPr>
          </w:p>
        </w:tc>
      </w:tr>
      <w:tr w14:paraId="781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6D63D17A">
            <w:pPr>
              <w:spacing w:line="360" w:lineRule="auto"/>
              <w:jc w:val="center"/>
              <w:rPr>
                <w:rFonts w:ascii="宋体" w:hAnsi="宋体" w:cs="宋体"/>
                <w:sz w:val="18"/>
                <w:szCs w:val="18"/>
                <w:highlight w:val="none"/>
              </w:rPr>
            </w:pPr>
            <w:r>
              <w:rPr>
                <w:rFonts w:hint="eastAsia" w:ascii="宋体" w:hAnsi="宋体" w:cs="宋体"/>
                <w:sz w:val="18"/>
                <w:szCs w:val="18"/>
                <w:highlight w:val="none"/>
              </w:rPr>
              <w:t>6</w:t>
            </w:r>
          </w:p>
        </w:tc>
        <w:tc>
          <w:tcPr>
            <w:tcW w:w="1329" w:type="dxa"/>
            <w:shd w:val="clear" w:color="auto" w:fill="auto"/>
          </w:tcPr>
          <w:p w14:paraId="19F7DC01">
            <w:pPr>
              <w:spacing w:line="360" w:lineRule="auto"/>
              <w:rPr>
                <w:rFonts w:ascii="宋体" w:hAnsi="宋体" w:cs="宋体"/>
                <w:sz w:val="18"/>
                <w:szCs w:val="18"/>
                <w:highlight w:val="none"/>
              </w:rPr>
            </w:pPr>
            <w:r>
              <w:rPr>
                <w:rFonts w:hint="eastAsia" w:ascii="宋体" w:hAnsi="宋体" w:cs="宋体"/>
                <w:sz w:val="18"/>
                <w:szCs w:val="18"/>
                <w:highlight w:val="none"/>
              </w:rPr>
              <w:t>履约保证金</w:t>
            </w:r>
          </w:p>
        </w:tc>
        <w:tc>
          <w:tcPr>
            <w:tcW w:w="2175" w:type="dxa"/>
            <w:shd w:val="clear" w:color="auto" w:fill="auto"/>
          </w:tcPr>
          <w:p w14:paraId="748ED2F4">
            <w:pPr>
              <w:spacing w:line="360" w:lineRule="auto"/>
              <w:rPr>
                <w:rFonts w:ascii="宋体" w:hAnsi="宋体" w:cs="宋体"/>
                <w:sz w:val="18"/>
                <w:szCs w:val="18"/>
                <w:highlight w:val="none"/>
              </w:rPr>
            </w:pPr>
          </w:p>
        </w:tc>
        <w:tc>
          <w:tcPr>
            <w:tcW w:w="2325" w:type="dxa"/>
          </w:tcPr>
          <w:p w14:paraId="400B38D6">
            <w:pPr>
              <w:spacing w:line="360" w:lineRule="auto"/>
              <w:rPr>
                <w:rFonts w:ascii="宋体" w:hAnsi="宋体" w:cs="宋体"/>
                <w:sz w:val="18"/>
                <w:szCs w:val="18"/>
                <w:highlight w:val="none"/>
              </w:rPr>
            </w:pPr>
          </w:p>
        </w:tc>
        <w:tc>
          <w:tcPr>
            <w:tcW w:w="1770" w:type="dxa"/>
          </w:tcPr>
          <w:p w14:paraId="328F84D5">
            <w:pPr>
              <w:spacing w:line="360" w:lineRule="auto"/>
              <w:rPr>
                <w:rFonts w:ascii="宋体" w:hAnsi="宋体" w:cs="宋体"/>
                <w:sz w:val="18"/>
                <w:szCs w:val="18"/>
                <w:highlight w:val="none"/>
              </w:rPr>
            </w:pPr>
          </w:p>
        </w:tc>
      </w:tr>
      <w:tr w14:paraId="306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4A12A6EF">
            <w:pPr>
              <w:spacing w:line="360" w:lineRule="auto"/>
              <w:jc w:val="center"/>
              <w:rPr>
                <w:rFonts w:ascii="宋体" w:hAnsi="宋体" w:cs="宋体"/>
                <w:sz w:val="18"/>
                <w:szCs w:val="18"/>
                <w:highlight w:val="none"/>
              </w:rPr>
            </w:pPr>
            <w:r>
              <w:rPr>
                <w:rFonts w:hint="eastAsia" w:ascii="宋体" w:hAnsi="宋体" w:cs="宋体"/>
                <w:sz w:val="18"/>
                <w:szCs w:val="18"/>
                <w:highlight w:val="none"/>
              </w:rPr>
              <w:t>7</w:t>
            </w:r>
          </w:p>
        </w:tc>
        <w:tc>
          <w:tcPr>
            <w:tcW w:w="1329" w:type="dxa"/>
          </w:tcPr>
          <w:p w14:paraId="07D66927">
            <w:pPr>
              <w:spacing w:line="360" w:lineRule="auto"/>
              <w:rPr>
                <w:rFonts w:ascii="宋体" w:hAnsi="宋体" w:cs="宋体"/>
                <w:sz w:val="18"/>
                <w:szCs w:val="18"/>
                <w:highlight w:val="none"/>
              </w:rPr>
            </w:pPr>
            <w:r>
              <w:rPr>
                <w:rFonts w:hint="eastAsia" w:ascii="宋体" w:hAnsi="宋体" w:cs="宋体"/>
                <w:sz w:val="18"/>
                <w:szCs w:val="18"/>
                <w:highlight w:val="none"/>
              </w:rPr>
              <w:t>第三</w:t>
            </w:r>
            <w:r>
              <w:rPr>
                <w:rFonts w:hint="eastAsia" w:ascii="宋体" w:hAnsi="宋体" w:cs="宋体"/>
                <w:sz w:val="18"/>
                <w:szCs w:val="18"/>
                <w:highlight w:val="none"/>
                <w:lang w:val="en-US" w:eastAsia="zh-CN"/>
              </w:rPr>
              <w:t>部分</w:t>
            </w:r>
            <w:r>
              <w:rPr>
                <w:rFonts w:hint="eastAsia" w:ascii="宋体" w:hAnsi="宋体" w:cs="宋体"/>
                <w:sz w:val="18"/>
                <w:szCs w:val="18"/>
                <w:highlight w:val="none"/>
              </w:rPr>
              <w:t xml:space="preserve"> 商务要求</w:t>
            </w:r>
          </w:p>
        </w:tc>
        <w:tc>
          <w:tcPr>
            <w:tcW w:w="2175" w:type="dxa"/>
          </w:tcPr>
          <w:p w14:paraId="759EC6C0">
            <w:pPr>
              <w:spacing w:line="360" w:lineRule="auto"/>
              <w:rPr>
                <w:rFonts w:ascii="宋体" w:hAnsi="宋体" w:cs="宋体"/>
                <w:sz w:val="18"/>
                <w:szCs w:val="18"/>
                <w:highlight w:val="none"/>
              </w:rPr>
            </w:pPr>
          </w:p>
        </w:tc>
        <w:tc>
          <w:tcPr>
            <w:tcW w:w="2325" w:type="dxa"/>
          </w:tcPr>
          <w:p w14:paraId="6E9E7804">
            <w:pPr>
              <w:spacing w:line="360" w:lineRule="auto"/>
              <w:rPr>
                <w:rFonts w:ascii="宋体" w:hAnsi="宋体" w:cs="宋体"/>
                <w:sz w:val="18"/>
                <w:szCs w:val="18"/>
                <w:highlight w:val="none"/>
              </w:rPr>
            </w:pPr>
          </w:p>
        </w:tc>
        <w:tc>
          <w:tcPr>
            <w:tcW w:w="1770" w:type="dxa"/>
          </w:tcPr>
          <w:p w14:paraId="1BED7E2D">
            <w:pPr>
              <w:spacing w:line="360" w:lineRule="auto"/>
              <w:rPr>
                <w:rFonts w:ascii="宋体" w:hAnsi="宋体" w:cs="宋体"/>
                <w:sz w:val="18"/>
                <w:szCs w:val="18"/>
                <w:highlight w:val="none"/>
              </w:rPr>
            </w:pPr>
          </w:p>
        </w:tc>
      </w:tr>
      <w:tr w14:paraId="2E6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2A62F6FE">
            <w:pPr>
              <w:spacing w:line="360" w:lineRule="auto"/>
              <w:jc w:val="center"/>
              <w:rPr>
                <w:rFonts w:ascii="宋体" w:hAnsi="宋体" w:cs="宋体"/>
                <w:sz w:val="18"/>
                <w:szCs w:val="18"/>
                <w:highlight w:val="none"/>
              </w:rPr>
            </w:pPr>
            <w:r>
              <w:rPr>
                <w:rFonts w:hint="eastAsia" w:ascii="宋体" w:hAnsi="宋体" w:cs="宋体"/>
                <w:sz w:val="18"/>
                <w:szCs w:val="18"/>
                <w:highlight w:val="none"/>
              </w:rPr>
              <w:t>8</w:t>
            </w:r>
          </w:p>
        </w:tc>
        <w:tc>
          <w:tcPr>
            <w:tcW w:w="1329" w:type="dxa"/>
          </w:tcPr>
          <w:p w14:paraId="4300D45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175" w:type="dxa"/>
          </w:tcPr>
          <w:p w14:paraId="762E1423">
            <w:pPr>
              <w:spacing w:line="360" w:lineRule="auto"/>
              <w:rPr>
                <w:rFonts w:ascii="宋体" w:hAnsi="宋体" w:cs="宋体"/>
                <w:sz w:val="18"/>
                <w:szCs w:val="18"/>
                <w:highlight w:val="none"/>
              </w:rPr>
            </w:pPr>
          </w:p>
        </w:tc>
        <w:tc>
          <w:tcPr>
            <w:tcW w:w="2325" w:type="dxa"/>
          </w:tcPr>
          <w:p w14:paraId="4D7726E0">
            <w:pPr>
              <w:spacing w:line="360" w:lineRule="auto"/>
              <w:rPr>
                <w:rFonts w:ascii="宋体" w:hAnsi="宋体" w:cs="宋体"/>
                <w:sz w:val="18"/>
                <w:szCs w:val="18"/>
                <w:highlight w:val="none"/>
              </w:rPr>
            </w:pPr>
          </w:p>
        </w:tc>
        <w:tc>
          <w:tcPr>
            <w:tcW w:w="1770" w:type="dxa"/>
          </w:tcPr>
          <w:p w14:paraId="02B685B9">
            <w:pPr>
              <w:spacing w:line="360" w:lineRule="auto"/>
              <w:rPr>
                <w:rFonts w:ascii="宋体" w:hAnsi="宋体" w:cs="宋体"/>
                <w:sz w:val="18"/>
                <w:szCs w:val="18"/>
                <w:highlight w:val="none"/>
              </w:rPr>
            </w:pPr>
          </w:p>
        </w:tc>
      </w:tr>
    </w:tbl>
    <w:p w14:paraId="0D3231B0">
      <w:pPr>
        <w:spacing w:line="360" w:lineRule="auto"/>
        <w:rPr>
          <w:rFonts w:ascii="宋体" w:hAnsi="宋体" w:cs="宋体"/>
          <w:sz w:val="24"/>
          <w:highlight w:val="none"/>
        </w:rPr>
      </w:pPr>
      <w:r>
        <w:rPr>
          <w:rFonts w:hint="eastAsia" w:ascii="宋体" w:hAnsi="宋体" w:cs="宋体"/>
          <w:sz w:val="24"/>
          <w:highlight w:val="none"/>
        </w:rPr>
        <w:t>　</w:t>
      </w:r>
    </w:p>
    <w:p w14:paraId="5A8A3670">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11CF3C44">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70A4C661">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53D2E235">
      <w:pPr>
        <w:rPr>
          <w:rFonts w:ascii="宋体" w:hAnsi="宋体" w:cs="宋体"/>
          <w:sz w:val="24"/>
          <w:highlight w:val="none"/>
        </w:rPr>
      </w:pPr>
      <w:r>
        <w:rPr>
          <w:rFonts w:hint="eastAsia" w:ascii="宋体" w:hAnsi="宋体" w:cs="宋体"/>
          <w:sz w:val="24"/>
          <w:highlight w:val="none"/>
        </w:rPr>
        <w:br w:type="page"/>
      </w:r>
    </w:p>
    <w:p w14:paraId="313613D1">
      <w:pPr>
        <w:pStyle w:val="9"/>
        <w:numPr>
          <w:ilvl w:val="3"/>
          <w:numId w:val="0"/>
        </w:numPr>
        <w:ind w:left="420" w:leftChars="200"/>
        <w:rPr>
          <w:highlight w:val="none"/>
        </w:rPr>
      </w:pPr>
    </w:p>
    <w:p w14:paraId="63E3D3AF">
      <w:pPr>
        <w:spacing w:line="360" w:lineRule="auto"/>
        <w:ind w:firstLine="482" w:firstLineChars="200"/>
        <w:rPr>
          <w:rFonts w:ascii="宋体" w:hAnsi="宋体" w:cs="宋体"/>
          <w:sz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）业绩表</w:t>
      </w:r>
    </w:p>
    <w:p w14:paraId="6A4A5F9B">
      <w:pPr>
        <w:spacing w:line="360" w:lineRule="auto"/>
        <w:jc w:val="center"/>
        <w:rPr>
          <w:rFonts w:ascii="宋体" w:hAnsi="宋体" w:cs="宋体"/>
          <w:b/>
          <w:sz w:val="30"/>
          <w:highlight w:val="none"/>
        </w:rPr>
      </w:pPr>
      <w:r>
        <w:rPr>
          <w:rFonts w:hint="eastAsia" w:ascii="宋体" w:hAnsi="宋体" w:cs="宋体"/>
          <w:b/>
          <w:sz w:val="30"/>
          <w:highlight w:val="none"/>
        </w:rPr>
        <w:t>业绩表</w:t>
      </w:r>
    </w:p>
    <w:p w14:paraId="124A9954">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　　　　</w:t>
      </w:r>
    </w:p>
    <w:tbl>
      <w:tblPr>
        <w:tblStyle w:val="27"/>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3135"/>
        <w:gridCol w:w="1844"/>
      </w:tblGrid>
      <w:tr w14:paraId="6AE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60" w:type="dxa"/>
          </w:tcPr>
          <w:p w14:paraId="56B64B83">
            <w:pPr>
              <w:pStyle w:val="45"/>
              <w:spacing w:line="360" w:lineRule="auto"/>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地　　区</w:t>
            </w:r>
          </w:p>
        </w:tc>
        <w:tc>
          <w:tcPr>
            <w:tcW w:w="1660" w:type="dxa"/>
          </w:tcPr>
          <w:p w14:paraId="52090040">
            <w:pPr>
              <w:pStyle w:val="45"/>
              <w:spacing w:line="360" w:lineRule="auto"/>
              <w:ind w:right="-107" w:rightChars="-51"/>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合同名称</w:t>
            </w:r>
          </w:p>
        </w:tc>
        <w:tc>
          <w:tcPr>
            <w:tcW w:w="3135" w:type="dxa"/>
          </w:tcPr>
          <w:p w14:paraId="7D6C49AC">
            <w:pPr>
              <w:pStyle w:val="45"/>
              <w:spacing w:line="360" w:lineRule="auto"/>
              <w:ind w:firstLine="843" w:firstLineChars="4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采购单位</w:t>
            </w:r>
          </w:p>
        </w:tc>
        <w:tc>
          <w:tcPr>
            <w:tcW w:w="1844" w:type="dxa"/>
          </w:tcPr>
          <w:p w14:paraId="593C71C1">
            <w:pPr>
              <w:pStyle w:val="45"/>
              <w:spacing w:line="360" w:lineRule="auto"/>
              <w:ind w:firstLine="415" w:firstLineChars="197"/>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12F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E43AB9E">
            <w:pPr>
              <w:spacing w:line="360" w:lineRule="auto"/>
              <w:rPr>
                <w:rFonts w:ascii="宋体" w:hAnsi="宋体" w:cs="宋体"/>
                <w:sz w:val="18"/>
                <w:szCs w:val="18"/>
                <w:highlight w:val="none"/>
              </w:rPr>
            </w:pPr>
          </w:p>
        </w:tc>
        <w:tc>
          <w:tcPr>
            <w:tcW w:w="1660" w:type="dxa"/>
          </w:tcPr>
          <w:p w14:paraId="0492AB41">
            <w:pPr>
              <w:spacing w:line="360" w:lineRule="auto"/>
              <w:rPr>
                <w:rFonts w:ascii="宋体" w:hAnsi="宋体" w:cs="宋体"/>
                <w:sz w:val="18"/>
                <w:szCs w:val="18"/>
                <w:highlight w:val="none"/>
              </w:rPr>
            </w:pPr>
          </w:p>
        </w:tc>
        <w:tc>
          <w:tcPr>
            <w:tcW w:w="3135" w:type="dxa"/>
          </w:tcPr>
          <w:p w14:paraId="32C6BA1D">
            <w:pPr>
              <w:spacing w:line="360" w:lineRule="auto"/>
              <w:rPr>
                <w:rFonts w:ascii="宋体" w:hAnsi="宋体" w:cs="宋体"/>
                <w:sz w:val="18"/>
                <w:szCs w:val="18"/>
                <w:highlight w:val="none"/>
              </w:rPr>
            </w:pPr>
          </w:p>
        </w:tc>
        <w:tc>
          <w:tcPr>
            <w:tcW w:w="1844" w:type="dxa"/>
          </w:tcPr>
          <w:p w14:paraId="09C1FCE5">
            <w:pPr>
              <w:spacing w:line="360" w:lineRule="auto"/>
              <w:rPr>
                <w:rFonts w:ascii="宋体" w:hAnsi="宋体" w:cs="宋体"/>
                <w:sz w:val="18"/>
                <w:szCs w:val="18"/>
                <w:highlight w:val="none"/>
              </w:rPr>
            </w:pPr>
          </w:p>
        </w:tc>
      </w:tr>
      <w:tr w14:paraId="77A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BBF9F87">
            <w:pPr>
              <w:spacing w:line="360" w:lineRule="auto"/>
              <w:rPr>
                <w:rFonts w:ascii="宋体" w:hAnsi="宋体" w:cs="宋体"/>
                <w:sz w:val="18"/>
                <w:szCs w:val="18"/>
                <w:highlight w:val="none"/>
              </w:rPr>
            </w:pPr>
          </w:p>
        </w:tc>
        <w:tc>
          <w:tcPr>
            <w:tcW w:w="1660" w:type="dxa"/>
          </w:tcPr>
          <w:p w14:paraId="7DEC6643">
            <w:pPr>
              <w:spacing w:line="360" w:lineRule="auto"/>
              <w:rPr>
                <w:rFonts w:ascii="宋体" w:hAnsi="宋体" w:cs="宋体"/>
                <w:sz w:val="18"/>
                <w:szCs w:val="18"/>
                <w:highlight w:val="none"/>
              </w:rPr>
            </w:pPr>
          </w:p>
        </w:tc>
        <w:tc>
          <w:tcPr>
            <w:tcW w:w="3135" w:type="dxa"/>
          </w:tcPr>
          <w:p w14:paraId="1AC6C09C">
            <w:pPr>
              <w:spacing w:line="360" w:lineRule="auto"/>
              <w:rPr>
                <w:rFonts w:ascii="宋体" w:hAnsi="宋体" w:cs="宋体"/>
                <w:sz w:val="18"/>
                <w:szCs w:val="18"/>
                <w:highlight w:val="none"/>
              </w:rPr>
            </w:pPr>
          </w:p>
        </w:tc>
        <w:tc>
          <w:tcPr>
            <w:tcW w:w="1844" w:type="dxa"/>
          </w:tcPr>
          <w:p w14:paraId="50BA3817">
            <w:pPr>
              <w:spacing w:line="360" w:lineRule="auto"/>
              <w:rPr>
                <w:rFonts w:ascii="宋体" w:hAnsi="宋体" w:cs="宋体"/>
                <w:sz w:val="18"/>
                <w:szCs w:val="18"/>
                <w:highlight w:val="none"/>
              </w:rPr>
            </w:pPr>
          </w:p>
        </w:tc>
      </w:tr>
      <w:tr w14:paraId="67D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0" w:type="dxa"/>
          </w:tcPr>
          <w:p w14:paraId="2A72F26C">
            <w:pPr>
              <w:spacing w:line="360" w:lineRule="auto"/>
              <w:rPr>
                <w:rFonts w:ascii="宋体" w:hAnsi="宋体" w:cs="宋体"/>
                <w:sz w:val="18"/>
                <w:szCs w:val="18"/>
                <w:highlight w:val="none"/>
              </w:rPr>
            </w:pPr>
          </w:p>
        </w:tc>
        <w:tc>
          <w:tcPr>
            <w:tcW w:w="1660" w:type="dxa"/>
          </w:tcPr>
          <w:p w14:paraId="4B156335">
            <w:pPr>
              <w:spacing w:line="360" w:lineRule="auto"/>
              <w:rPr>
                <w:rFonts w:ascii="宋体" w:hAnsi="宋体" w:cs="宋体"/>
                <w:sz w:val="18"/>
                <w:szCs w:val="18"/>
                <w:highlight w:val="none"/>
              </w:rPr>
            </w:pPr>
          </w:p>
        </w:tc>
        <w:tc>
          <w:tcPr>
            <w:tcW w:w="3135" w:type="dxa"/>
          </w:tcPr>
          <w:p w14:paraId="60218AA8">
            <w:pPr>
              <w:spacing w:line="360" w:lineRule="auto"/>
              <w:rPr>
                <w:rFonts w:ascii="宋体" w:hAnsi="宋体" w:cs="宋体"/>
                <w:sz w:val="18"/>
                <w:szCs w:val="18"/>
                <w:highlight w:val="none"/>
              </w:rPr>
            </w:pPr>
          </w:p>
        </w:tc>
        <w:tc>
          <w:tcPr>
            <w:tcW w:w="1844" w:type="dxa"/>
          </w:tcPr>
          <w:p w14:paraId="216244F4">
            <w:pPr>
              <w:spacing w:line="360" w:lineRule="auto"/>
              <w:rPr>
                <w:rFonts w:ascii="宋体" w:hAnsi="宋体" w:cs="宋体"/>
                <w:sz w:val="18"/>
                <w:szCs w:val="18"/>
                <w:highlight w:val="none"/>
              </w:rPr>
            </w:pPr>
          </w:p>
        </w:tc>
      </w:tr>
      <w:tr w14:paraId="57D6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1C1C1668">
            <w:pPr>
              <w:spacing w:line="360" w:lineRule="auto"/>
              <w:rPr>
                <w:rFonts w:ascii="宋体" w:hAnsi="宋体" w:cs="宋体"/>
                <w:sz w:val="18"/>
                <w:szCs w:val="18"/>
                <w:highlight w:val="none"/>
              </w:rPr>
            </w:pPr>
          </w:p>
        </w:tc>
        <w:tc>
          <w:tcPr>
            <w:tcW w:w="1660" w:type="dxa"/>
          </w:tcPr>
          <w:p w14:paraId="6469248C">
            <w:pPr>
              <w:spacing w:line="360" w:lineRule="auto"/>
              <w:rPr>
                <w:rFonts w:ascii="宋体" w:hAnsi="宋体" w:cs="宋体"/>
                <w:sz w:val="18"/>
                <w:szCs w:val="18"/>
                <w:highlight w:val="none"/>
              </w:rPr>
            </w:pPr>
          </w:p>
        </w:tc>
        <w:tc>
          <w:tcPr>
            <w:tcW w:w="3135" w:type="dxa"/>
          </w:tcPr>
          <w:p w14:paraId="7ADD7BD7">
            <w:pPr>
              <w:spacing w:line="360" w:lineRule="auto"/>
              <w:rPr>
                <w:rFonts w:ascii="宋体" w:hAnsi="宋体" w:cs="宋体"/>
                <w:sz w:val="18"/>
                <w:szCs w:val="18"/>
                <w:highlight w:val="none"/>
              </w:rPr>
            </w:pPr>
          </w:p>
        </w:tc>
        <w:tc>
          <w:tcPr>
            <w:tcW w:w="1844" w:type="dxa"/>
          </w:tcPr>
          <w:p w14:paraId="52FC7551">
            <w:pPr>
              <w:spacing w:line="360" w:lineRule="auto"/>
              <w:rPr>
                <w:rFonts w:ascii="宋体" w:hAnsi="宋体" w:cs="宋体"/>
                <w:sz w:val="18"/>
                <w:szCs w:val="18"/>
                <w:highlight w:val="none"/>
              </w:rPr>
            </w:pPr>
          </w:p>
        </w:tc>
      </w:tr>
    </w:tbl>
    <w:p w14:paraId="15F19BD1">
      <w:pPr>
        <w:pStyle w:val="40"/>
        <w:spacing w:line="360" w:lineRule="auto"/>
        <w:jc w:val="right"/>
        <w:rPr>
          <w:rFonts w:ascii="宋体" w:hAnsi="宋体"/>
          <w:b/>
          <w:color w:val="auto"/>
          <w:highlight w:val="none"/>
        </w:rPr>
      </w:pPr>
    </w:p>
    <w:p w14:paraId="45FF15E3">
      <w:pPr>
        <w:pStyle w:val="40"/>
        <w:spacing w:line="360" w:lineRule="auto"/>
        <w:jc w:val="right"/>
        <w:rPr>
          <w:rFonts w:ascii="宋体" w:hAnsi="宋体"/>
          <w:b/>
          <w:color w:val="auto"/>
          <w:highlight w:val="none"/>
        </w:rPr>
      </w:pPr>
    </w:p>
    <w:p w14:paraId="6D496602">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62A4E45B">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07A60AB0">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720591B6">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35D71141">
      <w:pPr>
        <w:spacing w:line="360" w:lineRule="auto"/>
        <w:rPr>
          <w:rFonts w:ascii="宋体" w:hAnsi="宋体" w:cs="宋体"/>
          <w:sz w:val="24"/>
          <w:highlight w:val="none"/>
          <w:u w:val="single"/>
        </w:rPr>
      </w:pPr>
      <w:r>
        <w:rPr>
          <w:rFonts w:hint="eastAsia" w:ascii="宋体" w:hAnsi="宋体" w:cs="宋体"/>
          <w:b/>
          <w:sz w:val="24"/>
          <w:highlight w:val="none"/>
        </w:rPr>
        <w:t>　</w:t>
      </w:r>
    </w:p>
    <w:p w14:paraId="49C2B3C8">
      <w:pPr>
        <w:pStyle w:val="23"/>
        <w:rPr>
          <w:rFonts w:ascii="宋体" w:hAnsi="宋体" w:cs="宋体"/>
          <w:b/>
          <w:sz w:val="30"/>
          <w:highlight w:val="none"/>
        </w:rPr>
      </w:pPr>
    </w:p>
    <w:p w14:paraId="38B1B8DC">
      <w:pPr>
        <w:pStyle w:val="23"/>
        <w:rPr>
          <w:rFonts w:ascii="宋体" w:hAnsi="宋体" w:cs="宋体"/>
          <w:b/>
          <w:sz w:val="30"/>
          <w:highlight w:val="none"/>
        </w:rPr>
      </w:pPr>
    </w:p>
    <w:p w14:paraId="02D58CE8">
      <w:pPr>
        <w:spacing w:line="360" w:lineRule="auto"/>
        <w:ind w:firstLine="602" w:firstLineChars="200"/>
        <w:rPr>
          <w:rFonts w:ascii="宋体" w:hAnsi="宋体" w:cs="宋体"/>
          <w:sz w:val="24"/>
          <w:szCs w:val="24"/>
          <w:highlight w:val="none"/>
        </w:rPr>
      </w:pPr>
      <w:r>
        <w:rPr>
          <w:rFonts w:hint="eastAsia" w:ascii="宋体" w:hAnsi="宋体" w:cs="宋体"/>
          <w:b/>
          <w:sz w:val="30"/>
          <w:highlight w:val="none"/>
        </w:rPr>
        <w:t xml:space="preserve">     </w:t>
      </w: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 xml:space="preserve">）投标单位（投标人）反商业贿赂承诺书 </w:t>
      </w:r>
    </w:p>
    <w:p w14:paraId="774ECCDF">
      <w:pPr>
        <w:widowControl/>
        <w:ind w:firstLine="602" w:firstLineChars="200"/>
        <w:jc w:val="center"/>
        <w:rPr>
          <w:rFonts w:ascii="宋体" w:hAnsi="宋体" w:cs="宋体"/>
          <w:b/>
          <w:sz w:val="30"/>
          <w:highlight w:val="none"/>
        </w:rPr>
      </w:pPr>
      <w:r>
        <w:rPr>
          <w:rFonts w:hint="eastAsia" w:ascii="宋体" w:hAnsi="宋体" w:cs="宋体"/>
          <w:b/>
          <w:sz w:val="30"/>
          <w:highlight w:val="none"/>
        </w:rPr>
        <w:t>投标单位（投标人）反商业贿赂承诺书</w:t>
      </w:r>
    </w:p>
    <w:p w14:paraId="244927EE">
      <w:pPr>
        <w:widowControl/>
        <w:spacing w:line="360" w:lineRule="auto"/>
        <w:ind w:firstLine="480" w:firstLineChars="200"/>
        <w:jc w:val="left"/>
        <w:rPr>
          <w:rFonts w:ascii="宋体" w:hAnsi="宋体" w:cs="宋体"/>
          <w:sz w:val="24"/>
          <w:highlight w:val="none"/>
        </w:rPr>
      </w:pPr>
    </w:p>
    <w:p w14:paraId="0D9C8AF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D50223C">
      <w:pPr>
        <w:pStyle w:val="40"/>
        <w:spacing w:line="360" w:lineRule="auto"/>
        <w:jc w:val="center"/>
        <w:rPr>
          <w:rFonts w:ascii="宋体" w:hAnsi="宋体"/>
          <w:b/>
          <w:color w:val="auto"/>
          <w:highlight w:val="none"/>
        </w:rPr>
      </w:pPr>
    </w:p>
    <w:p w14:paraId="1C28EBCD">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2D4EC8E2">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BCADB7F">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123BFA8E">
      <w:pPr>
        <w:rPr>
          <w:rFonts w:hint="eastAsia" w:ascii="宋体" w:hAnsi="宋体" w:cs="宋体"/>
          <w:b/>
          <w:sz w:val="28"/>
          <w:szCs w:val="28"/>
          <w:highlight w:val="none"/>
        </w:rPr>
      </w:pPr>
      <w:r>
        <w:rPr>
          <w:rFonts w:hint="eastAsia" w:ascii="宋体" w:hAnsi="宋体" w:cs="宋体"/>
          <w:b/>
          <w:sz w:val="28"/>
          <w:szCs w:val="28"/>
          <w:highlight w:val="none"/>
        </w:rPr>
        <w:br w:type="page"/>
      </w:r>
    </w:p>
    <w:p w14:paraId="57FD00F5">
      <w:pPr>
        <w:jc w:val="left"/>
        <w:rPr>
          <w:rFonts w:ascii="宋体" w:hAnsi="宋体" w:cs="宋体"/>
          <w:b/>
          <w:sz w:val="28"/>
          <w:szCs w:val="28"/>
          <w:highlight w:val="none"/>
        </w:rPr>
      </w:pPr>
      <w:r>
        <w:rPr>
          <w:rFonts w:hint="eastAsia" w:ascii="宋体" w:hAnsi="宋体" w:cs="宋体"/>
          <w:b/>
          <w:sz w:val="28"/>
          <w:szCs w:val="28"/>
          <w:highlight w:val="none"/>
        </w:rPr>
        <w:t>（十</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          主要股东或出资人信息</w:t>
      </w:r>
    </w:p>
    <w:tbl>
      <w:tblPr>
        <w:tblStyle w:val="27"/>
        <w:tblpPr w:leftFromText="180" w:rightFromText="180" w:vertAnchor="text" w:horzAnchor="page" w:tblpX="1701" w:tblpY="718"/>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14:paraId="5F5C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0B0BC772">
            <w:pPr>
              <w:jc w:val="center"/>
              <w:rPr>
                <w:rFonts w:ascii="宋体" w:hAnsi="宋体" w:cs="宋体"/>
                <w:szCs w:val="21"/>
                <w:highlight w:val="none"/>
              </w:rPr>
            </w:pPr>
            <w:r>
              <w:rPr>
                <w:rFonts w:hint="eastAsia" w:ascii="宋体" w:hAnsi="宋体" w:cs="宋体"/>
                <w:szCs w:val="21"/>
                <w:highlight w:val="none"/>
              </w:rPr>
              <w:t>序号</w:t>
            </w:r>
          </w:p>
        </w:tc>
        <w:tc>
          <w:tcPr>
            <w:tcW w:w="1287" w:type="dxa"/>
            <w:vAlign w:val="center"/>
          </w:tcPr>
          <w:p w14:paraId="64B1A3E3">
            <w:pPr>
              <w:jc w:val="center"/>
              <w:rPr>
                <w:rFonts w:ascii="宋体" w:hAnsi="宋体" w:cs="宋体"/>
                <w:szCs w:val="21"/>
                <w:highlight w:val="none"/>
              </w:rPr>
            </w:pPr>
            <w:r>
              <w:rPr>
                <w:rFonts w:hint="eastAsia" w:ascii="宋体" w:hAnsi="宋体" w:cs="宋体"/>
                <w:szCs w:val="21"/>
                <w:highlight w:val="none"/>
              </w:rPr>
              <w:t>名称</w:t>
            </w:r>
          </w:p>
          <w:p w14:paraId="61659575">
            <w:pPr>
              <w:jc w:val="center"/>
              <w:rPr>
                <w:rFonts w:ascii="宋体" w:hAnsi="宋体" w:cs="宋体"/>
                <w:szCs w:val="21"/>
                <w:highlight w:val="none"/>
              </w:rPr>
            </w:pPr>
            <w:r>
              <w:rPr>
                <w:rFonts w:hint="eastAsia" w:ascii="宋体" w:hAnsi="宋体" w:cs="宋体"/>
                <w:szCs w:val="21"/>
                <w:highlight w:val="none"/>
              </w:rPr>
              <w:t>（姓名）</w:t>
            </w:r>
          </w:p>
        </w:tc>
        <w:tc>
          <w:tcPr>
            <w:tcW w:w="2340" w:type="dxa"/>
            <w:vAlign w:val="center"/>
          </w:tcPr>
          <w:p w14:paraId="414CEB7A">
            <w:pPr>
              <w:jc w:val="center"/>
              <w:rPr>
                <w:rFonts w:ascii="宋体" w:hAnsi="宋体" w:cs="宋体"/>
                <w:szCs w:val="21"/>
                <w:highlight w:val="none"/>
              </w:rPr>
            </w:pPr>
            <w:r>
              <w:rPr>
                <w:rFonts w:hint="eastAsia" w:ascii="宋体" w:hAnsi="宋体" w:cs="宋体"/>
                <w:szCs w:val="21"/>
                <w:highlight w:val="none"/>
              </w:rPr>
              <w:t>统一社会信用代码</w:t>
            </w:r>
          </w:p>
          <w:p w14:paraId="449C97B1">
            <w:pPr>
              <w:jc w:val="center"/>
              <w:rPr>
                <w:rFonts w:ascii="宋体" w:hAnsi="宋体" w:cs="宋体"/>
                <w:szCs w:val="21"/>
                <w:highlight w:val="none"/>
              </w:rPr>
            </w:pPr>
            <w:r>
              <w:rPr>
                <w:rFonts w:hint="eastAsia" w:ascii="宋体" w:hAnsi="宋体" w:cs="宋体"/>
                <w:szCs w:val="21"/>
                <w:highlight w:val="none"/>
              </w:rPr>
              <w:t>（身份证号）</w:t>
            </w:r>
          </w:p>
        </w:tc>
        <w:tc>
          <w:tcPr>
            <w:tcW w:w="1306" w:type="dxa"/>
            <w:vAlign w:val="center"/>
          </w:tcPr>
          <w:p w14:paraId="5BBC5667">
            <w:pPr>
              <w:jc w:val="center"/>
              <w:rPr>
                <w:rFonts w:ascii="宋体" w:hAnsi="宋体" w:cs="宋体"/>
                <w:szCs w:val="21"/>
                <w:highlight w:val="none"/>
              </w:rPr>
            </w:pPr>
            <w:r>
              <w:rPr>
                <w:rFonts w:hint="eastAsia" w:ascii="宋体" w:hAnsi="宋体" w:cs="宋体"/>
                <w:szCs w:val="21"/>
                <w:highlight w:val="none"/>
              </w:rPr>
              <w:t>出资方式</w:t>
            </w:r>
          </w:p>
        </w:tc>
        <w:tc>
          <w:tcPr>
            <w:tcW w:w="1375" w:type="dxa"/>
            <w:vAlign w:val="center"/>
          </w:tcPr>
          <w:p w14:paraId="6FF64913">
            <w:pPr>
              <w:jc w:val="center"/>
              <w:rPr>
                <w:rFonts w:ascii="宋体" w:hAnsi="宋体" w:cs="宋体"/>
                <w:szCs w:val="21"/>
                <w:highlight w:val="none"/>
              </w:rPr>
            </w:pPr>
            <w:r>
              <w:rPr>
                <w:rFonts w:hint="eastAsia" w:ascii="宋体" w:hAnsi="宋体" w:cs="宋体"/>
                <w:szCs w:val="21"/>
                <w:highlight w:val="none"/>
              </w:rPr>
              <w:t>出资金额</w:t>
            </w:r>
          </w:p>
          <w:p w14:paraId="532B37DC">
            <w:pPr>
              <w:jc w:val="center"/>
              <w:rPr>
                <w:rFonts w:ascii="宋体" w:hAnsi="宋体" w:cs="宋体"/>
                <w:szCs w:val="21"/>
                <w:highlight w:val="none"/>
              </w:rPr>
            </w:pPr>
            <w:r>
              <w:rPr>
                <w:rFonts w:hint="eastAsia" w:ascii="宋体" w:hAnsi="宋体" w:cs="宋体"/>
                <w:szCs w:val="21"/>
                <w:highlight w:val="none"/>
              </w:rPr>
              <w:t>（万元）</w:t>
            </w:r>
          </w:p>
        </w:tc>
        <w:tc>
          <w:tcPr>
            <w:tcW w:w="1363" w:type="dxa"/>
            <w:vAlign w:val="center"/>
          </w:tcPr>
          <w:p w14:paraId="2A4EE392">
            <w:pPr>
              <w:jc w:val="center"/>
              <w:rPr>
                <w:rFonts w:ascii="宋体" w:hAnsi="宋体" w:cs="宋体"/>
                <w:szCs w:val="21"/>
                <w:highlight w:val="none"/>
              </w:rPr>
            </w:pPr>
            <w:r>
              <w:rPr>
                <w:rFonts w:hint="eastAsia" w:ascii="宋体" w:hAnsi="宋体" w:cs="宋体"/>
                <w:szCs w:val="21"/>
                <w:highlight w:val="none"/>
              </w:rPr>
              <w:t>占全部股份比例</w:t>
            </w:r>
          </w:p>
        </w:tc>
        <w:tc>
          <w:tcPr>
            <w:tcW w:w="937" w:type="dxa"/>
            <w:vAlign w:val="center"/>
          </w:tcPr>
          <w:p w14:paraId="2561859A">
            <w:pPr>
              <w:jc w:val="center"/>
              <w:rPr>
                <w:rFonts w:ascii="宋体" w:hAnsi="宋体" w:cs="宋体"/>
                <w:szCs w:val="21"/>
                <w:highlight w:val="none"/>
              </w:rPr>
            </w:pPr>
            <w:r>
              <w:rPr>
                <w:rFonts w:hint="eastAsia" w:ascii="宋体" w:hAnsi="宋体" w:cs="宋体"/>
                <w:szCs w:val="21"/>
                <w:highlight w:val="none"/>
              </w:rPr>
              <w:t>备注</w:t>
            </w:r>
          </w:p>
        </w:tc>
      </w:tr>
      <w:tr w14:paraId="322F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84A614B">
            <w:pPr>
              <w:jc w:val="center"/>
              <w:rPr>
                <w:rFonts w:ascii="宋体" w:hAnsi="宋体" w:cs="宋体"/>
                <w:szCs w:val="21"/>
                <w:highlight w:val="none"/>
              </w:rPr>
            </w:pPr>
          </w:p>
        </w:tc>
        <w:tc>
          <w:tcPr>
            <w:tcW w:w="1287" w:type="dxa"/>
            <w:vAlign w:val="center"/>
          </w:tcPr>
          <w:p w14:paraId="0FA29E3D">
            <w:pPr>
              <w:jc w:val="center"/>
              <w:rPr>
                <w:rFonts w:ascii="宋体" w:hAnsi="宋体" w:cs="宋体"/>
                <w:szCs w:val="21"/>
                <w:highlight w:val="none"/>
              </w:rPr>
            </w:pPr>
          </w:p>
        </w:tc>
        <w:tc>
          <w:tcPr>
            <w:tcW w:w="2340" w:type="dxa"/>
            <w:vAlign w:val="center"/>
          </w:tcPr>
          <w:p w14:paraId="56095854">
            <w:pPr>
              <w:jc w:val="center"/>
              <w:rPr>
                <w:rFonts w:ascii="宋体" w:hAnsi="宋体" w:cs="宋体"/>
                <w:szCs w:val="21"/>
                <w:highlight w:val="none"/>
              </w:rPr>
            </w:pPr>
          </w:p>
        </w:tc>
        <w:tc>
          <w:tcPr>
            <w:tcW w:w="1306" w:type="dxa"/>
            <w:vAlign w:val="center"/>
          </w:tcPr>
          <w:p w14:paraId="00889835">
            <w:pPr>
              <w:jc w:val="center"/>
              <w:rPr>
                <w:rFonts w:ascii="宋体" w:hAnsi="宋体" w:cs="宋体"/>
                <w:szCs w:val="21"/>
                <w:highlight w:val="none"/>
              </w:rPr>
            </w:pPr>
          </w:p>
        </w:tc>
        <w:tc>
          <w:tcPr>
            <w:tcW w:w="1375" w:type="dxa"/>
            <w:vAlign w:val="center"/>
          </w:tcPr>
          <w:p w14:paraId="23F1EC39">
            <w:pPr>
              <w:jc w:val="center"/>
              <w:rPr>
                <w:rFonts w:ascii="宋体" w:hAnsi="宋体" w:cs="宋体"/>
                <w:szCs w:val="21"/>
                <w:highlight w:val="none"/>
              </w:rPr>
            </w:pPr>
          </w:p>
        </w:tc>
        <w:tc>
          <w:tcPr>
            <w:tcW w:w="1363" w:type="dxa"/>
            <w:vAlign w:val="center"/>
          </w:tcPr>
          <w:p w14:paraId="2FEA9918">
            <w:pPr>
              <w:jc w:val="center"/>
              <w:rPr>
                <w:rFonts w:ascii="宋体" w:hAnsi="宋体" w:cs="宋体"/>
                <w:szCs w:val="21"/>
                <w:highlight w:val="none"/>
              </w:rPr>
            </w:pPr>
          </w:p>
        </w:tc>
        <w:tc>
          <w:tcPr>
            <w:tcW w:w="937" w:type="dxa"/>
            <w:vAlign w:val="center"/>
          </w:tcPr>
          <w:p w14:paraId="0D1CECAB">
            <w:pPr>
              <w:jc w:val="center"/>
              <w:rPr>
                <w:rFonts w:ascii="宋体" w:hAnsi="宋体" w:cs="宋体"/>
                <w:szCs w:val="21"/>
                <w:highlight w:val="none"/>
              </w:rPr>
            </w:pPr>
          </w:p>
        </w:tc>
      </w:tr>
      <w:tr w14:paraId="132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D24B1AA">
            <w:pPr>
              <w:jc w:val="center"/>
              <w:rPr>
                <w:rFonts w:ascii="宋体" w:hAnsi="宋体" w:cs="宋体"/>
                <w:szCs w:val="21"/>
                <w:highlight w:val="none"/>
              </w:rPr>
            </w:pPr>
          </w:p>
        </w:tc>
        <w:tc>
          <w:tcPr>
            <w:tcW w:w="1287" w:type="dxa"/>
            <w:vAlign w:val="center"/>
          </w:tcPr>
          <w:p w14:paraId="02BF1B0E">
            <w:pPr>
              <w:jc w:val="center"/>
              <w:rPr>
                <w:rFonts w:ascii="宋体" w:hAnsi="宋体" w:cs="宋体"/>
                <w:szCs w:val="21"/>
                <w:highlight w:val="none"/>
              </w:rPr>
            </w:pPr>
          </w:p>
        </w:tc>
        <w:tc>
          <w:tcPr>
            <w:tcW w:w="2340" w:type="dxa"/>
            <w:vAlign w:val="center"/>
          </w:tcPr>
          <w:p w14:paraId="20216F10">
            <w:pPr>
              <w:jc w:val="center"/>
              <w:rPr>
                <w:rFonts w:ascii="宋体" w:hAnsi="宋体" w:cs="宋体"/>
                <w:szCs w:val="21"/>
                <w:highlight w:val="none"/>
              </w:rPr>
            </w:pPr>
          </w:p>
        </w:tc>
        <w:tc>
          <w:tcPr>
            <w:tcW w:w="1306" w:type="dxa"/>
            <w:vAlign w:val="center"/>
          </w:tcPr>
          <w:p w14:paraId="386BC686">
            <w:pPr>
              <w:jc w:val="center"/>
              <w:rPr>
                <w:rFonts w:ascii="宋体" w:hAnsi="宋体" w:cs="宋体"/>
                <w:szCs w:val="21"/>
                <w:highlight w:val="none"/>
              </w:rPr>
            </w:pPr>
          </w:p>
        </w:tc>
        <w:tc>
          <w:tcPr>
            <w:tcW w:w="1375" w:type="dxa"/>
            <w:vAlign w:val="center"/>
          </w:tcPr>
          <w:p w14:paraId="35BB039F">
            <w:pPr>
              <w:jc w:val="center"/>
              <w:rPr>
                <w:rFonts w:ascii="宋体" w:hAnsi="宋体" w:cs="宋体"/>
                <w:szCs w:val="21"/>
                <w:highlight w:val="none"/>
              </w:rPr>
            </w:pPr>
          </w:p>
        </w:tc>
        <w:tc>
          <w:tcPr>
            <w:tcW w:w="1363" w:type="dxa"/>
            <w:vAlign w:val="center"/>
          </w:tcPr>
          <w:p w14:paraId="4D7AEEB2">
            <w:pPr>
              <w:jc w:val="center"/>
              <w:rPr>
                <w:rFonts w:ascii="宋体" w:hAnsi="宋体" w:cs="宋体"/>
                <w:szCs w:val="21"/>
                <w:highlight w:val="none"/>
              </w:rPr>
            </w:pPr>
          </w:p>
        </w:tc>
        <w:tc>
          <w:tcPr>
            <w:tcW w:w="937" w:type="dxa"/>
            <w:vAlign w:val="center"/>
          </w:tcPr>
          <w:p w14:paraId="76A72238">
            <w:pPr>
              <w:jc w:val="center"/>
              <w:rPr>
                <w:rFonts w:ascii="宋体" w:hAnsi="宋体" w:cs="宋体"/>
                <w:szCs w:val="21"/>
                <w:highlight w:val="none"/>
              </w:rPr>
            </w:pPr>
          </w:p>
        </w:tc>
      </w:tr>
      <w:tr w14:paraId="462E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586C5B5">
            <w:pPr>
              <w:jc w:val="center"/>
              <w:rPr>
                <w:rFonts w:ascii="宋体" w:hAnsi="宋体" w:cs="宋体"/>
                <w:szCs w:val="21"/>
                <w:highlight w:val="none"/>
              </w:rPr>
            </w:pPr>
          </w:p>
        </w:tc>
        <w:tc>
          <w:tcPr>
            <w:tcW w:w="1287" w:type="dxa"/>
            <w:vAlign w:val="center"/>
          </w:tcPr>
          <w:p w14:paraId="43E73D6A">
            <w:pPr>
              <w:jc w:val="center"/>
              <w:rPr>
                <w:rFonts w:ascii="宋体" w:hAnsi="宋体" w:cs="宋体"/>
                <w:szCs w:val="21"/>
                <w:highlight w:val="none"/>
              </w:rPr>
            </w:pPr>
          </w:p>
        </w:tc>
        <w:tc>
          <w:tcPr>
            <w:tcW w:w="2340" w:type="dxa"/>
            <w:vAlign w:val="center"/>
          </w:tcPr>
          <w:p w14:paraId="4A0145BE">
            <w:pPr>
              <w:jc w:val="center"/>
              <w:rPr>
                <w:rFonts w:ascii="宋体" w:hAnsi="宋体" w:cs="宋体"/>
                <w:szCs w:val="21"/>
                <w:highlight w:val="none"/>
              </w:rPr>
            </w:pPr>
          </w:p>
        </w:tc>
        <w:tc>
          <w:tcPr>
            <w:tcW w:w="1306" w:type="dxa"/>
            <w:vAlign w:val="center"/>
          </w:tcPr>
          <w:p w14:paraId="0529BD09">
            <w:pPr>
              <w:jc w:val="center"/>
              <w:rPr>
                <w:rFonts w:ascii="宋体" w:hAnsi="宋体" w:cs="宋体"/>
                <w:szCs w:val="21"/>
                <w:highlight w:val="none"/>
              </w:rPr>
            </w:pPr>
          </w:p>
        </w:tc>
        <w:tc>
          <w:tcPr>
            <w:tcW w:w="1375" w:type="dxa"/>
            <w:vAlign w:val="center"/>
          </w:tcPr>
          <w:p w14:paraId="4B7003A9">
            <w:pPr>
              <w:jc w:val="center"/>
              <w:rPr>
                <w:rFonts w:ascii="宋体" w:hAnsi="宋体" w:cs="宋体"/>
                <w:szCs w:val="21"/>
                <w:highlight w:val="none"/>
              </w:rPr>
            </w:pPr>
          </w:p>
        </w:tc>
        <w:tc>
          <w:tcPr>
            <w:tcW w:w="1363" w:type="dxa"/>
            <w:vAlign w:val="center"/>
          </w:tcPr>
          <w:p w14:paraId="32220F0E">
            <w:pPr>
              <w:jc w:val="center"/>
              <w:rPr>
                <w:rFonts w:ascii="宋体" w:hAnsi="宋体" w:cs="宋体"/>
                <w:szCs w:val="21"/>
                <w:highlight w:val="none"/>
              </w:rPr>
            </w:pPr>
          </w:p>
        </w:tc>
        <w:tc>
          <w:tcPr>
            <w:tcW w:w="937" w:type="dxa"/>
            <w:vAlign w:val="center"/>
          </w:tcPr>
          <w:p w14:paraId="16CC9024">
            <w:pPr>
              <w:jc w:val="center"/>
              <w:rPr>
                <w:rFonts w:ascii="宋体" w:hAnsi="宋体" w:cs="宋体"/>
                <w:szCs w:val="21"/>
                <w:highlight w:val="none"/>
              </w:rPr>
            </w:pPr>
          </w:p>
        </w:tc>
      </w:tr>
      <w:tr w14:paraId="6308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74938E9">
            <w:pPr>
              <w:jc w:val="center"/>
              <w:rPr>
                <w:rFonts w:ascii="宋体" w:hAnsi="宋体" w:cs="宋体"/>
                <w:szCs w:val="21"/>
                <w:highlight w:val="none"/>
              </w:rPr>
            </w:pPr>
          </w:p>
        </w:tc>
        <w:tc>
          <w:tcPr>
            <w:tcW w:w="1287" w:type="dxa"/>
            <w:vAlign w:val="center"/>
          </w:tcPr>
          <w:p w14:paraId="3A0C22A3">
            <w:pPr>
              <w:jc w:val="center"/>
              <w:rPr>
                <w:rFonts w:ascii="宋体" w:hAnsi="宋体" w:cs="宋体"/>
                <w:szCs w:val="21"/>
                <w:highlight w:val="none"/>
              </w:rPr>
            </w:pPr>
          </w:p>
        </w:tc>
        <w:tc>
          <w:tcPr>
            <w:tcW w:w="2340" w:type="dxa"/>
            <w:vAlign w:val="center"/>
          </w:tcPr>
          <w:p w14:paraId="3E96EC63">
            <w:pPr>
              <w:jc w:val="center"/>
              <w:rPr>
                <w:rFonts w:ascii="宋体" w:hAnsi="宋体" w:cs="宋体"/>
                <w:szCs w:val="21"/>
                <w:highlight w:val="none"/>
              </w:rPr>
            </w:pPr>
          </w:p>
        </w:tc>
        <w:tc>
          <w:tcPr>
            <w:tcW w:w="1306" w:type="dxa"/>
            <w:vAlign w:val="center"/>
          </w:tcPr>
          <w:p w14:paraId="21E595E0">
            <w:pPr>
              <w:jc w:val="center"/>
              <w:rPr>
                <w:rFonts w:ascii="宋体" w:hAnsi="宋体" w:cs="宋体"/>
                <w:szCs w:val="21"/>
                <w:highlight w:val="none"/>
              </w:rPr>
            </w:pPr>
          </w:p>
        </w:tc>
        <w:tc>
          <w:tcPr>
            <w:tcW w:w="1375" w:type="dxa"/>
            <w:vAlign w:val="center"/>
          </w:tcPr>
          <w:p w14:paraId="718170FD">
            <w:pPr>
              <w:jc w:val="center"/>
              <w:rPr>
                <w:rFonts w:ascii="宋体" w:hAnsi="宋体" w:cs="宋体"/>
                <w:szCs w:val="21"/>
                <w:highlight w:val="none"/>
              </w:rPr>
            </w:pPr>
          </w:p>
        </w:tc>
        <w:tc>
          <w:tcPr>
            <w:tcW w:w="1363" w:type="dxa"/>
            <w:vAlign w:val="center"/>
          </w:tcPr>
          <w:p w14:paraId="11E25BCE">
            <w:pPr>
              <w:jc w:val="center"/>
              <w:rPr>
                <w:rFonts w:ascii="宋体" w:hAnsi="宋体" w:cs="宋体"/>
                <w:szCs w:val="21"/>
                <w:highlight w:val="none"/>
              </w:rPr>
            </w:pPr>
          </w:p>
        </w:tc>
        <w:tc>
          <w:tcPr>
            <w:tcW w:w="937" w:type="dxa"/>
            <w:vAlign w:val="center"/>
          </w:tcPr>
          <w:p w14:paraId="4434E842">
            <w:pPr>
              <w:jc w:val="center"/>
              <w:rPr>
                <w:rFonts w:ascii="宋体" w:hAnsi="宋体" w:cs="宋体"/>
                <w:szCs w:val="21"/>
                <w:highlight w:val="none"/>
              </w:rPr>
            </w:pPr>
          </w:p>
        </w:tc>
      </w:tr>
      <w:tr w14:paraId="7ABD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C5E41F7">
            <w:pPr>
              <w:jc w:val="center"/>
              <w:rPr>
                <w:rFonts w:ascii="宋体" w:hAnsi="宋体" w:cs="宋体"/>
                <w:szCs w:val="22"/>
                <w:highlight w:val="none"/>
              </w:rPr>
            </w:pPr>
          </w:p>
        </w:tc>
        <w:tc>
          <w:tcPr>
            <w:tcW w:w="1287" w:type="dxa"/>
            <w:vAlign w:val="center"/>
          </w:tcPr>
          <w:p w14:paraId="4E056AF5">
            <w:pPr>
              <w:jc w:val="center"/>
              <w:rPr>
                <w:rFonts w:ascii="宋体" w:hAnsi="宋体" w:cs="宋体"/>
                <w:szCs w:val="22"/>
                <w:highlight w:val="none"/>
              </w:rPr>
            </w:pPr>
          </w:p>
        </w:tc>
        <w:tc>
          <w:tcPr>
            <w:tcW w:w="2340" w:type="dxa"/>
            <w:vAlign w:val="center"/>
          </w:tcPr>
          <w:p w14:paraId="44617D7C">
            <w:pPr>
              <w:jc w:val="center"/>
              <w:rPr>
                <w:rFonts w:ascii="宋体" w:hAnsi="宋体" w:cs="宋体"/>
                <w:szCs w:val="22"/>
                <w:highlight w:val="none"/>
              </w:rPr>
            </w:pPr>
          </w:p>
        </w:tc>
        <w:tc>
          <w:tcPr>
            <w:tcW w:w="1306" w:type="dxa"/>
            <w:vAlign w:val="center"/>
          </w:tcPr>
          <w:p w14:paraId="0B89CE35">
            <w:pPr>
              <w:jc w:val="center"/>
              <w:rPr>
                <w:rFonts w:ascii="宋体" w:hAnsi="宋体" w:cs="宋体"/>
                <w:szCs w:val="22"/>
                <w:highlight w:val="none"/>
              </w:rPr>
            </w:pPr>
          </w:p>
        </w:tc>
        <w:tc>
          <w:tcPr>
            <w:tcW w:w="1375" w:type="dxa"/>
            <w:vAlign w:val="center"/>
          </w:tcPr>
          <w:p w14:paraId="4AE8B39F">
            <w:pPr>
              <w:jc w:val="center"/>
              <w:rPr>
                <w:rFonts w:ascii="宋体" w:hAnsi="宋体" w:cs="宋体"/>
                <w:szCs w:val="22"/>
                <w:highlight w:val="none"/>
              </w:rPr>
            </w:pPr>
          </w:p>
        </w:tc>
        <w:tc>
          <w:tcPr>
            <w:tcW w:w="1363" w:type="dxa"/>
            <w:vAlign w:val="center"/>
          </w:tcPr>
          <w:p w14:paraId="1E520710">
            <w:pPr>
              <w:jc w:val="center"/>
              <w:rPr>
                <w:rFonts w:ascii="宋体" w:hAnsi="宋体" w:cs="宋体"/>
                <w:szCs w:val="22"/>
                <w:highlight w:val="none"/>
              </w:rPr>
            </w:pPr>
          </w:p>
        </w:tc>
        <w:tc>
          <w:tcPr>
            <w:tcW w:w="937" w:type="dxa"/>
            <w:vAlign w:val="center"/>
          </w:tcPr>
          <w:p w14:paraId="4368636D">
            <w:pPr>
              <w:jc w:val="center"/>
              <w:rPr>
                <w:rFonts w:ascii="宋体" w:hAnsi="宋体" w:cs="宋体"/>
                <w:szCs w:val="22"/>
                <w:highlight w:val="none"/>
              </w:rPr>
            </w:pPr>
          </w:p>
        </w:tc>
      </w:tr>
    </w:tbl>
    <w:p w14:paraId="3CF45753">
      <w:pPr>
        <w:spacing w:line="480" w:lineRule="exact"/>
        <w:ind w:firstLine="480" w:firstLineChars="200"/>
        <w:rPr>
          <w:rFonts w:ascii="宋体" w:hAnsi="宋体" w:cs="宋体"/>
          <w:sz w:val="24"/>
          <w:szCs w:val="24"/>
          <w:highlight w:val="none"/>
        </w:rPr>
      </w:pPr>
    </w:p>
    <w:p w14:paraId="4EA2B5C9">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我方承诺，以上信息真实可靠；如填报的股东出资额、出资比例等与实际不符，视为放弃中标资格。</w:t>
      </w:r>
    </w:p>
    <w:p w14:paraId="653F8078">
      <w:pPr>
        <w:spacing w:line="480" w:lineRule="exact"/>
        <w:ind w:left="630" w:hanging="630" w:hangingChars="300"/>
        <w:rPr>
          <w:rFonts w:ascii="宋体" w:hAnsi="宋体" w:cs="宋体"/>
          <w:highlight w:val="none"/>
        </w:rPr>
      </w:pPr>
    </w:p>
    <w:p w14:paraId="13F88A6F">
      <w:pPr>
        <w:snapToGrid w:val="0"/>
        <w:spacing w:line="440" w:lineRule="exact"/>
        <w:ind w:left="630" w:hanging="630" w:hangingChars="300"/>
        <w:rPr>
          <w:rFonts w:ascii="宋体" w:hAnsi="宋体" w:cs="宋体"/>
          <w:highlight w:val="none"/>
        </w:rPr>
      </w:pPr>
      <w:r>
        <w:rPr>
          <w:rFonts w:hint="eastAsia" w:ascii="宋体" w:hAnsi="宋体" w:cs="宋体"/>
          <w:highlight w:val="none"/>
        </w:rPr>
        <w:t>注：1.主要股东或出资人为法人的，填写法人全称及统一社会信用代码（尚未办理三证合一的填写组织机构代码）；为自然人的，填写自然人姓名和身份证号。</w:t>
      </w:r>
    </w:p>
    <w:p w14:paraId="71D71D57">
      <w:pPr>
        <w:snapToGrid w:val="0"/>
        <w:spacing w:line="440" w:lineRule="exact"/>
        <w:ind w:firstLine="420" w:firstLineChars="200"/>
        <w:rPr>
          <w:rFonts w:ascii="宋体" w:hAnsi="宋体" w:cs="宋体"/>
          <w:highlight w:val="none"/>
        </w:rPr>
      </w:pPr>
      <w:r>
        <w:rPr>
          <w:rFonts w:hint="eastAsia" w:ascii="宋体" w:hAnsi="宋体" w:cs="宋体"/>
          <w:highlight w:val="none"/>
        </w:rPr>
        <w:t>2.出资方式填写货币、实物、工艺产权和非专利技术、土地使用权等。</w:t>
      </w:r>
    </w:p>
    <w:p w14:paraId="3007FF51">
      <w:pPr>
        <w:snapToGrid w:val="0"/>
        <w:spacing w:line="440" w:lineRule="exact"/>
        <w:ind w:left="630" w:leftChars="200" w:hanging="210" w:hangingChars="100"/>
        <w:rPr>
          <w:rFonts w:ascii="宋体" w:hAnsi="宋体" w:cs="宋体"/>
          <w:highlight w:val="none"/>
        </w:rPr>
      </w:pPr>
      <w:r>
        <w:rPr>
          <w:rFonts w:hint="eastAsia" w:ascii="宋体" w:hAnsi="宋体" w:cs="宋体"/>
          <w:highlight w:val="none"/>
        </w:rPr>
        <w:t>3.投标人应按照占全部股份比例从大到小依次逐个股东填写，股东数量多于10个的，填写前10名，不足10个的全部填写。</w:t>
      </w:r>
    </w:p>
    <w:p w14:paraId="3F90ABCB">
      <w:pPr>
        <w:spacing w:line="480" w:lineRule="exact"/>
        <w:ind w:left="525" w:leftChars="200" w:hanging="105" w:hangingChars="50"/>
        <w:rPr>
          <w:rFonts w:ascii="宋体" w:hAnsi="宋体" w:cs="宋体"/>
          <w:highlight w:val="none"/>
        </w:rPr>
      </w:pPr>
    </w:p>
    <w:p w14:paraId="00CFC215">
      <w:pPr>
        <w:spacing w:line="480" w:lineRule="exact"/>
        <w:ind w:left="525" w:leftChars="200" w:hanging="105" w:hangingChars="50"/>
        <w:rPr>
          <w:rFonts w:ascii="宋体" w:hAnsi="宋体" w:cs="宋体"/>
          <w:highlight w:val="none"/>
        </w:rPr>
      </w:pPr>
    </w:p>
    <w:p w14:paraId="2B53E976">
      <w:pPr>
        <w:spacing w:line="480" w:lineRule="exact"/>
        <w:ind w:left="540" w:leftChars="200" w:hanging="120" w:hangingChars="50"/>
        <w:rPr>
          <w:rFonts w:ascii="宋体" w:hAnsi="宋体" w:cs="宋体"/>
          <w:sz w:val="24"/>
          <w:szCs w:val="24"/>
          <w:highlight w:val="none"/>
        </w:rPr>
      </w:pPr>
    </w:p>
    <w:p w14:paraId="443F7B86">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2A78636">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D02CD40">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96911B4">
      <w:pPr>
        <w:rPr>
          <w:b/>
          <w:bCs/>
          <w:sz w:val="28"/>
          <w:szCs w:val="28"/>
          <w:highlight w:val="none"/>
        </w:rPr>
      </w:pPr>
      <w:r>
        <w:rPr>
          <w:rFonts w:hint="eastAsia"/>
          <w:b/>
          <w:bCs/>
          <w:sz w:val="28"/>
          <w:szCs w:val="28"/>
          <w:highlight w:val="none"/>
        </w:rPr>
        <w:br w:type="page"/>
      </w:r>
    </w:p>
    <w:p w14:paraId="41340497">
      <w:pPr>
        <w:pStyle w:val="9"/>
        <w:numPr>
          <w:ilvl w:val="3"/>
          <w:numId w:val="0"/>
        </w:numPr>
        <w:rPr>
          <w:b/>
          <w:bCs/>
          <w:sz w:val="28"/>
          <w:szCs w:val="28"/>
          <w:highlight w:val="none"/>
        </w:rPr>
      </w:pP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五</w:t>
      </w:r>
      <w:r>
        <w:rPr>
          <w:rFonts w:hint="eastAsia" w:ascii="Times New Roman" w:hAnsi="Times New Roman" w:eastAsia="宋体" w:cs="Times New Roman"/>
          <w:b/>
          <w:bCs/>
          <w:kern w:val="2"/>
          <w:sz w:val="28"/>
          <w:szCs w:val="28"/>
          <w:highlight w:val="none"/>
        </w:rPr>
        <w:t>）投标承诺书</w:t>
      </w:r>
    </w:p>
    <w:p w14:paraId="4004C07E">
      <w:pPr>
        <w:jc w:val="center"/>
        <w:rPr>
          <w:b/>
          <w:bCs/>
          <w:sz w:val="28"/>
          <w:szCs w:val="28"/>
          <w:highlight w:val="none"/>
          <w:lang w:val="zh-CN"/>
        </w:rPr>
      </w:pPr>
    </w:p>
    <w:p w14:paraId="64A02C04">
      <w:pPr>
        <w:jc w:val="center"/>
        <w:rPr>
          <w:highlight w:val="none"/>
          <w:lang w:val="zh-CN"/>
        </w:rPr>
      </w:pPr>
      <w:r>
        <w:rPr>
          <w:rFonts w:hint="eastAsia"/>
          <w:b/>
          <w:bCs/>
          <w:sz w:val="28"/>
          <w:szCs w:val="28"/>
          <w:highlight w:val="none"/>
          <w:lang w:val="zh-CN"/>
        </w:rPr>
        <w:t>投标承诺书</w:t>
      </w:r>
    </w:p>
    <w:p w14:paraId="588F0EE8">
      <w:pPr>
        <w:spacing w:line="360" w:lineRule="auto"/>
        <w:ind w:firstLine="480" w:firstLineChars="200"/>
        <w:rPr>
          <w:rFonts w:ascii="宋体" w:hAnsi="宋体"/>
          <w:bCs/>
          <w:sz w:val="24"/>
          <w:highlight w:val="none"/>
        </w:rPr>
      </w:pPr>
    </w:p>
    <w:p w14:paraId="1CCC88ED">
      <w:pPr>
        <w:spacing w:line="360" w:lineRule="auto"/>
        <w:ind w:firstLine="480" w:firstLineChars="200"/>
        <w:rPr>
          <w:rFonts w:ascii="宋体" w:hAnsi="宋体"/>
          <w:bCs/>
          <w:sz w:val="24"/>
          <w:highlight w:val="none"/>
        </w:rPr>
      </w:pPr>
      <w:r>
        <w:rPr>
          <w:rFonts w:hint="eastAsia" w:ascii="宋体" w:hAnsi="宋体"/>
          <w:bCs/>
          <w:sz w:val="24"/>
          <w:highlight w:val="none"/>
        </w:rPr>
        <w:t>我方承诺接受招标文件及澄清修改部分（如有）的全部条款（包括投标文件递交截止时间、保证金、资格条件、评审成交标准以及采购需求等其他所有条款）且无任何异议，现向贵单位提出承诺报价。</w:t>
      </w:r>
    </w:p>
    <w:p w14:paraId="487C74B1">
      <w:pPr>
        <w:ind w:firstLine="482" w:firstLineChars="200"/>
        <w:rPr>
          <w:rFonts w:ascii="宋体" w:hAnsi="宋体"/>
          <w:b/>
          <w:sz w:val="24"/>
          <w:highlight w:val="none"/>
        </w:rPr>
      </w:pPr>
    </w:p>
    <w:p w14:paraId="3B524922">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A256FDF">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12EB8D26">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13A4DA8A">
      <w:pPr>
        <w:pStyle w:val="9"/>
        <w:numPr>
          <w:ilvl w:val="3"/>
          <w:numId w:val="0"/>
        </w:numPr>
        <w:jc w:val="both"/>
        <w:rPr>
          <w:b/>
          <w:highlight w:val="none"/>
        </w:rPr>
      </w:pPr>
    </w:p>
    <w:p w14:paraId="105D210E">
      <w:pPr>
        <w:rPr>
          <w:rFonts w:ascii="宋体" w:hAnsi="宋体"/>
          <w:b/>
          <w:sz w:val="24"/>
          <w:highlight w:val="none"/>
        </w:rPr>
      </w:pPr>
    </w:p>
    <w:p w14:paraId="1E4636B8">
      <w:pPr>
        <w:rPr>
          <w:rFonts w:ascii="宋体" w:hAnsi="宋体"/>
          <w:b/>
          <w:sz w:val="24"/>
          <w:highlight w:val="none"/>
        </w:rPr>
      </w:pPr>
    </w:p>
    <w:p w14:paraId="26E7B6AC">
      <w:pPr>
        <w:rPr>
          <w:rFonts w:ascii="宋体" w:hAnsi="宋体"/>
          <w:b/>
          <w:sz w:val="24"/>
          <w:highlight w:val="none"/>
        </w:rPr>
      </w:pPr>
    </w:p>
    <w:p w14:paraId="61600D1A">
      <w:pPr>
        <w:rPr>
          <w:rFonts w:ascii="宋体" w:hAnsi="宋体"/>
          <w:b/>
          <w:sz w:val="24"/>
          <w:highlight w:val="none"/>
        </w:rPr>
      </w:pPr>
    </w:p>
    <w:p w14:paraId="7BF249BC">
      <w:pPr>
        <w:rPr>
          <w:rFonts w:ascii="宋体" w:hAnsi="宋体"/>
          <w:b/>
          <w:sz w:val="24"/>
          <w:highlight w:val="none"/>
        </w:rPr>
      </w:pPr>
    </w:p>
    <w:p w14:paraId="3633D5E8">
      <w:pPr>
        <w:rPr>
          <w:rFonts w:ascii="宋体" w:hAnsi="宋体"/>
          <w:b/>
          <w:sz w:val="24"/>
          <w:highlight w:val="none"/>
        </w:rPr>
      </w:pPr>
    </w:p>
    <w:p w14:paraId="35899096">
      <w:pPr>
        <w:rPr>
          <w:rFonts w:ascii="宋体" w:hAnsi="宋体"/>
          <w:b/>
          <w:sz w:val="24"/>
          <w:highlight w:val="none"/>
        </w:rPr>
      </w:pPr>
    </w:p>
    <w:p w14:paraId="3B91A8B4">
      <w:pPr>
        <w:rPr>
          <w:rFonts w:ascii="宋体" w:hAnsi="宋体"/>
          <w:b/>
          <w:sz w:val="24"/>
          <w:highlight w:val="none"/>
        </w:rPr>
      </w:pPr>
    </w:p>
    <w:p w14:paraId="201D187C">
      <w:pPr>
        <w:pStyle w:val="9"/>
        <w:numPr>
          <w:ilvl w:val="3"/>
          <w:numId w:val="0"/>
        </w:numPr>
        <w:jc w:val="both"/>
        <w:rPr>
          <w:b/>
          <w:bCs/>
          <w:sz w:val="28"/>
          <w:szCs w:val="28"/>
          <w:highlight w:val="none"/>
        </w:rPr>
      </w:pP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六</w:t>
      </w:r>
      <w:r>
        <w:rPr>
          <w:rFonts w:hint="eastAsia" w:ascii="Times New Roman" w:hAnsi="Times New Roman" w:eastAsia="宋体" w:cs="Times New Roman"/>
          <w:b/>
          <w:bCs/>
          <w:kern w:val="2"/>
          <w:sz w:val="28"/>
          <w:szCs w:val="28"/>
          <w:highlight w:val="none"/>
          <w:lang w:val="en-US"/>
        </w:rPr>
        <w:t>）投标单位（供应商）《遵守政府采购相关法律法规承诺书</w:t>
      </w:r>
      <w:r>
        <w:rPr>
          <w:rFonts w:hint="eastAsia"/>
          <w:b/>
          <w:bCs/>
          <w:sz w:val="28"/>
          <w:szCs w:val="28"/>
          <w:highlight w:val="none"/>
        </w:rPr>
        <w:t>》</w:t>
      </w:r>
    </w:p>
    <w:p w14:paraId="6BA38901">
      <w:pPr>
        <w:rPr>
          <w:highlight w:val="none"/>
        </w:rPr>
      </w:pPr>
    </w:p>
    <w:p w14:paraId="46A8FE5E">
      <w:pPr>
        <w:spacing w:line="360" w:lineRule="auto"/>
        <w:jc w:val="center"/>
        <w:rPr>
          <w:highlight w:val="none"/>
        </w:rPr>
      </w:pPr>
      <w:r>
        <w:rPr>
          <w:rFonts w:hint="eastAsia"/>
          <w:b/>
          <w:bCs/>
          <w:sz w:val="28"/>
          <w:szCs w:val="28"/>
          <w:highlight w:val="none"/>
        </w:rPr>
        <w:t>投标单位（供应商）《遵守政府采购相关法律法规承诺书》</w:t>
      </w:r>
    </w:p>
    <w:p w14:paraId="45B8153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承诺在（项目编号、标项名称）采购活动中，严格遵守政府采购相关法律法规，遵循公平竞争的原则，不存在恶意串通的行为，不存在妨碍其他投标人的竞争行为，不存在损害采购人或者其他投标人的合法权益的行为。</w:t>
      </w:r>
    </w:p>
    <w:p w14:paraId="15B86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如发生违反政府采购相关法律法规行为，我公司及项目参与人员自愿放弃本次项目的投标、报价资格，并承担相关法律责任。</w:t>
      </w:r>
    </w:p>
    <w:p w14:paraId="1031E86F">
      <w:pPr>
        <w:adjustRightInd w:val="0"/>
        <w:snapToGrid w:val="0"/>
        <w:spacing w:line="360" w:lineRule="auto"/>
        <w:ind w:firstLine="480" w:firstLineChars="200"/>
        <w:rPr>
          <w:rFonts w:ascii="宋体" w:hAnsi="宋体" w:cs="宋体"/>
          <w:sz w:val="24"/>
          <w:highlight w:val="none"/>
        </w:rPr>
      </w:pPr>
    </w:p>
    <w:p w14:paraId="38E9E5E1">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F15A10D">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52BCB25">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35D4217">
      <w:pPr>
        <w:rPr>
          <w:highlight w:val="none"/>
        </w:rPr>
      </w:pPr>
      <w:r>
        <w:rPr>
          <w:rFonts w:hint="eastAsia" w:ascii="宋体" w:hAnsi="宋体" w:cs="宋体"/>
          <w:sz w:val="24"/>
          <w:highlight w:val="none"/>
        </w:rPr>
        <w:br w:type="page"/>
      </w:r>
    </w:p>
    <w:p w14:paraId="42838807">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七</w:t>
      </w:r>
      <w:r>
        <w:rPr>
          <w:rFonts w:hint="eastAsia"/>
          <w:b/>
          <w:bCs/>
          <w:sz w:val="28"/>
          <w:szCs w:val="28"/>
          <w:highlight w:val="none"/>
        </w:rPr>
        <w:t>）中小企业声明函</w:t>
      </w:r>
      <w:r>
        <w:rPr>
          <w:rFonts w:hint="eastAsia"/>
          <w:b/>
          <w:bCs/>
          <w:sz w:val="28"/>
          <w:szCs w:val="28"/>
          <w:highlight w:val="none"/>
          <w:lang w:eastAsia="zh-CN"/>
        </w:rPr>
        <w:t>（</w:t>
      </w:r>
      <w:r>
        <w:rPr>
          <w:rFonts w:hint="eastAsia"/>
          <w:b/>
          <w:bCs/>
          <w:sz w:val="28"/>
          <w:szCs w:val="28"/>
          <w:highlight w:val="none"/>
          <w:lang w:val="en-US" w:eastAsia="zh-CN"/>
        </w:rPr>
        <w:t>如有</w:t>
      </w:r>
      <w:r>
        <w:rPr>
          <w:rFonts w:hint="eastAsia"/>
          <w:b/>
          <w:bCs/>
          <w:sz w:val="28"/>
          <w:szCs w:val="28"/>
          <w:highlight w:val="none"/>
          <w:lang w:eastAsia="zh-CN"/>
        </w:rPr>
        <w:t>）</w:t>
      </w:r>
    </w:p>
    <w:p w14:paraId="299EDAB5">
      <w:pPr>
        <w:rPr>
          <w:highlight w:val="none"/>
        </w:rPr>
      </w:pPr>
    </w:p>
    <w:p w14:paraId="0A0BB353">
      <w:pPr>
        <w:widowControl/>
        <w:jc w:val="center"/>
        <w:rPr>
          <w:rFonts w:hint="eastAsia" w:eastAsia="宋体"/>
          <w:b/>
          <w:bCs/>
          <w:sz w:val="28"/>
          <w:szCs w:val="28"/>
          <w:highlight w:val="none"/>
          <w:lang w:eastAsia="zh-CN"/>
        </w:rPr>
      </w:pPr>
      <w:r>
        <w:rPr>
          <w:rFonts w:hint="eastAsia"/>
          <w:b/>
          <w:bCs/>
          <w:sz w:val="28"/>
          <w:szCs w:val="28"/>
          <w:highlight w:val="none"/>
        </w:rPr>
        <w:t>中小企业声明函（货物）</w:t>
      </w:r>
      <w:r>
        <w:rPr>
          <w:rFonts w:hint="eastAsia"/>
          <w:b/>
          <w:bCs/>
          <w:sz w:val="28"/>
          <w:szCs w:val="28"/>
          <w:highlight w:val="none"/>
          <w:lang w:eastAsia="zh-CN"/>
        </w:rPr>
        <w:t>（</w:t>
      </w:r>
      <w:r>
        <w:rPr>
          <w:rFonts w:hint="eastAsia"/>
          <w:b/>
          <w:bCs/>
          <w:sz w:val="28"/>
          <w:szCs w:val="28"/>
          <w:highlight w:val="none"/>
          <w:lang w:val="en-US" w:eastAsia="zh-CN"/>
        </w:rPr>
        <w:t>如有</w:t>
      </w:r>
      <w:r>
        <w:rPr>
          <w:rFonts w:hint="eastAsia"/>
          <w:b/>
          <w:bCs/>
          <w:sz w:val="28"/>
          <w:szCs w:val="28"/>
          <w:highlight w:val="none"/>
          <w:lang w:eastAsia="zh-CN"/>
        </w:rPr>
        <w:t>）</w:t>
      </w:r>
    </w:p>
    <w:p w14:paraId="1F70297C">
      <w:pPr>
        <w:widowControl/>
        <w:rPr>
          <w:b/>
          <w:bCs/>
          <w:sz w:val="28"/>
          <w:szCs w:val="28"/>
          <w:highlight w:val="none"/>
        </w:rPr>
      </w:pPr>
    </w:p>
    <w:p w14:paraId="742FF82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采购单位名称）</w:t>
      </w:r>
      <w:r>
        <w:rPr>
          <w:rFonts w:hint="eastAsia" w:ascii="宋体" w:hAnsi="宋体" w:cs="宋体"/>
          <w:sz w:val="24"/>
          <w:highlight w:val="none"/>
        </w:rPr>
        <w:t>的</w:t>
      </w:r>
      <w:r>
        <w:rPr>
          <w:rFonts w:hint="eastAsia" w:ascii="宋体" w:hAnsi="宋体" w:cs="宋体"/>
          <w:sz w:val="24"/>
          <w:highlight w:val="none"/>
          <w:u w:val="single"/>
        </w:rPr>
        <w:t>（</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 xml:space="preserve">采购活动，提供的货物全部由符合政策要求的中小企业制造。相关企业 </w:t>
      </w:r>
    </w:p>
    <w:p w14:paraId="41593D5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（含联合体中的中小企业、签订分包意向协议的中小企业）的具体情况如下： </w:t>
      </w:r>
    </w:p>
    <w:p w14:paraId="2EE073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42738B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94614C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DD3A78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23F807A">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w:t>
      </w:r>
    </w:p>
    <w:p w14:paraId="3C4AD5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714E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2B006B9">
      <w:pPr>
        <w:rPr>
          <w:highlight w:val="none"/>
        </w:rPr>
      </w:pPr>
    </w:p>
    <w:p w14:paraId="0318DB76">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企业名称（盖章）： </w:t>
      </w:r>
    </w:p>
    <w:p w14:paraId="159D31A3">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日 期：</w:t>
      </w:r>
    </w:p>
    <w:p w14:paraId="281B44DB">
      <w:pPr>
        <w:rPr>
          <w:rFonts w:ascii="宋体" w:hAnsi="宋体" w:cs="宋体"/>
          <w:sz w:val="24"/>
          <w:szCs w:val="24"/>
          <w:highlight w:val="none"/>
        </w:rPr>
      </w:pPr>
    </w:p>
    <w:p w14:paraId="748B4DD4">
      <w:pPr>
        <w:ind w:firstLine="446"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rPr>
        <w:t>说明：</w:t>
      </w:r>
      <w:r>
        <w:rPr>
          <w:rFonts w:hint="eastAsia" w:ascii="宋体" w:hAnsi="宋体" w:eastAsia="宋体" w:cs="宋体"/>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6" w:firstLineChars="3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0"/>
          <w:rFonts w:hint="eastAsia" w:ascii="宋体" w:hAnsi="宋体" w:eastAsia="宋体" w:cs="宋体"/>
          <w:color w:val="auto"/>
          <w:kern w:val="0"/>
          <w:sz w:val="24"/>
          <w:szCs w:val="24"/>
          <w:highlight w:val="none"/>
          <w:lang w:val="en-US" w:eastAsia="zh-CN" w:bidi="ar"/>
        </w:rPr>
      </w:pPr>
      <w:r>
        <w:rPr>
          <w:rStyle w:val="30"/>
          <w:rFonts w:hint="eastAsia" w:ascii="宋体" w:hAnsi="宋体" w:eastAsia="宋体" w:cs="宋体"/>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0"/>
          <w:rFonts w:hint="eastAsia" w:ascii="宋体" w:hAnsi="宋体" w:eastAsia="宋体" w:cs="宋体"/>
          <w:color w:val="auto"/>
          <w:kern w:val="0"/>
          <w:sz w:val="24"/>
          <w:szCs w:val="24"/>
          <w:highlight w:val="none"/>
          <w:lang w:val="en-US" w:eastAsia="zh-CN" w:bidi="ar"/>
        </w:rPr>
      </w:pPr>
      <w:r>
        <w:rPr>
          <w:rStyle w:val="30"/>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185FAE">
      <w:pPr>
        <w:pStyle w:val="26"/>
        <w:numPr>
          <w:ilvl w:val="0"/>
          <w:numId w:val="0"/>
        </w:numPr>
        <w:ind w:leftChars="0"/>
        <w:jc w:val="both"/>
        <w:rPr>
          <w:rFonts w:hint="default" w:ascii="Times New Roman" w:hAnsi="Times New Roman" w:eastAsia="宋体" w:cs="Times New Roman"/>
          <w:b w:val="0"/>
          <w:bCs w:val="0"/>
          <w:kern w:val="2"/>
          <w:sz w:val="21"/>
          <w:szCs w:val="20"/>
          <w:highlight w:val="none"/>
          <w:lang w:val="en-US" w:eastAsia="zh-CN" w:bidi="ar-SA"/>
        </w:rPr>
      </w:pPr>
    </w:p>
    <w:p w14:paraId="16CA0767">
      <w:pPr>
        <w:rPr>
          <w:highlight w:val="none"/>
        </w:rPr>
      </w:pPr>
    </w:p>
    <w:p w14:paraId="7444D58A">
      <w:pPr>
        <w:rPr>
          <w:highlight w:val="none"/>
        </w:rPr>
      </w:pPr>
    </w:p>
    <w:p w14:paraId="254EAFD2">
      <w:pPr>
        <w:pStyle w:val="13"/>
        <w:rPr>
          <w:highlight w:val="none"/>
        </w:rPr>
      </w:pPr>
    </w:p>
    <w:p w14:paraId="328CE3D4">
      <w:pPr>
        <w:rPr>
          <w:rFonts w:hint="eastAsia"/>
          <w:b/>
          <w:bCs/>
          <w:sz w:val="32"/>
          <w:szCs w:val="40"/>
          <w:highlight w:val="none"/>
        </w:rPr>
      </w:pPr>
      <w:bookmarkStart w:id="3" w:name="_Toc14160"/>
      <w:r>
        <w:rPr>
          <w:rFonts w:hint="eastAsia"/>
          <w:b/>
          <w:bCs/>
          <w:sz w:val="32"/>
          <w:szCs w:val="40"/>
          <w:highlight w:val="none"/>
        </w:rPr>
        <w:br w:type="page"/>
      </w:r>
    </w:p>
    <w:p w14:paraId="242C3021">
      <w:pPr>
        <w:jc w:val="center"/>
        <w:rPr>
          <w:sz w:val="32"/>
          <w:szCs w:val="40"/>
          <w:highlight w:val="none"/>
        </w:rPr>
      </w:pPr>
      <w:r>
        <w:rPr>
          <w:rFonts w:hint="eastAsia"/>
          <w:b/>
          <w:bCs/>
          <w:sz w:val="32"/>
          <w:szCs w:val="40"/>
          <w:highlight w:val="none"/>
        </w:rPr>
        <w:t>监狱企业的证明文件（如有</w:t>
      </w:r>
      <w:r>
        <w:rPr>
          <w:rFonts w:hint="eastAsia"/>
          <w:sz w:val="32"/>
          <w:szCs w:val="40"/>
          <w:highlight w:val="none"/>
        </w:rPr>
        <w:t>）</w:t>
      </w:r>
      <w:bookmarkEnd w:id="3"/>
    </w:p>
    <w:p w14:paraId="090E1C91">
      <w:pPr>
        <w:rPr>
          <w:highlight w:val="none"/>
        </w:rPr>
      </w:pPr>
    </w:p>
    <w:p w14:paraId="18BF56EA">
      <w:pPr>
        <w:ind w:firstLine="480" w:firstLineChars="200"/>
        <w:rPr>
          <w:sz w:val="24"/>
          <w:szCs w:val="32"/>
          <w:highlight w:val="none"/>
        </w:rPr>
      </w:pPr>
      <w:r>
        <w:rPr>
          <w:sz w:val="24"/>
          <w:szCs w:val="32"/>
          <w:highlight w:val="none"/>
        </w:rPr>
        <w:t>说明：监狱企业参加政府采购活动时，应当提供由省级以上监狱管理局、戒毒管理局（含新疆生产建设兵团）出具的属于监狱企业的证明文件，并加盖响应供应商单位公章。</w:t>
      </w:r>
    </w:p>
    <w:p w14:paraId="406855AD">
      <w:pPr>
        <w:rPr>
          <w:highlight w:val="none"/>
        </w:rPr>
      </w:pPr>
    </w:p>
    <w:p w14:paraId="3C7844B3">
      <w:pPr>
        <w:rPr>
          <w:highlight w:val="none"/>
        </w:rPr>
      </w:pPr>
    </w:p>
    <w:p w14:paraId="1F6D4B4E">
      <w:pPr>
        <w:rPr>
          <w:highlight w:val="none"/>
        </w:rPr>
      </w:pPr>
    </w:p>
    <w:p w14:paraId="32E5E4B2">
      <w:pPr>
        <w:rPr>
          <w:highlight w:val="none"/>
        </w:rPr>
      </w:pPr>
      <w:bookmarkStart w:id="4" w:name="残疾人福利性单位声明函（如有）"/>
      <w:bookmarkEnd w:id="4"/>
      <w:bookmarkStart w:id="5" w:name="_Toc25968"/>
    </w:p>
    <w:p w14:paraId="2F50A11E">
      <w:pPr>
        <w:pStyle w:val="13"/>
        <w:rPr>
          <w:highlight w:val="none"/>
        </w:rPr>
      </w:pPr>
    </w:p>
    <w:p w14:paraId="26271105">
      <w:pPr>
        <w:pStyle w:val="13"/>
        <w:rPr>
          <w:highlight w:val="none"/>
        </w:rPr>
      </w:pPr>
    </w:p>
    <w:p w14:paraId="6F74513E">
      <w:pPr>
        <w:pStyle w:val="13"/>
        <w:rPr>
          <w:highlight w:val="none"/>
        </w:rPr>
      </w:pPr>
    </w:p>
    <w:p w14:paraId="2641078D">
      <w:pPr>
        <w:jc w:val="center"/>
        <w:rPr>
          <w:b/>
          <w:bCs/>
          <w:sz w:val="32"/>
          <w:szCs w:val="40"/>
          <w:highlight w:val="none"/>
        </w:rPr>
      </w:pPr>
      <w:r>
        <w:rPr>
          <w:rFonts w:hint="eastAsia"/>
          <w:b/>
          <w:bCs/>
          <w:sz w:val="32"/>
          <w:szCs w:val="40"/>
          <w:highlight w:val="none"/>
        </w:rPr>
        <w:t>残疾人福利性单位声明函（如有）</w:t>
      </w:r>
      <w:bookmarkEnd w:id="5"/>
    </w:p>
    <w:p w14:paraId="1EDFE030">
      <w:pPr>
        <w:rPr>
          <w:highlight w:val="none"/>
        </w:rPr>
      </w:pPr>
    </w:p>
    <w:p w14:paraId="2EDD2E40">
      <w:pPr>
        <w:ind w:firstLine="536" w:firstLineChars="200"/>
        <w:rPr>
          <w:rFonts w:ascii="宋体" w:hAnsi="宋体" w:cs="宋体"/>
          <w:sz w:val="24"/>
          <w:szCs w:val="32"/>
          <w:highlight w:val="none"/>
        </w:rPr>
      </w:pPr>
      <w:r>
        <w:rPr>
          <w:rFonts w:hint="eastAsia" w:ascii="宋体" w:hAnsi="宋体" w:cs="宋体"/>
          <w:spacing w:val="14"/>
          <w:sz w:val="24"/>
          <w:szCs w:val="32"/>
          <w:highlight w:val="none"/>
        </w:rPr>
        <w:t>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w:t>
      </w:r>
      <w:r>
        <w:rPr>
          <w:rFonts w:hint="eastAsia" w:ascii="宋体" w:hAnsi="宋体" w:cs="宋体"/>
          <w:spacing w:val="12"/>
          <w:sz w:val="24"/>
          <w:szCs w:val="32"/>
          <w:highlight w:val="none"/>
        </w:rPr>
        <w:t>郑</w:t>
      </w:r>
      <w:r>
        <w:rPr>
          <w:rFonts w:hint="eastAsia" w:ascii="宋体" w:hAnsi="宋体" w:cs="宋体"/>
          <w:spacing w:val="14"/>
          <w:sz w:val="24"/>
          <w:szCs w:val="32"/>
          <w:highlight w:val="none"/>
        </w:rPr>
        <w:t>重</w:t>
      </w:r>
      <w:r>
        <w:rPr>
          <w:rFonts w:hint="eastAsia" w:ascii="宋体" w:hAnsi="宋体" w:cs="宋体"/>
          <w:spacing w:val="12"/>
          <w:sz w:val="24"/>
          <w:szCs w:val="32"/>
          <w:highlight w:val="none"/>
        </w:rPr>
        <w:t>声</w:t>
      </w:r>
      <w:r>
        <w:rPr>
          <w:rFonts w:hint="eastAsia" w:ascii="宋体" w:hAnsi="宋体" w:cs="宋体"/>
          <w:spacing w:val="14"/>
          <w:sz w:val="24"/>
          <w:szCs w:val="32"/>
          <w:highlight w:val="none"/>
        </w:rPr>
        <w:t>明，</w:t>
      </w:r>
      <w:r>
        <w:rPr>
          <w:rFonts w:hint="eastAsia" w:ascii="宋体" w:hAnsi="宋体" w:cs="宋体"/>
          <w:spacing w:val="12"/>
          <w:sz w:val="24"/>
          <w:szCs w:val="32"/>
          <w:highlight w:val="none"/>
        </w:rPr>
        <w:t>根</w:t>
      </w:r>
      <w:r>
        <w:rPr>
          <w:rFonts w:hint="eastAsia" w:ascii="宋体" w:hAnsi="宋体" w:cs="宋体"/>
          <w:spacing w:val="14"/>
          <w:sz w:val="24"/>
          <w:szCs w:val="32"/>
          <w:highlight w:val="none"/>
        </w:rPr>
        <w:t>据</w:t>
      </w:r>
      <w:r>
        <w:rPr>
          <w:rFonts w:hint="eastAsia" w:ascii="宋体" w:hAnsi="宋体" w:cs="宋体"/>
          <w:spacing w:val="12"/>
          <w:sz w:val="24"/>
          <w:szCs w:val="32"/>
          <w:highlight w:val="none"/>
        </w:rPr>
        <w:t>《</w:t>
      </w:r>
      <w:r>
        <w:rPr>
          <w:rFonts w:hint="eastAsia" w:ascii="宋体" w:hAnsi="宋体" w:cs="宋体"/>
          <w:spacing w:val="14"/>
          <w:sz w:val="24"/>
          <w:szCs w:val="32"/>
          <w:highlight w:val="none"/>
        </w:rPr>
        <w:t>财政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民</w:t>
      </w:r>
      <w:r>
        <w:rPr>
          <w:rFonts w:hint="eastAsia" w:ascii="宋体" w:hAnsi="宋体" w:cs="宋体"/>
          <w:spacing w:val="12"/>
          <w:sz w:val="24"/>
          <w:szCs w:val="32"/>
          <w:highlight w:val="none"/>
        </w:rPr>
        <w:t>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中</w:t>
      </w:r>
      <w:r>
        <w:rPr>
          <w:rFonts w:hint="eastAsia" w:ascii="宋体" w:hAnsi="宋体" w:cs="宋体"/>
          <w:spacing w:val="12"/>
          <w:sz w:val="24"/>
          <w:szCs w:val="32"/>
          <w:highlight w:val="none"/>
        </w:rPr>
        <w:t>国</w:t>
      </w:r>
      <w:r>
        <w:rPr>
          <w:rFonts w:hint="eastAsia" w:ascii="宋体" w:hAnsi="宋体" w:cs="宋体"/>
          <w:spacing w:val="14"/>
          <w:sz w:val="24"/>
          <w:szCs w:val="32"/>
          <w:highlight w:val="none"/>
        </w:rPr>
        <w:t>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联</w:t>
      </w:r>
      <w:r>
        <w:rPr>
          <w:rFonts w:hint="eastAsia" w:ascii="宋体" w:hAnsi="宋体" w:cs="宋体"/>
          <w:spacing w:val="14"/>
          <w:sz w:val="24"/>
          <w:szCs w:val="32"/>
          <w:highlight w:val="none"/>
        </w:rPr>
        <w:t>合会</w:t>
      </w:r>
      <w:r>
        <w:rPr>
          <w:rFonts w:hint="eastAsia" w:ascii="宋体" w:hAnsi="宋体" w:cs="宋体"/>
          <w:spacing w:val="12"/>
          <w:sz w:val="24"/>
          <w:szCs w:val="32"/>
          <w:highlight w:val="none"/>
        </w:rPr>
        <w:t>关</w:t>
      </w:r>
      <w:r>
        <w:rPr>
          <w:rFonts w:hint="eastAsia" w:ascii="宋体" w:hAnsi="宋体" w:cs="宋体"/>
          <w:spacing w:val="14"/>
          <w:sz w:val="24"/>
          <w:szCs w:val="32"/>
          <w:highlight w:val="none"/>
        </w:rPr>
        <w:t>于</w:t>
      </w:r>
      <w:r>
        <w:rPr>
          <w:rFonts w:hint="eastAsia" w:ascii="宋体" w:hAnsi="宋体" w:cs="宋体"/>
          <w:spacing w:val="12"/>
          <w:sz w:val="24"/>
          <w:szCs w:val="32"/>
          <w:highlight w:val="none"/>
        </w:rPr>
        <w:t>促</w:t>
      </w:r>
      <w:r>
        <w:rPr>
          <w:rFonts w:hint="eastAsia" w:ascii="宋体" w:hAnsi="宋体" w:cs="宋体"/>
          <w:spacing w:val="14"/>
          <w:sz w:val="24"/>
          <w:szCs w:val="32"/>
          <w:highlight w:val="none"/>
        </w:rPr>
        <w:t>进残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就</w:t>
      </w:r>
      <w:r>
        <w:rPr>
          <w:rFonts w:hint="eastAsia" w:ascii="宋体" w:hAnsi="宋体" w:cs="宋体"/>
          <w:spacing w:val="14"/>
          <w:sz w:val="24"/>
          <w:szCs w:val="32"/>
          <w:highlight w:val="none"/>
        </w:rPr>
        <w:t>业</w:t>
      </w:r>
      <w:r>
        <w:rPr>
          <w:rFonts w:hint="eastAsia" w:ascii="宋体" w:hAnsi="宋体" w:cs="宋体"/>
          <w:sz w:val="24"/>
          <w:szCs w:val="32"/>
          <w:highlight w:val="none"/>
        </w:rPr>
        <w:t>政</w:t>
      </w:r>
      <w:r>
        <w:rPr>
          <w:rFonts w:hint="eastAsia" w:ascii="宋体" w:hAnsi="宋体" w:cs="宋体"/>
          <w:spacing w:val="14"/>
          <w:sz w:val="24"/>
          <w:szCs w:val="32"/>
          <w:highlight w:val="none"/>
        </w:rPr>
        <w:t>府采购</w:t>
      </w:r>
      <w:r>
        <w:rPr>
          <w:rFonts w:hint="eastAsia" w:ascii="宋体" w:hAnsi="宋体" w:cs="宋体"/>
          <w:spacing w:val="12"/>
          <w:sz w:val="24"/>
          <w:szCs w:val="32"/>
          <w:highlight w:val="none"/>
        </w:rPr>
        <w:t>政</w:t>
      </w:r>
      <w:r>
        <w:rPr>
          <w:rFonts w:hint="eastAsia" w:ascii="宋体" w:hAnsi="宋体" w:cs="宋体"/>
          <w:spacing w:val="14"/>
          <w:sz w:val="24"/>
          <w:szCs w:val="32"/>
          <w:highlight w:val="none"/>
        </w:rPr>
        <w:t>策的通知》（</w:t>
      </w:r>
      <w:r>
        <w:rPr>
          <w:rFonts w:hint="eastAsia" w:ascii="宋体" w:hAnsi="宋体" w:cs="宋体"/>
          <w:spacing w:val="12"/>
          <w:sz w:val="24"/>
          <w:szCs w:val="32"/>
          <w:highlight w:val="none"/>
        </w:rPr>
        <w:t>财</w:t>
      </w:r>
      <w:r>
        <w:rPr>
          <w:rFonts w:hint="eastAsia" w:ascii="宋体" w:hAnsi="宋体" w:cs="宋体"/>
          <w:spacing w:val="14"/>
          <w:sz w:val="24"/>
          <w:szCs w:val="32"/>
          <w:highlight w:val="none"/>
        </w:rPr>
        <w:t>库</w:t>
      </w:r>
      <w:r>
        <w:rPr>
          <w:rFonts w:hint="eastAsia" w:ascii="宋体" w:hAnsi="宋体" w:cs="宋体"/>
          <w:sz w:val="24"/>
          <w:szCs w:val="32"/>
          <w:highlight w:val="none"/>
        </w:rPr>
        <w:t>〔2017〕</w:t>
      </w:r>
      <w:r>
        <w:rPr>
          <w:rFonts w:hint="eastAsia" w:ascii="宋体" w:hAnsi="宋体" w:cs="宋体"/>
          <w:spacing w:val="6"/>
          <w:sz w:val="24"/>
          <w:szCs w:val="32"/>
          <w:highlight w:val="none"/>
        </w:rPr>
        <w:t xml:space="preserve"> </w:t>
      </w:r>
      <w:r>
        <w:rPr>
          <w:rFonts w:hint="eastAsia" w:ascii="宋体" w:hAnsi="宋体" w:cs="宋体"/>
          <w:sz w:val="24"/>
          <w:szCs w:val="32"/>
          <w:highlight w:val="none"/>
        </w:rPr>
        <w:t>141</w:t>
      </w:r>
      <w:r>
        <w:rPr>
          <w:rFonts w:hint="eastAsia" w:ascii="宋体" w:hAnsi="宋体" w:cs="宋体"/>
          <w:spacing w:val="-57"/>
          <w:sz w:val="24"/>
          <w:szCs w:val="32"/>
          <w:highlight w:val="none"/>
        </w:rPr>
        <w:t xml:space="preserve"> </w:t>
      </w:r>
      <w:r>
        <w:rPr>
          <w:rFonts w:hint="eastAsia" w:ascii="宋体" w:hAnsi="宋体" w:cs="宋体"/>
          <w:spacing w:val="14"/>
          <w:sz w:val="24"/>
          <w:szCs w:val="32"/>
          <w:highlight w:val="none"/>
        </w:rPr>
        <w:t>号）的</w:t>
      </w:r>
      <w:r>
        <w:rPr>
          <w:rFonts w:hint="eastAsia" w:ascii="宋体" w:hAnsi="宋体" w:cs="宋体"/>
          <w:spacing w:val="12"/>
          <w:sz w:val="24"/>
          <w:szCs w:val="32"/>
          <w:highlight w:val="none"/>
        </w:rPr>
        <w:t>规</w:t>
      </w:r>
      <w:r>
        <w:rPr>
          <w:rFonts w:hint="eastAsia" w:ascii="宋体" w:hAnsi="宋体" w:cs="宋体"/>
          <w:spacing w:val="14"/>
          <w:sz w:val="24"/>
          <w:szCs w:val="32"/>
          <w:highlight w:val="none"/>
        </w:rPr>
        <w:t>定，本单位为</w:t>
      </w:r>
      <w:r>
        <w:rPr>
          <w:rFonts w:hint="eastAsia" w:ascii="宋体" w:hAnsi="宋体" w:cs="宋体"/>
          <w:spacing w:val="12"/>
          <w:sz w:val="24"/>
          <w:szCs w:val="32"/>
          <w:highlight w:val="none"/>
        </w:rPr>
        <w:t>符</w:t>
      </w:r>
      <w:r>
        <w:rPr>
          <w:rFonts w:hint="eastAsia" w:ascii="宋体" w:hAnsi="宋体" w:cs="宋体"/>
          <w:spacing w:val="14"/>
          <w:sz w:val="24"/>
          <w:szCs w:val="32"/>
          <w:highlight w:val="none"/>
        </w:rPr>
        <w:t>合条件的残疾</w:t>
      </w:r>
      <w:r>
        <w:rPr>
          <w:rFonts w:hint="eastAsia" w:ascii="宋体" w:hAnsi="宋体" w:cs="宋体"/>
          <w:spacing w:val="12"/>
          <w:sz w:val="24"/>
          <w:szCs w:val="32"/>
          <w:highlight w:val="none"/>
        </w:rPr>
        <w:t>人</w:t>
      </w:r>
      <w:r>
        <w:rPr>
          <w:rFonts w:hint="eastAsia" w:ascii="宋体" w:hAnsi="宋体" w:cs="宋体"/>
          <w:spacing w:val="14"/>
          <w:sz w:val="24"/>
          <w:szCs w:val="32"/>
          <w:highlight w:val="none"/>
        </w:rPr>
        <w:t>福</w:t>
      </w:r>
      <w:r>
        <w:rPr>
          <w:rFonts w:hint="eastAsia" w:ascii="宋体" w:hAnsi="宋体" w:cs="宋体"/>
          <w:sz w:val="24"/>
          <w:szCs w:val="32"/>
          <w:highlight w:val="none"/>
        </w:rPr>
        <w:t>利</w:t>
      </w:r>
      <w:r>
        <w:rPr>
          <w:rFonts w:hint="eastAsia" w:ascii="宋体" w:hAnsi="宋体" w:cs="宋体"/>
          <w:spacing w:val="14"/>
          <w:sz w:val="24"/>
          <w:szCs w:val="32"/>
          <w:highlight w:val="none"/>
        </w:rPr>
        <w:t>性单</w:t>
      </w:r>
      <w:r>
        <w:rPr>
          <w:rFonts w:hint="eastAsia" w:ascii="宋体" w:hAnsi="宋体" w:cs="宋体"/>
          <w:spacing w:val="12"/>
          <w:sz w:val="24"/>
          <w:szCs w:val="32"/>
          <w:highlight w:val="none"/>
        </w:rPr>
        <w:t>位</w:t>
      </w:r>
      <w:r>
        <w:rPr>
          <w:rFonts w:hint="eastAsia" w:ascii="宋体" w:hAnsi="宋体" w:cs="宋体"/>
          <w:spacing w:val="14"/>
          <w:sz w:val="24"/>
          <w:szCs w:val="32"/>
          <w:highlight w:val="none"/>
        </w:rPr>
        <w:t>，且本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位参加</w:t>
      </w:r>
      <w:r>
        <w:rPr>
          <w:rFonts w:hint="eastAsia" w:ascii="宋体" w:hAnsi="宋体" w:cs="宋体"/>
          <w:spacing w:val="6"/>
          <w:sz w:val="24"/>
          <w:szCs w:val="32"/>
          <w:highlight w:val="none"/>
        </w:rPr>
        <w:t>______</w:t>
      </w:r>
      <w:r>
        <w:rPr>
          <w:rFonts w:hint="eastAsia" w:ascii="宋体" w:hAnsi="宋体" w:cs="宋体"/>
          <w:spacing w:val="14"/>
          <w:sz w:val="24"/>
          <w:szCs w:val="32"/>
          <w:highlight w:val="none"/>
        </w:rPr>
        <w:t>单位</w:t>
      </w:r>
      <w:r>
        <w:rPr>
          <w:rFonts w:hint="eastAsia" w:ascii="宋体" w:hAnsi="宋体" w:cs="宋体"/>
          <w:sz w:val="24"/>
          <w:szCs w:val="32"/>
          <w:highlight w:val="none"/>
        </w:rPr>
        <w:t>的</w:t>
      </w:r>
      <w:r>
        <w:rPr>
          <w:rFonts w:hint="eastAsia" w:ascii="宋体" w:hAnsi="宋体" w:cs="宋体"/>
          <w:spacing w:val="14"/>
          <w:sz w:val="24"/>
          <w:szCs w:val="32"/>
          <w:highlight w:val="none"/>
        </w:rPr>
        <w:t>项目</w:t>
      </w:r>
      <w:r>
        <w:rPr>
          <w:rFonts w:hint="eastAsia" w:ascii="宋体" w:hAnsi="宋体" w:cs="宋体"/>
          <w:spacing w:val="12"/>
          <w:sz w:val="24"/>
          <w:szCs w:val="32"/>
          <w:highlight w:val="none"/>
        </w:rPr>
        <w:t>采</w:t>
      </w:r>
      <w:r>
        <w:rPr>
          <w:rFonts w:hint="eastAsia" w:ascii="宋体" w:hAnsi="宋体" w:cs="宋体"/>
          <w:spacing w:val="14"/>
          <w:sz w:val="24"/>
          <w:szCs w:val="32"/>
          <w:highlight w:val="none"/>
        </w:rPr>
        <w:t>购活动并由</w:t>
      </w:r>
      <w:r>
        <w:rPr>
          <w:rFonts w:hint="eastAsia" w:ascii="宋体" w:hAnsi="宋体" w:cs="宋体"/>
          <w:spacing w:val="-11"/>
          <w:sz w:val="24"/>
          <w:szCs w:val="32"/>
          <w:highlight w:val="none"/>
        </w:rPr>
        <w:t>本</w:t>
      </w:r>
      <w:r>
        <w:rPr>
          <w:rFonts w:hint="eastAsia" w:ascii="宋体" w:hAnsi="宋体" w:cs="宋体"/>
          <w:sz w:val="24"/>
          <w:szCs w:val="32"/>
          <w:highlight w:val="none"/>
        </w:rPr>
        <w:t>单位提供服务。</w:t>
      </w:r>
    </w:p>
    <w:p w14:paraId="5D4D14E0">
      <w:pPr>
        <w:rPr>
          <w:rFonts w:ascii="宋体" w:hAnsi="宋体" w:cs="宋体"/>
          <w:sz w:val="24"/>
          <w:szCs w:val="32"/>
          <w:highlight w:val="none"/>
        </w:rPr>
      </w:pPr>
      <w:r>
        <w:rPr>
          <w:rFonts w:hint="eastAsia" w:ascii="宋体" w:hAnsi="宋体" w:cs="宋体"/>
          <w:sz w:val="24"/>
          <w:szCs w:val="32"/>
          <w:highlight w:val="none"/>
        </w:rPr>
        <w:t>本单位对上述声明的真实性负责。如有虚假，将依法承担相应责任。</w:t>
      </w:r>
    </w:p>
    <w:p w14:paraId="087A80B9">
      <w:pPr>
        <w:rPr>
          <w:rFonts w:ascii="宋体" w:hAnsi="宋体" w:cs="宋体"/>
          <w:sz w:val="24"/>
          <w:szCs w:val="32"/>
          <w:highlight w:val="none"/>
        </w:rPr>
      </w:pPr>
    </w:p>
    <w:p w14:paraId="5ECD112C">
      <w:pPr>
        <w:rPr>
          <w:rFonts w:ascii="宋体" w:hAnsi="宋体" w:cs="宋体"/>
          <w:sz w:val="24"/>
          <w:szCs w:val="32"/>
          <w:highlight w:val="none"/>
        </w:rPr>
      </w:pPr>
    </w:p>
    <w:p w14:paraId="42BE1424">
      <w:pPr>
        <w:ind w:firstLine="4320" w:firstLineChars="1800"/>
        <w:rPr>
          <w:rFonts w:ascii="宋体" w:hAnsi="宋体" w:cs="宋体"/>
          <w:sz w:val="24"/>
          <w:szCs w:val="32"/>
          <w:highlight w:val="none"/>
        </w:rPr>
      </w:pPr>
      <w:r>
        <w:rPr>
          <w:rFonts w:hint="eastAsia" w:ascii="宋体" w:hAnsi="宋体" w:cs="宋体"/>
          <w:sz w:val="24"/>
          <w:szCs w:val="32"/>
          <w:highlight w:val="none"/>
        </w:rPr>
        <w:t>响应供应商名称（盖公章）：</w:t>
      </w:r>
    </w:p>
    <w:p w14:paraId="4F6971B2">
      <w:pPr>
        <w:rPr>
          <w:rFonts w:ascii="宋体" w:hAnsi="宋体" w:cs="宋体"/>
          <w:sz w:val="24"/>
          <w:szCs w:val="32"/>
          <w:highlight w:val="none"/>
        </w:rPr>
      </w:pPr>
      <w:r>
        <w:rPr>
          <w:rFonts w:hint="eastAsia" w:ascii="宋体" w:hAnsi="宋体" w:cs="宋体"/>
          <w:sz w:val="24"/>
          <w:szCs w:val="32"/>
          <w:highlight w:val="none"/>
        </w:rPr>
        <w:t xml:space="preserve">                                     </w:t>
      </w:r>
    </w:p>
    <w:p w14:paraId="40BE97F0">
      <w:pPr>
        <w:rPr>
          <w:rFonts w:ascii="宋体" w:hAnsi="宋体" w:cs="宋体"/>
          <w:sz w:val="24"/>
          <w:szCs w:val="32"/>
          <w:highlight w:val="none"/>
        </w:rPr>
      </w:pPr>
    </w:p>
    <w:p w14:paraId="26FDBDB0">
      <w:pPr>
        <w:ind w:firstLine="4320" w:firstLineChars="1800"/>
        <w:rPr>
          <w:rFonts w:ascii="宋体" w:hAnsi="宋体" w:cs="宋体"/>
          <w:sz w:val="24"/>
          <w:szCs w:val="32"/>
          <w:highlight w:val="none"/>
        </w:rPr>
      </w:pPr>
      <w:r>
        <w:rPr>
          <w:rFonts w:hint="eastAsia" w:ascii="宋体" w:hAnsi="宋体" w:cs="宋体"/>
          <w:sz w:val="24"/>
          <w:szCs w:val="32"/>
          <w:highlight w:val="none"/>
        </w:rPr>
        <w:t>日 期：</w:t>
      </w:r>
    </w:p>
    <w:p w14:paraId="4BAE2423">
      <w:pPr>
        <w:spacing w:line="364" w:lineRule="auto"/>
        <w:outlineLvl w:val="1"/>
        <w:rPr>
          <w:highlight w:val="none"/>
        </w:rPr>
        <w:sectPr>
          <w:pgSz w:w="11910" w:h="16840"/>
          <w:pgMar w:top="1440" w:right="1800" w:bottom="1043" w:left="1800" w:header="714" w:footer="587" w:gutter="0"/>
          <w:cols w:space="720" w:num="1"/>
        </w:sectPr>
      </w:pPr>
    </w:p>
    <w:p w14:paraId="2B295F0F">
      <w:pPr>
        <w:rPr>
          <w:highlight w:val="none"/>
        </w:rPr>
      </w:pPr>
    </w:p>
    <w:p w14:paraId="3E2D6829">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八</w:t>
      </w:r>
      <w:r>
        <w:rPr>
          <w:rFonts w:hint="eastAsia"/>
          <w:b/>
          <w:bCs/>
          <w:sz w:val="28"/>
          <w:szCs w:val="28"/>
          <w:highlight w:val="none"/>
        </w:rPr>
        <w:t>）</w:t>
      </w:r>
      <w:r>
        <w:rPr>
          <w:rFonts w:hint="eastAsia" w:ascii="宋体" w:hAnsi="宋体" w:cs="宋体"/>
          <w:b/>
          <w:bCs/>
          <w:sz w:val="28"/>
          <w:szCs w:val="28"/>
          <w:highlight w:val="none"/>
        </w:rPr>
        <w:t>无重大违法记录声明函</w:t>
      </w:r>
    </w:p>
    <w:p w14:paraId="65D5F8D7">
      <w:pPr>
        <w:spacing w:before="55" w:line="360" w:lineRule="auto"/>
        <w:ind w:right="2656"/>
        <w:jc w:val="left"/>
        <w:outlineLvl w:val="1"/>
        <w:rPr>
          <w:b/>
          <w:bCs/>
          <w:sz w:val="24"/>
          <w:szCs w:val="24"/>
          <w:highlight w:val="none"/>
        </w:rPr>
      </w:pPr>
      <w:r>
        <w:rPr>
          <w:rFonts w:hint="eastAsia"/>
          <w:b/>
          <w:bCs/>
          <w:sz w:val="24"/>
          <w:szCs w:val="24"/>
          <w:highlight w:val="none"/>
        </w:rPr>
        <w:t>致：</w:t>
      </w:r>
      <w:r>
        <w:rPr>
          <w:rFonts w:hint="eastAsia" w:ascii="宋体" w:hAnsi="宋体" w:cs="宋体"/>
          <w:spacing w:val="6"/>
          <w:sz w:val="24"/>
          <w:szCs w:val="24"/>
          <w:highlight w:val="none"/>
        </w:rPr>
        <w:t>______（采购人名称）</w:t>
      </w:r>
      <w:r>
        <w:rPr>
          <w:rFonts w:hint="eastAsia"/>
          <w:b/>
          <w:bCs/>
          <w:sz w:val="24"/>
          <w:szCs w:val="24"/>
          <w:highlight w:val="none"/>
        </w:rPr>
        <w:t xml:space="preserve"> </w:t>
      </w:r>
    </w:p>
    <w:p w14:paraId="3634FB75">
      <w:pPr>
        <w:pStyle w:val="15"/>
        <w:spacing w:line="360" w:lineRule="auto"/>
        <w:ind w:left="902" w:hanging="482"/>
        <w:jc w:val="left"/>
        <w:rPr>
          <w:rFonts w:ascii="宋体" w:hAnsi="宋体" w:cs="宋体"/>
          <w:spacing w:val="6"/>
          <w:sz w:val="24"/>
          <w:szCs w:val="24"/>
          <w:highlight w:val="none"/>
        </w:rPr>
      </w:pPr>
      <w:r>
        <w:rPr>
          <w:rFonts w:hint="eastAsia"/>
          <w:b/>
          <w:bCs/>
          <w:sz w:val="24"/>
          <w:szCs w:val="24"/>
          <w:highlight w:val="none"/>
        </w:rPr>
        <w:t>我单位</w:t>
      </w:r>
      <w:r>
        <w:rPr>
          <w:rFonts w:hint="eastAsia" w:ascii="宋体" w:hAnsi="宋体" w:cs="宋体"/>
          <w:spacing w:val="6"/>
          <w:sz w:val="24"/>
          <w:szCs w:val="24"/>
          <w:highlight w:val="none"/>
        </w:rPr>
        <w:t>______(投标人名称）近三年内，在参加政府采购活动中没有重大违</w:t>
      </w:r>
    </w:p>
    <w:p w14:paraId="5A8CE853">
      <w:pPr>
        <w:pStyle w:val="15"/>
        <w:spacing w:line="360" w:lineRule="auto"/>
        <w:ind w:left="0" w:leftChars="0" w:firstLine="0" w:firstLineChars="0"/>
        <w:jc w:val="left"/>
        <w:rPr>
          <w:rFonts w:ascii="宋体" w:hAnsi="宋体" w:cs="宋体"/>
          <w:spacing w:val="6"/>
          <w:sz w:val="24"/>
          <w:szCs w:val="24"/>
          <w:highlight w:val="none"/>
        </w:rPr>
      </w:pPr>
      <w:r>
        <w:rPr>
          <w:rFonts w:hint="eastAsia" w:ascii="宋体" w:hAnsi="宋体" w:cs="宋体"/>
          <w:spacing w:val="6"/>
          <w:sz w:val="24"/>
          <w:szCs w:val="24"/>
          <w:highlight w:val="none"/>
        </w:rPr>
        <w:t>法记录，特此声明。</w:t>
      </w:r>
    </w:p>
    <w:p w14:paraId="2CC76036">
      <w:pPr>
        <w:pStyle w:val="16"/>
        <w:spacing w:line="360" w:lineRule="auto"/>
        <w:rPr>
          <w:sz w:val="24"/>
          <w:szCs w:val="24"/>
          <w:highlight w:val="none"/>
        </w:rPr>
      </w:pPr>
      <w:r>
        <w:rPr>
          <w:rFonts w:hint="eastAsia"/>
          <w:sz w:val="24"/>
          <w:szCs w:val="24"/>
          <w:highlight w:val="none"/>
        </w:rPr>
        <w:t xml:space="preserve">    若招标采购单位在本项目采购过程中发现我单位近三年内在政府采购活动中有重大违法记录，我单位将无条件地退出本项目的招标，并承担因此引起的一切后果。</w:t>
      </w:r>
    </w:p>
    <w:p w14:paraId="6C2B97D4">
      <w:pPr>
        <w:pStyle w:val="16"/>
        <w:rPr>
          <w:sz w:val="24"/>
          <w:szCs w:val="24"/>
          <w:highlight w:val="none"/>
        </w:rPr>
      </w:pPr>
    </w:p>
    <w:p w14:paraId="16B77AD9">
      <w:pPr>
        <w:pStyle w:val="16"/>
        <w:rPr>
          <w:sz w:val="24"/>
          <w:szCs w:val="24"/>
          <w:highlight w:val="none"/>
        </w:rPr>
      </w:pPr>
    </w:p>
    <w:p w14:paraId="1052372F">
      <w:pPr>
        <w:pStyle w:val="16"/>
        <w:rPr>
          <w:sz w:val="24"/>
          <w:szCs w:val="24"/>
          <w:highlight w:val="none"/>
        </w:rPr>
      </w:pPr>
    </w:p>
    <w:p w14:paraId="2AC03291">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9BE6650">
      <w:pPr>
        <w:pStyle w:val="2"/>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2745046">
      <w:pPr>
        <w:pStyle w:val="5"/>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1895132">
      <w:pPr>
        <w:pStyle w:val="7"/>
        <w:numPr>
          <w:ilvl w:val="0"/>
          <w:numId w:val="0"/>
        </w:numPr>
        <w:rPr>
          <w:bCs/>
          <w:sz w:val="28"/>
          <w:szCs w:val="28"/>
          <w:highlight w:val="none"/>
        </w:rPr>
      </w:pPr>
    </w:p>
    <w:p w14:paraId="056F14AA">
      <w:pPr>
        <w:pStyle w:val="7"/>
        <w:numPr>
          <w:ilvl w:val="0"/>
          <w:numId w:val="0"/>
        </w:numPr>
        <w:rPr>
          <w:bCs/>
          <w:sz w:val="28"/>
          <w:szCs w:val="28"/>
          <w:highlight w:val="none"/>
        </w:rPr>
        <w:sectPr>
          <w:footerReference r:id="rId15" w:type="first"/>
          <w:headerReference r:id="rId12" w:type="default"/>
          <w:footerReference r:id="rId13" w:type="default"/>
          <w:footerReference r:id="rId14" w:type="even"/>
          <w:pgSz w:w="11906" w:h="16838"/>
          <w:pgMar w:top="1440" w:right="1489" w:bottom="1440" w:left="1797" w:header="851" w:footer="992" w:gutter="0"/>
          <w:cols w:space="720" w:num="1"/>
          <w:titlePg/>
          <w:docGrid w:type="lines" w:linePitch="312" w:charSpace="0"/>
        </w:sectPr>
      </w:pPr>
      <w:r>
        <w:rPr>
          <w:rFonts w:hint="eastAsia"/>
          <w:bCs/>
          <w:sz w:val="28"/>
          <w:szCs w:val="28"/>
          <w:highlight w:val="none"/>
        </w:rPr>
        <w:t>（</w:t>
      </w:r>
      <w:r>
        <w:rPr>
          <w:rFonts w:hint="eastAsia"/>
          <w:bCs/>
          <w:sz w:val="28"/>
          <w:szCs w:val="28"/>
          <w:highlight w:val="none"/>
          <w:lang w:val="en-US" w:eastAsia="zh-CN"/>
        </w:rPr>
        <w:t>十九</w:t>
      </w:r>
      <w:r>
        <w:rPr>
          <w:rFonts w:hint="eastAsia"/>
          <w:bCs/>
          <w:sz w:val="28"/>
          <w:szCs w:val="28"/>
          <w:highlight w:val="none"/>
        </w:rPr>
        <w:t>）提供其它有利于投标的资料</w:t>
      </w:r>
    </w:p>
    <w:p w14:paraId="50AA1BCB">
      <w:pPr>
        <w:pStyle w:val="9"/>
        <w:numPr>
          <w:ilvl w:val="3"/>
          <w:numId w:val="0"/>
        </w:numPr>
        <w:spacing w:before="0"/>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sz w:val="44"/>
          <w:szCs w:val="44"/>
          <w:highlight w:val="none"/>
        </w:rPr>
        <w:t>参考文件</w:t>
      </w:r>
    </w:p>
    <w:p w14:paraId="032A7A10">
      <w:pPr>
        <w:pStyle w:val="9"/>
        <w:numPr>
          <w:ilvl w:val="3"/>
          <w:numId w:val="0"/>
        </w:numPr>
        <w:spacing w:before="0" w:line="240" w:lineRule="auto"/>
        <w:ind w:left="210" w:leftChars="100"/>
        <w:jc w:val="both"/>
        <w:rPr>
          <w:rFonts w:ascii="方正小标宋_GBK" w:hAnsi="方正小标宋_GBK" w:eastAsia="方正小标宋_GBK" w:cs="方正小标宋_GBK"/>
          <w:highlight w:val="none"/>
        </w:rPr>
      </w:pPr>
    </w:p>
    <w:p w14:paraId="1F2E8E81">
      <w:pPr>
        <w:pStyle w:val="9"/>
        <w:numPr>
          <w:ilvl w:val="3"/>
          <w:numId w:val="0"/>
        </w:numPr>
        <w:spacing w:before="0" w:line="240" w:lineRule="auto"/>
        <w:ind w:left="210" w:leftChars="100"/>
        <w:jc w:val="both"/>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rPr>
        <w:t>一、财政部工业和信息化部关于印发《政府采购促进中小企业发展管理办法》的通知</w:t>
      </w:r>
    </w:p>
    <w:p w14:paraId="0252E95E">
      <w:pPr>
        <w:pStyle w:val="25"/>
        <w:spacing w:beforeAutospacing="0" w:afterAutospacing="0"/>
        <w:jc w:val="both"/>
        <w:rPr>
          <w:color w:val="000000"/>
          <w:sz w:val="21"/>
          <w:szCs w:val="21"/>
          <w:highlight w:val="none"/>
        </w:rPr>
      </w:pPr>
    </w:p>
    <w:p w14:paraId="0C18C12C">
      <w:pPr>
        <w:pStyle w:val="25"/>
        <w:spacing w:beforeAutospacing="0" w:afterAutospacing="0"/>
        <w:jc w:val="center"/>
        <w:rPr>
          <w:color w:val="000000"/>
          <w:sz w:val="21"/>
          <w:szCs w:val="21"/>
          <w:highlight w:val="none"/>
        </w:rPr>
      </w:pPr>
      <w:r>
        <w:rPr>
          <w:rFonts w:hint="eastAsia"/>
          <w:color w:val="000000"/>
          <w:sz w:val="21"/>
          <w:szCs w:val="21"/>
          <w:highlight w:val="none"/>
        </w:rPr>
        <w:t>财库〔2020〕46号</w:t>
      </w:r>
    </w:p>
    <w:p w14:paraId="7900EE81">
      <w:pPr>
        <w:pStyle w:val="25"/>
        <w:spacing w:beforeAutospacing="0" w:afterAutospacing="0"/>
        <w:jc w:val="both"/>
        <w:rPr>
          <w:color w:val="333333"/>
          <w:sz w:val="21"/>
          <w:szCs w:val="21"/>
          <w:highlight w:val="none"/>
        </w:rPr>
      </w:pPr>
      <w:r>
        <w:rPr>
          <w:rFonts w:hint="eastAsia"/>
          <w:color w:val="333333"/>
          <w:sz w:val="21"/>
          <w:szCs w:val="21"/>
          <w:highlight w:val="none"/>
        </w:rPr>
        <w:t>各中央预算单位办公厅（室），各省、自治区、直辖市、计划单列市财政厅（局）、工业和信息化主管部门，新疆生产建设兵团财政局、工业和信息化主管部门：</w:t>
      </w:r>
    </w:p>
    <w:p w14:paraId="6099D638">
      <w:pPr>
        <w:pStyle w:val="25"/>
        <w:spacing w:beforeAutospacing="0" w:afterAutospacing="0"/>
        <w:ind w:firstLine="480"/>
        <w:jc w:val="both"/>
        <w:rPr>
          <w:color w:val="333333"/>
          <w:sz w:val="21"/>
          <w:szCs w:val="21"/>
          <w:highlight w:val="none"/>
        </w:rPr>
      </w:pPr>
      <w:r>
        <w:rPr>
          <w:rFonts w:hint="eastAsia"/>
          <w:color w:val="333333"/>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42FDB1A">
      <w:pPr>
        <w:pStyle w:val="25"/>
        <w:spacing w:beforeAutospacing="0" w:afterAutospacing="0"/>
        <w:ind w:firstLine="480"/>
        <w:rPr>
          <w:color w:val="333333"/>
          <w:sz w:val="21"/>
          <w:szCs w:val="21"/>
          <w:highlight w:val="none"/>
        </w:rPr>
      </w:pPr>
      <w:r>
        <w:rPr>
          <w:rFonts w:hint="eastAsia"/>
          <w:color w:val="333333"/>
          <w:sz w:val="21"/>
          <w:szCs w:val="21"/>
          <w:highlight w:val="none"/>
        </w:rPr>
        <w:t>附件：政府采购促进中小企业发展管理办法</w:t>
      </w:r>
    </w:p>
    <w:p w14:paraId="281A1EF3">
      <w:pPr>
        <w:pStyle w:val="25"/>
        <w:spacing w:beforeAutospacing="0" w:afterAutospacing="0"/>
        <w:jc w:val="right"/>
        <w:rPr>
          <w:color w:val="333333"/>
          <w:sz w:val="21"/>
          <w:szCs w:val="21"/>
          <w:highlight w:val="none"/>
        </w:rPr>
      </w:pPr>
      <w:r>
        <w:rPr>
          <w:rFonts w:hint="eastAsia"/>
          <w:color w:val="333333"/>
          <w:sz w:val="21"/>
          <w:szCs w:val="21"/>
          <w:highlight w:val="none"/>
        </w:rPr>
        <w:t>财　　政　　部</w:t>
      </w:r>
    </w:p>
    <w:p w14:paraId="25C2B13B">
      <w:pPr>
        <w:pStyle w:val="25"/>
        <w:spacing w:beforeAutospacing="0" w:afterAutospacing="0"/>
        <w:jc w:val="right"/>
        <w:rPr>
          <w:color w:val="333333"/>
          <w:sz w:val="21"/>
          <w:szCs w:val="21"/>
          <w:highlight w:val="none"/>
        </w:rPr>
      </w:pPr>
      <w:r>
        <w:rPr>
          <w:rFonts w:hint="eastAsia"/>
          <w:color w:val="333333"/>
          <w:sz w:val="21"/>
          <w:szCs w:val="21"/>
          <w:highlight w:val="none"/>
        </w:rPr>
        <w:t>工业和信息化部</w:t>
      </w:r>
    </w:p>
    <w:p w14:paraId="270ED1E0">
      <w:pPr>
        <w:pStyle w:val="25"/>
        <w:spacing w:beforeAutospacing="0" w:afterAutospacing="0"/>
        <w:jc w:val="right"/>
        <w:rPr>
          <w:color w:val="333333"/>
          <w:sz w:val="21"/>
          <w:szCs w:val="21"/>
          <w:highlight w:val="none"/>
        </w:rPr>
      </w:pPr>
      <w:r>
        <w:rPr>
          <w:rFonts w:hint="eastAsia"/>
          <w:color w:val="333333"/>
          <w:sz w:val="21"/>
          <w:szCs w:val="21"/>
          <w:highlight w:val="none"/>
        </w:rPr>
        <w:t>2020年12月18日</w:t>
      </w:r>
    </w:p>
    <w:p w14:paraId="6372FE08">
      <w:pPr>
        <w:pStyle w:val="25"/>
        <w:spacing w:beforeAutospacing="0" w:afterAutospacing="0"/>
        <w:ind w:firstLine="480"/>
        <w:jc w:val="both"/>
        <w:rPr>
          <w:color w:val="333333"/>
          <w:sz w:val="21"/>
          <w:szCs w:val="21"/>
          <w:highlight w:val="none"/>
        </w:rPr>
      </w:pPr>
    </w:p>
    <w:p w14:paraId="6CE670DC">
      <w:pPr>
        <w:pStyle w:val="25"/>
        <w:spacing w:beforeAutospacing="0" w:afterAutospacing="0"/>
        <w:jc w:val="both"/>
        <w:rPr>
          <w:color w:val="333333"/>
          <w:sz w:val="21"/>
          <w:szCs w:val="21"/>
          <w:highlight w:val="none"/>
        </w:rPr>
      </w:pPr>
    </w:p>
    <w:p w14:paraId="20454D2D">
      <w:pPr>
        <w:pStyle w:val="25"/>
        <w:spacing w:beforeAutospacing="0" w:afterAutospacing="0"/>
        <w:ind w:firstLine="480"/>
        <w:jc w:val="both"/>
        <w:rPr>
          <w:color w:val="333333"/>
          <w:sz w:val="21"/>
          <w:szCs w:val="21"/>
          <w:highlight w:val="none"/>
        </w:rPr>
      </w:pPr>
    </w:p>
    <w:p w14:paraId="6F3906AA">
      <w:pPr>
        <w:pStyle w:val="25"/>
        <w:spacing w:beforeAutospacing="0" w:afterAutospacing="0"/>
        <w:jc w:val="center"/>
        <w:rPr>
          <w:rFonts w:ascii="方正小标宋_GBK" w:hAnsi="方正小标宋_GBK" w:eastAsia="方正小标宋_GBK" w:cs="方正小标宋_GBK"/>
          <w:color w:val="333333"/>
          <w:sz w:val="32"/>
          <w:szCs w:val="32"/>
          <w:highlight w:val="none"/>
        </w:rPr>
      </w:pPr>
      <w:r>
        <w:rPr>
          <w:rFonts w:hint="eastAsia" w:ascii="方正小标宋_GBK" w:hAnsi="方正小标宋_GBK" w:eastAsia="方正小标宋_GBK" w:cs="方正小标宋_GBK"/>
          <w:b/>
          <w:bCs/>
          <w:color w:val="333333"/>
          <w:sz w:val="32"/>
          <w:szCs w:val="32"/>
          <w:highlight w:val="none"/>
        </w:rPr>
        <w:t>政府采购促进中小企业发展管理办法</w:t>
      </w:r>
    </w:p>
    <w:p w14:paraId="006396D8">
      <w:pPr>
        <w:pStyle w:val="25"/>
        <w:spacing w:beforeAutospacing="0" w:afterAutospacing="0"/>
        <w:ind w:firstLine="480"/>
        <w:jc w:val="both"/>
        <w:rPr>
          <w:color w:val="333333"/>
          <w:sz w:val="21"/>
          <w:szCs w:val="21"/>
          <w:highlight w:val="none"/>
        </w:rPr>
      </w:pPr>
    </w:p>
    <w:p w14:paraId="38515BA4">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第一条</w:t>
      </w:r>
      <w:r>
        <w:rPr>
          <w:rFonts w:hint="eastAsia"/>
          <w:color w:val="333333"/>
          <w:sz w:val="21"/>
          <w:szCs w:val="21"/>
          <w:highlight w:val="none"/>
        </w:rPr>
        <w:t>　为了发挥政府采购的政策功能，促进中小企业健康发展，根据《中华人民共和国政府采购法》、《中华人民共和国中小企业促进法》等有关法律法规，制定本办法。</w:t>
      </w:r>
    </w:p>
    <w:p w14:paraId="7E00D6BF">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第二条</w:t>
      </w:r>
      <w:r>
        <w:rPr>
          <w:rFonts w:hint="eastAsia"/>
          <w:color w:val="333333"/>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284DF2">
      <w:pPr>
        <w:pStyle w:val="25"/>
        <w:spacing w:beforeAutospacing="0" w:afterAutospacing="0"/>
        <w:ind w:firstLine="480"/>
        <w:jc w:val="both"/>
        <w:rPr>
          <w:color w:val="333333"/>
          <w:sz w:val="21"/>
          <w:szCs w:val="21"/>
          <w:highlight w:val="none"/>
        </w:rPr>
      </w:pPr>
      <w:r>
        <w:rPr>
          <w:rFonts w:hint="eastAsia"/>
          <w:color w:val="333333"/>
          <w:sz w:val="21"/>
          <w:szCs w:val="21"/>
          <w:highlight w:val="none"/>
        </w:rPr>
        <w:t>符合中小企业划分标准的个体工商户，在政府采购活动中视同中小企业。</w:t>
      </w:r>
    </w:p>
    <w:p w14:paraId="70CCBCD7">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第三条</w:t>
      </w:r>
      <w:r>
        <w:rPr>
          <w:rFonts w:hint="eastAsia"/>
          <w:color w:val="333333"/>
          <w:sz w:val="21"/>
          <w:szCs w:val="21"/>
          <w:highlight w:val="none"/>
        </w:rPr>
        <w:t>　采购人在政府采购活动中应当通过加强采购需求管理，落实预留采购份额、价格评审优惠、优先采购等措施，提高中小企业在政府采购中的份额，支持中小企业发展。</w:t>
      </w:r>
    </w:p>
    <w:p w14:paraId="3457801E">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第四条</w:t>
      </w:r>
      <w:r>
        <w:rPr>
          <w:rFonts w:hint="eastAsia"/>
          <w:color w:val="333333"/>
          <w:sz w:val="21"/>
          <w:szCs w:val="21"/>
          <w:highlight w:val="none"/>
        </w:rPr>
        <w:t>　在政府采购活动中，供应商提供的货物、工程或者服务符合下列情形的，享受本办法规定的中小企业扶持政策：</w:t>
      </w:r>
    </w:p>
    <w:p w14:paraId="29F8968B">
      <w:pPr>
        <w:pStyle w:val="25"/>
        <w:spacing w:beforeAutospacing="0" w:afterAutospacing="0"/>
        <w:ind w:firstLine="480"/>
        <w:jc w:val="both"/>
        <w:rPr>
          <w:color w:val="333333"/>
          <w:sz w:val="21"/>
          <w:szCs w:val="21"/>
          <w:highlight w:val="none"/>
        </w:rPr>
      </w:pPr>
      <w:r>
        <w:rPr>
          <w:rFonts w:hint="eastAsia"/>
          <w:color w:val="333333"/>
          <w:sz w:val="21"/>
          <w:szCs w:val="21"/>
          <w:highlight w:val="none"/>
        </w:rPr>
        <w:t>（一）在货物采购项目中，货物由中小企业制造，即货物由中小企业生产且使用该中小企业商号或者注册商标；</w:t>
      </w:r>
    </w:p>
    <w:p w14:paraId="1EC919A8">
      <w:pPr>
        <w:pStyle w:val="25"/>
        <w:spacing w:beforeAutospacing="0" w:afterAutospacing="0"/>
        <w:ind w:firstLine="480"/>
        <w:jc w:val="both"/>
        <w:rPr>
          <w:color w:val="333333"/>
          <w:sz w:val="21"/>
          <w:szCs w:val="21"/>
          <w:highlight w:val="none"/>
        </w:rPr>
      </w:pPr>
      <w:r>
        <w:rPr>
          <w:rFonts w:hint="eastAsia"/>
          <w:color w:val="333333"/>
          <w:sz w:val="21"/>
          <w:szCs w:val="21"/>
          <w:highlight w:val="none"/>
        </w:rPr>
        <w:t>（二）在工程采购项目中，工程由中小企业承建，即工程施工单位为中小企业；</w:t>
      </w:r>
    </w:p>
    <w:p w14:paraId="4C6E3986">
      <w:pPr>
        <w:pStyle w:val="25"/>
        <w:spacing w:beforeAutospacing="0" w:afterAutospacing="0"/>
        <w:ind w:firstLine="480"/>
        <w:jc w:val="both"/>
        <w:rPr>
          <w:color w:val="333333"/>
          <w:sz w:val="21"/>
          <w:szCs w:val="21"/>
          <w:highlight w:val="none"/>
        </w:rPr>
      </w:pPr>
      <w:r>
        <w:rPr>
          <w:rFonts w:hint="eastAsia"/>
          <w:color w:val="333333"/>
          <w:sz w:val="21"/>
          <w:szCs w:val="21"/>
          <w:highlight w:val="none"/>
        </w:rPr>
        <w:t>（三）在服务采购项目中，服务由中小企业承接，即提供服务的人员为中小企业依照《中华人民共和国劳动合同法》订立劳动合同的从业人员。</w:t>
      </w:r>
    </w:p>
    <w:p w14:paraId="0C178DB1">
      <w:pPr>
        <w:pStyle w:val="25"/>
        <w:spacing w:beforeAutospacing="0" w:afterAutospacing="0"/>
        <w:ind w:firstLine="480"/>
        <w:jc w:val="both"/>
        <w:rPr>
          <w:color w:val="333333"/>
          <w:sz w:val="21"/>
          <w:szCs w:val="21"/>
          <w:highlight w:val="none"/>
        </w:rPr>
      </w:pPr>
      <w:r>
        <w:rPr>
          <w:rFonts w:hint="eastAsia"/>
          <w:color w:val="333333"/>
          <w:sz w:val="21"/>
          <w:szCs w:val="21"/>
          <w:highlight w:val="none"/>
        </w:rPr>
        <w:t>在货物采购项目中，供应商提供的货物既有中小企业制造货物，也有大型企业制造货物的，不享受本办法规定的中小企业扶持政策。</w:t>
      </w:r>
    </w:p>
    <w:p w14:paraId="372540F1">
      <w:pPr>
        <w:pStyle w:val="25"/>
        <w:spacing w:beforeAutospacing="0" w:afterAutospacing="0"/>
        <w:ind w:firstLine="480"/>
        <w:jc w:val="both"/>
        <w:rPr>
          <w:color w:val="333333"/>
          <w:sz w:val="21"/>
          <w:szCs w:val="21"/>
          <w:highlight w:val="none"/>
        </w:rPr>
      </w:pPr>
      <w:r>
        <w:rPr>
          <w:rFonts w:hint="eastAsia"/>
          <w:color w:val="333333"/>
          <w:sz w:val="21"/>
          <w:szCs w:val="21"/>
          <w:highlight w:val="none"/>
        </w:rPr>
        <w:t>以联合体形式参加政府采购活动，联合体各方均为中小企业的，联合体视同中小企业。其中，联合体各方均为小微企业的，联合体视同小微企业。</w:t>
      </w:r>
    </w:p>
    <w:p w14:paraId="5D0B823E">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第五条</w:t>
      </w:r>
      <w:r>
        <w:rPr>
          <w:rFonts w:hint="eastAsia"/>
          <w:color w:val="333333"/>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FBA2C2">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第六条</w:t>
      </w:r>
      <w:r>
        <w:rPr>
          <w:rFonts w:hint="eastAsia"/>
          <w:color w:val="333333"/>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79B7E6">
      <w:pPr>
        <w:pStyle w:val="25"/>
        <w:spacing w:beforeAutospacing="0" w:afterAutospacing="0"/>
        <w:ind w:firstLine="480"/>
        <w:jc w:val="both"/>
        <w:rPr>
          <w:color w:val="333333"/>
          <w:sz w:val="21"/>
          <w:szCs w:val="21"/>
          <w:highlight w:val="none"/>
        </w:rPr>
      </w:pPr>
      <w:r>
        <w:rPr>
          <w:rFonts w:hint="eastAsia"/>
          <w:color w:val="333333"/>
          <w:sz w:val="21"/>
          <w:szCs w:val="21"/>
          <w:highlight w:val="none"/>
        </w:rPr>
        <w:t>符合下列情形之一的，可不专门面向中小企业预留采购份额：</w:t>
      </w:r>
    </w:p>
    <w:p w14:paraId="294A3E06">
      <w:pPr>
        <w:pStyle w:val="25"/>
        <w:spacing w:beforeAutospacing="0" w:afterAutospacing="0"/>
        <w:ind w:firstLine="480"/>
        <w:jc w:val="both"/>
        <w:rPr>
          <w:color w:val="333333"/>
          <w:sz w:val="21"/>
          <w:szCs w:val="21"/>
          <w:highlight w:val="none"/>
        </w:rPr>
      </w:pPr>
      <w:r>
        <w:rPr>
          <w:rFonts w:hint="eastAsia"/>
          <w:color w:val="333333"/>
          <w:sz w:val="21"/>
          <w:szCs w:val="21"/>
          <w:highlight w:val="none"/>
        </w:rPr>
        <w:t>（一）法律法规和国家有关政策明确规定优先或者应当面向事业单位、社会组织等非企业主体采购的；</w:t>
      </w:r>
    </w:p>
    <w:p w14:paraId="4C62ACE8">
      <w:pPr>
        <w:pStyle w:val="25"/>
        <w:spacing w:beforeAutospacing="0" w:afterAutospacing="0"/>
        <w:ind w:firstLine="480"/>
        <w:jc w:val="both"/>
        <w:rPr>
          <w:color w:val="333333"/>
          <w:sz w:val="21"/>
          <w:szCs w:val="21"/>
          <w:highlight w:val="none"/>
        </w:rPr>
      </w:pPr>
      <w:r>
        <w:rPr>
          <w:rFonts w:hint="eastAsia"/>
          <w:color w:val="333333"/>
          <w:sz w:val="21"/>
          <w:szCs w:val="21"/>
          <w:highlight w:val="none"/>
        </w:rPr>
        <w:t>（二）因确需使用不可替代的专利、专有技术，基础设施限制，或者提供特定公共服务等原因，只能从中小企业之外的供应商处采购的；</w:t>
      </w:r>
    </w:p>
    <w:p w14:paraId="78CBA0E5">
      <w:pPr>
        <w:pStyle w:val="25"/>
        <w:spacing w:beforeAutospacing="0" w:afterAutospacing="0"/>
        <w:ind w:firstLine="480"/>
        <w:jc w:val="both"/>
        <w:rPr>
          <w:color w:val="333333"/>
          <w:sz w:val="21"/>
          <w:szCs w:val="21"/>
          <w:highlight w:val="none"/>
        </w:rPr>
      </w:pPr>
      <w:r>
        <w:rPr>
          <w:rFonts w:hint="eastAsia"/>
          <w:color w:val="333333"/>
          <w:sz w:val="21"/>
          <w:szCs w:val="21"/>
          <w:highlight w:val="none"/>
        </w:rPr>
        <w:t>（三）按照本办法规定预留采购份额无法确保充分供应、充分竞争，或者存在可能影响政府采购目标实现的情形；</w:t>
      </w:r>
    </w:p>
    <w:p w14:paraId="13B0BC84">
      <w:pPr>
        <w:pStyle w:val="25"/>
        <w:spacing w:beforeAutospacing="0" w:afterAutospacing="0"/>
        <w:ind w:firstLine="480"/>
        <w:jc w:val="both"/>
        <w:rPr>
          <w:color w:val="333333"/>
          <w:sz w:val="21"/>
          <w:szCs w:val="21"/>
          <w:highlight w:val="none"/>
        </w:rPr>
      </w:pPr>
      <w:r>
        <w:rPr>
          <w:rFonts w:hint="eastAsia"/>
          <w:color w:val="333333"/>
          <w:sz w:val="21"/>
          <w:szCs w:val="21"/>
          <w:highlight w:val="none"/>
        </w:rPr>
        <w:t>（四）框架协议采购项目；</w:t>
      </w:r>
    </w:p>
    <w:p w14:paraId="5E559AEB">
      <w:pPr>
        <w:pStyle w:val="25"/>
        <w:spacing w:beforeAutospacing="0" w:afterAutospacing="0"/>
        <w:ind w:firstLine="480"/>
        <w:jc w:val="both"/>
        <w:rPr>
          <w:color w:val="333333"/>
          <w:sz w:val="21"/>
          <w:szCs w:val="21"/>
          <w:highlight w:val="none"/>
        </w:rPr>
      </w:pPr>
      <w:r>
        <w:rPr>
          <w:rFonts w:hint="eastAsia"/>
          <w:color w:val="333333"/>
          <w:sz w:val="21"/>
          <w:szCs w:val="21"/>
          <w:highlight w:val="none"/>
        </w:rPr>
        <w:t>（五）省级以上人民政府财政部门规定的其他情形。</w:t>
      </w:r>
    </w:p>
    <w:p w14:paraId="166A0C04">
      <w:pPr>
        <w:pStyle w:val="25"/>
        <w:spacing w:beforeAutospacing="0" w:afterAutospacing="0"/>
        <w:ind w:firstLine="480"/>
        <w:jc w:val="both"/>
        <w:rPr>
          <w:color w:val="333333"/>
          <w:sz w:val="21"/>
          <w:szCs w:val="21"/>
          <w:highlight w:val="none"/>
        </w:rPr>
      </w:pPr>
      <w:r>
        <w:rPr>
          <w:rFonts w:hint="eastAsia"/>
          <w:color w:val="333333"/>
          <w:sz w:val="21"/>
          <w:szCs w:val="21"/>
          <w:highlight w:val="none"/>
        </w:rPr>
        <w:t>除上述情形外，其他均为适宜由中小企业提供的情形。</w:t>
      </w:r>
    </w:p>
    <w:p w14:paraId="24A35A4F">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第七条</w:t>
      </w:r>
      <w:r>
        <w:rPr>
          <w:rFonts w:hint="eastAsia"/>
          <w:color w:val="333333"/>
          <w:sz w:val="21"/>
          <w:szCs w:val="21"/>
          <w:highlight w:val="none"/>
        </w:rPr>
        <w:t>　采购限额标准以上，200万元以下的货物和服务采购项目、400万元以下的工程采购项目，适宜由中小企业提供的，采购人应当专门面向中小企业采购。</w:t>
      </w:r>
    </w:p>
    <w:p w14:paraId="4BFF517D">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第八条</w:t>
      </w:r>
      <w:r>
        <w:rPr>
          <w:rFonts w:hint="eastAsia"/>
          <w:color w:val="333333"/>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8C5C315">
      <w:pPr>
        <w:pStyle w:val="25"/>
        <w:spacing w:beforeAutospacing="0" w:afterAutospacing="0"/>
        <w:ind w:firstLine="480"/>
        <w:jc w:val="both"/>
        <w:rPr>
          <w:color w:val="333333"/>
          <w:sz w:val="21"/>
          <w:szCs w:val="21"/>
          <w:highlight w:val="none"/>
        </w:rPr>
      </w:pPr>
      <w:r>
        <w:rPr>
          <w:rFonts w:hint="eastAsia"/>
          <w:color w:val="333333"/>
          <w:sz w:val="21"/>
          <w:szCs w:val="21"/>
          <w:highlight w:val="none"/>
        </w:rPr>
        <w:t>（一）将采购项目整体或者设置采购包专门面向中小企业采购；</w:t>
      </w:r>
    </w:p>
    <w:p w14:paraId="44F566FB">
      <w:pPr>
        <w:pStyle w:val="25"/>
        <w:spacing w:beforeAutospacing="0" w:afterAutospacing="0"/>
        <w:ind w:firstLine="480"/>
        <w:jc w:val="both"/>
        <w:rPr>
          <w:color w:val="333333"/>
          <w:sz w:val="21"/>
          <w:szCs w:val="21"/>
          <w:highlight w:val="none"/>
        </w:rPr>
      </w:pPr>
      <w:r>
        <w:rPr>
          <w:rFonts w:hint="eastAsia"/>
          <w:color w:val="333333"/>
          <w:sz w:val="21"/>
          <w:szCs w:val="21"/>
          <w:highlight w:val="none"/>
        </w:rPr>
        <w:t>（二）要求供应商以联合体形式参加采购活动，且联合体中中小企业承担的部分达到一定比例；</w:t>
      </w:r>
    </w:p>
    <w:p w14:paraId="2DA9BC41">
      <w:pPr>
        <w:pStyle w:val="25"/>
        <w:spacing w:beforeAutospacing="0" w:afterAutospacing="0"/>
        <w:ind w:firstLine="480"/>
        <w:jc w:val="both"/>
        <w:rPr>
          <w:color w:val="333333"/>
          <w:sz w:val="21"/>
          <w:szCs w:val="21"/>
          <w:highlight w:val="none"/>
        </w:rPr>
      </w:pPr>
      <w:r>
        <w:rPr>
          <w:rFonts w:hint="eastAsia"/>
          <w:color w:val="333333"/>
          <w:sz w:val="21"/>
          <w:szCs w:val="21"/>
          <w:highlight w:val="none"/>
        </w:rPr>
        <w:t>（三）要求获得采购合同的供应商将采购项目中的一定比例分包给一家或者多家中小企业。</w:t>
      </w:r>
    </w:p>
    <w:p w14:paraId="7127DE6A">
      <w:pPr>
        <w:pStyle w:val="25"/>
        <w:spacing w:beforeAutospacing="0" w:afterAutospacing="0"/>
        <w:ind w:firstLine="480"/>
        <w:jc w:val="both"/>
        <w:rPr>
          <w:color w:val="333333"/>
          <w:sz w:val="21"/>
          <w:szCs w:val="21"/>
          <w:highlight w:val="none"/>
        </w:rPr>
      </w:pPr>
      <w:r>
        <w:rPr>
          <w:rFonts w:hint="eastAsia"/>
          <w:color w:val="333333"/>
          <w:sz w:val="21"/>
          <w:szCs w:val="21"/>
          <w:highlight w:val="none"/>
        </w:rPr>
        <w:t>组成联合体或者接受分包合同的中小企业与联合体内其他企业、分包企业之间不得存在直接控股、管理关系。</w:t>
      </w:r>
    </w:p>
    <w:p w14:paraId="0296DB2D">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第九条</w:t>
      </w:r>
      <w:r>
        <w:rPr>
          <w:rFonts w:hint="eastAsia"/>
          <w:color w:val="333333"/>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16617">
      <w:pPr>
        <w:pStyle w:val="25"/>
        <w:spacing w:beforeAutospacing="0" w:afterAutospacing="0"/>
        <w:ind w:firstLine="480"/>
        <w:jc w:val="both"/>
        <w:rPr>
          <w:color w:val="333333"/>
          <w:sz w:val="21"/>
          <w:szCs w:val="21"/>
          <w:highlight w:val="none"/>
        </w:rPr>
      </w:pPr>
      <w:r>
        <w:rPr>
          <w:rFonts w:hint="eastAsia"/>
          <w:color w:val="333333"/>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6DCB21A">
      <w:pPr>
        <w:pStyle w:val="25"/>
        <w:spacing w:beforeAutospacing="0" w:afterAutospacing="0"/>
        <w:ind w:firstLine="480"/>
        <w:jc w:val="both"/>
        <w:rPr>
          <w:color w:val="333333"/>
          <w:sz w:val="21"/>
          <w:szCs w:val="21"/>
          <w:highlight w:val="none"/>
        </w:rPr>
      </w:pPr>
      <w:r>
        <w:rPr>
          <w:rFonts w:hint="eastAsia"/>
          <w:color w:val="333333"/>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F52DB8">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第十条</w:t>
      </w:r>
      <w:r>
        <w:rPr>
          <w:rFonts w:hint="eastAsia"/>
          <w:color w:val="333333"/>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012C446">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第十一条</w:t>
      </w:r>
      <w:r>
        <w:rPr>
          <w:rFonts w:hint="eastAsia"/>
          <w:color w:val="333333"/>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6AB5A192">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第十二条</w:t>
      </w:r>
      <w:r>
        <w:rPr>
          <w:rFonts w:hint="eastAsia"/>
          <w:color w:val="333333"/>
          <w:sz w:val="21"/>
          <w:szCs w:val="21"/>
          <w:highlight w:val="none"/>
        </w:rPr>
        <w:t>　采购项目涉及中小企业采购的，采购文件应当明确以下内容：</w:t>
      </w:r>
    </w:p>
    <w:p w14:paraId="7B8D1607">
      <w:pPr>
        <w:pStyle w:val="25"/>
        <w:spacing w:beforeAutospacing="0" w:afterAutospacing="0"/>
        <w:ind w:firstLine="480"/>
        <w:jc w:val="both"/>
        <w:rPr>
          <w:color w:val="333333"/>
          <w:sz w:val="21"/>
          <w:szCs w:val="21"/>
          <w:highlight w:val="none"/>
        </w:rPr>
      </w:pPr>
      <w:r>
        <w:rPr>
          <w:rFonts w:hint="eastAsia"/>
          <w:color w:val="333333"/>
          <w:sz w:val="21"/>
          <w:szCs w:val="21"/>
          <w:highlight w:val="none"/>
        </w:rPr>
        <w:t>（一）预留份额的采购项目或者采购包，明确该项目或相关采购包专门面向中小企业采购，以及相关标的及预算金额；</w:t>
      </w:r>
    </w:p>
    <w:p w14:paraId="38DA5F11">
      <w:pPr>
        <w:pStyle w:val="25"/>
        <w:spacing w:beforeAutospacing="0" w:afterAutospacing="0"/>
        <w:ind w:firstLine="480"/>
        <w:jc w:val="both"/>
        <w:rPr>
          <w:color w:val="333333"/>
          <w:sz w:val="21"/>
          <w:szCs w:val="21"/>
          <w:highlight w:val="none"/>
        </w:rPr>
      </w:pPr>
      <w:r>
        <w:rPr>
          <w:rFonts w:hint="eastAsia"/>
          <w:color w:val="333333"/>
          <w:sz w:val="21"/>
          <w:szCs w:val="21"/>
          <w:highlight w:val="none"/>
        </w:rPr>
        <w:t>（二）要求以联合体形式参加或者合同分包的，明确联合协议或者分包意向协议中中小企业合同金额应当达到的比例，并作为供应商资格条件；</w:t>
      </w:r>
    </w:p>
    <w:p w14:paraId="7810DA4D">
      <w:pPr>
        <w:pStyle w:val="25"/>
        <w:spacing w:beforeAutospacing="0" w:afterAutospacing="0"/>
        <w:ind w:firstLine="480"/>
        <w:jc w:val="both"/>
        <w:rPr>
          <w:color w:val="333333"/>
          <w:sz w:val="21"/>
          <w:szCs w:val="21"/>
          <w:highlight w:val="none"/>
        </w:rPr>
      </w:pPr>
      <w:r>
        <w:rPr>
          <w:rFonts w:hint="eastAsia"/>
          <w:color w:val="333333"/>
          <w:sz w:val="21"/>
          <w:szCs w:val="21"/>
          <w:highlight w:val="none"/>
        </w:rPr>
        <w:t>（三）非预留份额的采购项目或者采购包，明确有关价格扣除比例或者价格分加分比例；</w:t>
      </w:r>
    </w:p>
    <w:p w14:paraId="6CDF7C68">
      <w:pPr>
        <w:pStyle w:val="25"/>
        <w:spacing w:beforeAutospacing="0" w:afterAutospacing="0"/>
        <w:ind w:firstLine="480"/>
        <w:jc w:val="both"/>
        <w:rPr>
          <w:color w:val="333333"/>
          <w:sz w:val="21"/>
          <w:szCs w:val="21"/>
          <w:highlight w:val="none"/>
        </w:rPr>
      </w:pPr>
      <w:r>
        <w:rPr>
          <w:rFonts w:hint="eastAsia"/>
          <w:color w:val="333333"/>
          <w:sz w:val="21"/>
          <w:szCs w:val="21"/>
          <w:highlight w:val="none"/>
        </w:rPr>
        <w:t>（四）规定依据本办法规定享受扶持政策获得政府采购合同的，小微企业不得将合同分包给大中型企业，中型企业不得将合同分包给大型企业；</w:t>
      </w:r>
    </w:p>
    <w:p w14:paraId="2F7A459D">
      <w:pPr>
        <w:pStyle w:val="25"/>
        <w:spacing w:beforeAutospacing="0" w:afterAutospacing="0"/>
        <w:ind w:firstLine="480"/>
        <w:jc w:val="both"/>
        <w:rPr>
          <w:color w:val="333333"/>
          <w:sz w:val="21"/>
          <w:szCs w:val="21"/>
          <w:highlight w:val="none"/>
        </w:rPr>
      </w:pPr>
      <w:r>
        <w:rPr>
          <w:rFonts w:hint="eastAsia"/>
          <w:color w:val="333333"/>
          <w:sz w:val="21"/>
          <w:szCs w:val="21"/>
          <w:highlight w:val="none"/>
        </w:rPr>
        <w:t>（五）采购人认为具备相关条件的，明确对中小企业在资金支付期限、预付款比例等方面的优惠措施；</w:t>
      </w:r>
    </w:p>
    <w:p w14:paraId="2377AAD8">
      <w:pPr>
        <w:pStyle w:val="25"/>
        <w:spacing w:beforeAutospacing="0" w:afterAutospacing="0"/>
        <w:ind w:firstLine="480"/>
        <w:jc w:val="both"/>
        <w:rPr>
          <w:color w:val="333333"/>
          <w:sz w:val="21"/>
          <w:szCs w:val="21"/>
          <w:highlight w:val="none"/>
        </w:rPr>
      </w:pPr>
      <w:r>
        <w:rPr>
          <w:rFonts w:hint="eastAsia"/>
          <w:color w:val="333333"/>
          <w:sz w:val="21"/>
          <w:szCs w:val="21"/>
          <w:highlight w:val="none"/>
        </w:rPr>
        <w:t>（六）明确采购标的对应的中小企业划分标准所属行业；</w:t>
      </w:r>
    </w:p>
    <w:p w14:paraId="6183C453">
      <w:pPr>
        <w:pStyle w:val="25"/>
        <w:spacing w:beforeAutospacing="0" w:afterAutospacing="0"/>
        <w:ind w:firstLine="480"/>
        <w:jc w:val="both"/>
        <w:rPr>
          <w:color w:val="333333"/>
          <w:sz w:val="21"/>
          <w:szCs w:val="21"/>
          <w:highlight w:val="none"/>
        </w:rPr>
      </w:pPr>
      <w:r>
        <w:rPr>
          <w:rFonts w:hint="eastAsia"/>
          <w:color w:val="333333"/>
          <w:sz w:val="21"/>
          <w:szCs w:val="21"/>
          <w:highlight w:val="none"/>
        </w:rPr>
        <w:t>（七）法律法规和省级以上人民政府财政部门规定的其他事项。</w:t>
      </w:r>
    </w:p>
    <w:p w14:paraId="1164F23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第十三条</w:t>
      </w:r>
      <w:r>
        <w:rPr>
          <w:rFonts w:hint="eastAsia"/>
          <w:color w:val="333333"/>
          <w:sz w:val="21"/>
          <w:szCs w:val="21"/>
          <w:highlight w:val="none"/>
        </w:rPr>
        <w:t>　中标、成交供应商享受本办法规定的中小企业扶持政策的，采购人、采购代理机构应当随中标、成交结果公开中标、成交供应商的《中小企业声明函》。</w:t>
      </w:r>
    </w:p>
    <w:p w14:paraId="01127C95">
      <w:pPr>
        <w:pStyle w:val="25"/>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适用招标投标法的政府采购工程建设项目，应当在公示中标候选人时公开中标候选人的《中小企业声明函》。</w:t>
      </w:r>
    </w:p>
    <w:p w14:paraId="56EB3F4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第十四条</w:t>
      </w:r>
      <w:r>
        <w:rPr>
          <w:rFonts w:hint="eastAsia"/>
          <w:color w:val="333333"/>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4187FB">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第十五条</w:t>
      </w:r>
      <w:r>
        <w:rPr>
          <w:rFonts w:hint="eastAsia"/>
          <w:color w:val="333333"/>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74E6021A">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第十六条</w:t>
      </w:r>
      <w:r>
        <w:rPr>
          <w:rFonts w:hint="eastAsia"/>
          <w:color w:val="333333"/>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59FEEA36">
      <w:pPr>
        <w:pStyle w:val="25"/>
        <w:spacing w:beforeAutospacing="0" w:afterAutospacing="0"/>
        <w:ind w:firstLine="480"/>
        <w:jc w:val="both"/>
        <w:rPr>
          <w:color w:val="333333"/>
          <w:sz w:val="21"/>
          <w:szCs w:val="21"/>
          <w:highlight w:val="none"/>
        </w:rPr>
      </w:pPr>
      <w:r>
        <w:rPr>
          <w:rFonts w:hint="eastAsia"/>
          <w:color w:val="333333"/>
          <w:sz w:val="21"/>
          <w:szCs w:val="21"/>
          <w:highlight w:val="none"/>
        </w:rPr>
        <w:t>中小企业主管部门应当在收到财政部门或者有关招标投标行政监督部门关于协助开展中小企业认定函后10个工作日内做出书面答复。</w:t>
      </w:r>
    </w:p>
    <w:p w14:paraId="0384322D">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第十七条</w:t>
      </w:r>
      <w:r>
        <w:rPr>
          <w:rFonts w:hint="eastAsia"/>
          <w:color w:val="333333"/>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FC2EABF">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第十八条</w:t>
      </w:r>
      <w:r>
        <w:rPr>
          <w:rFonts w:hint="eastAsia"/>
          <w:color w:val="333333"/>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A86950">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第十九条</w:t>
      </w:r>
      <w:r>
        <w:rPr>
          <w:rFonts w:hint="eastAsia"/>
          <w:color w:val="333333"/>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5B2D5C">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第二十条</w:t>
      </w:r>
      <w:r>
        <w:rPr>
          <w:rFonts w:hint="eastAsia"/>
          <w:color w:val="333333"/>
          <w:sz w:val="21"/>
          <w:szCs w:val="21"/>
          <w:highlight w:val="none"/>
        </w:rPr>
        <w:t>　供应商按照本办法规定提供声明函内容不实的，属于提供虚假材料谋取中标、成交，依照《中华人民共和国政府采购法》等国家有关规定追究相应责任。</w:t>
      </w:r>
    </w:p>
    <w:p w14:paraId="298BC554">
      <w:pPr>
        <w:pStyle w:val="25"/>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300DCDB4">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第二十一条</w:t>
      </w:r>
      <w:r>
        <w:rPr>
          <w:rFonts w:hint="eastAsia"/>
          <w:color w:val="333333"/>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BD0B516">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第二十二条</w:t>
      </w:r>
      <w:r>
        <w:rPr>
          <w:rFonts w:hint="eastAsia"/>
          <w:color w:val="333333"/>
          <w:sz w:val="21"/>
          <w:szCs w:val="21"/>
          <w:highlight w:val="none"/>
        </w:rPr>
        <w:t>　对外援助项目、国家相关资格或者资质管理制度另有规定的项目，不适用本办法。</w:t>
      </w:r>
    </w:p>
    <w:p w14:paraId="67FF1055">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第二十三条</w:t>
      </w:r>
      <w:r>
        <w:rPr>
          <w:rFonts w:hint="eastAsia"/>
          <w:color w:val="333333"/>
          <w:sz w:val="21"/>
          <w:szCs w:val="21"/>
          <w:highlight w:val="none"/>
        </w:rPr>
        <w:t>　关于视同中小企业的其他主体的政府采购扶持政策，由财政部会同有关部门另行规定。</w:t>
      </w:r>
    </w:p>
    <w:p w14:paraId="3210CE60">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第二十四条</w:t>
      </w:r>
      <w:r>
        <w:rPr>
          <w:rFonts w:hint="eastAsia"/>
          <w:color w:val="333333"/>
          <w:sz w:val="21"/>
          <w:szCs w:val="21"/>
          <w:highlight w:val="none"/>
        </w:rPr>
        <w:t>　省级财政部门可以会同中小企业主管部门根据本办法的规定制定具体实施办法。</w:t>
      </w:r>
    </w:p>
    <w:p w14:paraId="3B239619">
      <w:pPr>
        <w:pStyle w:val="25"/>
        <w:spacing w:beforeAutospacing="0" w:afterAutospacing="0"/>
        <w:ind w:firstLine="480"/>
        <w:jc w:val="both"/>
        <w:rPr>
          <w:color w:val="333333"/>
          <w:sz w:val="21"/>
          <w:szCs w:val="21"/>
          <w:highlight w:val="none"/>
        </w:rPr>
      </w:pPr>
      <w:r>
        <w:rPr>
          <w:rFonts w:hint="eastAsia"/>
          <w:b/>
          <w:bCs/>
          <w:color w:val="333333"/>
          <w:sz w:val="21"/>
          <w:szCs w:val="21"/>
          <w:highlight w:val="none"/>
        </w:rPr>
        <w:t>第二十五条</w:t>
      </w:r>
      <w:r>
        <w:rPr>
          <w:rFonts w:hint="eastAsia"/>
          <w:color w:val="333333"/>
          <w:sz w:val="21"/>
          <w:szCs w:val="21"/>
          <w:highlight w:val="none"/>
        </w:rPr>
        <w:t>　本办法自2021年1月1日起施行。《财政部 工业和信息化部关于印发〈政府采购促进中小企业发展暂行办法〉的通知》（财库〔2011〕181号）同时废止。</w:t>
      </w:r>
    </w:p>
    <w:p w14:paraId="40375D06">
      <w:pPr>
        <w:pStyle w:val="25"/>
        <w:spacing w:beforeAutospacing="0" w:afterAutospacing="0"/>
        <w:ind w:firstLine="480"/>
        <w:jc w:val="both"/>
        <w:rPr>
          <w:color w:val="333333"/>
          <w:sz w:val="21"/>
          <w:szCs w:val="21"/>
          <w:highlight w:val="none"/>
        </w:rPr>
      </w:pPr>
    </w:p>
    <w:p w14:paraId="35107E05">
      <w:pPr>
        <w:rPr>
          <w:rFonts w:ascii="宋体" w:hAnsi="宋体"/>
          <w:highlight w:val="none"/>
        </w:rPr>
      </w:pPr>
    </w:p>
    <w:p w14:paraId="493731B3">
      <w:pPr>
        <w:pStyle w:val="9"/>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sectPr>
          <w:pgSz w:w="11906" w:h="16838"/>
          <w:pgMar w:top="1440" w:right="1489" w:bottom="1440" w:left="1797" w:header="851" w:footer="992" w:gutter="0"/>
          <w:cols w:space="720" w:num="1"/>
          <w:titlePg/>
          <w:docGrid w:type="lines" w:linePitch="312" w:charSpace="0"/>
        </w:sectPr>
      </w:pPr>
      <w:bookmarkStart w:id="6" w:name="_Toc73613645"/>
      <w:bookmarkStart w:id="7" w:name="_Toc73610163"/>
    </w:p>
    <w:p w14:paraId="6804FADF">
      <w:pPr>
        <w:pStyle w:val="9"/>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pPr>
      <w:r>
        <w:rPr>
          <w:rFonts w:hint="eastAsia" w:ascii="方正小标宋_GBK" w:hAnsi="方正小标宋_GBK" w:eastAsia="方正小标宋_GBK" w:cs="方正小标宋_GBK"/>
          <w:b/>
          <w:highlight w:val="none"/>
        </w:rPr>
        <w:t>二、关于印发中小企业划型标准规定的通知</w:t>
      </w:r>
      <w:bookmarkEnd w:id="6"/>
      <w:bookmarkEnd w:id="7"/>
    </w:p>
    <w:p w14:paraId="3D40C9AD">
      <w:pPr>
        <w:pStyle w:val="25"/>
        <w:spacing w:beforeAutospacing="0" w:afterAutospacing="0"/>
        <w:ind w:firstLine="5670" w:firstLineChars="2700"/>
        <w:jc w:val="both"/>
        <w:rPr>
          <w:color w:val="000000"/>
          <w:sz w:val="21"/>
          <w:szCs w:val="21"/>
          <w:highlight w:val="none"/>
        </w:rPr>
      </w:pPr>
      <w:r>
        <w:rPr>
          <w:rFonts w:hint="eastAsia"/>
          <w:color w:val="000000"/>
          <w:sz w:val="21"/>
          <w:szCs w:val="21"/>
          <w:highlight w:val="none"/>
        </w:rPr>
        <w:t>工信部联企业〔2011〕300号</w:t>
      </w:r>
    </w:p>
    <w:p w14:paraId="181420BD">
      <w:pPr>
        <w:pStyle w:val="25"/>
        <w:spacing w:beforeAutospacing="0" w:afterAutospacing="0"/>
        <w:jc w:val="both"/>
        <w:rPr>
          <w:color w:val="000000"/>
          <w:sz w:val="21"/>
          <w:szCs w:val="21"/>
          <w:highlight w:val="none"/>
        </w:rPr>
      </w:pPr>
      <w:r>
        <w:rPr>
          <w:rFonts w:hint="eastAsia"/>
          <w:color w:val="000000"/>
          <w:sz w:val="21"/>
          <w:szCs w:val="21"/>
          <w:highlight w:val="none"/>
        </w:rPr>
        <w:t>各省、自治区、直辖市人民政府，国务院各部委、各直属机构及有关单位：</w:t>
      </w:r>
    </w:p>
    <w:p w14:paraId="70237B57">
      <w:pPr>
        <w:pStyle w:val="25"/>
        <w:spacing w:beforeAutospacing="0" w:afterAutospacing="0"/>
        <w:jc w:val="both"/>
        <w:rPr>
          <w:color w:val="000000"/>
          <w:sz w:val="21"/>
          <w:szCs w:val="21"/>
          <w:highlight w:val="none"/>
        </w:rPr>
      </w:pPr>
      <w:r>
        <w:rPr>
          <w:rFonts w:hint="eastAsia"/>
          <w:color w:val="00000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D15633">
      <w:pPr>
        <w:pStyle w:val="25"/>
        <w:spacing w:beforeAutospacing="0" w:afterAutospacing="0"/>
        <w:jc w:val="both"/>
        <w:rPr>
          <w:color w:val="000000"/>
          <w:sz w:val="21"/>
          <w:szCs w:val="21"/>
          <w:highlight w:val="none"/>
        </w:rPr>
      </w:pPr>
      <w:r>
        <w:rPr>
          <w:rFonts w:hint="eastAsia"/>
          <w:color w:val="000000"/>
          <w:sz w:val="21"/>
          <w:szCs w:val="21"/>
          <w:highlight w:val="none"/>
        </w:rPr>
        <w:t>　　　　　　　　　　　　　　　　　　　　　工业和信息化部　国家统计局</w:t>
      </w:r>
    </w:p>
    <w:p w14:paraId="692C4B58">
      <w:pPr>
        <w:pStyle w:val="25"/>
        <w:spacing w:beforeAutospacing="0" w:afterAutospacing="0"/>
        <w:jc w:val="both"/>
        <w:rPr>
          <w:color w:val="000000"/>
          <w:sz w:val="21"/>
          <w:szCs w:val="21"/>
          <w:highlight w:val="none"/>
        </w:rPr>
      </w:pPr>
      <w:r>
        <w:rPr>
          <w:rFonts w:hint="eastAsia"/>
          <w:color w:val="000000"/>
          <w:sz w:val="21"/>
          <w:szCs w:val="21"/>
          <w:highlight w:val="none"/>
        </w:rPr>
        <w:t>　　　　　　　　　　　　　　　　　　　　国家发展和改革委员会　财政部</w:t>
      </w:r>
    </w:p>
    <w:p w14:paraId="331307DA">
      <w:pPr>
        <w:pStyle w:val="25"/>
        <w:spacing w:beforeAutospacing="0" w:afterAutospacing="0"/>
        <w:jc w:val="both"/>
        <w:rPr>
          <w:color w:val="000000"/>
          <w:sz w:val="21"/>
          <w:szCs w:val="21"/>
          <w:highlight w:val="none"/>
        </w:rPr>
      </w:pPr>
      <w:r>
        <w:rPr>
          <w:rFonts w:hint="eastAsia"/>
          <w:color w:val="000000"/>
          <w:sz w:val="21"/>
          <w:szCs w:val="21"/>
          <w:highlight w:val="none"/>
        </w:rPr>
        <w:t>　　　　　　　　　　　　　　　　　　　　　　　　二○一一年六月十八日</w:t>
      </w:r>
    </w:p>
    <w:p w14:paraId="3290A7B6">
      <w:pPr>
        <w:pStyle w:val="25"/>
        <w:spacing w:beforeAutospacing="0" w:afterAutospacing="0"/>
        <w:jc w:val="center"/>
        <w:rPr>
          <w:rFonts w:ascii="方正小标宋_GBK" w:hAnsi="方正小标宋_GBK" w:eastAsia="方正小标宋_GBK" w:cs="方正小标宋_GBK"/>
          <w:color w:val="000000"/>
          <w:highlight w:val="none"/>
        </w:rPr>
      </w:pPr>
      <w:r>
        <w:rPr>
          <w:rStyle w:val="30"/>
          <w:rFonts w:hint="eastAsia" w:ascii="方正小标宋_GBK" w:hAnsi="方正小标宋_GBK" w:eastAsia="方正小标宋_GBK" w:cs="方正小标宋_GBK"/>
          <w:color w:val="000000"/>
          <w:highlight w:val="none"/>
        </w:rPr>
        <w:t>中小企业划型标准规定</w:t>
      </w:r>
    </w:p>
    <w:p w14:paraId="36057BCD">
      <w:pPr>
        <w:pStyle w:val="25"/>
        <w:spacing w:beforeAutospacing="0" w:afterAutospacing="0"/>
        <w:jc w:val="both"/>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5D2FC9CC">
      <w:pPr>
        <w:pStyle w:val="25"/>
        <w:spacing w:beforeAutospacing="0" w:afterAutospacing="0"/>
        <w:jc w:val="both"/>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0252218E">
      <w:pPr>
        <w:pStyle w:val="25"/>
        <w:spacing w:beforeAutospacing="0" w:afterAutospacing="0"/>
        <w:jc w:val="both"/>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69BABE">
      <w:pPr>
        <w:pStyle w:val="25"/>
        <w:spacing w:beforeAutospacing="0" w:afterAutospacing="0"/>
        <w:jc w:val="both"/>
        <w:rPr>
          <w:color w:val="000000"/>
          <w:sz w:val="21"/>
          <w:szCs w:val="21"/>
          <w:highlight w:val="none"/>
        </w:rPr>
      </w:pPr>
      <w:r>
        <w:rPr>
          <w:rFonts w:hint="eastAsia"/>
          <w:color w:val="000000"/>
          <w:sz w:val="21"/>
          <w:szCs w:val="21"/>
          <w:highlight w:val="none"/>
        </w:rPr>
        <w:t>　　四、各行业划型标准为：</w:t>
      </w:r>
    </w:p>
    <w:p w14:paraId="0B853347">
      <w:pPr>
        <w:pStyle w:val="25"/>
        <w:spacing w:beforeAutospacing="0" w:afterAutospacing="0"/>
        <w:jc w:val="both"/>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30A8661">
      <w:pPr>
        <w:pStyle w:val="25"/>
        <w:spacing w:beforeAutospacing="0" w:afterAutospacing="0"/>
        <w:jc w:val="both"/>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31EA99">
      <w:pPr>
        <w:pStyle w:val="25"/>
        <w:spacing w:beforeAutospacing="0" w:afterAutospacing="0"/>
        <w:jc w:val="both"/>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C6DC">
      <w:pPr>
        <w:pStyle w:val="25"/>
        <w:spacing w:beforeAutospacing="0" w:afterAutospacing="0"/>
        <w:jc w:val="both"/>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90C4FA">
      <w:pPr>
        <w:pStyle w:val="25"/>
        <w:spacing w:beforeAutospacing="0" w:afterAutospacing="0"/>
        <w:jc w:val="both"/>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4F1050">
      <w:pPr>
        <w:pStyle w:val="25"/>
        <w:spacing w:beforeAutospacing="0" w:afterAutospacing="0"/>
        <w:jc w:val="both"/>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393">
      <w:pPr>
        <w:pStyle w:val="25"/>
        <w:spacing w:beforeAutospacing="0" w:afterAutospacing="0"/>
        <w:jc w:val="both"/>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DA982">
      <w:pPr>
        <w:pStyle w:val="25"/>
        <w:spacing w:beforeAutospacing="0" w:afterAutospacing="0"/>
        <w:jc w:val="both"/>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4CF66C">
      <w:pPr>
        <w:pStyle w:val="25"/>
        <w:spacing w:beforeAutospacing="0" w:afterAutospacing="0"/>
        <w:jc w:val="both"/>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EF1A9D">
      <w:pPr>
        <w:pStyle w:val="25"/>
        <w:spacing w:beforeAutospacing="0" w:afterAutospacing="0"/>
        <w:jc w:val="both"/>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FCEF24">
      <w:pPr>
        <w:pStyle w:val="25"/>
        <w:spacing w:beforeAutospacing="0" w:afterAutospacing="0"/>
        <w:jc w:val="both"/>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7715DD">
      <w:pPr>
        <w:pStyle w:val="25"/>
        <w:spacing w:beforeAutospacing="0" w:afterAutospacing="0"/>
        <w:jc w:val="both"/>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1AE415">
      <w:pPr>
        <w:pStyle w:val="25"/>
        <w:spacing w:beforeAutospacing="0" w:afterAutospacing="0"/>
        <w:jc w:val="both"/>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D548B7">
      <w:pPr>
        <w:pStyle w:val="25"/>
        <w:spacing w:beforeAutospacing="0" w:afterAutospacing="0"/>
        <w:jc w:val="both"/>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51126F">
      <w:pPr>
        <w:pStyle w:val="25"/>
        <w:spacing w:beforeAutospacing="0" w:afterAutospacing="0"/>
        <w:jc w:val="both"/>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6301EF">
      <w:pPr>
        <w:pStyle w:val="25"/>
        <w:spacing w:beforeAutospacing="0" w:afterAutospacing="0"/>
        <w:jc w:val="both"/>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95EF85F">
      <w:pPr>
        <w:pStyle w:val="25"/>
        <w:spacing w:beforeAutospacing="0" w:afterAutospacing="0"/>
        <w:jc w:val="both"/>
        <w:rPr>
          <w:color w:val="000000"/>
          <w:sz w:val="21"/>
          <w:szCs w:val="21"/>
          <w:highlight w:val="none"/>
        </w:rPr>
      </w:pPr>
      <w:r>
        <w:rPr>
          <w:rFonts w:hint="eastAsia"/>
          <w:color w:val="000000"/>
          <w:sz w:val="21"/>
          <w:szCs w:val="21"/>
          <w:highlight w:val="none"/>
        </w:rPr>
        <w:t>　　五、企业类型的划分以统计部门的统计数据为依据。</w:t>
      </w:r>
    </w:p>
    <w:p w14:paraId="68F850FE">
      <w:pPr>
        <w:pStyle w:val="25"/>
        <w:spacing w:beforeAutospacing="0" w:afterAutospacing="0"/>
        <w:jc w:val="both"/>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4C0552E6">
      <w:pPr>
        <w:pStyle w:val="25"/>
        <w:spacing w:beforeAutospacing="0" w:afterAutospacing="0"/>
        <w:jc w:val="both"/>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2CC9824">
      <w:pPr>
        <w:pStyle w:val="25"/>
        <w:spacing w:beforeAutospacing="0" w:afterAutospacing="0"/>
        <w:jc w:val="both"/>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0857589F">
      <w:pPr>
        <w:pStyle w:val="25"/>
        <w:spacing w:beforeAutospacing="0" w:afterAutospacing="0"/>
        <w:jc w:val="both"/>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4FF314A3">
      <w:pPr>
        <w:pStyle w:val="25"/>
        <w:spacing w:beforeAutospacing="0" w:afterAutospacing="0"/>
        <w:jc w:val="both"/>
        <w:rPr>
          <w:rFonts w:hint="eastAsia" w:ascii="方正小标宋_GBK" w:hAnsi="方正小标宋_GBK" w:eastAsia="宋体" w:cs="方正小标宋_GBK"/>
          <w:b/>
          <w:highlight w:val="none"/>
          <w:lang w:eastAsia="zh-CN"/>
        </w:rPr>
        <w:sectPr>
          <w:pgSz w:w="11906" w:h="16838"/>
          <w:pgMar w:top="1440" w:right="1489" w:bottom="1440" w:left="1797" w:header="851" w:footer="992" w:gutter="0"/>
          <w:cols w:space="720" w:num="1"/>
          <w:titlePg/>
          <w:docGrid w:type="lines" w:linePitch="312" w:charSpace="0"/>
        </w:sectPr>
      </w:pPr>
      <w:r>
        <w:rPr>
          <w:rFonts w:hint="eastAsia"/>
          <w:color w:val="000000"/>
          <w:sz w:val="21"/>
          <w:szCs w:val="21"/>
          <w:highlight w:val="none"/>
        </w:rPr>
        <w:t>　　十、本规定自发布之日起执行，原国家经贸委、原国家计委、财政部和国家统计局2003年颁布的《中小企业标准暂行规定》同时废止</w:t>
      </w:r>
      <w:bookmarkStart w:id="8" w:name="_Toc73610164"/>
      <w:bookmarkStart w:id="9" w:name="_Toc73613646"/>
      <w:r>
        <w:rPr>
          <w:rFonts w:hint="eastAsia"/>
          <w:color w:val="000000"/>
          <w:sz w:val="21"/>
          <w:szCs w:val="21"/>
          <w:highlight w:val="none"/>
          <w:lang w:eastAsia="zh-CN"/>
        </w:rPr>
        <w:t>。</w:t>
      </w:r>
    </w:p>
    <w:bookmarkEnd w:id="8"/>
    <w:bookmarkEnd w:id="9"/>
    <w:p w14:paraId="264B9351">
      <w:pPr>
        <w:rPr>
          <w:highlight w:val="none"/>
        </w:rPr>
      </w:pPr>
    </w:p>
    <w:sectPr>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406CF12-14E0-4F6E-B9BD-40A71406D53D}"/>
  </w:font>
  <w:font w:name="仿宋">
    <w:panose1 w:val="02010609060101010101"/>
    <w:charset w:val="86"/>
    <w:family w:val="modern"/>
    <w:pitch w:val="default"/>
    <w:sig w:usb0="800002BF" w:usb1="38CF7CFA" w:usb2="00000016" w:usb3="00000000" w:csb0="00040001" w:csb1="00000000"/>
    <w:embedRegular r:id="rId2" w:fontKey="{F1F3F5D4-BD37-4001-933C-87E729B89D15}"/>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3" w:fontKey="{323F9350-82D7-4E7C-9959-377E84BBC1DA}"/>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70A6250F-FE0D-49EB-A38D-05754A16A695}"/>
  </w:font>
  <w:font w:name="Segoe UI">
    <w:panose1 w:val="020B0502040204020203"/>
    <w:charset w:val="00"/>
    <w:family w:val="swiss"/>
    <w:pitch w:val="default"/>
    <w:sig w:usb0="E4002EFF" w:usb1="C000E47F" w:usb2="00000009" w:usb3="00000000" w:csb0="200001FF" w:csb1="00000000"/>
    <w:embedRegular r:id="rId5" w:fontKey="{DF62292D-E8EB-4F45-9A68-67EB62B78DA1}"/>
  </w:font>
  <w:font w:name="方正小标宋_GBK">
    <w:panose1 w:val="02000000000000000000"/>
    <w:charset w:val="86"/>
    <w:family w:val="auto"/>
    <w:pitch w:val="default"/>
    <w:sig w:usb0="A00002BF" w:usb1="38CF7CFA" w:usb2="00082016" w:usb3="00000000" w:csb0="00040001" w:csb1="00000000"/>
    <w:embedRegular r:id="rId6" w:fontKey="{EECDED93-BA15-47EE-9566-29A223E741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25EE">
    <w:pPr>
      <w:pStyle w:val="20"/>
      <w:jc w:val="both"/>
    </w:pPr>
  </w:p>
  <w:p w14:paraId="01D7B163">
    <w:pPr>
      <w:pStyle w:val="2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FAF05">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771FAF05">
                    <w:pPr>
                      <w:pStyle w:val="20"/>
                    </w:pPr>
                  </w:p>
                </w:txbxContent>
              </v:textbox>
            </v:shape>
          </w:pict>
        </mc:Fallback>
      </mc:AlternateContent>
    </w:r>
  </w:p>
  <w:p w14:paraId="29BBD939">
    <w:pPr>
      <w:pStyle w:val="2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98D3">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EC92">
                          <w:pPr>
                            <w:pStyle w:val="20"/>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D84EC92">
                    <w:pPr>
                      <w:pStyle w:val="20"/>
                    </w:pPr>
                    <w:r>
                      <w:fldChar w:fldCharType="begin"/>
                    </w:r>
                    <w:r>
                      <w:instrText xml:space="preserve"> PAGE  \* MERGEFORMAT </w:instrText>
                    </w:r>
                    <w:r>
                      <w:fldChar w:fldCharType="separate"/>
                    </w:r>
                    <w:r>
                      <w:t>94</w:t>
                    </w:r>
                    <w:r>
                      <w:fldChar w:fldCharType="end"/>
                    </w:r>
                  </w:p>
                </w:txbxContent>
              </v:textbox>
            </v:shape>
          </w:pict>
        </mc:Fallback>
      </mc:AlternateContent>
    </w:r>
  </w:p>
  <w:p w14:paraId="1C87533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3F4">
    <w:pPr>
      <w:pStyle w:val="20"/>
      <w:framePr w:wrap="around" w:vAnchor="text" w:hAnchor="margin" w:xAlign="center" w:y="1"/>
      <w:rPr>
        <w:rStyle w:val="31"/>
      </w:rPr>
    </w:pPr>
    <w:r>
      <w:fldChar w:fldCharType="begin"/>
    </w:r>
    <w:r>
      <w:rPr>
        <w:rStyle w:val="31"/>
      </w:rPr>
      <w:instrText xml:space="preserve">PAGE  </w:instrText>
    </w:r>
    <w:r>
      <w:fldChar w:fldCharType="end"/>
    </w:r>
  </w:p>
  <w:p w14:paraId="67EC5FF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2D6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E1C6">
    <w:pPr>
      <w:pStyle w:val="20"/>
      <w:jc w:val="both"/>
    </w:pPr>
  </w:p>
  <w:p w14:paraId="685E6A07">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B85B0C">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37B85B0C">
                    <w:pPr>
                      <w:pStyle w:val="20"/>
                    </w:pPr>
                  </w:p>
                </w:txbxContent>
              </v:textbox>
            </v:shape>
          </w:pict>
        </mc:Fallback>
      </mc:AlternateContent>
    </w:r>
  </w:p>
  <w:p w14:paraId="17EFAB12">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758">
    <w:pPr>
      <w:pStyle w:val="13"/>
      <w:spacing w:line="14" w:lineRule="auto"/>
      <w:rPr>
        <w:sz w:val="20"/>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0518">
                          <w:pPr>
                            <w:pStyle w:val="2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40518">
                    <w:pPr>
                      <w:pStyle w:val="20"/>
                    </w:pPr>
                    <w:r>
                      <w:fldChar w:fldCharType="begin"/>
                    </w:r>
                    <w:r>
                      <w:instrText xml:space="preserve"> PAGE  \* MERGEFORMAT </w:instrText>
                    </w:r>
                    <w:r>
                      <w:fldChar w:fldCharType="separate"/>
                    </w:r>
                    <w:r>
                      <w:t>13</w:t>
                    </w:r>
                    <w:r>
                      <w:fldChar w:fldCharType="end"/>
                    </w:r>
                  </w:p>
                </w:txbxContent>
              </v:textbox>
            </v:shape>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3120;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R2+JJvwEAAIADAAAOAAAAAAAAAAEAIAAAACgBAABkcnMvZTJvRG9j&#10;LnhtbFBLBQYAAAAABgAGAFkBAABZBQAAAAA=&#10;">
              <v:fill on="f" focussize="0,0"/>
              <v:stroke on="f"/>
              <v:imagedata o:title=""/>
              <o:lock v:ext="edit" aspectratio="f"/>
              <v:textbox inset="0mm,0mm,0mm,0mm">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127">
    <w:pPr>
      <w:pStyle w:val="13"/>
      <w:spacing w:line="14" w:lineRule="auto"/>
      <w:rPr>
        <w:sz w:val="20"/>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5FF5">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C75FF5">
                    <w:pPr>
                      <w:pStyle w:val="20"/>
                    </w:pPr>
                    <w:r>
                      <w:fldChar w:fldCharType="begin"/>
                    </w:r>
                    <w:r>
                      <w:instrText xml:space="preserve"> PAGE  \* MERGEFORMAT </w:instrText>
                    </w:r>
                    <w:r>
                      <w:fldChar w:fldCharType="separate"/>
                    </w:r>
                    <w:r>
                      <w:t>52</w:t>
                    </w:r>
                    <w:r>
                      <w:fldChar w:fldCharType="end"/>
                    </w: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gwAv7vwEAAIADAAAOAAAAAAAAAAEAIAAAACgBAABkcnMvZTJvRG9j&#10;LnhtbFBLBQYAAAAABgAGAFkBAABZBQAAAAA=&#10;">
              <v:fill on="f" focussize="0,0"/>
              <v:stroke on="f"/>
              <v:imagedata o:title=""/>
              <o:lock v:ext="edit" aspectratio="f"/>
              <v:textbox inset="0mm,0mm,0mm,0mm">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w:rPr>
        <w:lang w:val="en-US"/>
      </w:rP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31E87D">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Mf88Nb8BAACAAwAADgAAAAAAAAABACAAAAApAQAAZHJzL2Uyb0Rv&#10;Yy54bWxQSwUGAAAAAAYABgBZAQAAWgUAAAAA&#10;">
              <v:fill on="f" focussize="0,0"/>
              <v:stroke on="f"/>
              <v:imagedata o:title=""/>
              <o:lock v:ext="edit" aspectratio="f"/>
              <v:textbox inset="0mm,0mm,0mm,0mm">
                <w:txbxContent>
                  <w:p w14:paraId="1C31E87D">
                    <w:pPr>
                      <w:spacing w:line="220" w:lineRule="exact"/>
                      <w:ind w:left="20"/>
                      <w:jc w:val="left"/>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B00">
    <w:pPr>
      <w:spacing w:line="189" w:lineRule="auto"/>
      <w:ind w:left="4124"/>
      <w:rPr>
        <w:rFonts w:ascii="Calibri" w:hAnsi="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B81E8">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FB81E8">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B6A">
    <w:pPr>
      <w:pStyle w:val="20"/>
      <w:ind w:right="360"/>
      <w:jc w:val="right"/>
      <w:rPr>
        <w:i/>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5C72">
                          <w:pPr>
                            <w:pStyle w:val="2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265C72">
                    <w:pPr>
                      <w:pStyle w:val="20"/>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BCC1">
    <w:pPr>
      <w:pStyle w:val="20"/>
      <w:framePr w:wrap="around" w:vAnchor="text" w:hAnchor="margin" w:xAlign="center" w:y="1"/>
      <w:rPr>
        <w:rStyle w:val="31"/>
      </w:rPr>
    </w:pPr>
    <w:r>
      <w:fldChar w:fldCharType="begin"/>
    </w:r>
    <w:r>
      <w:rPr>
        <w:rStyle w:val="31"/>
      </w:rPr>
      <w:instrText xml:space="preserve">PAGE  </w:instrText>
    </w:r>
    <w:r>
      <w:fldChar w:fldCharType="end"/>
    </w:r>
  </w:p>
  <w:p w14:paraId="05D6CE24">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F74">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3BB1">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19"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7D593648">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96C0">
    <w:pPr>
      <w:pStyle w:val="21"/>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0"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宋体" w:hAnsi="宋体"/>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403063E5">
    <w:pPr>
      <w:pStyle w:val="21"/>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C6BCAB69"/>
    <w:multiLevelType w:val="singleLevel"/>
    <w:tmpl w:val="C6BCAB69"/>
    <w:lvl w:ilvl="0" w:tentative="0">
      <w:start w:val="2"/>
      <w:numFmt w:val="decimal"/>
      <w:lvlText w:val="%1."/>
      <w:lvlJc w:val="left"/>
      <w:pPr>
        <w:tabs>
          <w:tab w:val="left" w:pos="312"/>
        </w:tabs>
      </w:pPr>
    </w:lvl>
  </w:abstractNum>
  <w:abstractNum w:abstractNumId="3">
    <w:nsid w:val="CC68EA73"/>
    <w:multiLevelType w:val="singleLevel"/>
    <w:tmpl w:val="CC68EA73"/>
    <w:lvl w:ilvl="0" w:tentative="0">
      <w:start w:val="4"/>
      <w:numFmt w:val="chineseCounting"/>
      <w:suff w:val="nothing"/>
      <w:lvlText w:val="%1、"/>
      <w:lvlJc w:val="left"/>
      <w:rPr>
        <w:rFonts w:hint="eastAsia"/>
      </w:rPr>
    </w:lvl>
  </w:abstractNum>
  <w:abstractNum w:abstractNumId="4">
    <w:nsid w:val="E0738844"/>
    <w:multiLevelType w:val="singleLevel"/>
    <w:tmpl w:val="E0738844"/>
    <w:lvl w:ilvl="0" w:tentative="0">
      <w:start w:val="3"/>
      <w:numFmt w:val="chineseCounting"/>
      <w:suff w:val="space"/>
      <w:lvlText w:val="第%1部分"/>
      <w:lvlJc w:val="left"/>
      <w:rPr>
        <w:rFonts w:hint="eastAsia"/>
      </w:rPr>
    </w:lvl>
  </w:abstractNum>
  <w:abstractNum w:abstractNumId="5">
    <w:nsid w:val="F51DDDDD"/>
    <w:multiLevelType w:val="singleLevel"/>
    <w:tmpl w:val="F51DDDDD"/>
    <w:lvl w:ilvl="0" w:tentative="0">
      <w:start w:val="3"/>
      <w:numFmt w:val="decimal"/>
      <w:lvlText w:val="%1."/>
      <w:lvlJc w:val="left"/>
      <w:pPr>
        <w:tabs>
          <w:tab w:val="left" w:pos="312"/>
        </w:tabs>
      </w:pPr>
    </w:lvl>
  </w:abstractNum>
  <w:abstractNum w:abstractNumId="6">
    <w:nsid w:val="00000002"/>
    <w:multiLevelType w:val="multilevel"/>
    <w:tmpl w:val="00000002"/>
    <w:lvl w:ilvl="0" w:tentative="0">
      <w:start w:val="1"/>
      <w:numFmt w:val="upperLetter"/>
      <w:pStyle w:val="7"/>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8">
    <w:nsid w:val="297873AC"/>
    <w:multiLevelType w:val="singleLevel"/>
    <w:tmpl w:val="297873AC"/>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78D339B"/>
    <w:multiLevelType w:val="singleLevel"/>
    <w:tmpl w:val="578D339B"/>
    <w:lvl w:ilvl="0" w:tentative="0">
      <w:start w:val="1"/>
      <w:numFmt w:val="decimal"/>
      <w:pStyle w:val="17"/>
      <w:lvlText w:val="%1."/>
      <w:lvlJc w:val="left"/>
      <w:pPr>
        <w:tabs>
          <w:tab w:val="left" w:pos="2040"/>
        </w:tabs>
        <w:ind w:left="2040" w:hanging="360"/>
      </w:pPr>
    </w:lvl>
  </w:abstractNum>
  <w:num w:numId="1">
    <w:abstractNumId w:val="6"/>
  </w:num>
  <w:num w:numId="2">
    <w:abstractNumId w:val="0"/>
  </w:num>
  <w:num w:numId="3">
    <w:abstractNumId w:val="10"/>
  </w:num>
  <w:num w:numId="4">
    <w:abstractNumId w:val="9"/>
  </w:num>
  <w:num w:numId="5">
    <w:abstractNumId w:val="8"/>
  </w:num>
  <w:num w:numId="6">
    <w:abstractNumId w:val="4"/>
  </w:num>
  <w:num w:numId="7">
    <w:abstractNumId w:val="2"/>
  </w:num>
  <w:num w:numId="8">
    <w:abstractNumId w:val="5"/>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mJiOWFkZDhmZmEzODJhNmNiN2YyZWRlMGI2MzcifQ=="/>
  </w:docVars>
  <w:rsids>
    <w:rsidRoot w:val="78525E90"/>
    <w:rsid w:val="001969CE"/>
    <w:rsid w:val="001A64C4"/>
    <w:rsid w:val="001C471D"/>
    <w:rsid w:val="001D2AEB"/>
    <w:rsid w:val="003C0DF2"/>
    <w:rsid w:val="003C28DE"/>
    <w:rsid w:val="00473031"/>
    <w:rsid w:val="005574FC"/>
    <w:rsid w:val="00563274"/>
    <w:rsid w:val="00580B8B"/>
    <w:rsid w:val="0063393F"/>
    <w:rsid w:val="008729B4"/>
    <w:rsid w:val="00884A6A"/>
    <w:rsid w:val="008B6506"/>
    <w:rsid w:val="00902358"/>
    <w:rsid w:val="00A07254"/>
    <w:rsid w:val="00B0507A"/>
    <w:rsid w:val="00B561ED"/>
    <w:rsid w:val="00BA3803"/>
    <w:rsid w:val="00BE0E94"/>
    <w:rsid w:val="00C528D4"/>
    <w:rsid w:val="00C77D79"/>
    <w:rsid w:val="00CD1F07"/>
    <w:rsid w:val="00DB30A2"/>
    <w:rsid w:val="00E024DE"/>
    <w:rsid w:val="00E504ED"/>
    <w:rsid w:val="00EA2737"/>
    <w:rsid w:val="00ED3BD8"/>
    <w:rsid w:val="00FB5AAC"/>
    <w:rsid w:val="00FE5DE6"/>
    <w:rsid w:val="010333FC"/>
    <w:rsid w:val="01062D03"/>
    <w:rsid w:val="010D7DD7"/>
    <w:rsid w:val="01176EA7"/>
    <w:rsid w:val="012E5443"/>
    <w:rsid w:val="013156BA"/>
    <w:rsid w:val="01317F69"/>
    <w:rsid w:val="01325A8F"/>
    <w:rsid w:val="0132783D"/>
    <w:rsid w:val="0143674A"/>
    <w:rsid w:val="014F03EF"/>
    <w:rsid w:val="015027F5"/>
    <w:rsid w:val="01536D2A"/>
    <w:rsid w:val="015A3746"/>
    <w:rsid w:val="015E6884"/>
    <w:rsid w:val="016A3024"/>
    <w:rsid w:val="016F283F"/>
    <w:rsid w:val="01730582"/>
    <w:rsid w:val="017936BE"/>
    <w:rsid w:val="018502B5"/>
    <w:rsid w:val="018C1643"/>
    <w:rsid w:val="019D73AC"/>
    <w:rsid w:val="01A22C15"/>
    <w:rsid w:val="01A4698D"/>
    <w:rsid w:val="01A81E31"/>
    <w:rsid w:val="01C74429"/>
    <w:rsid w:val="01D271DE"/>
    <w:rsid w:val="01D31020"/>
    <w:rsid w:val="01D84888"/>
    <w:rsid w:val="01DD1E9F"/>
    <w:rsid w:val="01E07299"/>
    <w:rsid w:val="01E1387E"/>
    <w:rsid w:val="01F1594A"/>
    <w:rsid w:val="01F42D45"/>
    <w:rsid w:val="01F773E4"/>
    <w:rsid w:val="01F87F7B"/>
    <w:rsid w:val="02076197"/>
    <w:rsid w:val="021533E7"/>
    <w:rsid w:val="0216443A"/>
    <w:rsid w:val="021A09FD"/>
    <w:rsid w:val="022278B2"/>
    <w:rsid w:val="022A0BB1"/>
    <w:rsid w:val="0230709F"/>
    <w:rsid w:val="02315D47"/>
    <w:rsid w:val="024535A0"/>
    <w:rsid w:val="02532161"/>
    <w:rsid w:val="025D6B3C"/>
    <w:rsid w:val="02664739"/>
    <w:rsid w:val="026E6F9B"/>
    <w:rsid w:val="02787BF5"/>
    <w:rsid w:val="0283101D"/>
    <w:rsid w:val="02837406"/>
    <w:rsid w:val="028642E4"/>
    <w:rsid w:val="0288383F"/>
    <w:rsid w:val="028B36A9"/>
    <w:rsid w:val="02900CBF"/>
    <w:rsid w:val="02936A01"/>
    <w:rsid w:val="029B323C"/>
    <w:rsid w:val="02AE7397"/>
    <w:rsid w:val="02C02DD6"/>
    <w:rsid w:val="02E42DB9"/>
    <w:rsid w:val="02E44D70"/>
    <w:rsid w:val="02EB4148"/>
    <w:rsid w:val="02EE59E6"/>
    <w:rsid w:val="02EF1E8A"/>
    <w:rsid w:val="02FE5100"/>
    <w:rsid w:val="0301396B"/>
    <w:rsid w:val="03065425"/>
    <w:rsid w:val="031534EA"/>
    <w:rsid w:val="03192A63"/>
    <w:rsid w:val="032B14E1"/>
    <w:rsid w:val="032C4E8C"/>
    <w:rsid w:val="0332621A"/>
    <w:rsid w:val="033A0C2B"/>
    <w:rsid w:val="034B3586"/>
    <w:rsid w:val="03561F09"/>
    <w:rsid w:val="036363D4"/>
    <w:rsid w:val="037C3D4F"/>
    <w:rsid w:val="03870314"/>
    <w:rsid w:val="03887BE8"/>
    <w:rsid w:val="03BB1D6C"/>
    <w:rsid w:val="03C70711"/>
    <w:rsid w:val="03CA6207"/>
    <w:rsid w:val="03CC21CB"/>
    <w:rsid w:val="03CC3F79"/>
    <w:rsid w:val="03CF75C5"/>
    <w:rsid w:val="03D76C48"/>
    <w:rsid w:val="03D90444"/>
    <w:rsid w:val="03D9521C"/>
    <w:rsid w:val="03D96696"/>
    <w:rsid w:val="03DA48E8"/>
    <w:rsid w:val="03E75194"/>
    <w:rsid w:val="03EE2141"/>
    <w:rsid w:val="03F359AA"/>
    <w:rsid w:val="03F4769A"/>
    <w:rsid w:val="03FE4B5C"/>
    <w:rsid w:val="040C6A6B"/>
    <w:rsid w:val="041D2D43"/>
    <w:rsid w:val="042A5A48"/>
    <w:rsid w:val="04425FE9"/>
    <w:rsid w:val="04461F7D"/>
    <w:rsid w:val="04473600"/>
    <w:rsid w:val="044B7594"/>
    <w:rsid w:val="0451447E"/>
    <w:rsid w:val="04575F38"/>
    <w:rsid w:val="0466617C"/>
    <w:rsid w:val="046E3282"/>
    <w:rsid w:val="04781A0B"/>
    <w:rsid w:val="04784101"/>
    <w:rsid w:val="047E2242"/>
    <w:rsid w:val="04854128"/>
    <w:rsid w:val="0486237A"/>
    <w:rsid w:val="048760F2"/>
    <w:rsid w:val="048A3896"/>
    <w:rsid w:val="048C54B6"/>
    <w:rsid w:val="04952125"/>
    <w:rsid w:val="04966335"/>
    <w:rsid w:val="04A3117E"/>
    <w:rsid w:val="04A42800"/>
    <w:rsid w:val="04AD235A"/>
    <w:rsid w:val="04B0389B"/>
    <w:rsid w:val="04BC5D9C"/>
    <w:rsid w:val="04E57AC0"/>
    <w:rsid w:val="04EB6681"/>
    <w:rsid w:val="04EF23D1"/>
    <w:rsid w:val="04F55E74"/>
    <w:rsid w:val="04FE774A"/>
    <w:rsid w:val="05045994"/>
    <w:rsid w:val="050F13EC"/>
    <w:rsid w:val="051370DB"/>
    <w:rsid w:val="051C2CDE"/>
    <w:rsid w:val="051C4A8C"/>
    <w:rsid w:val="051E6510"/>
    <w:rsid w:val="05235E1B"/>
    <w:rsid w:val="05290F57"/>
    <w:rsid w:val="05377B18"/>
    <w:rsid w:val="05393890"/>
    <w:rsid w:val="05432019"/>
    <w:rsid w:val="05545FD4"/>
    <w:rsid w:val="05580882"/>
    <w:rsid w:val="0568587B"/>
    <w:rsid w:val="05685F23"/>
    <w:rsid w:val="057351E0"/>
    <w:rsid w:val="058B76B3"/>
    <w:rsid w:val="058D7738"/>
    <w:rsid w:val="05946D18"/>
    <w:rsid w:val="059960DD"/>
    <w:rsid w:val="05C0036D"/>
    <w:rsid w:val="05D0347E"/>
    <w:rsid w:val="05D22975"/>
    <w:rsid w:val="05DB66F5"/>
    <w:rsid w:val="05DC1809"/>
    <w:rsid w:val="05EC445F"/>
    <w:rsid w:val="060C6775"/>
    <w:rsid w:val="06167DD0"/>
    <w:rsid w:val="062A142B"/>
    <w:rsid w:val="062E4A77"/>
    <w:rsid w:val="063472D6"/>
    <w:rsid w:val="063E0A32"/>
    <w:rsid w:val="06471FDD"/>
    <w:rsid w:val="064A7E58"/>
    <w:rsid w:val="06565D7C"/>
    <w:rsid w:val="065B7836"/>
    <w:rsid w:val="066C559F"/>
    <w:rsid w:val="067508F8"/>
    <w:rsid w:val="06897EFF"/>
    <w:rsid w:val="0696261C"/>
    <w:rsid w:val="06A67E6B"/>
    <w:rsid w:val="06AB256C"/>
    <w:rsid w:val="06B37672"/>
    <w:rsid w:val="06B807E5"/>
    <w:rsid w:val="06BA455D"/>
    <w:rsid w:val="06CB676A"/>
    <w:rsid w:val="06D82C35"/>
    <w:rsid w:val="06DC2725"/>
    <w:rsid w:val="06E15F8D"/>
    <w:rsid w:val="06E521B8"/>
    <w:rsid w:val="06EC048E"/>
    <w:rsid w:val="06EE06AA"/>
    <w:rsid w:val="06F81AA0"/>
    <w:rsid w:val="070A443E"/>
    <w:rsid w:val="071933F3"/>
    <w:rsid w:val="07230354"/>
    <w:rsid w:val="072F7956"/>
    <w:rsid w:val="0733430F"/>
    <w:rsid w:val="076D5A73"/>
    <w:rsid w:val="07746E01"/>
    <w:rsid w:val="079F3753"/>
    <w:rsid w:val="07A1571D"/>
    <w:rsid w:val="07A62D33"/>
    <w:rsid w:val="07AA5AA6"/>
    <w:rsid w:val="07B8237D"/>
    <w:rsid w:val="07C733D5"/>
    <w:rsid w:val="07C97778"/>
    <w:rsid w:val="07DC6755"/>
    <w:rsid w:val="07E06245"/>
    <w:rsid w:val="07EC2E3C"/>
    <w:rsid w:val="07F25A76"/>
    <w:rsid w:val="07F910B5"/>
    <w:rsid w:val="080C703A"/>
    <w:rsid w:val="0817778D"/>
    <w:rsid w:val="08261FD4"/>
    <w:rsid w:val="082A5712"/>
    <w:rsid w:val="082D37EE"/>
    <w:rsid w:val="082E5202"/>
    <w:rsid w:val="083245C7"/>
    <w:rsid w:val="08326375"/>
    <w:rsid w:val="08393BA7"/>
    <w:rsid w:val="083A7670"/>
    <w:rsid w:val="08425F97"/>
    <w:rsid w:val="084A5DB4"/>
    <w:rsid w:val="0854278F"/>
    <w:rsid w:val="085E716A"/>
    <w:rsid w:val="086230FE"/>
    <w:rsid w:val="08640C24"/>
    <w:rsid w:val="0865562F"/>
    <w:rsid w:val="088875A6"/>
    <w:rsid w:val="089367B3"/>
    <w:rsid w:val="089963F4"/>
    <w:rsid w:val="08B1373D"/>
    <w:rsid w:val="08C43471"/>
    <w:rsid w:val="08D31906"/>
    <w:rsid w:val="08D538D0"/>
    <w:rsid w:val="08DD232C"/>
    <w:rsid w:val="08E104C7"/>
    <w:rsid w:val="08E22220"/>
    <w:rsid w:val="08EB30F3"/>
    <w:rsid w:val="09077801"/>
    <w:rsid w:val="0920407D"/>
    <w:rsid w:val="09210C8A"/>
    <w:rsid w:val="09297778"/>
    <w:rsid w:val="092B4FD8"/>
    <w:rsid w:val="092B59DC"/>
    <w:rsid w:val="09383E5F"/>
    <w:rsid w:val="09385C0D"/>
    <w:rsid w:val="093A1985"/>
    <w:rsid w:val="093C3EFA"/>
    <w:rsid w:val="093C74AB"/>
    <w:rsid w:val="09414AC1"/>
    <w:rsid w:val="095742E5"/>
    <w:rsid w:val="09670057"/>
    <w:rsid w:val="096A04BC"/>
    <w:rsid w:val="096B5FE2"/>
    <w:rsid w:val="096F5AD2"/>
    <w:rsid w:val="09795C5D"/>
    <w:rsid w:val="099E3CC2"/>
    <w:rsid w:val="09AA4FBC"/>
    <w:rsid w:val="09AD7022"/>
    <w:rsid w:val="09B55304"/>
    <w:rsid w:val="09C661F0"/>
    <w:rsid w:val="09C86F91"/>
    <w:rsid w:val="09CB082F"/>
    <w:rsid w:val="09D90FF7"/>
    <w:rsid w:val="09EF6C13"/>
    <w:rsid w:val="09F67FE5"/>
    <w:rsid w:val="09F72C89"/>
    <w:rsid w:val="09FF3664"/>
    <w:rsid w:val="0A032A16"/>
    <w:rsid w:val="0A0E4706"/>
    <w:rsid w:val="0A0F696E"/>
    <w:rsid w:val="0A1B7A08"/>
    <w:rsid w:val="0A1E3055"/>
    <w:rsid w:val="0A233901"/>
    <w:rsid w:val="0A355AF7"/>
    <w:rsid w:val="0A374116"/>
    <w:rsid w:val="0A385B70"/>
    <w:rsid w:val="0A560A40"/>
    <w:rsid w:val="0A5B0944"/>
    <w:rsid w:val="0A5E78F5"/>
    <w:rsid w:val="0A5F5B47"/>
    <w:rsid w:val="0A695DE3"/>
    <w:rsid w:val="0A6B6B05"/>
    <w:rsid w:val="0A6F565E"/>
    <w:rsid w:val="0A7B2255"/>
    <w:rsid w:val="0A8068C8"/>
    <w:rsid w:val="0A943317"/>
    <w:rsid w:val="0AA142D3"/>
    <w:rsid w:val="0AA22011"/>
    <w:rsid w:val="0AB614DF"/>
    <w:rsid w:val="0AD60B43"/>
    <w:rsid w:val="0AE918B4"/>
    <w:rsid w:val="0AF73FD1"/>
    <w:rsid w:val="0AF966B1"/>
    <w:rsid w:val="0AFA13CC"/>
    <w:rsid w:val="0B0248E4"/>
    <w:rsid w:val="0B183F48"/>
    <w:rsid w:val="0B1949A9"/>
    <w:rsid w:val="0B1D155E"/>
    <w:rsid w:val="0B275F39"/>
    <w:rsid w:val="0B2B5A29"/>
    <w:rsid w:val="0B3158D0"/>
    <w:rsid w:val="0B3F14D4"/>
    <w:rsid w:val="0B49444B"/>
    <w:rsid w:val="0B50723E"/>
    <w:rsid w:val="0B536D2E"/>
    <w:rsid w:val="0B5E1DFA"/>
    <w:rsid w:val="0B61144B"/>
    <w:rsid w:val="0B6E3B68"/>
    <w:rsid w:val="0B7D1FFD"/>
    <w:rsid w:val="0B8A29B8"/>
    <w:rsid w:val="0B9B354F"/>
    <w:rsid w:val="0BA13F3D"/>
    <w:rsid w:val="0BA47589"/>
    <w:rsid w:val="0BAA1044"/>
    <w:rsid w:val="0BB677DB"/>
    <w:rsid w:val="0BBF6171"/>
    <w:rsid w:val="0BC419DA"/>
    <w:rsid w:val="0BCF2858"/>
    <w:rsid w:val="0BDB7828"/>
    <w:rsid w:val="0BDE6F3F"/>
    <w:rsid w:val="0BE831B5"/>
    <w:rsid w:val="0BE91440"/>
    <w:rsid w:val="0BEB51B8"/>
    <w:rsid w:val="0BEF4CA9"/>
    <w:rsid w:val="0C011C5F"/>
    <w:rsid w:val="0C0A7D34"/>
    <w:rsid w:val="0C11608B"/>
    <w:rsid w:val="0C193AD3"/>
    <w:rsid w:val="0C264442"/>
    <w:rsid w:val="0C2A5CE1"/>
    <w:rsid w:val="0C322DE7"/>
    <w:rsid w:val="0C394176"/>
    <w:rsid w:val="0C3B1A90"/>
    <w:rsid w:val="0C3B6140"/>
    <w:rsid w:val="0C405504"/>
    <w:rsid w:val="0C420B58"/>
    <w:rsid w:val="0C432F81"/>
    <w:rsid w:val="0C4D5E73"/>
    <w:rsid w:val="0C520F49"/>
    <w:rsid w:val="0C6F30A2"/>
    <w:rsid w:val="0C7308A1"/>
    <w:rsid w:val="0C7F315B"/>
    <w:rsid w:val="0C803B53"/>
    <w:rsid w:val="0C8A49D1"/>
    <w:rsid w:val="0C992E66"/>
    <w:rsid w:val="0C9B6BDE"/>
    <w:rsid w:val="0C9F66CF"/>
    <w:rsid w:val="0CA57A5D"/>
    <w:rsid w:val="0CAD06C0"/>
    <w:rsid w:val="0CAD246E"/>
    <w:rsid w:val="0CAF61E6"/>
    <w:rsid w:val="0CB05CBB"/>
    <w:rsid w:val="0CB8153E"/>
    <w:rsid w:val="0CC17F52"/>
    <w:rsid w:val="0CD93263"/>
    <w:rsid w:val="0CE916F8"/>
    <w:rsid w:val="0CEF0CD8"/>
    <w:rsid w:val="0CF623D3"/>
    <w:rsid w:val="0CF63E15"/>
    <w:rsid w:val="0CFF53BF"/>
    <w:rsid w:val="0D042879"/>
    <w:rsid w:val="0D076022"/>
    <w:rsid w:val="0D084366"/>
    <w:rsid w:val="0D091D9A"/>
    <w:rsid w:val="0D1129FD"/>
    <w:rsid w:val="0D1238E2"/>
    <w:rsid w:val="0D246BD4"/>
    <w:rsid w:val="0D2C7836"/>
    <w:rsid w:val="0D2E1801"/>
    <w:rsid w:val="0D447276"/>
    <w:rsid w:val="0D6945E7"/>
    <w:rsid w:val="0D780CCE"/>
    <w:rsid w:val="0D7D62E4"/>
    <w:rsid w:val="0D7F205C"/>
    <w:rsid w:val="0D821B4C"/>
    <w:rsid w:val="0D90674A"/>
    <w:rsid w:val="0D994BA6"/>
    <w:rsid w:val="0DB44D69"/>
    <w:rsid w:val="0DB8731C"/>
    <w:rsid w:val="0DD56120"/>
    <w:rsid w:val="0DED346A"/>
    <w:rsid w:val="0E0440AD"/>
    <w:rsid w:val="0E0C5987"/>
    <w:rsid w:val="0E19425F"/>
    <w:rsid w:val="0E1F1149"/>
    <w:rsid w:val="0E211365"/>
    <w:rsid w:val="0E325320"/>
    <w:rsid w:val="0E35096D"/>
    <w:rsid w:val="0E37785F"/>
    <w:rsid w:val="0E3D073A"/>
    <w:rsid w:val="0E3F531B"/>
    <w:rsid w:val="0E6059EA"/>
    <w:rsid w:val="0E626E5B"/>
    <w:rsid w:val="0E657581"/>
    <w:rsid w:val="0E6C0832"/>
    <w:rsid w:val="0E7B196E"/>
    <w:rsid w:val="0E83792A"/>
    <w:rsid w:val="0E8A2A67"/>
    <w:rsid w:val="0E94387A"/>
    <w:rsid w:val="0E9839C4"/>
    <w:rsid w:val="0EA37FCC"/>
    <w:rsid w:val="0EA83E11"/>
    <w:rsid w:val="0EAD1340"/>
    <w:rsid w:val="0EB126E9"/>
    <w:rsid w:val="0EC3241C"/>
    <w:rsid w:val="0EE04D7C"/>
    <w:rsid w:val="0EFA4090"/>
    <w:rsid w:val="0EFF16A6"/>
    <w:rsid w:val="0F024CF3"/>
    <w:rsid w:val="0F041CC7"/>
    <w:rsid w:val="0F096081"/>
    <w:rsid w:val="0F225395"/>
    <w:rsid w:val="0F2403D3"/>
    <w:rsid w:val="0F2A0DA1"/>
    <w:rsid w:val="0F2C7FC2"/>
    <w:rsid w:val="0F380715"/>
    <w:rsid w:val="0F390875"/>
    <w:rsid w:val="0F4075C9"/>
    <w:rsid w:val="0F4E1CE6"/>
    <w:rsid w:val="0F577D61"/>
    <w:rsid w:val="0F5B1463"/>
    <w:rsid w:val="0F672DA8"/>
    <w:rsid w:val="0F695B00"/>
    <w:rsid w:val="0F6E4136"/>
    <w:rsid w:val="0F7656DC"/>
    <w:rsid w:val="0F8120BC"/>
    <w:rsid w:val="0F895414"/>
    <w:rsid w:val="0F8D6F1D"/>
    <w:rsid w:val="0F985657"/>
    <w:rsid w:val="0F9B5E4B"/>
    <w:rsid w:val="0FA61B22"/>
    <w:rsid w:val="0FB32491"/>
    <w:rsid w:val="0FD3668F"/>
    <w:rsid w:val="0FDD0B99"/>
    <w:rsid w:val="0FE60171"/>
    <w:rsid w:val="0FF92F22"/>
    <w:rsid w:val="0FFA7E17"/>
    <w:rsid w:val="0FFC7994"/>
    <w:rsid w:val="10074EC6"/>
    <w:rsid w:val="10164102"/>
    <w:rsid w:val="10390BE8"/>
    <w:rsid w:val="10505F32"/>
    <w:rsid w:val="1053332C"/>
    <w:rsid w:val="10572E1C"/>
    <w:rsid w:val="105E064F"/>
    <w:rsid w:val="106B3547"/>
    <w:rsid w:val="107F288F"/>
    <w:rsid w:val="108300B5"/>
    <w:rsid w:val="108654B0"/>
    <w:rsid w:val="108B70E7"/>
    <w:rsid w:val="108D683E"/>
    <w:rsid w:val="108F6A5A"/>
    <w:rsid w:val="10923E54"/>
    <w:rsid w:val="1092654A"/>
    <w:rsid w:val="109B71AD"/>
    <w:rsid w:val="10A257D2"/>
    <w:rsid w:val="10A5627E"/>
    <w:rsid w:val="10B1077E"/>
    <w:rsid w:val="10B244F7"/>
    <w:rsid w:val="10C5247C"/>
    <w:rsid w:val="10CD0D17"/>
    <w:rsid w:val="10CE0E95"/>
    <w:rsid w:val="10CF4C7A"/>
    <w:rsid w:val="10D77ADC"/>
    <w:rsid w:val="10DB3A4D"/>
    <w:rsid w:val="10DD77C5"/>
    <w:rsid w:val="11005262"/>
    <w:rsid w:val="110079DA"/>
    <w:rsid w:val="111D5F0F"/>
    <w:rsid w:val="111D7BC2"/>
    <w:rsid w:val="111F7DDE"/>
    <w:rsid w:val="11280AC4"/>
    <w:rsid w:val="1131366D"/>
    <w:rsid w:val="11333889"/>
    <w:rsid w:val="113A578E"/>
    <w:rsid w:val="113C19E4"/>
    <w:rsid w:val="114415F3"/>
    <w:rsid w:val="114A472F"/>
    <w:rsid w:val="11531836"/>
    <w:rsid w:val="115455AE"/>
    <w:rsid w:val="116457F1"/>
    <w:rsid w:val="116752E1"/>
    <w:rsid w:val="116E6670"/>
    <w:rsid w:val="116F4196"/>
    <w:rsid w:val="11714C98"/>
    <w:rsid w:val="11785740"/>
    <w:rsid w:val="117B2B3A"/>
    <w:rsid w:val="119A3908"/>
    <w:rsid w:val="11A227BD"/>
    <w:rsid w:val="11AA6255"/>
    <w:rsid w:val="11AD5711"/>
    <w:rsid w:val="11B952F3"/>
    <w:rsid w:val="11BA7B07"/>
    <w:rsid w:val="11CC586B"/>
    <w:rsid w:val="11D54941"/>
    <w:rsid w:val="11D81D3B"/>
    <w:rsid w:val="11DD55A3"/>
    <w:rsid w:val="11E84674"/>
    <w:rsid w:val="11F11029"/>
    <w:rsid w:val="11F87E50"/>
    <w:rsid w:val="120A0397"/>
    <w:rsid w:val="120B18A7"/>
    <w:rsid w:val="121073DE"/>
    <w:rsid w:val="121421B7"/>
    <w:rsid w:val="121865DB"/>
    <w:rsid w:val="12386C7D"/>
    <w:rsid w:val="12485948"/>
    <w:rsid w:val="12521AED"/>
    <w:rsid w:val="125640FD"/>
    <w:rsid w:val="125E3489"/>
    <w:rsid w:val="12617F82"/>
    <w:rsid w:val="12681311"/>
    <w:rsid w:val="126B0E01"/>
    <w:rsid w:val="127001C5"/>
    <w:rsid w:val="12704669"/>
    <w:rsid w:val="12794AAC"/>
    <w:rsid w:val="12925252"/>
    <w:rsid w:val="12940358"/>
    <w:rsid w:val="12AC38F3"/>
    <w:rsid w:val="12AC4134"/>
    <w:rsid w:val="12B10F0A"/>
    <w:rsid w:val="12B207DE"/>
    <w:rsid w:val="12B5514D"/>
    <w:rsid w:val="12C43900"/>
    <w:rsid w:val="12C549B5"/>
    <w:rsid w:val="12CA1FCB"/>
    <w:rsid w:val="12CD386A"/>
    <w:rsid w:val="12CF1390"/>
    <w:rsid w:val="12E27315"/>
    <w:rsid w:val="12E84200"/>
    <w:rsid w:val="12F31522"/>
    <w:rsid w:val="130A263F"/>
    <w:rsid w:val="13154547"/>
    <w:rsid w:val="132C0590"/>
    <w:rsid w:val="133762B4"/>
    <w:rsid w:val="134617DC"/>
    <w:rsid w:val="134A0A16"/>
    <w:rsid w:val="136046DE"/>
    <w:rsid w:val="136A2E67"/>
    <w:rsid w:val="136E0BA9"/>
    <w:rsid w:val="137C27B8"/>
    <w:rsid w:val="137D703E"/>
    <w:rsid w:val="137E6912"/>
    <w:rsid w:val="13881F85"/>
    <w:rsid w:val="13893C35"/>
    <w:rsid w:val="138E5822"/>
    <w:rsid w:val="139958E9"/>
    <w:rsid w:val="13A10F7E"/>
    <w:rsid w:val="13B5651D"/>
    <w:rsid w:val="13BC5DB8"/>
    <w:rsid w:val="13C3731F"/>
    <w:rsid w:val="13CB7DA9"/>
    <w:rsid w:val="13CE33F5"/>
    <w:rsid w:val="13D11138"/>
    <w:rsid w:val="13D83EAC"/>
    <w:rsid w:val="13DD188A"/>
    <w:rsid w:val="13E50F0A"/>
    <w:rsid w:val="13E62E35"/>
    <w:rsid w:val="13F13588"/>
    <w:rsid w:val="140565A3"/>
    <w:rsid w:val="14074B59"/>
    <w:rsid w:val="14095568"/>
    <w:rsid w:val="141D5E0F"/>
    <w:rsid w:val="14213E6D"/>
    <w:rsid w:val="14215702"/>
    <w:rsid w:val="1426054B"/>
    <w:rsid w:val="143E0678"/>
    <w:rsid w:val="14425B91"/>
    <w:rsid w:val="14467430"/>
    <w:rsid w:val="144E2788"/>
    <w:rsid w:val="14553B17"/>
    <w:rsid w:val="14627FE2"/>
    <w:rsid w:val="14722D95"/>
    <w:rsid w:val="1478624B"/>
    <w:rsid w:val="148D2C40"/>
    <w:rsid w:val="14900FF3"/>
    <w:rsid w:val="149C1746"/>
    <w:rsid w:val="14AB3FE6"/>
    <w:rsid w:val="14B46A8F"/>
    <w:rsid w:val="14DA3E7C"/>
    <w:rsid w:val="14E11F8D"/>
    <w:rsid w:val="14E74053"/>
    <w:rsid w:val="14EA24B1"/>
    <w:rsid w:val="14EB7FD7"/>
    <w:rsid w:val="14F558CC"/>
    <w:rsid w:val="151C63E2"/>
    <w:rsid w:val="152139F9"/>
    <w:rsid w:val="1521782D"/>
    <w:rsid w:val="15316332"/>
    <w:rsid w:val="153E27FD"/>
    <w:rsid w:val="15431BC1"/>
    <w:rsid w:val="154716B1"/>
    <w:rsid w:val="1547312A"/>
    <w:rsid w:val="15634011"/>
    <w:rsid w:val="15655FDB"/>
    <w:rsid w:val="1568787A"/>
    <w:rsid w:val="15760AA8"/>
    <w:rsid w:val="1580109E"/>
    <w:rsid w:val="158A5A42"/>
    <w:rsid w:val="158E5532"/>
    <w:rsid w:val="15915022"/>
    <w:rsid w:val="159D39C7"/>
    <w:rsid w:val="159D5775"/>
    <w:rsid w:val="15A05265"/>
    <w:rsid w:val="15A07014"/>
    <w:rsid w:val="15AB78D5"/>
    <w:rsid w:val="15B91E83"/>
    <w:rsid w:val="15BD0C28"/>
    <w:rsid w:val="15CE3CEE"/>
    <w:rsid w:val="15D23B33"/>
    <w:rsid w:val="15D32F45"/>
    <w:rsid w:val="15DC1A93"/>
    <w:rsid w:val="15EA028F"/>
    <w:rsid w:val="15EF3AF7"/>
    <w:rsid w:val="15F01D49"/>
    <w:rsid w:val="15F27DB5"/>
    <w:rsid w:val="15F41BFA"/>
    <w:rsid w:val="15F66C34"/>
    <w:rsid w:val="161377E5"/>
    <w:rsid w:val="161812A0"/>
    <w:rsid w:val="16184DFC"/>
    <w:rsid w:val="16201F02"/>
    <w:rsid w:val="162D3FB2"/>
    <w:rsid w:val="164756E1"/>
    <w:rsid w:val="16486ABB"/>
    <w:rsid w:val="16500A3A"/>
    <w:rsid w:val="165B2F3A"/>
    <w:rsid w:val="166149F5"/>
    <w:rsid w:val="16734728"/>
    <w:rsid w:val="16774218"/>
    <w:rsid w:val="169326D4"/>
    <w:rsid w:val="169923E1"/>
    <w:rsid w:val="169A3A63"/>
    <w:rsid w:val="16B34B25"/>
    <w:rsid w:val="16BC1C2B"/>
    <w:rsid w:val="16C44F84"/>
    <w:rsid w:val="16C531D6"/>
    <w:rsid w:val="16D52CED"/>
    <w:rsid w:val="16D74CB7"/>
    <w:rsid w:val="16D85E7C"/>
    <w:rsid w:val="16E86EC4"/>
    <w:rsid w:val="16EA49EA"/>
    <w:rsid w:val="170035C9"/>
    <w:rsid w:val="17046386"/>
    <w:rsid w:val="17092996"/>
    <w:rsid w:val="170A0BE8"/>
    <w:rsid w:val="170C14A5"/>
    <w:rsid w:val="170D06D9"/>
    <w:rsid w:val="171A3A14"/>
    <w:rsid w:val="1720040C"/>
    <w:rsid w:val="17222140"/>
    <w:rsid w:val="17233F5E"/>
    <w:rsid w:val="17255A22"/>
    <w:rsid w:val="174F484D"/>
    <w:rsid w:val="17555BDC"/>
    <w:rsid w:val="17681DB3"/>
    <w:rsid w:val="176C7B6C"/>
    <w:rsid w:val="177A1C19"/>
    <w:rsid w:val="177A6B0C"/>
    <w:rsid w:val="177B7D38"/>
    <w:rsid w:val="177C4A0A"/>
    <w:rsid w:val="17804B59"/>
    <w:rsid w:val="17A96653"/>
    <w:rsid w:val="17B7662A"/>
    <w:rsid w:val="17B81319"/>
    <w:rsid w:val="17BE7C25"/>
    <w:rsid w:val="17C52D61"/>
    <w:rsid w:val="17CA4E07"/>
    <w:rsid w:val="17CC2342"/>
    <w:rsid w:val="17CE7E68"/>
    <w:rsid w:val="17D7362C"/>
    <w:rsid w:val="17DB4333"/>
    <w:rsid w:val="17E551B2"/>
    <w:rsid w:val="17E56F60"/>
    <w:rsid w:val="17EE50C0"/>
    <w:rsid w:val="17F66A07"/>
    <w:rsid w:val="17F92A0B"/>
    <w:rsid w:val="17FF0A42"/>
    <w:rsid w:val="18075128"/>
    <w:rsid w:val="1811244B"/>
    <w:rsid w:val="18226406"/>
    <w:rsid w:val="183A21CD"/>
    <w:rsid w:val="184E0FA9"/>
    <w:rsid w:val="18534811"/>
    <w:rsid w:val="18545772"/>
    <w:rsid w:val="185F4F64"/>
    <w:rsid w:val="1869193F"/>
    <w:rsid w:val="186E51A7"/>
    <w:rsid w:val="188B4721"/>
    <w:rsid w:val="18A4506D"/>
    <w:rsid w:val="18A64941"/>
    <w:rsid w:val="18A961DF"/>
    <w:rsid w:val="18AC5CCF"/>
    <w:rsid w:val="18C15C1F"/>
    <w:rsid w:val="18CC0A2E"/>
    <w:rsid w:val="18D45952"/>
    <w:rsid w:val="18D92F68"/>
    <w:rsid w:val="18DA45EA"/>
    <w:rsid w:val="18DB6065"/>
    <w:rsid w:val="18E45469"/>
    <w:rsid w:val="18F51424"/>
    <w:rsid w:val="18F9516C"/>
    <w:rsid w:val="18FA6A3B"/>
    <w:rsid w:val="18FD7B8B"/>
    <w:rsid w:val="18FF04F5"/>
    <w:rsid w:val="18FF55F5"/>
    <w:rsid w:val="1901426D"/>
    <w:rsid w:val="190455CA"/>
    <w:rsid w:val="19151AC7"/>
    <w:rsid w:val="19183D6F"/>
    <w:rsid w:val="19185113"/>
    <w:rsid w:val="19202945"/>
    <w:rsid w:val="193208CA"/>
    <w:rsid w:val="19375EE1"/>
    <w:rsid w:val="193E1E7B"/>
    <w:rsid w:val="19461C80"/>
    <w:rsid w:val="194A1770"/>
    <w:rsid w:val="194D74B2"/>
    <w:rsid w:val="19510D51"/>
    <w:rsid w:val="19540841"/>
    <w:rsid w:val="196A0064"/>
    <w:rsid w:val="197131A1"/>
    <w:rsid w:val="19793F15"/>
    <w:rsid w:val="199C5D44"/>
    <w:rsid w:val="19A30E80"/>
    <w:rsid w:val="19B65058"/>
    <w:rsid w:val="19BA0933"/>
    <w:rsid w:val="19D674A8"/>
    <w:rsid w:val="19EC0A79"/>
    <w:rsid w:val="19EE2A43"/>
    <w:rsid w:val="19F85670"/>
    <w:rsid w:val="1A0062D3"/>
    <w:rsid w:val="1A0758B3"/>
    <w:rsid w:val="1A1104E0"/>
    <w:rsid w:val="1A1D6E85"/>
    <w:rsid w:val="1A222C1E"/>
    <w:rsid w:val="1A271AB1"/>
    <w:rsid w:val="1A2B06CF"/>
    <w:rsid w:val="1A345F7C"/>
    <w:rsid w:val="1A366198"/>
    <w:rsid w:val="1A3F6DFB"/>
    <w:rsid w:val="1A472154"/>
    <w:rsid w:val="1A497C7A"/>
    <w:rsid w:val="1A4B7367"/>
    <w:rsid w:val="1A4C1518"/>
    <w:rsid w:val="1A4C59BC"/>
    <w:rsid w:val="1A4E703E"/>
    <w:rsid w:val="1A56070D"/>
    <w:rsid w:val="1A604FC3"/>
    <w:rsid w:val="1A6E5932"/>
    <w:rsid w:val="1A6F1DD4"/>
    <w:rsid w:val="1A7016AA"/>
    <w:rsid w:val="1A93683C"/>
    <w:rsid w:val="1A952EBF"/>
    <w:rsid w:val="1A9C791D"/>
    <w:rsid w:val="1AA475A6"/>
    <w:rsid w:val="1AAD64AC"/>
    <w:rsid w:val="1AB8095B"/>
    <w:rsid w:val="1ABD5F72"/>
    <w:rsid w:val="1AD67FB0"/>
    <w:rsid w:val="1ADF05DE"/>
    <w:rsid w:val="1AE6196C"/>
    <w:rsid w:val="1AF04599"/>
    <w:rsid w:val="1AFA5418"/>
    <w:rsid w:val="1AFE6CB6"/>
    <w:rsid w:val="1AFF47DC"/>
    <w:rsid w:val="1B0D514B"/>
    <w:rsid w:val="1B1C538E"/>
    <w:rsid w:val="1B35092A"/>
    <w:rsid w:val="1B371A34"/>
    <w:rsid w:val="1B446693"/>
    <w:rsid w:val="1B4A3CA9"/>
    <w:rsid w:val="1B520DB0"/>
    <w:rsid w:val="1B64339E"/>
    <w:rsid w:val="1B702E93"/>
    <w:rsid w:val="1B7900EB"/>
    <w:rsid w:val="1B866CAC"/>
    <w:rsid w:val="1BAC0DD1"/>
    <w:rsid w:val="1BB9498B"/>
    <w:rsid w:val="1BBE6445"/>
    <w:rsid w:val="1BC17CE4"/>
    <w:rsid w:val="1BD01CD5"/>
    <w:rsid w:val="1BD25A4D"/>
    <w:rsid w:val="1C011997"/>
    <w:rsid w:val="1C161DDD"/>
    <w:rsid w:val="1C183DA8"/>
    <w:rsid w:val="1C204A0A"/>
    <w:rsid w:val="1C273FEB"/>
    <w:rsid w:val="1C274D7F"/>
    <w:rsid w:val="1C281B11"/>
    <w:rsid w:val="1C2A5B9B"/>
    <w:rsid w:val="1C2A7637"/>
    <w:rsid w:val="1C3861F8"/>
    <w:rsid w:val="1C3C266C"/>
    <w:rsid w:val="1C493F61"/>
    <w:rsid w:val="1C4E5A1B"/>
    <w:rsid w:val="1C4E77C9"/>
    <w:rsid w:val="1C533032"/>
    <w:rsid w:val="1C56667E"/>
    <w:rsid w:val="1C597F1C"/>
    <w:rsid w:val="1C654B13"/>
    <w:rsid w:val="1C694603"/>
    <w:rsid w:val="1C705992"/>
    <w:rsid w:val="1C730FDE"/>
    <w:rsid w:val="1C7F5BD5"/>
    <w:rsid w:val="1C8054A9"/>
    <w:rsid w:val="1C821221"/>
    <w:rsid w:val="1C8F393E"/>
    <w:rsid w:val="1C9A47BD"/>
    <w:rsid w:val="1C9B0535"/>
    <w:rsid w:val="1CA078F9"/>
    <w:rsid w:val="1CBA6C0D"/>
    <w:rsid w:val="1CBB079A"/>
    <w:rsid w:val="1CC36A4A"/>
    <w:rsid w:val="1CC45CDD"/>
    <w:rsid w:val="1CDF1581"/>
    <w:rsid w:val="1CE06507"/>
    <w:rsid w:val="1CE4489A"/>
    <w:rsid w:val="1CEB6DC6"/>
    <w:rsid w:val="1CF10155"/>
    <w:rsid w:val="1CF3211F"/>
    <w:rsid w:val="1D100F23"/>
    <w:rsid w:val="1D104A7F"/>
    <w:rsid w:val="1D1722B1"/>
    <w:rsid w:val="1D187DD7"/>
    <w:rsid w:val="1D1E3640"/>
    <w:rsid w:val="1D210A3A"/>
    <w:rsid w:val="1D233EAF"/>
    <w:rsid w:val="1D2A282A"/>
    <w:rsid w:val="1D306ECF"/>
    <w:rsid w:val="1D333DEB"/>
    <w:rsid w:val="1D3C3AC6"/>
    <w:rsid w:val="1D4726CE"/>
    <w:rsid w:val="1D513780"/>
    <w:rsid w:val="1D556936"/>
    <w:rsid w:val="1D5A219E"/>
    <w:rsid w:val="1D7274E7"/>
    <w:rsid w:val="1D756FD8"/>
    <w:rsid w:val="1DB418AE"/>
    <w:rsid w:val="1DC35F95"/>
    <w:rsid w:val="1DCB1624"/>
    <w:rsid w:val="1DE008F5"/>
    <w:rsid w:val="1DE101C9"/>
    <w:rsid w:val="1DE877AA"/>
    <w:rsid w:val="1DEA3522"/>
    <w:rsid w:val="1DF42728"/>
    <w:rsid w:val="1DF94ABB"/>
    <w:rsid w:val="1DFB4367"/>
    <w:rsid w:val="1E036E0B"/>
    <w:rsid w:val="1E081BFA"/>
    <w:rsid w:val="1E0C793C"/>
    <w:rsid w:val="1E14059F"/>
    <w:rsid w:val="1E23214F"/>
    <w:rsid w:val="1E25455A"/>
    <w:rsid w:val="1E2C535C"/>
    <w:rsid w:val="1E2F7187"/>
    <w:rsid w:val="1E366767"/>
    <w:rsid w:val="1E411DC9"/>
    <w:rsid w:val="1E5D0198"/>
    <w:rsid w:val="1E5F5CBE"/>
    <w:rsid w:val="1E636E30"/>
    <w:rsid w:val="1E7172E9"/>
    <w:rsid w:val="1E761259"/>
    <w:rsid w:val="1E766B63"/>
    <w:rsid w:val="1E780B2E"/>
    <w:rsid w:val="1E7D6144"/>
    <w:rsid w:val="1E82375A"/>
    <w:rsid w:val="1E845724"/>
    <w:rsid w:val="1E894AE9"/>
    <w:rsid w:val="1E8E65A3"/>
    <w:rsid w:val="1E8F6EB7"/>
    <w:rsid w:val="1E91399D"/>
    <w:rsid w:val="1E9516DF"/>
    <w:rsid w:val="1E9F430C"/>
    <w:rsid w:val="1EA23DFC"/>
    <w:rsid w:val="1EA336D1"/>
    <w:rsid w:val="1EA416D1"/>
    <w:rsid w:val="1EA6173E"/>
    <w:rsid w:val="1EAE454F"/>
    <w:rsid w:val="1EB4768C"/>
    <w:rsid w:val="1EB678A8"/>
    <w:rsid w:val="1EC04283"/>
    <w:rsid w:val="1EC975DB"/>
    <w:rsid w:val="1ED932C0"/>
    <w:rsid w:val="1EDA17E8"/>
    <w:rsid w:val="1EEC5078"/>
    <w:rsid w:val="1EFD7285"/>
    <w:rsid w:val="1F1F544D"/>
    <w:rsid w:val="1F2E743E"/>
    <w:rsid w:val="1F3413ED"/>
    <w:rsid w:val="1F4711E8"/>
    <w:rsid w:val="1F472D4A"/>
    <w:rsid w:val="1F536EA5"/>
    <w:rsid w:val="1F576995"/>
    <w:rsid w:val="1F622E92"/>
    <w:rsid w:val="1F66307C"/>
    <w:rsid w:val="1F6966C8"/>
    <w:rsid w:val="1F702CF6"/>
    <w:rsid w:val="1F721A21"/>
    <w:rsid w:val="1F7237CF"/>
    <w:rsid w:val="1F7C289F"/>
    <w:rsid w:val="1F9508A3"/>
    <w:rsid w:val="1FA85442"/>
    <w:rsid w:val="1FAA740D"/>
    <w:rsid w:val="1FAE057F"/>
    <w:rsid w:val="1FB97650"/>
    <w:rsid w:val="1FBF453A"/>
    <w:rsid w:val="1FC908AF"/>
    <w:rsid w:val="1FCB2EDF"/>
    <w:rsid w:val="1FD53D5E"/>
    <w:rsid w:val="1FD64C2B"/>
    <w:rsid w:val="1FDB5818"/>
    <w:rsid w:val="1FE02E2E"/>
    <w:rsid w:val="1FEA7809"/>
    <w:rsid w:val="2000527E"/>
    <w:rsid w:val="20054643"/>
    <w:rsid w:val="20062169"/>
    <w:rsid w:val="200E1F9D"/>
    <w:rsid w:val="20104D96"/>
    <w:rsid w:val="201D36E6"/>
    <w:rsid w:val="201F4009"/>
    <w:rsid w:val="20262513"/>
    <w:rsid w:val="202D1DEC"/>
    <w:rsid w:val="204D5FEA"/>
    <w:rsid w:val="2059498F"/>
    <w:rsid w:val="20601879"/>
    <w:rsid w:val="206375BB"/>
    <w:rsid w:val="20795D5C"/>
    <w:rsid w:val="20796DDF"/>
    <w:rsid w:val="208E4638"/>
    <w:rsid w:val="208F215E"/>
    <w:rsid w:val="209D2ACD"/>
    <w:rsid w:val="20A025BE"/>
    <w:rsid w:val="20AE4CDA"/>
    <w:rsid w:val="20AF45AF"/>
    <w:rsid w:val="20B971DB"/>
    <w:rsid w:val="20BC50D1"/>
    <w:rsid w:val="20BD6CCC"/>
    <w:rsid w:val="20CA69A3"/>
    <w:rsid w:val="20DA5ACF"/>
    <w:rsid w:val="20DC1CE8"/>
    <w:rsid w:val="20E003AB"/>
    <w:rsid w:val="20E027D6"/>
    <w:rsid w:val="20E34258"/>
    <w:rsid w:val="20E424AA"/>
    <w:rsid w:val="20EE157B"/>
    <w:rsid w:val="20EF0E4F"/>
    <w:rsid w:val="20F85F56"/>
    <w:rsid w:val="2112566F"/>
    <w:rsid w:val="21130FE1"/>
    <w:rsid w:val="211664A1"/>
    <w:rsid w:val="211A2370"/>
    <w:rsid w:val="211A5ECC"/>
    <w:rsid w:val="21210E49"/>
    <w:rsid w:val="21255C68"/>
    <w:rsid w:val="21265D86"/>
    <w:rsid w:val="212D5480"/>
    <w:rsid w:val="21313216"/>
    <w:rsid w:val="21376EA4"/>
    <w:rsid w:val="213B5E42"/>
    <w:rsid w:val="213D1BBA"/>
    <w:rsid w:val="213D605E"/>
    <w:rsid w:val="21472A39"/>
    <w:rsid w:val="21584C46"/>
    <w:rsid w:val="21676C37"/>
    <w:rsid w:val="216F2CC8"/>
    <w:rsid w:val="217B41F9"/>
    <w:rsid w:val="217C26E3"/>
    <w:rsid w:val="21923B8F"/>
    <w:rsid w:val="219263AA"/>
    <w:rsid w:val="219519F6"/>
    <w:rsid w:val="21A25EC1"/>
    <w:rsid w:val="21A32365"/>
    <w:rsid w:val="21B207FA"/>
    <w:rsid w:val="21C81DCC"/>
    <w:rsid w:val="21CA4377"/>
    <w:rsid w:val="21D267A7"/>
    <w:rsid w:val="21D342CD"/>
    <w:rsid w:val="21DC7625"/>
    <w:rsid w:val="21E604A4"/>
    <w:rsid w:val="21FC3824"/>
    <w:rsid w:val="21FC7B27"/>
    <w:rsid w:val="21FE57EE"/>
    <w:rsid w:val="220628F4"/>
    <w:rsid w:val="220677D1"/>
    <w:rsid w:val="220A2AE6"/>
    <w:rsid w:val="220F17A9"/>
    <w:rsid w:val="221210FD"/>
    <w:rsid w:val="22160D89"/>
    <w:rsid w:val="221B7DFB"/>
    <w:rsid w:val="222A438B"/>
    <w:rsid w:val="224E61EC"/>
    <w:rsid w:val="225673D8"/>
    <w:rsid w:val="226D1CAC"/>
    <w:rsid w:val="227D4553"/>
    <w:rsid w:val="228114C2"/>
    <w:rsid w:val="228F28EA"/>
    <w:rsid w:val="229879F0"/>
    <w:rsid w:val="229D5A33"/>
    <w:rsid w:val="22A6218F"/>
    <w:rsid w:val="22AF4D3A"/>
    <w:rsid w:val="22B448F1"/>
    <w:rsid w:val="22B44B49"/>
    <w:rsid w:val="22CF0F38"/>
    <w:rsid w:val="22E91F8E"/>
    <w:rsid w:val="22EE13C0"/>
    <w:rsid w:val="22F079A8"/>
    <w:rsid w:val="22F56BF1"/>
    <w:rsid w:val="22F83FEB"/>
    <w:rsid w:val="22FE5995"/>
    <w:rsid w:val="230218D6"/>
    <w:rsid w:val="230706D2"/>
    <w:rsid w:val="232C1EE7"/>
    <w:rsid w:val="232E3EB1"/>
    <w:rsid w:val="23305E7B"/>
    <w:rsid w:val="233D40F4"/>
    <w:rsid w:val="23447230"/>
    <w:rsid w:val="234D4CE0"/>
    <w:rsid w:val="23571659"/>
    <w:rsid w:val="236D2C2B"/>
    <w:rsid w:val="23897339"/>
    <w:rsid w:val="23906919"/>
    <w:rsid w:val="239366F2"/>
    <w:rsid w:val="23955CDE"/>
    <w:rsid w:val="23A83C63"/>
    <w:rsid w:val="23A979DB"/>
    <w:rsid w:val="23B51EDC"/>
    <w:rsid w:val="23B63535"/>
    <w:rsid w:val="23D031BA"/>
    <w:rsid w:val="23DA7B95"/>
    <w:rsid w:val="23E37510"/>
    <w:rsid w:val="23E80EAC"/>
    <w:rsid w:val="23E822B1"/>
    <w:rsid w:val="23ED0875"/>
    <w:rsid w:val="23ED78C8"/>
    <w:rsid w:val="23EE3640"/>
    <w:rsid w:val="23FC7B0B"/>
    <w:rsid w:val="2412732E"/>
    <w:rsid w:val="24297E46"/>
    <w:rsid w:val="243038E0"/>
    <w:rsid w:val="2432352D"/>
    <w:rsid w:val="24443260"/>
    <w:rsid w:val="244A0EBF"/>
    <w:rsid w:val="245259F0"/>
    <w:rsid w:val="245416F5"/>
    <w:rsid w:val="24561DB9"/>
    <w:rsid w:val="24586EF5"/>
    <w:rsid w:val="2472601F"/>
    <w:rsid w:val="247B3126"/>
    <w:rsid w:val="24832D6D"/>
    <w:rsid w:val="24857B00"/>
    <w:rsid w:val="24873E5B"/>
    <w:rsid w:val="24993465"/>
    <w:rsid w:val="249B37C8"/>
    <w:rsid w:val="249B7324"/>
    <w:rsid w:val="249D7540"/>
    <w:rsid w:val="249E0BC2"/>
    <w:rsid w:val="24AB32DF"/>
    <w:rsid w:val="24AC7783"/>
    <w:rsid w:val="24B2466D"/>
    <w:rsid w:val="24D32F62"/>
    <w:rsid w:val="24EA3E07"/>
    <w:rsid w:val="24EC4023"/>
    <w:rsid w:val="24F55B21"/>
    <w:rsid w:val="24F63A5D"/>
    <w:rsid w:val="24FF3D57"/>
    <w:rsid w:val="250E3F9A"/>
    <w:rsid w:val="251D242F"/>
    <w:rsid w:val="252235A1"/>
    <w:rsid w:val="25227A45"/>
    <w:rsid w:val="252512E3"/>
    <w:rsid w:val="25302162"/>
    <w:rsid w:val="25360A40"/>
    <w:rsid w:val="253A3592"/>
    <w:rsid w:val="2547125A"/>
    <w:rsid w:val="25502D4B"/>
    <w:rsid w:val="255A0F8D"/>
    <w:rsid w:val="255E0351"/>
    <w:rsid w:val="25675458"/>
    <w:rsid w:val="256C2A6E"/>
    <w:rsid w:val="256E4A38"/>
    <w:rsid w:val="257220CB"/>
    <w:rsid w:val="257746C8"/>
    <w:rsid w:val="25805C82"/>
    <w:rsid w:val="259310AF"/>
    <w:rsid w:val="25A62424"/>
    <w:rsid w:val="25A95A70"/>
    <w:rsid w:val="25B00611"/>
    <w:rsid w:val="25C0407C"/>
    <w:rsid w:val="25C7239A"/>
    <w:rsid w:val="25DB3C1C"/>
    <w:rsid w:val="25E602E6"/>
    <w:rsid w:val="25EB6089"/>
    <w:rsid w:val="25EB7E37"/>
    <w:rsid w:val="25F0369F"/>
    <w:rsid w:val="25FF38E2"/>
    <w:rsid w:val="26017C95"/>
    <w:rsid w:val="26063737"/>
    <w:rsid w:val="26153106"/>
    <w:rsid w:val="26155A79"/>
    <w:rsid w:val="261A071C"/>
    <w:rsid w:val="261C6242"/>
    <w:rsid w:val="261E4919"/>
    <w:rsid w:val="261F21D6"/>
    <w:rsid w:val="26211AAB"/>
    <w:rsid w:val="26284BE7"/>
    <w:rsid w:val="262B46D7"/>
    <w:rsid w:val="264D464E"/>
    <w:rsid w:val="26502390"/>
    <w:rsid w:val="265C6F87"/>
    <w:rsid w:val="265F15A5"/>
    <w:rsid w:val="26663961"/>
    <w:rsid w:val="26667E05"/>
    <w:rsid w:val="266F0A68"/>
    <w:rsid w:val="266F2816"/>
    <w:rsid w:val="26760048"/>
    <w:rsid w:val="268B33C8"/>
    <w:rsid w:val="26907262"/>
    <w:rsid w:val="26971D6D"/>
    <w:rsid w:val="26A821CC"/>
    <w:rsid w:val="26D44D6F"/>
    <w:rsid w:val="26DC3C24"/>
    <w:rsid w:val="26E0284D"/>
    <w:rsid w:val="26F7280B"/>
    <w:rsid w:val="270D7F0C"/>
    <w:rsid w:val="270F224B"/>
    <w:rsid w:val="272670A4"/>
    <w:rsid w:val="272F01F7"/>
    <w:rsid w:val="27346553"/>
    <w:rsid w:val="274C6FFB"/>
    <w:rsid w:val="275D4D64"/>
    <w:rsid w:val="276C4FA7"/>
    <w:rsid w:val="277125BE"/>
    <w:rsid w:val="277A3B68"/>
    <w:rsid w:val="27962024"/>
    <w:rsid w:val="279646A6"/>
    <w:rsid w:val="27990FF7"/>
    <w:rsid w:val="279938C3"/>
    <w:rsid w:val="27AC6CA1"/>
    <w:rsid w:val="27B16E5E"/>
    <w:rsid w:val="27B801ED"/>
    <w:rsid w:val="27C052F3"/>
    <w:rsid w:val="27CF05B7"/>
    <w:rsid w:val="27D52B4D"/>
    <w:rsid w:val="27D843EB"/>
    <w:rsid w:val="27DC037F"/>
    <w:rsid w:val="27DD5EA5"/>
    <w:rsid w:val="27DF5779"/>
    <w:rsid w:val="27E2526A"/>
    <w:rsid w:val="27E72880"/>
    <w:rsid w:val="28071805"/>
    <w:rsid w:val="28153131"/>
    <w:rsid w:val="281E2746"/>
    <w:rsid w:val="281F201A"/>
    <w:rsid w:val="282043CB"/>
    <w:rsid w:val="28212236"/>
    <w:rsid w:val="28243AD4"/>
    <w:rsid w:val="28341F69"/>
    <w:rsid w:val="28425D08"/>
    <w:rsid w:val="28526139"/>
    <w:rsid w:val="28550131"/>
    <w:rsid w:val="285D68CD"/>
    <w:rsid w:val="28642123"/>
    <w:rsid w:val="286839C1"/>
    <w:rsid w:val="286F3130"/>
    <w:rsid w:val="28700AC7"/>
    <w:rsid w:val="2874236C"/>
    <w:rsid w:val="287E1436"/>
    <w:rsid w:val="28812400"/>
    <w:rsid w:val="288D32C1"/>
    <w:rsid w:val="28902F18"/>
    <w:rsid w:val="28A1327F"/>
    <w:rsid w:val="28A644E9"/>
    <w:rsid w:val="28AE0F0A"/>
    <w:rsid w:val="28BE7A85"/>
    <w:rsid w:val="28C8183E"/>
    <w:rsid w:val="28CD6E8D"/>
    <w:rsid w:val="28E514B5"/>
    <w:rsid w:val="28E62B38"/>
    <w:rsid w:val="28F25980"/>
    <w:rsid w:val="28FE22CE"/>
    <w:rsid w:val="28FE2577"/>
    <w:rsid w:val="290C1785"/>
    <w:rsid w:val="291647CC"/>
    <w:rsid w:val="29171045"/>
    <w:rsid w:val="292518B2"/>
    <w:rsid w:val="29455AB0"/>
    <w:rsid w:val="294E0E09"/>
    <w:rsid w:val="294F4B81"/>
    <w:rsid w:val="295D54F0"/>
    <w:rsid w:val="2970244C"/>
    <w:rsid w:val="298011DE"/>
    <w:rsid w:val="29826D04"/>
    <w:rsid w:val="298E7457"/>
    <w:rsid w:val="298F4F7D"/>
    <w:rsid w:val="299627B0"/>
    <w:rsid w:val="2996630C"/>
    <w:rsid w:val="299A3DFC"/>
    <w:rsid w:val="29AA5021"/>
    <w:rsid w:val="29CA7D4F"/>
    <w:rsid w:val="29E277A3"/>
    <w:rsid w:val="29EE7EF6"/>
    <w:rsid w:val="29F37C02"/>
    <w:rsid w:val="2A027E45"/>
    <w:rsid w:val="2A0A5DAF"/>
    <w:rsid w:val="2A0B4F4C"/>
    <w:rsid w:val="2A1A518F"/>
    <w:rsid w:val="2A1C4276"/>
    <w:rsid w:val="2A2A36FF"/>
    <w:rsid w:val="2A36189D"/>
    <w:rsid w:val="2A377AEF"/>
    <w:rsid w:val="2A581B8D"/>
    <w:rsid w:val="2A5A1A2F"/>
    <w:rsid w:val="2A7C0B78"/>
    <w:rsid w:val="2A7F491A"/>
    <w:rsid w:val="2A81520E"/>
    <w:rsid w:val="2A8B7E3A"/>
    <w:rsid w:val="2A8F792B"/>
    <w:rsid w:val="2AA35184"/>
    <w:rsid w:val="2AD63457"/>
    <w:rsid w:val="2AD6555A"/>
    <w:rsid w:val="2ADE61BC"/>
    <w:rsid w:val="2AE00186"/>
    <w:rsid w:val="2AF6454E"/>
    <w:rsid w:val="2AFB4FC0"/>
    <w:rsid w:val="2B157704"/>
    <w:rsid w:val="2B231857"/>
    <w:rsid w:val="2B2F25F3"/>
    <w:rsid w:val="2B34402E"/>
    <w:rsid w:val="2B400C25"/>
    <w:rsid w:val="2B487ADA"/>
    <w:rsid w:val="2B4D6E9E"/>
    <w:rsid w:val="2B5621F6"/>
    <w:rsid w:val="2B595843"/>
    <w:rsid w:val="2B5B5A5F"/>
    <w:rsid w:val="2B6C37C8"/>
    <w:rsid w:val="2B7E34FB"/>
    <w:rsid w:val="2B7E52A9"/>
    <w:rsid w:val="2B801021"/>
    <w:rsid w:val="2B905933"/>
    <w:rsid w:val="2BA74800"/>
    <w:rsid w:val="2BAA2542"/>
    <w:rsid w:val="2BAA5F79"/>
    <w:rsid w:val="2BAD5CA4"/>
    <w:rsid w:val="2BB02DF3"/>
    <w:rsid w:val="2BBD3FD1"/>
    <w:rsid w:val="2BC7377E"/>
    <w:rsid w:val="2BCC1090"/>
    <w:rsid w:val="2BF612E4"/>
    <w:rsid w:val="2BF73439"/>
    <w:rsid w:val="2BF75119"/>
    <w:rsid w:val="2BFE6E4E"/>
    <w:rsid w:val="2C025EDA"/>
    <w:rsid w:val="2C043A01"/>
    <w:rsid w:val="2C0954BB"/>
    <w:rsid w:val="2C1005F7"/>
    <w:rsid w:val="2C11611D"/>
    <w:rsid w:val="2C2978BF"/>
    <w:rsid w:val="2C2B3683"/>
    <w:rsid w:val="2C3A38C6"/>
    <w:rsid w:val="2C3F2C8B"/>
    <w:rsid w:val="2C4209CD"/>
    <w:rsid w:val="2C485257"/>
    <w:rsid w:val="2C6646BB"/>
    <w:rsid w:val="2C730B86"/>
    <w:rsid w:val="2C736DD8"/>
    <w:rsid w:val="2C7A0167"/>
    <w:rsid w:val="2C8325AE"/>
    <w:rsid w:val="2C8763E0"/>
    <w:rsid w:val="2C924E45"/>
    <w:rsid w:val="2CB216AE"/>
    <w:rsid w:val="2CB27900"/>
    <w:rsid w:val="2CB63A29"/>
    <w:rsid w:val="2CB90C8F"/>
    <w:rsid w:val="2CB96BFC"/>
    <w:rsid w:val="2CDE1189"/>
    <w:rsid w:val="2CDF7FCA"/>
    <w:rsid w:val="2CED26E7"/>
    <w:rsid w:val="2CEF2903"/>
    <w:rsid w:val="2CF241A1"/>
    <w:rsid w:val="2CF33A75"/>
    <w:rsid w:val="2CF73565"/>
    <w:rsid w:val="2CFE66A2"/>
    <w:rsid w:val="2CFF241A"/>
    <w:rsid w:val="2D095047"/>
    <w:rsid w:val="2D0A773C"/>
    <w:rsid w:val="2D0F4B62"/>
    <w:rsid w:val="2D14247A"/>
    <w:rsid w:val="2D17796B"/>
    <w:rsid w:val="2D2229F4"/>
    <w:rsid w:val="2D265BF9"/>
    <w:rsid w:val="2D2A393B"/>
    <w:rsid w:val="2D2E3237"/>
    <w:rsid w:val="2D2F2CFF"/>
    <w:rsid w:val="2D355E3C"/>
    <w:rsid w:val="2D3804F3"/>
    <w:rsid w:val="2D460049"/>
    <w:rsid w:val="2D4A18E7"/>
    <w:rsid w:val="2D4F15F3"/>
    <w:rsid w:val="2D522E91"/>
    <w:rsid w:val="2D5B3AF4"/>
    <w:rsid w:val="2D6A1F89"/>
    <w:rsid w:val="2D76092E"/>
    <w:rsid w:val="2D766B80"/>
    <w:rsid w:val="2D83129D"/>
    <w:rsid w:val="2D855015"/>
    <w:rsid w:val="2D961506"/>
    <w:rsid w:val="2D9B2143"/>
    <w:rsid w:val="2DAA682A"/>
    <w:rsid w:val="2DAC07F4"/>
    <w:rsid w:val="2DB51F80"/>
    <w:rsid w:val="2DB87198"/>
    <w:rsid w:val="2DC1654E"/>
    <w:rsid w:val="2DC21DC5"/>
    <w:rsid w:val="2DCC054E"/>
    <w:rsid w:val="2DCF7851"/>
    <w:rsid w:val="2DDA2D67"/>
    <w:rsid w:val="2DDE3ABC"/>
    <w:rsid w:val="2DDF2977"/>
    <w:rsid w:val="2DE0049D"/>
    <w:rsid w:val="2DE75388"/>
    <w:rsid w:val="2DEA30CA"/>
    <w:rsid w:val="2DEA7A6B"/>
    <w:rsid w:val="2DEB71E0"/>
    <w:rsid w:val="2DED49C9"/>
    <w:rsid w:val="2DF06932"/>
    <w:rsid w:val="2DF674F5"/>
    <w:rsid w:val="2DF67CC1"/>
    <w:rsid w:val="2DF80AD5"/>
    <w:rsid w:val="2E0C2B40"/>
    <w:rsid w:val="2E0C5805"/>
    <w:rsid w:val="2E0E500A"/>
    <w:rsid w:val="2E204D3E"/>
    <w:rsid w:val="2E234A8E"/>
    <w:rsid w:val="2E24482E"/>
    <w:rsid w:val="2E2959A0"/>
    <w:rsid w:val="2E3031D3"/>
    <w:rsid w:val="2E310CF9"/>
    <w:rsid w:val="2E3B2871"/>
    <w:rsid w:val="2E3D144C"/>
    <w:rsid w:val="2E4122A3"/>
    <w:rsid w:val="2E440A2C"/>
    <w:rsid w:val="2E505623"/>
    <w:rsid w:val="2E516CA5"/>
    <w:rsid w:val="2E5F7614"/>
    <w:rsid w:val="2E683FB0"/>
    <w:rsid w:val="2E6E3675"/>
    <w:rsid w:val="2E6E5AA9"/>
    <w:rsid w:val="2E7110F5"/>
    <w:rsid w:val="2E756E38"/>
    <w:rsid w:val="2E786928"/>
    <w:rsid w:val="2E823302"/>
    <w:rsid w:val="2EA8720D"/>
    <w:rsid w:val="2EAA1035"/>
    <w:rsid w:val="2EAA4B78"/>
    <w:rsid w:val="2EB92876"/>
    <w:rsid w:val="2EC1267E"/>
    <w:rsid w:val="2EC144B3"/>
    <w:rsid w:val="2ECD1E34"/>
    <w:rsid w:val="2EE10029"/>
    <w:rsid w:val="2EED3D6C"/>
    <w:rsid w:val="2EF22236"/>
    <w:rsid w:val="2EF82542"/>
    <w:rsid w:val="2F0361F1"/>
    <w:rsid w:val="2F0E473E"/>
    <w:rsid w:val="2F146650"/>
    <w:rsid w:val="2F210D6D"/>
    <w:rsid w:val="2F2B1BEC"/>
    <w:rsid w:val="2F3B1E2F"/>
    <w:rsid w:val="2F3C14A7"/>
    <w:rsid w:val="2F454A5C"/>
    <w:rsid w:val="2F4B1946"/>
    <w:rsid w:val="2F520F27"/>
    <w:rsid w:val="2F522CD5"/>
    <w:rsid w:val="2F656EAC"/>
    <w:rsid w:val="2F6A6270"/>
    <w:rsid w:val="2F701452"/>
    <w:rsid w:val="2F715851"/>
    <w:rsid w:val="2F875074"/>
    <w:rsid w:val="2F882B9B"/>
    <w:rsid w:val="2F8B71B4"/>
    <w:rsid w:val="2F9978C6"/>
    <w:rsid w:val="2F9D7CEC"/>
    <w:rsid w:val="2FB13E9F"/>
    <w:rsid w:val="2FB35E69"/>
    <w:rsid w:val="2FB67708"/>
    <w:rsid w:val="2FDB716E"/>
    <w:rsid w:val="2FEA5603"/>
    <w:rsid w:val="2FF26266"/>
    <w:rsid w:val="2FF40230"/>
    <w:rsid w:val="2FFD0E93"/>
    <w:rsid w:val="300D4E4E"/>
    <w:rsid w:val="30125257"/>
    <w:rsid w:val="30134B5A"/>
    <w:rsid w:val="303625F7"/>
    <w:rsid w:val="305034D1"/>
    <w:rsid w:val="305667F5"/>
    <w:rsid w:val="3058256D"/>
    <w:rsid w:val="30586A11"/>
    <w:rsid w:val="305C484F"/>
    <w:rsid w:val="30654C8A"/>
    <w:rsid w:val="306B6744"/>
    <w:rsid w:val="307373A7"/>
    <w:rsid w:val="3075311F"/>
    <w:rsid w:val="30872E52"/>
    <w:rsid w:val="308D081C"/>
    <w:rsid w:val="309C4B4F"/>
    <w:rsid w:val="309C68FD"/>
    <w:rsid w:val="30A02FFD"/>
    <w:rsid w:val="30A76A5E"/>
    <w:rsid w:val="30AC779C"/>
    <w:rsid w:val="30B005FB"/>
    <w:rsid w:val="30B50E3C"/>
    <w:rsid w:val="30BA6D84"/>
    <w:rsid w:val="30BC6FA0"/>
    <w:rsid w:val="30C24997"/>
    <w:rsid w:val="30C3310C"/>
    <w:rsid w:val="30D00355"/>
    <w:rsid w:val="30D229C3"/>
    <w:rsid w:val="30E20088"/>
    <w:rsid w:val="30F43CB7"/>
    <w:rsid w:val="3103697D"/>
    <w:rsid w:val="31050043"/>
    <w:rsid w:val="310E0E7D"/>
    <w:rsid w:val="31132938"/>
    <w:rsid w:val="31172428"/>
    <w:rsid w:val="31180D9C"/>
    <w:rsid w:val="31197F4E"/>
    <w:rsid w:val="31342FDA"/>
    <w:rsid w:val="313750BC"/>
    <w:rsid w:val="313C59EB"/>
    <w:rsid w:val="314825E1"/>
    <w:rsid w:val="314F5BCA"/>
    <w:rsid w:val="315578D0"/>
    <w:rsid w:val="3159659D"/>
    <w:rsid w:val="31701B38"/>
    <w:rsid w:val="31774C75"/>
    <w:rsid w:val="3179279B"/>
    <w:rsid w:val="317E6003"/>
    <w:rsid w:val="31935EC2"/>
    <w:rsid w:val="31AC3B22"/>
    <w:rsid w:val="31B109BF"/>
    <w:rsid w:val="31BE4652"/>
    <w:rsid w:val="31CC4FC0"/>
    <w:rsid w:val="31CD0D39"/>
    <w:rsid w:val="31DD71CE"/>
    <w:rsid w:val="31E3230A"/>
    <w:rsid w:val="31E5260D"/>
    <w:rsid w:val="31E63BA8"/>
    <w:rsid w:val="31EF6985"/>
    <w:rsid w:val="3207249C"/>
    <w:rsid w:val="320A5AE9"/>
    <w:rsid w:val="3218343D"/>
    <w:rsid w:val="322B3D92"/>
    <w:rsid w:val="322D17D7"/>
    <w:rsid w:val="3238470D"/>
    <w:rsid w:val="323864BB"/>
    <w:rsid w:val="32386D71"/>
    <w:rsid w:val="327476A0"/>
    <w:rsid w:val="32764F2C"/>
    <w:rsid w:val="32833489"/>
    <w:rsid w:val="3287538B"/>
    <w:rsid w:val="329830F5"/>
    <w:rsid w:val="32A14F93"/>
    <w:rsid w:val="32C54255"/>
    <w:rsid w:val="32CA1246"/>
    <w:rsid w:val="32D16607"/>
    <w:rsid w:val="32E91BA2"/>
    <w:rsid w:val="32E97DF4"/>
    <w:rsid w:val="32EB591A"/>
    <w:rsid w:val="32FF4F22"/>
    <w:rsid w:val="33016EEC"/>
    <w:rsid w:val="33296443"/>
    <w:rsid w:val="33405270"/>
    <w:rsid w:val="33435756"/>
    <w:rsid w:val="33437504"/>
    <w:rsid w:val="334873B2"/>
    <w:rsid w:val="3353508C"/>
    <w:rsid w:val="336B25B7"/>
    <w:rsid w:val="33743B62"/>
    <w:rsid w:val="33791178"/>
    <w:rsid w:val="33866BE8"/>
    <w:rsid w:val="33935522"/>
    <w:rsid w:val="33A53D1B"/>
    <w:rsid w:val="33AB6E58"/>
    <w:rsid w:val="33B02259"/>
    <w:rsid w:val="33B50F81"/>
    <w:rsid w:val="33CA3782"/>
    <w:rsid w:val="33DB54F7"/>
    <w:rsid w:val="33E04D53"/>
    <w:rsid w:val="33E660E2"/>
    <w:rsid w:val="33FA3F36"/>
    <w:rsid w:val="34081FB9"/>
    <w:rsid w:val="340A0022"/>
    <w:rsid w:val="340A6274"/>
    <w:rsid w:val="340D18C0"/>
    <w:rsid w:val="340D366E"/>
    <w:rsid w:val="341669C7"/>
    <w:rsid w:val="341E1D1F"/>
    <w:rsid w:val="34270BD4"/>
    <w:rsid w:val="342F679E"/>
    <w:rsid w:val="34394463"/>
    <w:rsid w:val="343F10D3"/>
    <w:rsid w:val="34425A0E"/>
    <w:rsid w:val="344D7F0F"/>
    <w:rsid w:val="34567602"/>
    <w:rsid w:val="348002E4"/>
    <w:rsid w:val="34806536"/>
    <w:rsid w:val="34914762"/>
    <w:rsid w:val="3491604D"/>
    <w:rsid w:val="34916B65"/>
    <w:rsid w:val="34983880"/>
    <w:rsid w:val="34AF2977"/>
    <w:rsid w:val="34B32468"/>
    <w:rsid w:val="34B561E0"/>
    <w:rsid w:val="34B60429"/>
    <w:rsid w:val="34B62F07"/>
    <w:rsid w:val="34DB19BE"/>
    <w:rsid w:val="34E16FD5"/>
    <w:rsid w:val="34E24AFB"/>
    <w:rsid w:val="34EB2991"/>
    <w:rsid w:val="34F5482E"/>
    <w:rsid w:val="34F76A97"/>
    <w:rsid w:val="34FD7A88"/>
    <w:rsid w:val="34FF38FF"/>
    <w:rsid w:val="35004F81"/>
    <w:rsid w:val="3538296D"/>
    <w:rsid w:val="353B3065"/>
    <w:rsid w:val="3542327A"/>
    <w:rsid w:val="354D5BFB"/>
    <w:rsid w:val="35571045"/>
    <w:rsid w:val="355E0625"/>
    <w:rsid w:val="356279EA"/>
    <w:rsid w:val="3569521C"/>
    <w:rsid w:val="357065AB"/>
    <w:rsid w:val="35775243"/>
    <w:rsid w:val="3578720D"/>
    <w:rsid w:val="358C17D9"/>
    <w:rsid w:val="3592207D"/>
    <w:rsid w:val="359758E5"/>
    <w:rsid w:val="359A7184"/>
    <w:rsid w:val="35AB313F"/>
    <w:rsid w:val="35C04216"/>
    <w:rsid w:val="35CD57AB"/>
    <w:rsid w:val="35D2691D"/>
    <w:rsid w:val="35DC154A"/>
    <w:rsid w:val="35E52AF5"/>
    <w:rsid w:val="35F165B8"/>
    <w:rsid w:val="35F76384"/>
    <w:rsid w:val="35FA5E74"/>
    <w:rsid w:val="35FC1BEC"/>
    <w:rsid w:val="36013FFC"/>
    <w:rsid w:val="3608233F"/>
    <w:rsid w:val="360C75FE"/>
    <w:rsid w:val="361138EA"/>
    <w:rsid w:val="36203B2D"/>
    <w:rsid w:val="36274EBB"/>
    <w:rsid w:val="362A49AB"/>
    <w:rsid w:val="3630448E"/>
    <w:rsid w:val="36363350"/>
    <w:rsid w:val="3638291B"/>
    <w:rsid w:val="36592B9B"/>
    <w:rsid w:val="365A5F61"/>
    <w:rsid w:val="36633A19"/>
    <w:rsid w:val="366C0E45"/>
    <w:rsid w:val="36857E34"/>
    <w:rsid w:val="36877708"/>
    <w:rsid w:val="368C11C2"/>
    <w:rsid w:val="36940077"/>
    <w:rsid w:val="36963DEF"/>
    <w:rsid w:val="36974CC9"/>
    <w:rsid w:val="36A71B58"/>
    <w:rsid w:val="36AB485E"/>
    <w:rsid w:val="36B424C7"/>
    <w:rsid w:val="36C7634F"/>
    <w:rsid w:val="36D14E27"/>
    <w:rsid w:val="36D668E1"/>
    <w:rsid w:val="36D93CDC"/>
    <w:rsid w:val="36D96A36"/>
    <w:rsid w:val="36DF5AEE"/>
    <w:rsid w:val="36E05768"/>
    <w:rsid w:val="36E508D2"/>
    <w:rsid w:val="36EE3C2B"/>
    <w:rsid w:val="36F079A3"/>
    <w:rsid w:val="36F47E38"/>
    <w:rsid w:val="371A187D"/>
    <w:rsid w:val="371B50A8"/>
    <w:rsid w:val="373E2203"/>
    <w:rsid w:val="37405B09"/>
    <w:rsid w:val="375A306E"/>
    <w:rsid w:val="376F3AF8"/>
    <w:rsid w:val="377F2AD5"/>
    <w:rsid w:val="379C71E3"/>
    <w:rsid w:val="37AF33BA"/>
    <w:rsid w:val="37AF71BF"/>
    <w:rsid w:val="37D44BCF"/>
    <w:rsid w:val="37DA7D0B"/>
    <w:rsid w:val="37F05781"/>
    <w:rsid w:val="37F10782"/>
    <w:rsid w:val="37FA03AE"/>
    <w:rsid w:val="38003C16"/>
    <w:rsid w:val="380A6843"/>
    <w:rsid w:val="381256F7"/>
    <w:rsid w:val="3823459E"/>
    <w:rsid w:val="3825542A"/>
    <w:rsid w:val="383036DE"/>
    <w:rsid w:val="38342AA2"/>
    <w:rsid w:val="38455ACD"/>
    <w:rsid w:val="38543F62"/>
    <w:rsid w:val="385B709E"/>
    <w:rsid w:val="385E6B8E"/>
    <w:rsid w:val="386B671F"/>
    <w:rsid w:val="386F66A6"/>
    <w:rsid w:val="38741F0E"/>
    <w:rsid w:val="3876691E"/>
    <w:rsid w:val="387C0DC3"/>
    <w:rsid w:val="388D4D7E"/>
    <w:rsid w:val="38944D54"/>
    <w:rsid w:val="3894610C"/>
    <w:rsid w:val="389A40A3"/>
    <w:rsid w:val="38A74091"/>
    <w:rsid w:val="38A8605B"/>
    <w:rsid w:val="38A9475B"/>
    <w:rsid w:val="38CC7F9C"/>
    <w:rsid w:val="38E2331B"/>
    <w:rsid w:val="38EC7CF6"/>
    <w:rsid w:val="38FF3ECD"/>
    <w:rsid w:val="390F7E89"/>
    <w:rsid w:val="3911775D"/>
    <w:rsid w:val="391B4A7F"/>
    <w:rsid w:val="3925145A"/>
    <w:rsid w:val="39303FF3"/>
    <w:rsid w:val="395104A1"/>
    <w:rsid w:val="3951224F"/>
    <w:rsid w:val="3958538C"/>
    <w:rsid w:val="397523E2"/>
    <w:rsid w:val="397877DC"/>
    <w:rsid w:val="39812B34"/>
    <w:rsid w:val="398B39B3"/>
    <w:rsid w:val="3992290F"/>
    <w:rsid w:val="399E2974"/>
    <w:rsid w:val="39A67B30"/>
    <w:rsid w:val="39A71E6F"/>
    <w:rsid w:val="39AD1B7B"/>
    <w:rsid w:val="39B06F76"/>
    <w:rsid w:val="39BD3555"/>
    <w:rsid w:val="39CE55C8"/>
    <w:rsid w:val="39D30EB6"/>
    <w:rsid w:val="39D46BEB"/>
    <w:rsid w:val="39D555F0"/>
    <w:rsid w:val="39E3734B"/>
    <w:rsid w:val="39ED1F78"/>
    <w:rsid w:val="39F72DF7"/>
    <w:rsid w:val="39F95ACD"/>
    <w:rsid w:val="39FE4185"/>
    <w:rsid w:val="3A03179B"/>
    <w:rsid w:val="3A125E82"/>
    <w:rsid w:val="3A2F07E2"/>
    <w:rsid w:val="3A2F3606"/>
    <w:rsid w:val="3A3E6C77"/>
    <w:rsid w:val="3A43428E"/>
    <w:rsid w:val="3A4A1178"/>
    <w:rsid w:val="3A4D19D4"/>
    <w:rsid w:val="3A541FF7"/>
    <w:rsid w:val="3A542FD5"/>
    <w:rsid w:val="3A577D39"/>
    <w:rsid w:val="3A5C0EAC"/>
    <w:rsid w:val="3A5E69D2"/>
    <w:rsid w:val="3A6366DE"/>
    <w:rsid w:val="3A6A6CFA"/>
    <w:rsid w:val="3A7B3A28"/>
    <w:rsid w:val="3A830B2E"/>
    <w:rsid w:val="3A8723CC"/>
    <w:rsid w:val="3A95616C"/>
    <w:rsid w:val="3A9D19CF"/>
    <w:rsid w:val="3A9D7ECD"/>
    <w:rsid w:val="3AAF36D1"/>
    <w:rsid w:val="3AB24F6F"/>
    <w:rsid w:val="3AB615C5"/>
    <w:rsid w:val="3AB900AC"/>
    <w:rsid w:val="3AC24A90"/>
    <w:rsid w:val="3AC72337"/>
    <w:rsid w:val="3AD44EE6"/>
    <w:rsid w:val="3AE0388B"/>
    <w:rsid w:val="3AF17E70"/>
    <w:rsid w:val="3AF630AE"/>
    <w:rsid w:val="3AFD268F"/>
    <w:rsid w:val="3B15598D"/>
    <w:rsid w:val="3B201ED9"/>
    <w:rsid w:val="3B404329"/>
    <w:rsid w:val="3B457B92"/>
    <w:rsid w:val="3B6049CB"/>
    <w:rsid w:val="3B624E48"/>
    <w:rsid w:val="3B90705F"/>
    <w:rsid w:val="3B942165"/>
    <w:rsid w:val="3B985F13"/>
    <w:rsid w:val="3B9B77FE"/>
    <w:rsid w:val="3B9D751A"/>
    <w:rsid w:val="3BA174BE"/>
    <w:rsid w:val="3BA66882"/>
    <w:rsid w:val="3BAB52A6"/>
    <w:rsid w:val="3BB20C2D"/>
    <w:rsid w:val="3BB6283D"/>
    <w:rsid w:val="3BB70A8F"/>
    <w:rsid w:val="3BB970C6"/>
    <w:rsid w:val="3BBF3CCF"/>
    <w:rsid w:val="3BE474DB"/>
    <w:rsid w:val="3BF35840"/>
    <w:rsid w:val="3BF44037"/>
    <w:rsid w:val="3C0D06AF"/>
    <w:rsid w:val="3C12737C"/>
    <w:rsid w:val="3C2974B3"/>
    <w:rsid w:val="3C326368"/>
    <w:rsid w:val="3C366CC1"/>
    <w:rsid w:val="3C3A521C"/>
    <w:rsid w:val="3C4405FB"/>
    <w:rsid w:val="3C526A0A"/>
    <w:rsid w:val="3C8A61A4"/>
    <w:rsid w:val="3C964B49"/>
    <w:rsid w:val="3C9963E7"/>
    <w:rsid w:val="3C9C47EB"/>
    <w:rsid w:val="3CA64660"/>
    <w:rsid w:val="3CB13731"/>
    <w:rsid w:val="3CC858B0"/>
    <w:rsid w:val="3CC91AD0"/>
    <w:rsid w:val="3CCD7E3F"/>
    <w:rsid w:val="3CD11E57"/>
    <w:rsid w:val="3CDC23E6"/>
    <w:rsid w:val="3CDC4526"/>
    <w:rsid w:val="3CDD72E2"/>
    <w:rsid w:val="3CE656CA"/>
    <w:rsid w:val="3CE84C78"/>
    <w:rsid w:val="3CFB0E50"/>
    <w:rsid w:val="3D0118C6"/>
    <w:rsid w:val="3D075D05"/>
    <w:rsid w:val="3D18170C"/>
    <w:rsid w:val="3D18555E"/>
    <w:rsid w:val="3D332398"/>
    <w:rsid w:val="3D35086E"/>
    <w:rsid w:val="3D382BB4"/>
    <w:rsid w:val="3D3B56F0"/>
    <w:rsid w:val="3D4222F5"/>
    <w:rsid w:val="3D4A76E1"/>
    <w:rsid w:val="3D5440BC"/>
    <w:rsid w:val="3D553242"/>
    <w:rsid w:val="3D6443AF"/>
    <w:rsid w:val="3D8449A1"/>
    <w:rsid w:val="3D977900"/>
    <w:rsid w:val="3DB1150E"/>
    <w:rsid w:val="3DC05072"/>
    <w:rsid w:val="3DC94AAA"/>
    <w:rsid w:val="3DD1570D"/>
    <w:rsid w:val="3DDB54C2"/>
    <w:rsid w:val="3DDD26FC"/>
    <w:rsid w:val="3DE43692"/>
    <w:rsid w:val="3DF8713D"/>
    <w:rsid w:val="3DFD6502"/>
    <w:rsid w:val="3DFF227A"/>
    <w:rsid w:val="3E021D6A"/>
    <w:rsid w:val="3E073555"/>
    <w:rsid w:val="3E1201FF"/>
    <w:rsid w:val="3E1675C3"/>
    <w:rsid w:val="3E1A70B4"/>
    <w:rsid w:val="3E1D0952"/>
    <w:rsid w:val="3E263CAA"/>
    <w:rsid w:val="3E2919ED"/>
    <w:rsid w:val="3E3068D7"/>
    <w:rsid w:val="3E3318C2"/>
    <w:rsid w:val="3E467DCB"/>
    <w:rsid w:val="3E5A53B5"/>
    <w:rsid w:val="3E66679D"/>
    <w:rsid w:val="3E6D498B"/>
    <w:rsid w:val="3E944F0F"/>
    <w:rsid w:val="3E9E7CE5"/>
    <w:rsid w:val="3E9F580B"/>
    <w:rsid w:val="3EA80B63"/>
    <w:rsid w:val="3EB502BC"/>
    <w:rsid w:val="3EC82FB3"/>
    <w:rsid w:val="3ED43706"/>
    <w:rsid w:val="3EDC6A5F"/>
    <w:rsid w:val="3EE71612"/>
    <w:rsid w:val="3EE75DB1"/>
    <w:rsid w:val="3EEB27FE"/>
    <w:rsid w:val="3EED2A1A"/>
    <w:rsid w:val="3EEE0EBF"/>
    <w:rsid w:val="3EFA6F2F"/>
    <w:rsid w:val="3F122481"/>
    <w:rsid w:val="3F171845"/>
    <w:rsid w:val="3F19380F"/>
    <w:rsid w:val="3F225EA4"/>
    <w:rsid w:val="3F283A52"/>
    <w:rsid w:val="3F2F4DE1"/>
    <w:rsid w:val="3F312800"/>
    <w:rsid w:val="3F340649"/>
    <w:rsid w:val="3F3D74FE"/>
    <w:rsid w:val="3F4A7370"/>
    <w:rsid w:val="3F4D34B9"/>
    <w:rsid w:val="3F516B05"/>
    <w:rsid w:val="3F554271"/>
    <w:rsid w:val="3F581C2E"/>
    <w:rsid w:val="3F59277A"/>
    <w:rsid w:val="3F5D7BA0"/>
    <w:rsid w:val="3F6A3B8E"/>
    <w:rsid w:val="3F6F51DD"/>
    <w:rsid w:val="3F7153F9"/>
    <w:rsid w:val="3F7647BE"/>
    <w:rsid w:val="3F770324"/>
    <w:rsid w:val="3F770B22"/>
    <w:rsid w:val="3F7A2500"/>
    <w:rsid w:val="3F846116"/>
    <w:rsid w:val="3F984734"/>
    <w:rsid w:val="3F9B2476"/>
    <w:rsid w:val="3FAF1A7E"/>
    <w:rsid w:val="3FB670F6"/>
    <w:rsid w:val="3FC1012F"/>
    <w:rsid w:val="3FC4377B"/>
    <w:rsid w:val="3FCA4B09"/>
    <w:rsid w:val="3FD55988"/>
    <w:rsid w:val="3FDA2F9E"/>
    <w:rsid w:val="3FDD7AB1"/>
    <w:rsid w:val="3FEE25A6"/>
    <w:rsid w:val="4004001B"/>
    <w:rsid w:val="40055B41"/>
    <w:rsid w:val="40084901"/>
    <w:rsid w:val="40112738"/>
    <w:rsid w:val="40113B92"/>
    <w:rsid w:val="401144E6"/>
    <w:rsid w:val="4013025E"/>
    <w:rsid w:val="40157022"/>
    <w:rsid w:val="401F09B1"/>
    <w:rsid w:val="40210BCD"/>
    <w:rsid w:val="402266F3"/>
    <w:rsid w:val="402B1A4C"/>
    <w:rsid w:val="403C5A07"/>
    <w:rsid w:val="4047615A"/>
    <w:rsid w:val="404F7850"/>
    <w:rsid w:val="40721429"/>
    <w:rsid w:val="40752CC7"/>
    <w:rsid w:val="409A19BC"/>
    <w:rsid w:val="40A1586A"/>
    <w:rsid w:val="40AA6276"/>
    <w:rsid w:val="40C17CBA"/>
    <w:rsid w:val="40C63523"/>
    <w:rsid w:val="40C65EC6"/>
    <w:rsid w:val="40C70F5A"/>
    <w:rsid w:val="40C90B3F"/>
    <w:rsid w:val="40D45A76"/>
    <w:rsid w:val="40DE261A"/>
    <w:rsid w:val="40FC36E9"/>
    <w:rsid w:val="410858E9"/>
    <w:rsid w:val="410B7187"/>
    <w:rsid w:val="4114603C"/>
    <w:rsid w:val="41265D6F"/>
    <w:rsid w:val="412A3AB2"/>
    <w:rsid w:val="415A1F35"/>
    <w:rsid w:val="417116E0"/>
    <w:rsid w:val="41727207"/>
    <w:rsid w:val="41742F7F"/>
    <w:rsid w:val="41765A39"/>
    <w:rsid w:val="417662C5"/>
    <w:rsid w:val="418036D2"/>
    <w:rsid w:val="418331C2"/>
    <w:rsid w:val="418D67EB"/>
    <w:rsid w:val="418E2292"/>
    <w:rsid w:val="41955928"/>
    <w:rsid w:val="419E091F"/>
    <w:rsid w:val="419E7FFC"/>
    <w:rsid w:val="41AA4BF2"/>
    <w:rsid w:val="41B30401"/>
    <w:rsid w:val="41C37A62"/>
    <w:rsid w:val="41C94B50"/>
    <w:rsid w:val="41CB31B9"/>
    <w:rsid w:val="41DF489C"/>
    <w:rsid w:val="41E023C2"/>
    <w:rsid w:val="41E2613A"/>
    <w:rsid w:val="41E51EAC"/>
    <w:rsid w:val="41E81277"/>
    <w:rsid w:val="41F45E6E"/>
    <w:rsid w:val="42024797"/>
    <w:rsid w:val="4206288D"/>
    <w:rsid w:val="42097B6B"/>
    <w:rsid w:val="420F2CA7"/>
    <w:rsid w:val="422E137F"/>
    <w:rsid w:val="42376337"/>
    <w:rsid w:val="42383FAC"/>
    <w:rsid w:val="423A41C8"/>
    <w:rsid w:val="4250579A"/>
    <w:rsid w:val="425777D5"/>
    <w:rsid w:val="425D1C65"/>
    <w:rsid w:val="42613503"/>
    <w:rsid w:val="426D634C"/>
    <w:rsid w:val="427755DD"/>
    <w:rsid w:val="428B582D"/>
    <w:rsid w:val="428E1E1E"/>
    <w:rsid w:val="42924DEF"/>
    <w:rsid w:val="42A15E04"/>
    <w:rsid w:val="42BF46CD"/>
    <w:rsid w:val="42CB7E62"/>
    <w:rsid w:val="42CD2946"/>
    <w:rsid w:val="42D24401"/>
    <w:rsid w:val="42E22BF7"/>
    <w:rsid w:val="42E44134"/>
    <w:rsid w:val="42E67EAC"/>
    <w:rsid w:val="42E83C24"/>
    <w:rsid w:val="42EF5206"/>
    <w:rsid w:val="43061CCD"/>
    <w:rsid w:val="431C0D6C"/>
    <w:rsid w:val="43291B47"/>
    <w:rsid w:val="432B58BF"/>
    <w:rsid w:val="432E715D"/>
    <w:rsid w:val="43346222"/>
    <w:rsid w:val="43351B52"/>
    <w:rsid w:val="433C3342"/>
    <w:rsid w:val="434D1CD9"/>
    <w:rsid w:val="43505326"/>
    <w:rsid w:val="435968D0"/>
    <w:rsid w:val="435C3CCA"/>
    <w:rsid w:val="4366367B"/>
    <w:rsid w:val="436B215F"/>
    <w:rsid w:val="439873F8"/>
    <w:rsid w:val="43A318F9"/>
    <w:rsid w:val="43A32387"/>
    <w:rsid w:val="43A63197"/>
    <w:rsid w:val="43A879D0"/>
    <w:rsid w:val="43B0739B"/>
    <w:rsid w:val="43B27D8E"/>
    <w:rsid w:val="43B366A0"/>
    <w:rsid w:val="43B56534"/>
    <w:rsid w:val="43B66121"/>
    <w:rsid w:val="43BE75C1"/>
    <w:rsid w:val="43C71A8C"/>
    <w:rsid w:val="43D16466"/>
    <w:rsid w:val="43F65ECD"/>
    <w:rsid w:val="441B1DD7"/>
    <w:rsid w:val="44210A85"/>
    <w:rsid w:val="442B3B6E"/>
    <w:rsid w:val="442C18EF"/>
    <w:rsid w:val="443133A9"/>
    <w:rsid w:val="443609BF"/>
    <w:rsid w:val="44370F10"/>
    <w:rsid w:val="44427364"/>
    <w:rsid w:val="44434FD4"/>
    <w:rsid w:val="4446527F"/>
    <w:rsid w:val="44472BCC"/>
    <w:rsid w:val="444E06E1"/>
    <w:rsid w:val="4453331F"/>
    <w:rsid w:val="445552E9"/>
    <w:rsid w:val="446E2DED"/>
    <w:rsid w:val="447A08AC"/>
    <w:rsid w:val="447B4624"/>
    <w:rsid w:val="447D039C"/>
    <w:rsid w:val="448B2AB9"/>
    <w:rsid w:val="449F0313"/>
    <w:rsid w:val="44AE0556"/>
    <w:rsid w:val="44BE211C"/>
    <w:rsid w:val="44C71617"/>
    <w:rsid w:val="44CB55AC"/>
    <w:rsid w:val="44CD4E80"/>
    <w:rsid w:val="44D3620E"/>
    <w:rsid w:val="44E4666D"/>
    <w:rsid w:val="44EE129A"/>
    <w:rsid w:val="44F56185"/>
    <w:rsid w:val="44F93EC7"/>
    <w:rsid w:val="450241CA"/>
    <w:rsid w:val="45124F88"/>
    <w:rsid w:val="451E392D"/>
    <w:rsid w:val="45252F0E"/>
    <w:rsid w:val="453375C2"/>
    <w:rsid w:val="45343151"/>
    <w:rsid w:val="453573FC"/>
    <w:rsid w:val="453749EF"/>
    <w:rsid w:val="45430DBC"/>
    <w:rsid w:val="45513D03"/>
    <w:rsid w:val="45576E3F"/>
    <w:rsid w:val="45681BB5"/>
    <w:rsid w:val="45684BA8"/>
    <w:rsid w:val="456D78F8"/>
    <w:rsid w:val="4570065B"/>
    <w:rsid w:val="4577303D"/>
    <w:rsid w:val="457A4E08"/>
    <w:rsid w:val="457C4AF8"/>
    <w:rsid w:val="45982A94"/>
    <w:rsid w:val="45A74C0A"/>
    <w:rsid w:val="45A81449"/>
    <w:rsid w:val="45AC718B"/>
    <w:rsid w:val="45B002FD"/>
    <w:rsid w:val="45C02C36"/>
    <w:rsid w:val="45CD0EAF"/>
    <w:rsid w:val="45CE5353"/>
    <w:rsid w:val="45CF2E79"/>
    <w:rsid w:val="45D97854"/>
    <w:rsid w:val="45EE1552"/>
    <w:rsid w:val="45F97EF6"/>
    <w:rsid w:val="460111D7"/>
    <w:rsid w:val="46083A2E"/>
    <w:rsid w:val="460C19D8"/>
    <w:rsid w:val="460D5750"/>
    <w:rsid w:val="460E39A2"/>
    <w:rsid w:val="461940F5"/>
    <w:rsid w:val="46246841"/>
    <w:rsid w:val="46307B3F"/>
    <w:rsid w:val="463351B6"/>
    <w:rsid w:val="463801A1"/>
    <w:rsid w:val="463F7FFF"/>
    <w:rsid w:val="465B4BB7"/>
    <w:rsid w:val="465F41FD"/>
    <w:rsid w:val="46691770"/>
    <w:rsid w:val="466E2692"/>
    <w:rsid w:val="46794700"/>
    <w:rsid w:val="46805F22"/>
    <w:rsid w:val="46A936CA"/>
    <w:rsid w:val="46B67B95"/>
    <w:rsid w:val="46C87FF5"/>
    <w:rsid w:val="46CE4EDF"/>
    <w:rsid w:val="46D06EA9"/>
    <w:rsid w:val="46D21C8C"/>
    <w:rsid w:val="46D647C4"/>
    <w:rsid w:val="46D83FB0"/>
    <w:rsid w:val="46E0320A"/>
    <w:rsid w:val="46E14C12"/>
    <w:rsid w:val="46E22739"/>
    <w:rsid w:val="46E75FA1"/>
    <w:rsid w:val="46EE0AA7"/>
    <w:rsid w:val="46F8045A"/>
    <w:rsid w:val="46FF5FE0"/>
    <w:rsid w:val="470923BB"/>
    <w:rsid w:val="470D1EAB"/>
    <w:rsid w:val="47154451"/>
    <w:rsid w:val="471A1ED2"/>
    <w:rsid w:val="47266AC9"/>
    <w:rsid w:val="4735058C"/>
    <w:rsid w:val="473C7EF9"/>
    <w:rsid w:val="474451A1"/>
    <w:rsid w:val="4746716B"/>
    <w:rsid w:val="476154E3"/>
    <w:rsid w:val="476A10AC"/>
    <w:rsid w:val="476E221E"/>
    <w:rsid w:val="47737835"/>
    <w:rsid w:val="477A6E15"/>
    <w:rsid w:val="477F0273"/>
    <w:rsid w:val="477F442B"/>
    <w:rsid w:val="4780267D"/>
    <w:rsid w:val="4783216D"/>
    <w:rsid w:val="47887784"/>
    <w:rsid w:val="478A7058"/>
    <w:rsid w:val="479003E6"/>
    <w:rsid w:val="47971775"/>
    <w:rsid w:val="479E0D55"/>
    <w:rsid w:val="479E529B"/>
    <w:rsid w:val="47A345BE"/>
    <w:rsid w:val="47A466FA"/>
    <w:rsid w:val="47A520E4"/>
    <w:rsid w:val="47AE3030"/>
    <w:rsid w:val="47B538B4"/>
    <w:rsid w:val="47B57E4D"/>
    <w:rsid w:val="47BC742D"/>
    <w:rsid w:val="47DD7AD0"/>
    <w:rsid w:val="47E10C42"/>
    <w:rsid w:val="47E524E0"/>
    <w:rsid w:val="47F6293F"/>
    <w:rsid w:val="47F95F8C"/>
    <w:rsid w:val="4807654D"/>
    <w:rsid w:val="48082673"/>
    <w:rsid w:val="48090880"/>
    <w:rsid w:val="48111527"/>
    <w:rsid w:val="4820176A"/>
    <w:rsid w:val="48547F16"/>
    <w:rsid w:val="486C49B0"/>
    <w:rsid w:val="48AA54D8"/>
    <w:rsid w:val="48AE321A"/>
    <w:rsid w:val="48B16866"/>
    <w:rsid w:val="48B545A9"/>
    <w:rsid w:val="48C7608A"/>
    <w:rsid w:val="48EC4BD5"/>
    <w:rsid w:val="48F367D8"/>
    <w:rsid w:val="49060960"/>
    <w:rsid w:val="4910358D"/>
    <w:rsid w:val="49276B29"/>
    <w:rsid w:val="492928A1"/>
    <w:rsid w:val="492E6109"/>
    <w:rsid w:val="493A2D00"/>
    <w:rsid w:val="493A685C"/>
    <w:rsid w:val="493E459E"/>
    <w:rsid w:val="494E3E51"/>
    <w:rsid w:val="495042D1"/>
    <w:rsid w:val="49584F34"/>
    <w:rsid w:val="496164DE"/>
    <w:rsid w:val="496B5766"/>
    <w:rsid w:val="496C13CF"/>
    <w:rsid w:val="49830203"/>
    <w:rsid w:val="498E2B50"/>
    <w:rsid w:val="49951CE4"/>
    <w:rsid w:val="499E6DEB"/>
    <w:rsid w:val="49A168DB"/>
    <w:rsid w:val="49A50576"/>
    <w:rsid w:val="49AA29D8"/>
    <w:rsid w:val="49AB775A"/>
    <w:rsid w:val="49AF0B18"/>
    <w:rsid w:val="49B44860"/>
    <w:rsid w:val="49B91E77"/>
    <w:rsid w:val="49BC1967"/>
    <w:rsid w:val="49E04B6C"/>
    <w:rsid w:val="49E35145"/>
    <w:rsid w:val="49E43A11"/>
    <w:rsid w:val="49EA0282"/>
    <w:rsid w:val="49EC224C"/>
    <w:rsid w:val="49F64C9E"/>
    <w:rsid w:val="49F71829"/>
    <w:rsid w:val="4A201EF6"/>
    <w:rsid w:val="4A247FFC"/>
    <w:rsid w:val="4A3C1937"/>
    <w:rsid w:val="4A3D3A81"/>
    <w:rsid w:val="4A4F682A"/>
    <w:rsid w:val="4A5676C5"/>
    <w:rsid w:val="4A5B2F2E"/>
    <w:rsid w:val="4A631DE2"/>
    <w:rsid w:val="4A6A4F1F"/>
    <w:rsid w:val="4A6F0787"/>
    <w:rsid w:val="4A7A7858"/>
    <w:rsid w:val="4A802994"/>
    <w:rsid w:val="4A841EEE"/>
    <w:rsid w:val="4A8A3813"/>
    <w:rsid w:val="4A8C1339"/>
    <w:rsid w:val="4A8E3303"/>
    <w:rsid w:val="4A9621B8"/>
    <w:rsid w:val="4A9A1CA8"/>
    <w:rsid w:val="4A9B157C"/>
    <w:rsid w:val="4AAB5B1D"/>
    <w:rsid w:val="4AB10DA0"/>
    <w:rsid w:val="4AB810A7"/>
    <w:rsid w:val="4AC7411F"/>
    <w:rsid w:val="4ACC5BD9"/>
    <w:rsid w:val="4ACE54AE"/>
    <w:rsid w:val="4AD15983"/>
    <w:rsid w:val="4AF33CC3"/>
    <w:rsid w:val="4AFD3FE5"/>
    <w:rsid w:val="4B027CAB"/>
    <w:rsid w:val="4B06733D"/>
    <w:rsid w:val="4B1278E9"/>
    <w:rsid w:val="4B133808"/>
    <w:rsid w:val="4B1426C9"/>
    <w:rsid w:val="4B1F21AD"/>
    <w:rsid w:val="4B226DD3"/>
    <w:rsid w:val="4B4074FF"/>
    <w:rsid w:val="4B427C4A"/>
    <w:rsid w:val="4B5327AD"/>
    <w:rsid w:val="4B5A1074"/>
    <w:rsid w:val="4B5C51AF"/>
    <w:rsid w:val="4B7101FD"/>
    <w:rsid w:val="4B7C315C"/>
    <w:rsid w:val="4B92297F"/>
    <w:rsid w:val="4BB5041C"/>
    <w:rsid w:val="4BC15012"/>
    <w:rsid w:val="4BC62629"/>
    <w:rsid w:val="4BCC379F"/>
    <w:rsid w:val="4BCC5547"/>
    <w:rsid w:val="4BDC3C83"/>
    <w:rsid w:val="4BEB6533"/>
    <w:rsid w:val="4BF61C1F"/>
    <w:rsid w:val="4BFA10A0"/>
    <w:rsid w:val="4BFE6267"/>
    <w:rsid w:val="4BFF5B3B"/>
    <w:rsid w:val="4C043151"/>
    <w:rsid w:val="4C054CCC"/>
    <w:rsid w:val="4C055CE9"/>
    <w:rsid w:val="4C121D12"/>
    <w:rsid w:val="4C2F6420"/>
    <w:rsid w:val="4C433C79"/>
    <w:rsid w:val="4C4579F1"/>
    <w:rsid w:val="4C5C4D3B"/>
    <w:rsid w:val="4C7D362F"/>
    <w:rsid w:val="4C8524E4"/>
    <w:rsid w:val="4C8C73CE"/>
    <w:rsid w:val="4CA706AC"/>
    <w:rsid w:val="4CC56D84"/>
    <w:rsid w:val="4CCA439B"/>
    <w:rsid w:val="4CCE5C39"/>
    <w:rsid w:val="4CD11285"/>
    <w:rsid w:val="4CD369A0"/>
    <w:rsid w:val="4CD755EA"/>
    <w:rsid w:val="4CD76341"/>
    <w:rsid w:val="4CDB30E2"/>
    <w:rsid w:val="4CEC6287"/>
    <w:rsid w:val="4CF82CB6"/>
    <w:rsid w:val="4D0478AD"/>
    <w:rsid w:val="4D0F0ADB"/>
    <w:rsid w:val="4D135D42"/>
    <w:rsid w:val="4D155616"/>
    <w:rsid w:val="4D24438D"/>
    <w:rsid w:val="4D502AF2"/>
    <w:rsid w:val="4D5325E2"/>
    <w:rsid w:val="4D5C0B12"/>
    <w:rsid w:val="4D5F637E"/>
    <w:rsid w:val="4D6B1301"/>
    <w:rsid w:val="4D6C0FAE"/>
    <w:rsid w:val="4D7020FE"/>
    <w:rsid w:val="4D720CBA"/>
    <w:rsid w:val="4D7713D1"/>
    <w:rsid w:val="4D7C5695"/>
    <w:rsid w:val="4D7F33D7"/>
    <w:rsid w:val="4D833E1A"/>
    <w:rsid w:val="4D844549"/>
    <w:rsid w:val="4D853DB1"/>
    <w:rsid w:val="4D8602C2"/>
    <w:rsid w:val="4D896BAF"/>
    <w:rsid w:val="4D9A5B1B"/>
    <w:rsid w:val="4D9F3BEB"/>
    <w:rsid w:val="4DA1334D"/>
    <w:rsid w:val="4DA27AB0"/>
    <w:rsid w:val="4DA33321"/>
    <w:rsid w:val="4DB61727"/>
    <w:rsid w:val="4DB766CD"/>
    <w:rsid w:val="4DC115B6"/>
    <w:rsid w:val="4DCB2178"/>
    <w:rsid w:val="4DCE2490"/>
    <w:rsid w:val="4DD13CF9"/>
    <w:rsid w:val="4DD86643"/>
    <w:rsid w:val="4DE65204"/>
    <w:rsid w:val="4DEE47F1"/>
    <w:rsid w:val="4DF06083"/>
    <w:rsid w:val="4DF8087A"/>
    <w:rsid w:val="4DF96CE5"/>
    <w:rsid w:val="4DFF1E22"/>
    <w:rsid w:val="4E0202A6"/>
    <w:rsid w:val="4E024111"/>
    <w:rsid w:val="4E13493F"/>
    <w:rsid w:val="4E1C29D4"/>
    <w:rsid w:val="4E4B79C1"/>
    <w:rsid w:val="4E54216E"/>
    <w:rsid w:val="4E616639"/>
    <w:rsid w:val="4E7B594C"/>
    <w:rsid w:val="4E9034F2"/>
    <w:rsid w:val="4E9764FE"/>
    <w:rsid w:val="4E9904C8"/>
    <w:rsid w:val="4EA01857"/>
    <w:rsid w:val="4EA053B3"/>
    <w:rsid w:val="4EA07161"/>
    <w:rsid w:val="4EC217CD"/>
    <w:rsid w:val="4EC631B0"/>
    <w:rsid w:val="4EC92B5C"/>
    <w:rsid w:val="4ED27537"/>
    <w:rsid w:val="4ED92673"/>
    <w:rsid w:val="4EE334F2"/>
    <w:rsid w:val="4EFE20DA"/>
    <w:rsid w:val="4EFF657E"/>
    <w:rsid w:val="4F082F58"/>
    <w:rsid w:val="4F094423"/>
    <w:rsid w:val="4F133FFB"/>
    <w:rsid w:val="4F17423C"/>
    <w:rsid w:val="4F1C2F02"/>
    <w:rsid w:val="4F2953A8"/>
    <w:rsid w:val="4F334479"/>
    <w:rsid w:val="4F365D17"/>
    <w:rsid w:val="4F440434"/>
    <w:rsid w:val="4F471CD3"/>
    <w:rsid w:val="4F4915A7"/>
    <w:rsid w:val="4F562C35"/>
    <w:rsid w:val="4F5B752C"/>
    <w:rsid w:val="4F5C1C48"/>
    <w:rsid w:val="4F6009A1"/>
    <w:rsid w:val="4F6E3703"/>
    <w:rsid w:val="4F7A5C04"/>
    <w:rsid w:val="4F8E5B53"/>
    <w:rsid w:val="4F9A62A6"/>
    <w:rsid w:val="4F9C3DCC"/>
    <w:rsid w:val="4F9D7499"/>
    <w:rsid w:val="4FAA2338"/>
    <w:rsid w:val="4FB05ACA"/>
    <w:rsid w:val="4FB530E0"/>
    <w:rsid w:val="4FB76E58"/>
    <w:rsid w:val="4FBA28AD"/>
    <w:rsid w:val="4FC20BBB"/>
    <w:rsid w:val="4FC275AB"/>
    <w:rsid w:val="4FD00808"/>
    <w:rsid w:val="4FD07F1A"/>
    <w:rsid w:val="4FD25A40"/>
    <w:rsid w:val="4FD6416C"/>
    <w:rsid w:val="4FDF1F0B"/>
    <w:rsid w:val="4FE32E29"/>
    <w:rsid w:val="4FE4651D"/>
    <w:rsid w:val="4FE6773D"/>
    <w:rsid w:val="4FF64BB2"/>
    <w:rsid w:val="4FFC0517"/>
    <w:rsid w:val="4FFF6109"/>
    <w:rsid w:val="50005955"/>
    <w:rsid w:val="501047BA"/>
    <w:rsid w:val="501E0C85"/>
    <w:rsid w:val="502C7313"/>
    <w:rsid w:val="503B443E"/>
    <w:rsid w:val="5043693E"/>
    <w:rsid w:val="50454464"/>
    <w:rsid w:val="50506965"/>
    <w:rsid w:val="50585BE9"/>
    <w:rsid w:val="50621842"/>
    <w:rsid w:val="50724B2D"/>
    <w:rsid w:val="507C59AC"/>
    <w:rsid w:val="5086682B"/>
    <w:rsid w:val="50884351"/>
    <w:rsid w:val="508A00C9"/>
    <w:rsid w:val="508B1503"/>
    <w:rsid w:val="50962F12"/>
    <w:rsid w:val="509947B0"/>
    <w:rsid w:val="50C555A5"/>
    <w:rsid w:val="50C57353"/>
    <w:rsid w:val="50D91050"/>
    <w:rsid w:val="50F57999"/>
    <w:rsid w:val="510559A1"/>
    <w:rsid w:val="51087240"/>
    <w:rsid w:val="5112261F"/>
    <w:rsid w:val="51142088"/>
    <w:rsid w:val="51167BAE"/>
    <w:rsid w:val="51187891"/>
    <w:rsid w:val="511931FB"/>
    <w:rsid w:val="51226553"/>
    <w:rsid w:val="512419E0"/>
    <w:rsid w:val="51310E43"/>
    <w:rsid w:val="51385D77"/>
    <w:rsid w:val="5147420C"/>
    <w:rsid w:val="51566920"/>
    <w:rsid w:val="515B6675"/>
    <w:rsid w:val="515D758B"/>
    <w:rsid w:val="516232F9"/>
    <w:rsid w:val="516A3A56"/>
    <w:rsid w:val="516B614C"/>
    <w:rsid w:val="516C3C72"/>
    <w:rsid w:val="51714DE5"/>
    <w:rsid w:val="517D19DC"/>
    <w:rsid w:val="5184720E"/>
    <w:rsid w:val="518C1C1F"/>
    <w:rsid w:val="51A72608"/>
    <w:rsid w:val="51B15B29"/>
    <w:rsid w:val="51B8079B"/>
    <w:rsid w:val="51B80C66"/>
    <w:rsid w:val="51C07B1A"/>
    <w:rsid w:val="51C413B8"/>
    <w:rsid w:val="51CC64BF"/>
    <w:rsid w:val="51D11D27"/>
    <w:rsid w:val="51E47CAD"/>
    <w:rsid w:val="51F779E0"/>
    <w:rsid w:val="51FA517E"/>
    <w:rsid w:val="5208399B"/>
    <w:rsid w:val="520F2674"/>
    <w:rsid w:val="521045FE"/>
    <w:rsid w:val="522207B2"/>
    <w:rsid w:val="5237602E"/>
    <w:rsid w:val="523C1897"/>
    <w:rsid w:val="524F15CA"/>
    <w:rsid w:val="5253273C"/>
    <w:rsid w:val="5264494A"/>
    <w:rsid w:val="526B3F2A"/>
    <w:rsid w:val="526B4372"/>
    <w:rsid w:val="527B23BF"/>
    <w:rsid w:val="528A1057"/>
    <w:rsid w:val="52B21B59"/>
    <w:rsid w:val="52B70F1D"/>
    <w:rsid w:val="52BE04FE"/>
    <w:rsid w:val="52BE7978"/>
    <w:rsid w:val="52CB6777"/>
    <w:rsid w:val="52D01FDF"/>
    <w:rsid w:val="52D7511B"/>
    <w:rsid w:val="52DE4E11"/>
    <w:rsid w:val="52E635B0"/>
    <w:rsid w:val="52ED2B91"/>
    <w:rsid w:val="52F45CCD"/>
    <w:rsid w:val="52F91536"/>
    <w:rsid w:val="52FA333D"/>
    <w:rsid w:val="530C74BB"/>
    <w:rsid w:val="530F6FAB"/>
    <w:rsid w:val="531D3476"/>
    <w:rsid w:val="532742F5"/>
    <w:rsid w:val="53312E85"/>
    <w:rsid w:val="5334431C"/>
    <w:rsid w:val="5336685F"/>
    <w:rsid w:val="533802B0"/>
    <w:rsid w:val="53397B84"/>
    <w:rsid w:val="533F163E"/>
    <w:rsid w:val="53446C55"/>
    <w:rsid w:val="53476745"/>
    <w:rsid w:val="534A3B3F"/>
    <w:rsid w:val="53566988"/>
    <w:rsid w:val="535D3873"/>
    <w:rsid w:val="536270DB"/>
    <w:rsid w:val="53A96AB8"/>
    <w:rsid w:val="53AC0356"/>
    <w:rsid w:val="53B35B89"/>
    <w:rsid w:val="53D55AFF"/>
    <w:rsid w:val="53D63625"/>
    <w:rsid w:val="53DE791F"/>
    <w:rsid w:val="53DF24DA"/>
    <w:rsid w:val="53E34D2E"/>
    <w:rsid w:val="53F57F4F"/>
    <w:rsid w:val="53FF492A"/>
    <w:rsid w:val="540208BE"/>
    <w:rsid w:val="540939FA"/>
    <w:rsid w:val="540E2DBF"/>
    <w:rsid w:val="541660D7"/>
    <w:rsid w:val="541A1764"/>
    <w:rsid w:val="541C372E"/>
    <w:rsid w:val="542331C5"/>
    <w:rsid w:val="542B1BC3"/>
    <w:rsid w:val="543B6BBD"/>
    <w:rsid w:val="544762D1"/>
    <w:rsid w:val="54492049"/>
    <w:rsid w:val="544922F2"/>
    <w:rsid w:val="545D78A2"/>
    <w:rsid w:val="545E3D46"/>
    <w:rsid w:val="54641104"/>
    <w:rsid w:val="546463D8"/>
    <w:rsid w:val="54686973"/>
    <w:rsid w:val="54837309"/>
    <w:rsid w:val="54921C42"/>
    <w:rsid w:val="549D2B88"/>
    <w:rsid w:val="54AA1DA2"/>
    <w:rsid w:val="54AD25D8"/>
    <w:rsid w:val="54E12281"/>
    <w:rsid w:val="54E3249D"/>
    <w:rsid w:val="54E359B7"/>
    <w:rsid w:val="54FE2E33"/>
    <w:rsid w:val="55006BAB"/>
    <w:rsid w:val="55020B76"/>
    <w:rsid w:val="55055F70"/>
    <w:rsid w:val="551E3FFA"/>
    <w:rsid w:val="55317ECF"/>
    <w:rsid w:val="553D0B6D"/>
    <w:rsid w:val="553F7AAA"/>
    <w:rsid w:val="55432F3C"/>
    <w:rsid w:val="554F7B33"/>
    <w:rsid w:val="55517407"/>
    <w:rsid w:val="55545149"/>
    <w:rsid w:val="5560764A"/>
    <w:rsid w:val="55805F3E"/>
    <w:rsid w:val="55855303"/>
    <w:rsid w:val="55886BA1"/>
    <w:rsid w:val="558D41B7"/>
    <w:rsid w:val="55A244AC"/>
    <w:rsid w:val="55A34AEC"/>
    <w:rsid w:val="55AD03B6"/>
    <w:rsid w:val="55B87486"/>
    <w:rsid w:val="55BD2CEE"/>
    <w:rsid w:val="55C43267"/>
    <w:rsid w:val="55CD5030"/>
    <w:rsid w:val="55D342C0"/>
    <w:rsid w:val="55DD6EED"/>
    <w:rsid w:val="55E738C7"/>
    <w:rsid w:val="55EA33B8"/>
    <w:rsid w:val="560768CE"/>
    <w:rsid w:val="56107B30"/>
    <w:rsid w:val="561D19DF"/>
    <w:rsid w:val="561E32AE"/>
    <w:rsid w:val="561F5757"/>
    <w:rsid w:val="563F695C"/>
    <w:rsid w:val="56464A92"/>
    <w:rsid w:val="564B20A8"/>
    <w:rsid w:val="56513437"/>
    <w:rsid w:val="566B445E"/>
    <w:rsid w:val="56725887"/>
    <w:rsid w:val="567E71F5"/>
    <w:rsid w:val="56811F6E"/>
    <w:rsid w:val="568455BA"/>
    <w:rsid w:val="56867584"/>
    <w:rsid w:val="568E6834"/>
    <w:rsid w:val="569C0B56"/>
    <w:rsid w:val="569D042A"/>
    <w:rsid w:val="56A47A0A"/>
    <w:rsid w:val="56B7773E"/>
    <w:rsid w:val="56DE2F1C"/>
    <w:rsid w:val="56E61DD1"/>
    <w:rsid w:val="56F3629C"/>
    <w:rsid w:val="56F664B8"/>
    <w:rsid w:val="56FB3ACE"/>
    <w:rsid w:val="57154464"/>
    <w:rsid w:val="572A0ECA"/>
    <w:rsid w:val="573174F0"/>
    <w:rsid w:val="573C04B5"/>
    <w:rsid w:val="576553EC"/>
    <w:rsid w:val="57743881"/>
    <w:rsid w:val="5774562F"/>
    <w:rsid w:val="577B4B3D"/>
    <w:rsid w:val="57A008DE"/>
    <w:rsid w:val="57A053C8"/>
    <w:rsid w:val="57A53A08"/>
    <w:rsid w:val="57B051D5"/>
    <w:rsid w:val="57B31318"/>
    <w:rsid w:val="57B40121"/>
    <w:rsid w:val="57C309E4"/>
    <w:rsid w:val="57E83927"/>
    <w:rsid w:val="57FA3D86"/>
    <w:rsid w:val="57FB5D50"/>
    <w:rsid w:val="580F7106"/>
    <w:rsid w:val="581134DC"/>
    <w:rsid w:val="58117322"/>
    <w:rsid w:val="5819028C"/>
    <w:rsid w:val="581F55FD"/>
    <w:rsid w:val="582500D5"/>
    <w:rsid w:val="58260F8E"/>
    <w:rsid w:val="582A3970"/>
    <w:rsid w:val="582E1C82"/>
    <w:rsid w:val="58421289"/>
    <w:rsid w:val="58445001"/>
    <w:rsid w:val="58496ABB"/>
    <w:rsid w:val="584E2BB2"/>
    <w:rsid w:val="586236D9"/>
    <w:rsid w:val="58690ACE"/>
    <w:rsid w:val="58704048"/>
    <w:rsid w:val="58767185"/>
    <w:rsid w:val="5889335C"/>
    <w:rsid w:val="58941D99"/>
    <w:rsid w:val="58993F5D"/>
    <w:rsid w:val="589A10C5"/>
    <w:rsid w:val="58A106A5"/>
    <w:rsid w:val="58A41852"/>
    <w:rsid w:val="58A91308"/>
    <w:rsid w:val="58AE1F5E"/>
    <w:rsid w:val="58B008E9"/>
    <w:rsid w:val="58B033DA"/>
    <w:rsid w:val="58B13598"/>
    <w:rsid w:val="58B2640F"/>
    <w:rsid w:val="58B905E9"/>
    <w:rsid w:val="58BD6B62"/>
    <w:rsid w:val="58C16E7A"/>
    <w:rsid w:val="58D2260D"/>
    <w:rsid w:val="58DC348C"/>
    <w:rsid w:val="59044E54"/>
    <w:rsid w:val="590824D3"/>
    <w:rsid w:val="59142C25"/>
    <w:rsid w:val="59170968"/>
    <w:rsid w:val="591B4478"/>
    <w:rsid w:val="59260BAB"/>
    <w:rsid w:val="592E4446"/>
    <w:rsid w:val="592F5CB1"/>
    <w:rsid w:val="593037D7"/>
    <w:rsid w:val="593C03CE"/>
    <w:rsid w:val="594A2AEB"/>
    <w:rsid w:val="595955B1"/>
    <w:rsid w:val="595A7E37"/>
    <w:rsid w:val="596468AA"/>
    <w:rsid w:val="59663F73"/>
    <w:rsid w:val="59673452"/>
    <w:rsid w:val="596D0588"/>
    <w:rsid w:val="596D4A2C"/>
    <w:rsid w:val="59824A89"/>
    <w:rsid w:val="598558D1"/>
    <w:rsid w:val="599B0EF7"/>
    <w:rsid w:val="599E4BE5"/>
    <w:rsid w:val="599E6993"/>
    <w:rsid w:val="59B241EC"/>
    <w:rsid w:val="59B3653F"/>
    <w:rsid w:val="59C535A6"/>
    <w:rsid w:val="59C83E99"/>
    <w:rsid w:val="59E90F35"/>
    <w:rsid w:val="59EC76FE"/>
    <w:rsid w:val="59F1740B"/>
    <w:rsid w:val="59F760A3"/>
    <w:rsid w:val="5A0031AA"/>
    <w:rsid w:val="5A18160C"/>
    <w:rsid w:val="5A24333C"/>
    <w:rsid w:val="5A274BDA"/>
    <w:rsid w:val="5A2F3A8F"/>
    <w:rsid w:val="5A44578C"/>
    <w:rsid w:val="5A56726E"/>
    <w:rsid w:val="5A647BDD"/>
    <w:rsid w:val="5A6E2809"/>
    <w:rsid w:val="5A737D3D"/>
    <w:rsid w:val="5A89319F"/>
    <w:rsid w:val="5AA33AA7"/>
    <w:rsid w:val="5AA4447D"/>
    <w:rsid w:val="5AAE70AA"/>
    <w:rsid w:val="5ABA15AB"/>
    <w:rsid w:val="5ABB5323"/>
    <w:rsid w:val="5AC73CC7"/>
    <w:rsid w:val="5ACC2D05"/>
    <w:rsid w:val="5AD3538C"/>
    <w:rsid w:val="5AF251E8"/>
    <w:rsid w:val="5AF26F96"/>
    <w:rsid w:val="5AF30F60"/>
    <w:rsid w:val="5AF77EBE"/>
    <w:rsid w:val="5AFA603F"/>
    <w:rsid w:val="5AFC0016"/>
    <w:rsid w:val="5AFE3B8D"/>
    <w:rsid w:val="5B01542B"/>
    <w:rsid w:val="5B231846"/>
    <w:rsid w:val="5B2353A2"/>
    <w:rsid w:val="5B294982"/>
    <w:rsid w:val="5B2B4256"/>
    <w:rsid w:val="5B307ABF"/>
    <w:rsid w:val="5B311342"/>
    <w:rsid w:val="5B57547B"/>
    <w:rsid w:val="5B5E287E"/>
    <w:rsid w:val="5B5E69EB"/>
    <w:rsid w:val="5B637E94"/>
    <w:rsid w:val="5B77749C"/>
    <w:rsid w:val="5B79666F"/>
    <w:rsid w:val="5B8C73EB"/>
    <w:rsid w:val="5B8D4F11"/>
    <w:rsid w:val="5BA02E96"/>
    <w:rsid w:val="5BA0637A"/>
    <w:rsid w:val="5BA21EC0"/>
    <w:rsid w:val="5BA26C0E"/>
    <w:rsid w:val="5BAD55B3"/>
    <w:rsid w:val="5BC546AB"/>
    <w:rsid w:val="5BD112A2"/>
    <w:rsid w:val="5BD2403C"/>
    <w:rsid w:val="5BD51862"/>
    <w:rsid w:val="5BD62414"/>
    <w:rsid w:val="5C0F47B3"/>
    <w:rsid w:val="5C1318BA"/>
    <w:rsid w:val="5C1E200D"/>
    <w:rsid w:val="5C25514A"/>
    <w:rsid w:val="5C2A2760"/>
    <w:rsid w:val="5C39779C"/>
    <w:rsid w:val="5C425CFC"/>
    <w:rsid w:val="5C4E46A0"/>
    <w:rsid w:val="5C5C1421"/>
    <w:rsid w:val="5C645C72"/>
    <w:rsid w:val="5C7026BF"/>
    <w:rsid w:val="5C7834CB"/>
    <w:rsid w:val="5C8400C2"/>
    <w:rsid w:val="5C8E621E"/>
    <w:rsid w:val="5CAE513F"/>
    <w:rsid w:val="5CB85FBE"/>
    <w:rsid w:val="5CBD5BBD"/>
    <w:rsid w:val="5CBE1177"/>
    <w:rsid w:val="5CC91F79"/>
    <w:rsid w:val="5CCB3019"/>
    <w:rsid w:val="5CCC2EC1"/>
    <w:rsid w:val="5CCE758F"/>
    <w:rsid w:val="5CD27925"/>
    <w:rsid w:val="5CDA6FD2"/>
    <w:rsid w:val="5CDC6150"/>
    <w:rsid w:val="5CFB5EAA"/>
    <w:rsid w:val="5D027239"/>
    <w:rsid w:val="5D072AA1"/>
    <w:rsid w:val="5D0F6B14"/>
    <w:rsid w:val="5D106EF8"/>
    <w:rsid w:val="5D110251"/>
    <w:rsid w:val="5D1F603D"/>
    <w:rsid w:val="5D235B2D"/>
    <w:rsid w:val="5D3F2E16"/>
    <w:rsid w:val="5D431D2B"/>
    <w:rsid w:val="5D46181B"/>
    <w:rsid w:val="5D4844F8"/>
    <w:rsid w:val="5D4B5084"/>
    <w:rsid w:val="5D577585"/>
    <w:rsid w:val="5D5922B1"/>
    <w:rsid w:val="5D6121B1"/>
    <w:rsid w:val="5D6A5A0D"/>
    <w:rsid w:val="5D6D4FFA"/>
    <w:rsid w:val="5D704AEA"/>
    <w:rsid w:val="5D763B0E"/>
    <w:rsid w:val="5D7719D5"/>
    <w:rsid w:val="5D814602"/>
    <w:rsid w:val="5D8D11F8"/>
    <w:rsid w:val="5D9E6930"/>
    <w:rsid w:val="5DA56542"/>
    <w:rsid w:val="5DB76275"/>
    <w:rsid w:val="5DC142B6"/>
    <w:rsid w:val="5DC80482"/>
    <w:rsid w:val="5DD548C0"/>
    <w:rsid w:val="5DE51034"/>
    <w:rsid w:val="5DF179D9"/>
    <w:rsid w:val="5DF26102"/>
    <w:rsid w:val="5DFD637E"/>
    <w:rsid w:val="5E006691"/>
    <w:rsid w:val="5E070CA3"/>
    <w:rsid w:val="5E084D23"/>
    <w:rsid w:val="5E0A0A9B"/>
    <w:rsid w:val="5E1216FE"/>
    <w:rsid w:val="5E176D14"/>
    <w:rsid w:val="5E1C7B64"/>
    <w:rsid w:val="5E225F37"/>
    <w:rsid w:val="5E231B5D"/>
    <w:rsid w:val="5E2558D5"/>
    <w:rsid w:val="5E2A2EEB"/>
    <w:rsid w:val="5E371164"/>
    <w:rsid w:val="5E382FE1"/>
    <w:rsid w:val="5E40270F"/>
    <w:rsid w:val="5E41061B"/>
    <w:rsid w:val="5E426F07"/>
    <w:rsid w:val="5E451AD3"/>
    <w:rsid w:val="5E473A9D"/>
    <w:rsid w:val="5E636240"/>
    <w:rsid w:val="5E663254"/>
    <w:rsid w:val="5E7128C8"/>
    <w:rsid w:val="5E940365"/>
    <w:rsid w:val="5E9F11E3"/>
    <w:rsid w:val="5EA26F25"/>
    <w:rsid w:val="5EAA2030"/>
    <w:rsid w:val="5EAF122A"/>
    <w:rsid w:val="5EBB7FE7"/>
    <w:rsid w:val="5EC0115A"/>
    <w:rsid w:val="5ED846F5"/>
    <w:rsid w:val="5EDD7F5D"/>
    <w:rsid w:val="5EE25574"/>
    <w:rsid w:val="5EF01A3F"/>
    <w:rsid w:val="5EFD0600"/>
    <w:rsid w:val="5F061262"/>
    <w:rsid w:val="5F076D88"/>
    <w:rsid w:val="5F13096F"/>
    <w:rsid w:val="5F1C6CD8"/>
    <w:rsid w:val="5F1D332D"/>
    <w:rsid w:val="5F436FAB"/>
    <w:rsid w:val="5F4B4EC7"/>
    <w:rsid w:val="5F4E2C09"/>
    <w:rsid w:val="5F4F0E5B"/>
    <w:rsid w:val="5F616459"/>
    <w:rsid w:val="5F6D12E1"/>
    <w:rsid w:val="5F864151"/>
    <w:rsid w:val="5F954394"/>
    <w:rsid w:val="5F97635E"/>
    <w:rsid w:val="5FBF1411"/>
    <w:rsid w:val="5FC02E1E"/>
    <w:rsid w:val="5FC06F17"/>
    <w:rsid w:val="5FC92290"/>
    <w:rsid w:val="5FCE26FE"/>
    <w:rsid w:val="5FDB26EF"/>
    <w:rsid w:val="5FE01AB3"/>
    <w:rsid w:val="5FE51F93"/>
    <w:rsid w:val="5FED5F7E"/>
    <w:rsid w:val="600767E9"/>
    <w:rsid w:val="60080EE7"/>
    <w:rsid w:val="600B28A8"/>
    <w:rsid w:val="601A2EC3"/>
    <w:rsid w:val="60206354"/>
    <w:rsid w:val="602C2F4B"/>
    <w:rsid w:val="602E0341"/>
    <w:rsid w:val="60466747"/>
    <w:rsid w:val="604C7149"/>
    <w:rsid w:val="606F4BE5"/>
    <w:rsid w:val="60805044"/>
    <w:rsid w:val="608A7C71"/>
    <w:rsid w:val="609805E0"/>
    <w:rsid w:val="609B1E7E"/>
    <w:rsid w:val="60A24FBB"/>
    <w:rsid w:val="60AB6DFF"/>
    <w:rsid w:val="60B371C8"/>
    <w:rsid w:val="60C72C73"/>
    <w:rsid w:val="60C82843"/>
    <w:rsid w:val="60D33512"/>
    <w:rsid w:val="60DE4400"/>
    <w:rsid w:val="60F872F0"/>
    <w:rsid w:val="60FB46CB"/>
    <w:rsid w:val="610712C2"/>
    <w:rsid w:val="610E7EA6"/>
    <w:rsid w:val="610F7448"/>
    <w:rsid w:val="61120392"/>
    <w:rsid w:val="611862C1"/>
    <w:rsid w:val="61204131"/>
    <w:rsid w:val="61243C22"/>
    <w:rsid w:val="61303EEE"/>
    <w:rsid w:val="6138147B"/>
    <w:rsid w:val="613A61D9"/>
    <w:rsid w:val="61483DB4"/>
    <w:rsid w:val="614B11AE"/>
    <w:rsid w:val="614C3178"/>
    <w:rsid w:val="615E35D8"/>
    <w:rsid w:val="615F08C2"/>
    <w:rsid w:val="6171498D"/>
    <w:rsid w:val="617526CF"/>
    <w:rsid w:val="61774699"/>
    <w:rsid w:val="617C3A5E"/>
    <w:rsid w:val="617F70AA"/>
    <w:rsid w:val="618446C0"/>
    <w:rsid w:val="61870B9F"/>
    <w:rsid w:val="619623DC"/>
    <w:rsid w:val="61A82AA5"/>
    <w:rsid w:val="61B551C2"/>
    <w:rsid w:val="61BC4533"/>
    <w:rsid w:val="61CE3B8D"/>
    <w:rsid w:val="61DC274E"/>
    <w:rsid w:val="61DC62AA"/>
    <w:rsid w:val="61E15FB7"/>
    <w:rsid w:val="61E32559"/>
    <w:rsid w:val="61EA7027"/>
    <w:rsid w:val="61F316F6"/>
    <w:rsid w:val="61F8384A"/>
    <w:rsid w:val="6204360F"/>
    <w:rsid w:val="62143C96"/>
    <w:rsid w:val="621C3904"/>
    <w:rsid w:val="621D7B0C"/>
    <w:rsid w:val="622D31D4"/>
    <w:rsid w:val="622F2FD5"/>
    <w:rsid w:val="622F6D22"/>
    <w:rsid w:val="624068B4"/>
    <w:rsid w:val="6256605D"/>
    <w:rsid w:val="625C563D"/>
    <w:rsid w:val="62652D6A"/>
    <w:rsid w:val="626D784A"/>
    <w:rsid w:val="626E176E"/>
    <w:rsid w:val="62791D4B"/>
    <w:rsid w:val="62904314"/>
    <w:rsid w:val="6299063F"/>
    <w:rsid w:val="62A3326C"/>
    <w:rsid w:val="62AA48B3"/>
    <w:rsid w:val="62AC12FA"/>
    <w:rsid w:val="62B14371"/>
    <w:rsid w:val="62B86D17"/>
    <w:rsid w:val="62BE126E"/>
    <w:rsid w:val="62BF00A6"/>
    <w:rsid w:val="62C54F90"/>
    <w:rsid w:val="62C84A81"/>
    <w:rsid w:val="62C92CD3"/>
    <w:rsid w:val="62D06DDE"/>
    <w:rsid w:val="62D90A3C"/>
    <w:rsid w:val="62DA2A3D"/>
    <w:rsid w:val="62DA4EE0"/>
    <w:rsid w:val="62DB0C58"/>
    <w:rsid w:val="62F15D85"/>
    <w:rsid w:val="62F21FE2"/>
    <w:rsid w:val="62FE5835"/>
    <w:rsid w:val="630261E5"/>
    <w:rsid w:val="630930CF"/>
    <w:rsid w:val="63116428"/>
    <w:rsid w:val="631A16A8"/>
    <w:rsid w:val="63211986"/>
    <w:rsid w:val="632B7B49"/>
    <w:rsid w:val="632D02F4"/>
    <w:rsid w:val="634B193A"/>
    <w:rsid w:val="63500CFE"/>
    <w:rsid w:val="63554566"/>
    <w:rsid w:val="63586994"/>
    <w:rsid w:val="635F7193"/>
    <w:rsid w:val="63691DC0"/>
    <w:rsid w:val="63696264"/>
    <w:rsid w:val="63732C3E"/>
    <w:rsid w:val="63862972"/>
    <w:rsid w:val="638C3D00"/>
    <w:rsid w:val="638C5AAE"/>
    <w:rsid w:val="638C7C94"/>
    <w:rsid w:val="639674EB"/>
    <w:rsid w:val="63A96660"/>
    <w:rsid w:val="63B243F8"/>
    <w:rsid w:val="63B70D7D"/>
    <w:rsid w:val="63CD67F3"/>
    <w:rsid w:val="63DD455C"/>
    <w:rsid w:val="63DF3468"/>
    <w:rsid w:val="63E47B21"/>
    <w:rsid w:val="64021659"/>
    <w:rsid w:val="6424218B"/>
    <w:rsid w:val="642D54E3"/>
    <w:rsid w:val="643D1829"/>
    <w:rsid w:val="644A1BF1"/>
    <w:rsid w:val="645111D2"/>
    <w:rsid w:val="645973DA"/>
    <w:rsid w:val="64616F3B"/>
    <w:rsid w:val="64713622"/>
    <w:rsid w:val="647A1DAB"/>
    <w:rsid w:val="648669A1"/>
    <w:rsid w:val="64A137DB"/>
    <w:rsid w:val="64A15589"/>
    <w:rsid w:val="64D63485"/>
    <w:rsid w:val="64DD4813"/>
    <w:rsid w:val="64ED07CF"/>
    <w:rsid w:val="64F7034C"/>
    <w:rsid w:val="64F77CC2"/>
    <w:rsid w:val="64FE29DC"/>
    <w:rsid w:val="650049A6"/>
    <w:rsid w:val="65046244"/>
    <w:rsid w:val="650C3C7A"/>
    <w:rsid w:val="651B533C"/>
    <w:rsid w:val="652F2B95"/>
    <w:rsid w:val="65424FBE"/>
    <w:rsid w:val="654C7BEB"/>
    <w:rsid w:val="654F3237"/>
    <w:rsid w:val="65532D27"/>
    <w:rsid w:val="65534AD5"/>
    <w:rsid w:val="655821A4"/>
    <w:rsid w:val="657038D9"/>
    <w:rsid w:val="657D1B52"/>
    <w:rsid w:val="657F58CB"/>
    <w:rsid w:val="65956E9C"/>
    <w:rsid w:val="659D0447"/>
    <w:rsid w:val="65AA4F1A"/>
    <w:rsid w:val="65AD7A12"/>
    <w:rsid w:val="65D200F0"/>
    <w:rsid w:val="65D26342"/>
    <w:rsid w:val="65D5198E"/>
    <w:rsid w:val="65D976D1"/>
    <w:rsid w:val="65DA0D53"/>
    <w:rsid w:val="65ED15E0"/>
    <w:rsid w:val="65EE59AC"/>
    <w:rsid w:val="660364FC"/>
    <w:rsid w:val="660404C6"/>
    <w:rsid w:val="66061B48"/>
    <w:rsid w:val="661C4186"/>
    <w:rsid w:val="661C580F"/>
    <w:rsid w:val="66267BB6"/>
    <w:rsid w:val="662D3578"/>
    <w:rsid w:val="663417A8"/>
    <w:rsid w:val="663E7534"/>
    <w:rsid w:val="664762E9"/>
    <w:rsid w:val="66482160"/>
    <w:rsid w:val="66507267"/>
    <w:rsid w:val="666346EA"/>
    <w:rsid w:val="666F3B91"/>
    <w:rsid w:val="66754F1F"/>
    <w:rsid w:val="66770C98"/>
    <w:rsid w:val="66772224"/>
    <w:rsid w:val="667E025A"/>
    <w:rsid w:val="6686712D"/>
    <w:rsid w:val="669178F8"/>
    <w:rsid w:val="669435F8"/>
    <w:rsid w:val="66B24FED"/>
    <w:rsid w:val="66B45A48"/>
    <w:rsid w:val="66B90633"/>
    <w:rsid w:val="66C20165"/>
    <w:rsid w:val="66D1495A"/>
    <w:rsid w:val="66D14A37"/>
    <w:rsid w:val="66E04A8F"/>
    <w:rsid w:val="66E14363"/>
    <w:rsid w:val="66E77BCB"/>
    <w:rsid w:val="66EA3B76"/>
    <w:rsid w:val="66F67E0E"/>
    <w:rsid w:val="66F83B86"/>
    <w:rsid w:val="66FB3677"/>
    <w:rsid w:val="66FE6CC3"/>
    <w:rsid w:val="67013A06"/>
    <w:rsid w:val="670837B5"/>
    <w:rsid w:val="670C5884"/>
    <w:rsid w:val="671309C0"/>
    <w:rsid w:val="67397CFB"/>
    <w:rsid w:val="673B7F17"/>
    <w:rsid w:val="67430B7A"/>
    <w:rsid w:val="674E4965"/>
    <w:rsid w:val="674F5770"/>
    <w:rsid w:val="67662C42"/>
    <w:rsid w:val="676A25AA"/>
    <w:rsid w:val="67711B76"/>
    <w:rsid w:val="6773145F"/>
    <w:rsid w:val="679444EE"/>
    <w:rsid w:val="67965B4A"/>
    <w:rsid w:val="67A21D44"/>
    <w:rsid w:val="67A67EBF"/>
    <w:rsid w:val="67AF4125"/>
    <w:rsid w:val="67B43A7A"/>
    <w:rsid w:val="67BA52E0"/>
    <w:rsid w:val="67CB3049"/>
    <w:rsid w:val="67D31EFE"/>
    <w:rsid w:val="67E00045"/>
    <w:rsid w:val="67F72090"/>
    <w:rsid w:val="67F85E08"/>
    <w:rsid w:val="68014CBD"/>
    <w:rsid w:val="6804038D"/>
    <w:rsid w:val="68112A26"/>
    <w:rsid w:val="681A3FD0"/>
    <w:rsid w:val="682022BD"/>
    <w:rsid w:val="68246BFD"/>
    <w:rsid w:val="68294213"/>
    <w:rsid w:val="68297D70"/>
    <w:rsid w:val="685748DD"/>
    <w:rsid w:val="685A617B"/>
    <w:rsid w:val="685F3791"/>
    <w:rsid w:val="686F7E78"/>
    <w:rsid w:val="68776D2D"/>
    <w:rsid w:val="68796810"/>
    <w:rsid w:val="687C4343"/>
    <w:rsid w:val="688431F8"/>
    <w:rsid w:val="689313B3"/>
    <w:rsid w:val="68AD09A1"/>
    <w:rsid w:val="68B7537B"/>
    <w:rsid w:val="68C161FA"/>
    <w:rsid w:val="68C36416"/>
    <w:rsid w:val="68CF7E59"/>
    <w:rsid w:val="68D66149"/>
    <w:rsid w:val="68DE0B5A"/>
    <w:rsid w:val="68DF4717"/>
    <w:rsid w:val="68E00D76"/>
    <w:rsid w:val="68E71B27"/>
    <w:rsid w:val="68F14E7A"/>
    <w:rsid w:val="68F55EA4"/>
    <w:rsid w:val="68F93BE6"/>
    <w:rsid w:val="69011A1A"/>
    <w:rsid w:val="69026F3E"/>
    <w:rsid w:val="690802CD"/>
    <w:rsid w:val="69185200"/>
    <w:rsid w:val="69286279"/>
    <w:rsid w:val="692A0243"/>
    <w:rsid w:val="692C78AE"/>
    <w:rsid w:val="69621B2F"/>
    <w:rsid w:val="696372B1"/>
    <w:rsid w:val="696D1EDE"/>
    <w:rsid w:val="696D3286"/>
    <w:rsid w:val="69733998"/>
    <w:rsid w:val="69790883"/>
    <w:rsid w:val="697F058F"/>
    <w:rsid w:val="697F5FDF"/>
    <w:rsid w:val="69A91168"/>
    <w:rsid w:val="69AB5601"/>
    <w:rsid w:val="69B044C3"/>
    <w:rsid w:val="69C14FA0"/>
    <w:rsid w:val="69C16AED"/>
    <w:rsid w:val="69D95D3F"/>
    <w:rsid w:val="69EC54F9"/>
    <w:rsid w:val="69FB573C"/>
    <w:rsid w:val="69FD282D"/>
    <w:rsid w:val="6A0C32D4"/>
    <w:rsid w:val="6A1F58CE"/>
    <w:rsid w:val="6A246A40"/>
    <w:rsid w:val="6A274783"/>
    <w:rsid w:val="6A3B3D8A"/>
    <w:rsid w:val="6A426CC9"/>
    <w:rsid w:val="6A4B0471"/>
    <w:rsid w:val="6A500275"/>
    <w:rsid w:val="6A520F40"/>
    <w:rsid w:val="6A742635"/>
    <w:rsid w:val="6A7C062B"/>
    <w:rsid w:val="6A7C1846"/>
    <w:rsid w:val="6A973B65"/>
    <w:rsid w:val="6A9811DC"/>
    <w:rsid w:val="6AA3205B"/>
    <w:rsid w:val="6AB2586F"/>
    <w:rsid w:val="6AB549C8"/>
    <w:rsid w:val="6AB73D58"/>
    <w:rsid w:val="6AB9351A"/>
    <w:rsid w:val="6AB97AD1"/>
    <w:rsid w:val="6ABE0C43"/>
    <w:rsid w:val="6AD761A9"/>
    <w:rsid w:val="6AEB755E"/>
    <w:rsid w:val="6AFE7291"/>
    <w:rsid w:val="6B032AFA"/>
    <w:rsid w:val="6B096099"/>
    <w:rsid w:val="6B1765A5"/>
    <w:rsid w:val="6B225676"/>
    <w:rsid w:val="6B2313EE"/>
    <w:rsid w:val="6B250CC2"/>
    <w:rsid w:val="6B286A04"/>
    <w:rsid w:val="6B4F05ED"/>
    <w:rsid w:val="6B543355"/>
    <w:rsid w:val="6B625A72"/>
    <w:rsid w:val="6B645E5D"/>
    <w:rsid w:val="6B67752D"/>
    <w:rsid w:val="6B6D6B6B"/>
    <w:rsid w:val="6B827EC3"/>
    <w:rsid w:val="6B8974A3"/>
    <w:rsid w:val="6B95409A"/>
    <w:rsid w:val="6B96571C"/>
    <w:rsid w:val="6BA22313"/>
    <w:rsid w:val="6BBD3F31"/>
    <w:rsid w:val="6BBD539F"/>
    <w:rsid w:val="6BBF2EC5"/>
    <w:rsid w:val="6BC04E8F"/>
    <w:rsid w:val="6BCC55E2"/>
    <w:rsid w:val="6BD22543"/>
    <w:rsid w:val="6BD6020E"/>
    <w:rsid w:val="6BDB5825"/>
    <w:rsid w:val="6BE91CF0"/>
    <w:rsid w:val="6BEC358E"/>
    <w:rsid w:val="6C092392"/>
    <w:rsid w:val="6C354F35"/>
    <w:rsid w:val="6C442097"/>
    <w:rsid w:val="6C4C785B"/>
    <w:rsid w:val="6C4C7E3C"/>
    <w:rsid w:val="6C515AE7"/>
    <w:rsid w:val="6C53207F"/>
    <w:rsid w:val="6C584313"/>
    <w:rsid w:val="6C6B6BA9"/>
    <w:rsid w:val="6C6B7BD9"/>
    <w:rsid w:val="6C6D4EE1"/>
    <w:rsid w:val="6C7A503E"/>
    <w:rsid w:val="6C89702F"/>
    <w:rsid w:val="6C8E0AE9"/>
    <w:rsid w:val="6C9737A5"/>
    <w:rsid w:val="6C9C4FB4"/>
    <w:rsid w:val="6C9F2CF6"/>
    <w:rsid w:val="6CA4030D"/>
    <w:rsid w:val="6CAD5413"/>
    <w:rsid w:val="6CAE696C"/>
    <w:rsid w:val="6CB67A8F"/>
    <w:rsid w:val="6CBC2888"/>
    <w:rsid w:val="6CBD4F2A"/>
    <w:rsid w:val="6CC462B9"/>
    <w:rsid w:val="6CCD7123"/>
    <w:rsid w:val="6CD24E7A"/>
    <w:rsid w:val="6CE1330F"/>
    <w:rsid w:val="6CE4340A"/>
    <w:rsid w:val="6CF3094C"/>
    <w:rsid w:val="6CFA7F2C"/>
    <w:rsid w:val="6D050DAB"/>
    <w:rsid w:val="6D12171A"/>
    <w:rsid w:val="6D275491"/>
    <w:rsid w:val="6D297EFB"/>
    <w:rsid w:val="6D2F5E28"/>
    <w:rsid w:val="6D3E42BD"/>
    <w:rsid w:val="6D521B17"/>
    <w:rsid w:val="6D57626C"/>
    <w:rsid w:val="6D6B4986"/>
    <w:rsid w:val="6D751B91"/>
    <w:rsid w:val="6D7970A3"/>
    <w:rsid w:val="6D882AD5"/>
    <w:rsid w:val="6D884F75"/>
    <w:rsid w:val="6D8A305E"/>
    <w:rsid w:val="6D8B6DD7"/>
    <w:rsid w:val="6D8F3713"/>
    <w:rsid w:val="6D997745"/>
    <w:rsid w:val="6D9B526C"/>
    <w:rsid w:val="6D9D7236"/>
    <w:rsid w:val="6DA22A9E"/>
    <w:rsid w:val="6DA26DAD"/>
    <w:rsid w:val="6DA305C4"/>
    <w:rsid w:val="6DA952E1"/>
    <w:rsid w:val="6DAA42C3"/>
    <w:rsid w:val="6DBB590E"/>
    <w:rsid w:val="6DCF4F15"/>
    <w:rsid w:val="6DD10C8D"/>
    <w:rsid w:val="6DD32C57"/>
    <w:rsid w:val="6DD43DAB"/>
    <w:rsid w:val="6DD644F6"/>
    <w:rsid w:val="6DDD3AD6"/>
    <w:rsid w:val="6DE50C17"/>
    <w:rsid w:val="6E082FB2"/>
    <w:rsid w:val="6E162B44"/>
    <w:rsid w:val="6E1868BC"/>
    <w:rsid w:val="6E2A4841"/>
    <w:rsid w:val="6E341ECB"/>
    <w:rsid w:val="6E3B07FD"/>
    <w:rsid w:val="6E435BA3"/>
    <w:rsid w:val="6E461499"/>
    <w:rsid w:val="6E4F6056"/>
    <w:rsid w:val="6E510020"/>
    <w:rsid w:val="6E5F273D"/>
    <w:rsid w:val="6E5F4961"/>
    <w:rsid w:val="6E633C11"/>
    <w:rsid w:val="6E681AD6"/>
    <w:rsid w:val="6E693C8C"/>
    <w:rsid w:val="6E7A0E65"/>
    <w:rsid w:val="6E7E0654"/>
    <w:rsid w:val="6E850527"/>
    <w:rsid w:val="6E8757F0"/>
    <w:rsid w:val="6E91041D"/>
    <w:rsid w:val="6E950ADE"/>
    <w:rsid w:val="6EB04D47"/>
    <w:rsid w:val="6EB1286D"/>
    <w:rsid w:val="6EB4244F"/>
    <w:rsid w:val="6EBC36EB"/>
    <w:rsid w:val="6EBD1212"/>
    <w:rsid w:val="6EC222E0"/>
    <w:rsid w:val="6EC627BC"/>
    <w:rsid w:val="6ECD58F9"/>
    <w:rsid w:val="6ED70525"/>
    <w:rsid w:val="6EE13A52"/>
    <w:rsid w:val="6EE449F0"/>
    <w:rsid w:val="6F03756C"/>
    <w:rsid w:val="6F046E40"/>
    <w:rsid w:val="6F081E3E"/>
    <w:rsid w:val="6F143527"/>
    <w:rsid w:val="6F16526D"/>
    <w:rsid w:val="6F1654F2"/>
    <w:rsid w:val="6F1E43A6"/>
    <w:rsid w:val="6F215C44"/>
    <w:rsid w:val="6F367C5B"/>
    <w:rsid w:val="6F3B4F58"/>
    <w:rsid w:val="6F474195"/>
    <w:rsid w:val="6F5222A2"/>
    <w:rsid w:val="6F63000B"/>
    <w:rsid w:val="6F673281"/>
    <w:rsid w:val="6F6831F1"/>
    <w:rsid w:val="6F712728"/>
    <w:rsid w:val="6F800BBD"/>
    <w:rsid w:val="6F814935"/>
    <w:rsid w:val="6F865AA7"/>
    <w:rsid w:val="6F8A1A3C"/>
    <w:rsid w:val="6F8A5598"/>
    <w:rsid w:val="6F92269E"/>
    <w:rsid w:val="6FBB28BE"/>
    <w:rsid w:val="6FBB2A2C"/>
    <w:rsid w:val="6FBC3D4D"/>
    <w:rsid w:val="6FC14D32"/>
    <w:rsid w:val="6FC411F2"/>
    <w:rsid w:val="6FC54822"/>
    <w:rsid w:val="6FD42CB7"/>
    <w:rsid w:val="6FD45E68"/>
    <w:rsid w:val="6FDD4DE6"/>
    <w:rsid w:val="6FE27CE1"/>
    <w:rsid w:val="6FEC6252"/>
    <w:rsid w:val="6FF13869"/>
    <w:rsid w:val="6FF173C5"/>
    <w:rsid w:val="6FF77E6E"/>
    <w:rsid w:val="6FFB0243"/>
    <w:rsid w:val="6FFC78C0"/>
    <w:rsid w:val="6FFD0675"/>
    <w:rsid w:val="6FFE1AE2"/>
    <w:rsid w:val="6FFE5F86"/>
    <w:rsid w:val="70002AE5"/>
    <w:rsid w:val="70055A31"/>
    <w:rsid w:val="700C2451"/>
    <w:rsid w:val="700E441B"/>
    <w:rsid w:val="701A6EDF"/>
    <w:rsid w:val="701C3B97"/>
    <w:rsid w:val="701F03D6"/>
    <w:rsid w:val="70231548"/>
    <w:rsid w:val="702A1FFA"/>
    <w:rsid w:val="703D260A"/>
    <w:rsid w:val="70425E72"/>
    <w:rsid w:val="705967E9"/>
    <w:rsid w:val="7065004E"/>
    <w:rsid w:val="70671D7D"/>
    <w:rsid w:val="7075449A"/>
    <w:rsid w:val="707F2C23"/>
    <w:rsid w:val="708E2E66"/>
    <w:rsid w:val="70974410"/>
    <w:rsid w:val="7098030B"/>
    <w:rsid w:val="70983CE4"/>
    <w:rsid w:val="70AD3C34"/>
    <w:rsid w:val="70B30B1E"/>
    <w:rsid w:val="70BA1EAD"/>
    <w:rsid w:val="70C1148D"/>
    <w:rsid w:val="70D07EC3"/>
    <w:rsid w:val="70D34D1C"/>
    <w:rsid w:val="70DD038D"/>
    <w:rsid w:val="70F21E1A"/>
    <w:rsid w:val="70FD6FDE"/>
    <w:rsid w:val="70FF3D63"/>
    <w:rsid w:val="710B6BAC"/>
    <w:rsid w:val="71237A52"/>
    <w:rsid w:val="712437CA"/>
    <w:rsid w:val="71257C6E"/>
    <w:rsid w:val="712938D5"/>
    <w:rsid w:val="71306613"/>
    <w:rsid w:val="71327C95"/>
    <w:rsid w:val="713779A1"/>
    <w:rsid w:val="713B6E93"/>
    <w:rsid w:val="716342F2"/>
    <w:rsid w:val="7169742F"/>
    <w:rsid w:val="716A38D3"/>
    <w:rsid w:val="716E4A51"/>
    <w:rsid w:val="71701CB6"/>
    <w:rsid w:val="71704C61"/>
    <w:rsid w:val="71723E31"/>
    <w:rsid w:val="71797C83"/>
    <w:rsid w:val="717A72B0"/>
    <w:rsid w:val="717E2EDA"/>
    <w:rsid w:val="71890614"/>
    <w:rsid w:val="7189187F"/>
    <w:rsid w:val="718F4844"/>
    <w:rsid w:val="7192311C"/>
    <w:rsid w:val="71951611"/>
    <w:rsid w:val="71973F9C"/>
    <w:rsid w:val="719E532A"/>
    <w:rsid w:val="71A11ADA"/>
    <w:rsid w:val="71A34C6D"/>
    <w:rsid w:val="71B44B4E"/>
    <w:rsid w:val="71D40D4C"/>
    <w:rsid w:val="71E33685"/>
    <w:rsid w:val="71E76CD1"/>
    <w:rsid w:val="71EA0570"/>
    <w:rsid w:val="71EA5622"/>
    <w:rsid w:val="71FE04BF"/>
    <w:rsid w:val="72113D4E"/>
    <w:rsid w:val="7225291B"/>
    <w:rsid w:val="72255A4C"/>
    <w:rsid w:val="723B526F"/>
    <w:rsid w:val="723D4B43"/>
    <w:rsid w:val="72600832"/>
    <w:rsid w:val="7265409A"/>
    <w:rsid w:val="72664C59"/>
    <w:rsid w:val="726E11A1"/>
    <w:rsid w:val="726F4F19"/>
    <w:rsid w:val="727367B7"/>
    <w:rsid w:val="728C31FE"/>
    <w:rsid w:val="729130E1"/>
    <w:rsid w:val="729A1F96"/>
    <w:rsid w:val="729B5F95"/>
    <w:rsid w:val="72A74739"/>
    <w:rsid w:val="72AF08D5"/>
    <w:rsid w:val="72BC63B0"/>
    <w:rsid w:val="72C2329A"/>
    <w:rsid w:val="72C25048"/>
    <w:rsid w:val="72CC2156"/>
    <w:rsid w:val="72D03C09"/>
    <w:rsid w:val="72D07765"/>
    <w:rsid w:val="72E94CCB"/>
    <w:rsid w:val="72F316A6"/>
    <w:rsid w:val="72F35B4A"/>
    <w:rsid w:val="72F471AE"/>
    <w:rsid w:val="73042AC3"/>
    <w:rsid w:val="7306762B"/>
    <w:rsid w:val="73102258"/>
    <w:rsid w:val="73124222"/>
    <w:rsid w:val="731358A4"/>
    <w:rsid w:val="73297BAB"/>
    <w:rsid w:val="7331488C"/>
    <w:rsid w:val="73322485"/>
    <w:rsid w:val="73487C44"/>
    <w:rsid w:val="735C2B21"/>
    <w:rsid w:val="735D2FC3"/>
    <w:rsid w:val="736537D1"/>
    <w:rsid w:val="73661E78"/>
    <w:rsid w:val="736B3932"/>
    <w:rsid w:val="736B748E"/>
    <w:rsid w:val="73702CF6"/>
    <w:rsid w:val="73751BE6"/>
    <w:rsid w:val="73781BAB"/>
    <w:rsid w:val="737C5A00"/>
    <w:rsid w:val="73814F04"/>
    <w:rsid w:val="739369E5"/>
    <w:rsid w:val="739E5AB6"/>
    <w:rsid w:val="73A9492C"/>
    <w:rsid w:val="73AD3F4B"/>
    <w:rsid w:val="73AE33B2"/>
    <w:rsid w:val="73B61F92"/>
    <w:rsid w:val="73CF2113"/>
    <w:rsid w:val="73E159A2"/>
    <w:rsid w:val="740D6797"/>
    <w:rsid w:val="742835D1"/>
    <w:rsid w:val="744245F4"/>
    <w:rsid w:val="745443C6"/>
    <w:rsid w:val="74566390"/>
    <w:rsid w:val="7459693B"/>
    <w:rsid w:val="74600FBD"/>
    <w:rsid w:val="746960C4"/>
    <w:rsid w:val="746F1200"/>
    <w:rsid w:val="748C0004"/>
    <w:rsid w:val="749D3FBF"/>
    <w:rsid w:val="74A23383"/>
    <w:rsid w:val="74A253E1"/>
    <w:rsid w:val="74A57F17"/>
    <w:rsid w:val="74AA056B"/>
    <w:rsid w:val="74E15EE4"/>
    <w:rsid w:val="74E62083"/>
    <w:rsid w:val="74EA6C22"/>
    <w:rsid w:val="74EC2851"/>
    <w:rsid w:val="74F11C15"/>
    <w:rsid w:val="74F636CF"/>
    <w:rsid w:val="74FD680C"/>
    <w:rsid w:val="75023E22"/>
    <w:rsid w:val="751037AE"/>
    <w:rsid w:val="7510653F"/>
    <w:rsid w:val="751F2C26"/>
    <w:rsid w:val="752B5127"/>
    <w:rsid w:val="752E3DEF"/>
    <w:rsid w:val="753A476D"/>
    <w:rsid w:val="75463457"/>
    <w:rsid w:val="75616D9B"/>
    <w:rsid w:val="75717B9A"/>
    <w:rsid w:val="757944DF"/>
    <w:rsid w:val="75812F99"/>
    <w:rsid w:val="75893A32"/>
    <w:rsid w:val="758D0E68"/>
    <w:rsid w:val="759C7DD3"/>
    <w:rsid w:val="75AB44BA"/>
    <w:rsid w:val="75B82733"/>
    <w:rsid w:val="75C21594"/>
    <w:rsid w:val="75CB4833"/>
    <w:rsid w:val="75CF63FA"/>
    <w:rsid w:val="75D307FB"/>
    <w:rsid w:val="75E01C8E"/>
    <w:rsid w:val="75E1200D"/>
    <w:rsid w:val="75F06371"/>
    <w:rsid w:val="75F45E61"/>
    <w:rsid w:val="75FE6CDF"/>
    <w:rsid w:val="75FF4630"/>
    <w:rsid w:val="76040B1B"/>
    <w:rsid w:val="760A7432"/>
    <w:rsid w:val="76165DD7"/>
    <w:rsid w:val="76200A04"/>
    <w:rsid w:val="76232CDF"/>
    <w:rsid w:val="762512AB"/>
    <w:rsid w:val="76373F9F"/>
    <w:rsid w:val="763C1977"/>
    <w:rsid w:val="764010A6"/>
    <w:rsid w:val="76427D49"/>
    <w:rsid w:val="76432944"/>
    <w:rsid w:val="76463F5C"/>
    <w:rsid w:val="765863F0"/>
    <w:rsid w:val="765D3A06"/>
    <w:rsid w:val="766034F6"/>
    <w:rsid w:val="76637371"/>
    <w:rsid w:val="766823AB"/>
    <w:rsid w:val="766B1502"/>
    <w:rsid w:val="767B0330"/>
    <w:rsid w:val="76854D0B"/>
    <w:rsid w:val="76880357"/>
    <w:rsid w:val="768F16E6"/>
    <w:rsid w:val="76950189"/>
    <w:rsid w:val="76B30C55"/>
    <w:rsid w:val="76C021E7"/>
    <w:rsid w:val="76C63C91"/>
    <w:rsid w:val="76CC1AB2"/>
    <w:rsid w:val="76CF5F86"/>
    <w:rsid w:val="76D812DE"/>
    <w:rsid w:val="76E51777"/>
    <w:rsid w:val="76E97048"/>
    <w:rsid w:val="76F123A0"/>
    <w:rsid w:val="771863F0"/>
    <w:rsid w:val="771D13E7"/>
    <w:rsid w:val="77212C85"/>
    <w:rsid w:val="772939C2"/>
    <w:rsid w:val="77316C41"/>
    <w:rsid w:val="773A78A3"/>
    <w:rsid w:val="77422856"/>
    <w:rsid w:val="77470212"/>
    <w:rsid w:val="77562203"/>
    <w:rsid w:val="775D17E4"/>
    <w:rsid w:val="775D7A36"/>
    <w:rsid w:val="776D5ECB"/>
    <w:rsid w:val="776E1304"/>
    <w:rsid w:val="77822FF8"/>
    <w:rsid w:val="779134BC"/>
    <w:rsid w:val="779E42D6"/>
    <w:rsid w:val="77AB07A1"/>
    <w:rsid w:val="77BA6C36"/>
    <w:rsid w:val="77CD0717"/>
    <w:rsid w:val="77D25D2E"/>
    <w:rsid w:val="77D97120"/>
    <w:rsid w:val="77DC4DFE"/>
    <w:rsid w:val="77E4483F"/>
    <w:rsid w:val="780103C1"/>
    <w:rsid w:val="78080136"/>
    <w:rsid w:val="780B1240"/>
    <w:rsid w:val="78106CEA"/>
    <w:rsid w:val="78174088"/>
    <w:rsid w:val="78250553"/>
    <w:rsid w:val="78370287"/>
    <w:rsid w:val="78372035"/>
    <w:rsid w:val="78397B5B"/>
    <w:rsid w:val="784B788E"/>
    <w:rsid w:val="784C0FB4"/>
    <w:rsid w:val="784F737E"/>
    <w:rsid w:val="78525E90"/>
    <w:rsid w:val="785E1CB7"/>
    <w:rsid w:val="786170B2"/>
    <w:rsid w:val="786848E4"/>
    <w:rsid w:val="786D5A56"/>
    <w:rsid w:val="78727511"/>
    <w:rsid w:val="787800C3"/>
    <w:rsid w:val="788F00C3"/>
    <w:rsid w:val="78915BE9"/>
    <w:rsid w:val="789A3859"/>
    <w:rsid w:val="78AD16B7"/>
    <w:rsid w:val="78AE2E86"/>
    <w:rsid w:val="78B4421D"/>
    <w:rsid w:val="78BC253A"/>
    <w:rsid w:val="78C20A4C"/>
    <w:rsid w:val="78C7785D"/>
    <w:rsid w:val="78CA2EA9"/>
    <w:rsid w:val="78CA4C57"/>
    <w:rsid w:val="78CA51AD"/>
    <w:rsid w:val="78CB7529"/>
    <w:rsid w:val="78CC4E73"/>
    <w:rsid w:val="78D67AA0"/>
    <w:rsid w:val="78E54D7E"/>
    <w:rsid w:val="78F46178"/>
    <w:rsid w:val="78F65A4C"/>
    <w:rsid w:val="79053EE1"/>
    <w:rsid w:val="790579FB"/>
    <w:rsid w:val="7908617E"/>
    <w:rsid w:val="791A58BE"/>
    <w:rsid w:val="792B2E81"/>
    <w:rsid w:val="793C3418"/>
    <w:rsid w:val="79462067"/>
    <w:rsid w:val="794B1027"/>
    <w:rsid w:val="794E7636"/>
    <w:rsid w:val="795135CA"/>
    <w:rsid w:val="795A3CEE"/>
    <w:rsid w:val="796C56AF"/>
    <w:rsid w:val="7973709D"/>
    <w:rsid w:val="797371E6"/>
    <w:rsid w:val="797572B9"/>
    <w:rsid w:val="79870D9A"/>
    <w:rsid w:val="798D0F7A"/>
    <w:rsid w:val="79966B21"/>
    <w:rsid w:val="79982FA7"/>
    <w:rsid w:val="799B610F"/>
    <w:rsid w:val="799D236B"/>
    <w:rsid w:val="79AC2DBE"/>
    <w:rsid w:val="79C6782D"/>
    <w:rsid w:val="79C93160"/>
    <w:rsid w:val="79E41D48"/>
    <w:rsid w:val="79E43495"/>
    <w:rsid w:val="79E9735F"/>
    <w:rsid w:val="79ED32F3"/>
    <w:rsid w:val="79EE0E19"/>
    <w:rsid w:val="79FC7092"/>
    <w:rsid w:val="7A0B19CB"/>
    <w:rsid w:val="7A0B5322"/>
    <w:rsid w:val="7A3251AA"/>
    <w:rsid w:val="7A342CD0"/>
    <w:rsid w:val="7A3B22B0"/>
    <w:rsid w:val="7A4058A3"/>
    <w:rsid w:val="7A431165"/>
    <w:rsid w:val="7A460C55"/>
    <w:rsid w:val="7A4D1FE3"/>
    <w:rsid w:val="7A4F7B0A"/>
    <w:rsid w:val="7A5B33BA"/>
    <w:rsid w:val="7A656DD3"/>
    <w:rsid w:val="7A6F5AB6"/>
    <w:rsid w:val="7A8A28F0"/>
    <w:rsid w:val="7A8D0632"/>
    <w:rsid w:val="7A903C7E"/>
    <w:rsid w:val="7A950B01"/>
    <w:rsid w:val="7A9D6AC7"/>
    <w:rsid w:val="7A9E45ED"/>
    <w:rsid w:val="7AB45BBF"/>
    <w:rsid w:val="7AC56D64"/>
    <w:rsid w:val="7ACA42CA"/>
    <w:rsid w:val="7ACA53E2"/>
    <w:rsid w:val="7ACC6437"/>
    <w:rsid w:val="7ACF0C4A"/>
    <w:rsid w:val="7AD46261"/>
    <w:rsid w:val="7ADE0E8D"/>
    <w:rsid w:val="7AE72C67"/>
    <w:rsid w:val="7AE82C8E"/>
    <w:rsid w:val="7AEA5A84"/>
    <w:rsid w:val="7AF97A75"/>
    <w:rsid w:val="7AFF3D43"/>
    <w:rsid w:val="7B1834AF"/>
    <w:rsid w:val="7B1B79EC"/>
    <w:rsid w:val="7B1D19B6"/>
    <w:rsid w:val="7B1E74DC"/>
    <w:rsid w:val="7B252618"/>
    <w:rsid w:val="7B3867F0"/>
    <w:rsid w:val="7B3B62E0"/>
    <w:rsid w:val="7B454A69"/>
    <w:rsid w:val="7B476A33"/>
    <w:rsid w:val="7B4909FD"/>
    <w:rsid w:val="7B4A6771"/>
    <w:rsid w:val="7B5A49B8"/>
    <w:rsid w:val="7B656EB9"/>
    <w:rsid w:val="7B6B611F"/>
    <w:rsid w:val="7B762A49"/>
    <w:rsid w:val="7B8864F1"/>
    <w:rsid w:val="7B8C2698"/>
    <w:rsid w:val="7B8E4662"/>
    <w:rsid w:val="7B8E61B8"/>
    <w:rsid w:val="7B8E6410"/>
    <w:rsid w:val="7B937ECA"/>
    <w:rsid w:val="7BA21EBB"/>
    <w:rsid w:val="7BA957A8"/>
    <w:rsid w:val="7BA95CEC"/>
    <w:rsid w:val="7BB120FE"/>
    <w:rsid w:val="7BB75966"/>
    <w:rsid w:val="7BCB7664"/>
    <w:rsid w:val="7BCD518A"/>
    <w:rsid w:val="7BD01AD0"/>
    <w:rsid w:val="7BD06A28"/>
    <w:rsid w:val="7BD61B65"/>
    <w:rsid w:val="7BD858DD"/>
    <w:rsid w:val="7BDC361F"/>
    <w:rsid w:val="7BDF413D"/>
    <w:rsid w:val="7BE12CF9"/>
    <w:rsid w:val="7C044924"/>
    <w:rsid w:val="7C0948F4"/>
    <w:rsid w:val="7C246D74"/>
    <w:rsid w:val="7C27143B"/>
    <w:rsid w:val="7C2A25DC"/>
    <w:rsid w:val="7C36570A"/>
    <w:rsid w:val="7C370855"/>
    <w:rsid w:val="7C4B2553"/>
    <w:rsid w:val="7C4B6622"/>
    <w:rsid w:val="7C683105"/>
    <w:rsid w:val="7C6D4277"/>
    <w:rsid w:val="7C701FB9"/>
    <w:rsid w:val="7C746DB2"/>
    <w:rsid w:val="7C7A4BE6"/>
    <w:rsid w:val="7C887617"/>
    <w:rsid w:val="7C8D3BF7"/>
    <w:rsid w:val="7C8F68E3"/>
    <w:rsid w:val="7CB01C1B"/>
    <w:rsid w:val="7CB43C54"/>
    <w:rsid w:val="7CB4634A"/>
    <w:rsid w:val="7CC72903"/>
    <w:rsid w:val="7CCA3477"/>
    <w:rsid w:val="7CCB7974"/>
    <w:rsid w:val="7CCF4F32"/>
    <w:rsid w:val="7CE65DD7"/>
    <w:rsid w:val="7CF16C56"/>
    <w:rsid w:val="7D00333D"/>
    <w:rsid w:val="7D0746CC"/>
    <w:rsid w:val="7D07647A"/>
    <w:rsid w:val="7D1C5E36"/>
    <w:rsid w:val="7D284642"/>
    <w:rsid w:val="7D2A660C"/>
    <w:rsid w:val="7D33726F"/>
    <w:rsid w:val="7D3F5D4C"/>
    <w:rsid w:val="7D3F6DFB"/>
    <w:rsid w:val="7D473F98"/>
    <w:rsid w:val="7D4931EB"/>
    <w:rsid w:val="7D592A4D"/>
    <w:rsid w:val="7D5C596A"/>
    <w:rsid w:val="7D6B2EAC"/>
    <w:rsid w:val="7D787377"/>
    <w:rsid w:val="7D7B29C4"/>
    <w:rsid w:val="7D807FDA"/>
    <w:rsid w:val="7D853842"/>
    <w:rsid w:val="7D8C697F"/>
    <w:rsid w:val="7D9A187E"/>
    <w:rsid w:val="7D9C12B8"/>
    <w:rsid w:val="7D9D6DDE"/>
    <w:rsid w:val="7DA01E55"/>
    <w:rsid w:val="7DA737B9"/>
    <w:rsid w:val="7DA77C5D"/>
    <w:rsid w:val="7DB029A5"/>
    <w:rsid w:val="7DBF6D54"/>
    <w:rsid w:val="7DC8349B"/>
    <w:rsid w:val="7DD24CD9"/>
    <w:rsid w:val="7DD87E16"/>
    <w:rsid w:val="7DEC702A"/>
    <w:rsid w:val="7DF24F88"/>
    <w:rsid w:val="7DFF1847"/>
    <w:rsid w:val="7E084D12"/>
    <w:rsid w:val="7E0E1A8A"/>
    <w:rsid w:val="7E1352F2"/>
    <w:rsid w:val="7E176B90"/>
    <w:rsid w:val="7E1C3341"/>
    <w:rsid w:val="7E28563A"/>
    <w:rsid w:val="7E4A701D"/>
    <w:rsid w:val="7E590F57"/>
    <w:rsid w:val="7E5C037D"/>
    <w:rsid w:val="7E5E656D"/>
    <w:rsid w:val="7E80259A"/>
    <w:rsid w:val="7E885398"/>
    <w:rsid w:val="7E8D4A48"/>
    <w:rsid w:val="7E8E43A4"/>
    <w:rsid w:val="7E977CD1"/>
    <w:rsid w:val="7EB22415"/>
    <w:rsid w:val="7EB268B9"/>
    <w:rsid w:val="7EB937A4"/>
    <w:rsid w:val="7EB97C47"/>
    <w:rsid w:val="7EBE700C"/>
    <w:rsid w:val="7EC04ADD"/>
    <w:rsid w:val="7EC776FA"/>
    <w:rsid w:val="7ECC0DF2"/>
    <w:rsid w:val="7EE10F4C"/>
    <w:rsid w:val="7EE36A72"/>
    <w:rsid w:val="7EEC1DCB"/>
    <w:rsid w:val="7EED169F"/>
    <w:rsid w:val="7EF23159"/>
    <w:rsid w:val="7EF42A2E"/>
    <w:rsid w:val="7EF742CC"/>
    <w:rsid w:val="7EF74EB2"/>
    <w:rsid w:val="7EF75F5E"/>
    <w:rsid w:val="7F1430D0"/>
    <w:rsid w:val="7F2E1278"/>
    <w:rsid w:val="7F3B240A"/>
    <w:rsid w:val="7F45445C"/>
    <w:rsid w:val="7F4946CE"/>
    <w:rsid w:val="7F511C2E"/>
    <w:rsid w:val="7F5259A6"/>
    <w:rsid w:val="7F565496"/>
    <w:rsid w:val="7F590AE3"/>
    <w:rsid w:val="7F6F6558"/>
    <w:rsid w:val="7F73429A"/>
    <w:rsid w:val="7F8065C4"/>
    <w:rsid w:val="7F814A6A"/>
    <w:rsid w:val="7F8A15E4"/>
    <w:rsid w:val="7F9A07A7"/>
    <w:rsid w:val="7F9D46F9"/>
    <w:rsid w:val="7FBF4126"/>
    <w:rsid w:val="7FC56178"/>
    <w:rsid w:val="7FC76394"/>
    <w:rsid w:val="7FC9210C"/>
    <w:rsid w:val="7FC93EBA"/>
    <w:rsid w:val="7FCB7C32"/>
    <w:rsid w:val="7FD8234F"/>
    <w:rsid w:val="7FDA7E75"/>
    <w:rsid w:val="7FEE1518"/>
    <w:rsid w:val="7FF058E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autoRedefine/>
    <w:qFormat/>
    <w:uiPriority w:val="0"/>
    <w:pPr>
      <w:keepNext/>
      <w:numPr>
        <w:ilvl w:val="0"/>
        <w:numId w:val="1"/>
      </w:numPr>
      <w:outlineLvl w:val="0"/>
    </w:pPr>
    <w:rPr>
      <w:b/>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6"/>
    <w:next w:val="1"/>
    <w:autoRedefine/>
    <w:qFormat/>
    <w:uiPriority w:val="0"/>
    <w:pPr>
      <w:ind w:firstLine="480" w:firstLineChars="200"/>
      <w:outlineLvl w:val="2"/>
    </w:pPr>
    <w:rPr>
      <w:rFonts w:ascii="宋体" w:hAnsi="宋体" w:cs="宋体"/>
      <w:sz w:val="24"/>
    </w:rPr>
  </w:style>
  <w:style w:type="paragraph" w:styleId="6">
    <w:name w:val="heading 4"/>
    <w:basedOn w:val="1"/>
    <w:next w:val="1"/>
    <w:autoRedefine/>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left="200" w:firstLine="200" w:firstLineChars="200"/>
    </w:pPr>
  </w:style>
  <w:style w:type="paragraph" w:styleId="3">
    <w:name w:val="Body Text Indent"/>
    <w:basedOn w:val="1"/>
    <w:next w:val="4"/>
    <w:autoRedefine/>
    <w:qFormat/>
    <w:uiPriority w:val="0"/>
    <w:pPr>
      <w:spacing w:after="120"/>
      <w:ind w:left="420" w:leftChars="200"/>
    </w:pPr>
  </w:style>
  <w:style w:type="paragraph" w:styleId="4">
    <w:name w:val="Body Text Indent 2"/>
    <w:basedOn w:val="1"/>
    <w:autoRedefine/>
    <w:qFormat/>
    <w:uiPriority w:val="0"/>
    <w:pPr>
      <w:ind w:firstLine="480"/>
    </w:pPr>
    <w:rPr>
      <w:rFonts w:ascii="宋体" w:hAnsi="宋体"/>
      <w:sz w:val="30"/>
      <w:szCs w:val="24"/>
    </w:rPr>
  </w:style>
  <w:style w:type="paragraph" w:styleId="5">
    <w:name w:val="Normal Indent"/>
    <w:basedOn w:val="1"/>
    <w:next w:val="6"/>
    <w:autoRedefine/>
    <w:qFormat/>
    <w:uiPriority w:val="0"/>
    <w:pPr>
      <w:ind w:firstLine="420"/>
    </w:pPr>
    <w:rPr>
      <w:kern w:val="0"/>
      <w:sz w:val="20"/>
    </w:rPr>
  </w:style>
  <w:style w:type="paragraph" w:styleId="10">
    <w:name w:val="index 8"/>
    <w:basedOn w:val="1"/>
    <w:next w:val="1"/>
    <w:autoRedefine/>
    <w:unhideWhenUsed/>
    <w:qFormat/>
    <w:uiPriority w:val="99"/>
    <w:pPr>
      <w:ind w:left="1400" w:leftChars="1400"/>
    </w:pPr>
  </w:style>
  <w:style w:type="paragraph" w:styleId="11">
    <w:name w:val="annotation text"/>
    <w:basedOn w:val="1"/>
    <w:qFormat/>
    <w:uiPriority w:val="0"/>
    <w:pPr>
      <w:jc w:val="left"/>
    </w:pPr>
  </w:style>
  <w:style w:type="paragraph" w:styleId="12">
    <w:name w:val="index 6"/>
    <w:basedOn w:val="1"/>
    <w:next w:val="1"/>
    <w:autoRedefine/>
    <w:unhideWhenUsed/>
    <w:qFormat/>
    <w:uiPriority w:val="99"/>
    <w:pPr>
      <w:ind w:left="1000" w:leftChars="1000"/>
    </w:pPr>
  </w:style>
  <w:style w:type="paragraph" w:styleId="13">
    <w:name w:val="Body Text"/>
    <w:basedOn w:val="1"/>
    <w:next w:val="14"/>
    <w:autoRedefine/>
    <w:qFormat/>
    <w:uiPriority w:val="0"/>
    <w:pPr>
      <w:widowControl/>
      <w:jc w:val="left"/>
    </w:pPr>
    <w:rPr>
      <w:rFonts w:ascii="Tahoma" w:hAnsi="Tahoma"/>
      <w:kern w:val="0"/>
      <w:sz w:val="22"/>
      <w:lang w:val="en-GB"/>
    </w:rPr>
  </w:style>
  <w:style w:type="paragraph" w:styleId="14">
    <w:name w:val="Body Text First Indent"/>
    <w:basedOn w:val="13"/>
    <w:autoRedefine/>
    <w:qFormat/>
    <w:uiPriority w:val="0"/>
    <w:pPr>
      <w:ind w:firstLine="420" w:firstLineChars="100"/>
    </w:pPr>
  </w:style>
  <w:style w:type="paragraph" w:styleId="15">
    <w:name w:val="List 2"/>
    <w:basedOn w:val="1"/>
    <w:next w:val="16"/>
    <w:autoRedefine/>
    <w:qFormat/>
    <w:uiPriority w:val="0"/>
    <w:pPr>
      <w:ind w:left="100" w:leftChars="200" w:hanging="200" w:hangingChars="200"/>
    </w:pPr>
  </w:style>
  <w:style w:type="paragraph" w:styleId="16">
    <w:name w:val="Plain Text"/>
    <w:basedOn w:val="1"/>
    <w:next w:val="17"/>
    <w:autoRedefine/>
    <w:qFormat/>
    <w:uiPriority w:val="0"/>
    <w:rPr>
      <w:rFonts w:ascii="宋体" w:hAnsi="Courier New"/>
    </w:rPr>
  </w:style>
  <w:style w:type="paragraph" w:styleId="17">
    <w:name w:val="List Number 5"/>
    <w:basedOn w:val="1"/>
    <w:qFormat/>
    <w:uiPriority w:val="0"/>
    <w:pPr>
      <w:numPr>
        <w:ilvl w:val="0"/>
        <w:numId w:val="3"/>
      </w:numPr>
    </w:pPr>
  </w:style>
  <w:style w:type="paragraph" w:styleId="18">
    <w:name w:val="Block Text"/>
    <w:basedOn w:val="1"/>
    <w:qFormat/>
    <w:uiPriority w:val="0"/>
    <w:pPr>
      <w:spacing w:after="120"/>
      <w:ind w:left="1440" w:leftChars="700" w:right="700" w:rightChars="700"/>
    </w:pPr>
  </w:style>
  <w:style w:type="paragraph" w:styleId="19">
    <w:name w:val="toc 3"/>
    <w:basedOn w:val="1"/>
    <w:next w:val="1"/>
    <w:autoRedefine/>
    <w:qFormat/>
    <w:uiPriority w:val="0"/>
    <w:pPr>
      <w:ind w:left="420"/>
      <w:jc w:val="left"/>
    </w:pPr>
    <w:rPr>
      <w:i/>
      <w:sz w:val="20"/>
    </w:rPr>
  </w:style>
  <w:style w:type="paragraph" w:styleId="20">
    <w:name w:val="footer"/>
    <w:basedOn w:val="1"/>
    <w:next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3">
    <w:name w:val="footnote text"/>
    <w:basedOn w:val="1"/>
    <w:autoRedefine/>
    <w:qFormat/>
    <w:uiPriority w:val="99"/>
    <w:pPr>
      <w:snapToGrid w:val="0"/>
      <w:jc w:val="left"/>
    </w:pPr>
    <w:rPr>
      <w:sz w:val="18"/>
    </w:rPr>
  </w:style>
  <w:style w:type="paragraph" w:styleId="24">
    <w:name w:val="Body Text 2"/>
    <w:basedOn w:val="1"/>
    <w:qFormat/>
    <w:uiPriority w:val="0"/>
    <w:pPr>
      <w:widowControl/>
      <w:jc w:val="center"/>
    </w:pPr>
    <w:rPr>
      <w:rFonts w:ascii="楷体_GB2312" w:eastAsia="楷体_GB2312"/>
      <w:sz w:val="28"/>
      <w:szCs w:val="28"/>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autoRedefine/>
    <w:qFormat/>
    <w:uiPriority w:val="10"/>
    <w:pPr>
      <w:spacing w:before="240" w:after="60"/>
      <w:jc w:val="center"/>
      <w:outlineLvl w:val="0"/>
    </w:pPr>
    <w:rPr>
      <w:rFonts w:ascii="Cambria" w:hAnsi="Cambria"/>
      <w:b/>
      <w:bCs/>
      <w:sz w:val="32"/>
      <w:szCs w:val="3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rPr>
      <w:rFonts w:ascii="Times New Roman" w:hAnsi="Times New Roman" w:eastAsia="宋体" w:cs="Times New Roman"/>
    </w:rPr>
  </w:style>
  <w:style w:type="character" w:styleId="32">
    <w:name w:val="Hyperlink"/>
    <w:basedOn w:val="29"/>
    <w:autoRedefine/>
    <w:qFormat/>
    <w:uiPriority w:val="0"/>
    <w:rPr>
      <w:color w:val="0000FF"/>
      <w:u w:val="single"/>
    </w:rPr>
  </w:style>
  <w:style w:type="character" w:styleId="33">
    <w:name w:val="HTML Sample"/>
    <w:basedOn w:val="29"/>
    <w:qFormat/>
    <w:uiPriority w:val="0"/>
    <w:rPr>
      <w:rFonts w:ascii="Courier New" w:hAnsi="Courier New"/>
    </w:rPr>
  </w:style>
  <w:style w:type="paragraph" w:customStyle="1" w:styleId="34">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style4"/>
    <w:basedOn w:val="1"/>
    <w:next w:val="36"/>
    <w:qFormat/>
    <w:uiPriority w:val="0"/>
    <w:pPr>
      <w:widowControl/>
      <w:spacing w:before="280" w:after="280"/>
    </w:pPr>
    <w:rPr>
      <w:rFonts w:ascii="宋体"/>
      <w:sz w:val="18"/>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目录 53"/>
    <w:basedOn w:val="1"/>
    <w:next w:val="1"/>
    <w:autoRedefine/>
    <w:qFormat/>
    <w:uiPriority w:val="0"/>
    <w:pPr>
      <w:ind w:left="840"/>
    </w:pPr>
    <w:rPr>
      <w:sz w:val="18"/>
    </w:rPr>
  </w:style>
  <w:style w:type="paragraph" w:customStyle="1" w:styleId="38">
    <w:name w:val="[无段落样式]"/>
    <w:autoRedefine/>
    <w:qFormat/>
    <w:uiPriority w:val="0"/>
    <w:pPr>
      <w:widowControl w:val="0"/>
      <w:spacing w:line="288" w:lineRule="auto"/>
      <w:jc w:val="both"/>
    </w:pPr>
    <w:rPr>
      <w:rFonts w:ascii="Adobe 宋体 Std L" w:hAnsi="Adobe 宋体 Std L" w:eastAsia="宋体" w:cs="宋体"/>
      <w:color w:val="000000"/>
      <w:sz w:val="24"/>
      <w:lang w:val="zh-CN" w:eastAsia="zh-CN" w:bidi="ar-SA"/>
    </w:rPr>
  </w:style>
  <w:style w:type="paragraph" w:styleId="39">
    <w:name w:val="List Paragraph"/>
    <w:basedOn w:val="1"/>
    <w:autoRedefine/>
    <w:qFormat/>
    <w:uiPriority w:val="0"/>
    <w:pPr>
      <w:ind w:firstLine="420" w:firstLineChars="200"/>
    </w:pPr>
    <w:rPr>
      <w:szCs w:val="24"/>
    </w:r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1"/>
    <w:basedOn w:val="42"/>
    <w:autoRedefine/>
    <w:qFormat/>
    <w:uiPriority w:val="0"/>
    <w:pPr>
      <w:jc w:val="center"/>
    </w:pPr>
    <w:rPr>
      <w:rFonts w:ascii="Times New Roman" w:hAnsi="Times New Roman"/>
      <w:szCs w:val="30"/>
    </w:rPr>
  </w:style>
  <w:style w:type="paragraph" w:customStyle="1" w:styleId="42">
    <w:name w:val="正文_2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1"/>
    <w:autoRedefine/>
    <w:qFormat/>
    <w:uiPriority w:val="0"/>
    <w:rPr>
      <w:rFonts w:ascii="Calibri" w:hAnsi="Calibri" w:eastAsia="Times New Roman" w:cs="Times New Roman"/>
      <w:sz w:val="24"/>
      <w:szCs w:val="24"/>
      <w:lang w:val="en-US" w:eastAsia="zh-CN" w:bidi="ar-SA"/>
    </w:rPr>
  </w:style>
  <w:style w:type="paragraph" w:customStyle="1" w:styleId="48">
    <w:name w:val="列出段落1"/>
    <w:basedOn w:val="1"/>
    <w:autoRedefine/>
    <w:qFormat/>
    <w:uiPriority w:val="34"/>
    <w:pPr>
      <w:ind w:firstLine="420" w:firstLineChars="200"/>
    </w:pPr>
  </w:style>
  <w:style w:type="paragraph" w:customStyle="1" w:styleId="49">
    <w:name w:val="中文正文、"/>
    <w:basedOn w:val="1"/>
    <w:autoRedefine/>
    <w:qFormat/>
    <w:uiPriority w:val="0"/>
    <w:pPr>
      <w:spacing w:line="360" w:lineRule="auto"/>
      <w:ind w:firstLine="420" w:firstLineChars="200"/>
      <w:jc w:val="left"/>
    </w:pPr>
    <w:rPr>
      <w:kern w:val="0"/>
      <w:sz w:val="20"/>
      <w:szCs w:val="21"/>
      <w:lang w:val="de-DE" w:eastAsia="de-DE"/>
    </w:rPr>
  </w:style>
  <w:style w:type="paragraph" w:customStyle="1" w:styleId="50">
    <w:name w:val="标题 5（有编号）（绿盟科技）"/>
    <w:basedOn w:val="1"/>
    <w:next w:val="51"/>
    <w:autoRedefine/>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5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2">
    <w:name w:val="font21"/>
    <w:basedOn w:val="29"/>
    <w:autoRedefine/>
    <w:qFormat/>
    <w:uiPriority w:val="0"/>
    <w:rPr>
      <w:rFonts w:hint="default" w:ascii="Calibri" w:hAnsi="Calibri" w:cs="Calibri"/>
      <w:color w:val="000000"/>
      <w:sz w:val="24"/>
      <w:szCs w:val="24"/>
      <w:u w:val="none"/>
    </w:rPr>
  </w:style>
  <w:style w:type="character" w:customStyle="1" w:styleId="53">
    <w:name w:val="font31"/>
    <w:basedOn w:val="29"/>
    <w:autoRedefine/>
    <w:qFormat/>
    <w:uiPriority w:val="0"/>
    <w:rPr>
      <w:rFonts w:hint="default" w:ascii="Times New Roman" w:hAnsi="Times New Roman" w:cs="Times New Roman"/>
      <w:color w:val="000000"/>
      <w:sz w:val="20"/>
      <w:szCs w:val="20"/>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NormalCharacter"/>
    <w:autoRedefine/>
    <w:qFormat/>
    <w:uiPriority w:val="0"/>
    <w:rPr>
      <w:kern w:val="2"/>
      <w:sz w:val="21"/>
      <w:szCs w:val="24"/>
      <w:lang w:val="en-US" w:eastAsia="zh-CN" w:bidi="ar-SA"/>
    </w:rPr>
  </w:style>
  <w:style w:type="character" w:customStyle="1" w:styleId="56">
    <w:name w:val="font11"/>
    <w:basedOn w:val="29"/>
    <w:autoRedefine/>
    <w:qFormat/>
    <w:uiPriority w:val="0"/>
    <w:rPr>
      <w:rFonts w:hint="eastAsia" w:ascii="宋体" w:hAnsi="宋体" w:eastAsia="宋体" w:cs="宋体"/>
      <w:color w:val="000000"/>
      <w:sz w:val="20"/>
      <w:szCs w:val="20"/>
      <w:u w:val="none"/>
    </w:rPr>
  </w:style>
  <w:style w:type="character" w:customStyle="1" w:styleId="57">
    <w:name w:val="font6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58">
    <w:name w:val="font51"/>
    <w:basedOn w:val="29"/>
    <w:autoRedefine/>
    <w:qFormat/>
    <w:uiPriority w:val="0"/>
    <w:rPr>
      <w:rFonts w:hint="default" w:ascii="Times New Roman" w:hAnsi="Times New Roman" w:cs="Times New Roman"/>
      <w:color w:val="000000"/>
      <w:sz w:val="21"/>
      <w:szCs w:val="21"/>
      <w:u w:val="none"/>
    </w:rPr>
  </w:style>
  <w:style w:type="character" w:customStyle="1" w:styleId="59">
    <w:name w:val="font41"/>
    <w:basedOn w:val="29"/>
    <w:autoRedefine/>
    <w:qFormat/>
    <w:uiPriority w:val="0"/>
    <w:rPr>
      <w:rFonts w:hint="eastAsia" w:ascii="宋体" w:hAnsi="宋体" w:eastAsia="宋体" w:cs="宋体"/>
      <w:color w:val="000000"/>
      <w:sz w:val="40"/>
      <w:szCs w:val="40"/>
      <w:u w:val="none"/>
    </w:rPr>
  </w:style>
  <w:style w:type="paragraph" w:customStyle="1" w:styleId="60">
    <w:name w:val="列出段落2"/>
    <w:basedOn w:val="1"/>
    <w:qFormat/>
    <w:uiPriority w:val="0"/>
    <w:pPr>
      <w:ind w:firstLine="420" w:firstLineChars="200"/>
    </w:pPr>
    <w:rPr>
      <w:szCs w:val="21"/>
    </w:rPr>
  </w:style>
  <w:style w:type="paragraph" w:customStyle="1" w:styleId="61">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正文2"/>
    <w:qFormat/>
    <w:uiPriority w:val="0"/>
    <w:rPr>
      <w:rFonts w:ascii="Times New Roman" w:hAnsi="Times New Roman" w:eastAsia="Times New Roman" w:cs="Times New Roman"/>
      <w:sz w:val="24"/>
      <w:szCs w:val="24"/>
      <w:lang w:val="en-US" w:eastAsia="zh-CN" w:bidi="ar-SA"/>
    </w:rPr>
  </w:style>
  <w:style w:type="character" w:customStyle="1" w:styleId="63">
    <w:name w:val="font71"/>
    <w:basedOn w:val="29"/>
    <w:qFormat/>
    <w:uiPriority w:val="0"/>
    <w:rPr>
      <w:rFonts w:hint="eastAsia" w:ascii="宋体" w:hAnsi="宋体" w:eastAsia="宋体" w:cs="宋体"/>
      <w:b/>
      <w:bCs/>
      <w:color w:val="000000"/>
      <w:sz w:val="20"/>
      <w:szCs w:val="20"/>
      <w:u w:val="none"/>
    </w:rPr>
  </w:style>
  <w:style w:type="character" w:customStyle="1" w:styleId="64">
    <w:name w:val="font181"/>
    <w:basedOn w:val="29"/>
    <w:qFormat/>
    <w:uiPriority w:val="0"/>
    <w:rPr>
      <w:rFonts w:hint="default" w:ascii="Arial" w:hAnsi="Arial" w:cs="Arial"/>
      <w:b/>
      <w:bCs/>
      <w:color w:val="000000"/>
      <w:sz w:val="32"/>
      <w:szCs w:val="32"/>
      <w:u w:val="none"/>
    </w:rPr>
  </w:style>
  <w:style w:type="paragraph" w:customStyle="1" w:styleId="65">
    <w:name w:val="正文缩进2格"/>
    <w:basedOn w:val="1"/>
    <w:qFormat/>
    <w:uiPriority w:val="0"/>
    <w:pPr>
      <w:widowControl/>
      <w:spacing w:line="600" w:lineRule="exact"/>
      <w:ind w:firstLine="639" w:firstLineChars="206"/>
    </w:pPr>
    <w:rPr>
      <w:rFonts w:ascii="仿宋_GB2312" w:hAnsi="宋体" w:eastAsia="仿宋_GB2312"/>
      <w:kern w:val="0"/>
      <w:sz w:val="3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Table Text"/>
    <w:basedOn w:val="1"/>
    <w:semiHidden/>
    <w:qFormat/>
    <w:uiPriority w:val="0"/>
    <w:rPr>
      <w:rFonts w:ascii="宋体" w:hAnsi="宋体" w:cs="宋体"/>
      <w:sz w:val="22"/>
      <w:szCs w:val="22"/>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列表段落1"/>
    <w:basedOn w:val="1"/>
    <w:autoRedefine/>
    <w:qFormat/>
    <w:uiPriority w:val="0"/>
    <w:pPr>
      <w:widowControl/>
      <w:ind w:left="720" w:firstLine="360"/>
      <w:jc w:val="left"/>
    </w:pPr>
    <w:rPr>
      <w:rFonts w:ascii="Calibri" w:hAnsi="Calibri" w:eastAsia="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9590</Words>
  <Characters>10718</Characters>
  <Lines>440</Lines>
  <Paragraphs>124</Paragraphs>
  <TotalTime>2</TotalTime>
  <ScaleCrop>false</ScaleCrop>
  <LinksUpToDate>false</LinksUpToDate>
  <CharactersWithSpaces>11013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深圳能源</cp:lastModifiedBy>
  <cp:lastPrinted>2026-04-17T02:59:00Z</cp:lastPrinted>
  <dcterms:modified xsi:type="dcterms:W3CDTF">2026-06-10T10:37:03Z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3BA7F0B022084C44890DFC59F23DC27A_13</vt:lpwstr>
  </property>
  <property fmtid="{D5CDD505-2E9C-101B-9397-08002B2CF9AE}" pid="4" name="KSOTemplateDocerSaveRecord">
    <vt:lpwstr>eyJoZGlkIjoiODBhNjFjYjNiOTQ4ZjQyZmU2NzE1ZmMwYzgyNzRmN2EiLCJ1c2VySWQiOiI0NDAyNDcwNjkifQ==</vt:lpwstr>
  </property>
</Properties>
</file>